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embeddings/oleObject1.bin" ContentType="application/vnd.openxmlformats-officedocument.oleObject"/>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A6A27" w14:textId="569B2AD6" w:rsidR="00F01C5E" w:rsidRDefault="00903DF5" w:rsidP="00903DF5">
      <w:pPr>
        <w:pStyle w:val="Pagedecouverture"/>
      </w:pPr>
      <w:bookmarkStart w:id="0" w:name="_Toc4680673"/>
      <w:bookmarkStart w:id="1" w:name="_Toc4682947"/>
      <w:bookmarkStart w:id="2" w:name="LW_BM_COVERPAGE"/>
      <w:r>
        <w:pict w14:anchorId="57F51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5B8E30D7-292E-42C8-AB86-3F9903DB8222" style="width:451.05pt;height:414.5pt">
            <v:imagedata r:id="rId12" o:title=""/>
          </v:shape>
        </w:pict>
      </w:r>
    </w:p>
    <w:bookmarkEnd w:id="2"/>
    <w:p w14:paraId="6F1F0D22" w14:textId="77777777" w:rsidR="00F01C5E" w:rsidRDefault="00F01C5E" w:rsidP="00F01C5E">
      <w:pPr>
        <w:sectPr w:rsidR="00F01C5E" w:rsidSect="00903DF5">
          <w:headerReference w:type="even" r:id="rId13"/>
          <w:headerReference w:type="default" r:id="rId14"/>
          <w:footerReference w:type="even" r:id="rId15"/>
          <w:footerReference w:type="default" r:id="rId16"/>
          <w:headerReference w:type="first" r:id="rId17"/>
          <w:footerReference w:type="first" r:id="rId18"/>
          <w:pgSz w:w="11907" w:h="16839" w:code="9"/>
          <w:pgMar w:top="1134" w:right="1417" w:bottom="1134" w:left="1417" w:header="709" w:footer="709" w:gutter="0"/>
          <w:pgNumType w:start="1"/>
          <w:cols w:space="720"/>
          <w:docGrid w:linePitch="360"/>
        </w:sectPr>
      </w:pPr>
    </w:p>
    <w:p w14:paraId="4BFA82FB" w14:textId="77777777" w:rsidR="00450CCC" w:rsidRPr="00450CCC" w:rsidRDefault="00450CCC" w:rsidP="00450CCC">
      <w:pPr>
        <w:sectPr w:rsidR="00450CCC" w:rsidRPr="00450CCC" w:rsidSect="00F01C5E">
          <w:headerReference w:type="even" r:id="rId19"/>
          <w:headerReference w:type="default" r:id="rId20"/>
          <w:footerReference w:type="even" r:id="rId21"/>
          <w:footerReference w:type="default" r:id="rId22"/>
          <w:headerReference w:type="first" r:id="rId23"/>
          <w:footerReference w:type="first" r:id="rId24"/>
          <w:pgSz w:w="11907" w:h="16839" w:code="9"/>
          <w:pgMar w:top="1134" w:right="1418" w:bottom="1134" w:left="1418" w:header="635" w:footer="635" w:gutter="0"/>
          <w:pgNumType w:start="1"/>
          <w:cols w:space="720"/>
          <w:docGrid w:linePitch="360"/>
        </w:sectPr>
      </w:pPr>
      <w:bookmarkStart w:id="3" w:name="_GoBack"/>
      <w:bookmarkEnd w:id="3"/>
    </w:p>
    <w:p w14:paraId="454CDAD8" w14:textId="77777777" w:rsidR="00311F8F" w:rsidRPr="00A04E56" w:rsidRDefault="00BC0AAE" w:rsidP="00311F8F">
      <w:pPr>
        <w:pStyle w:val="Title1Corporate"/>
      </w:pPr>
      <w:r>
        <w:lastRenderedPageBreak/>
        <w:t>Table of c</w:t>
      </w:r>
      <w:r w:rsidR="00311F8F" w:rsidRPr="00A04E56">
        <w:t>ontent</w:t>
      </w:r>
      <w:r w:rsidR="003956DC" w:rsidRPr="00A04E56">
        <w:t>s</w:t>
      </w:r>
      <w:bookmarkEnd w:id="0"/>
      <w:bookmarkEnd w:id="1"/>
    </w:p>
    <w:p w14:paraId="60BFED18" w14:textId="07F43717" w:rsidR="007309C9" w:rsidRPr="00A04E56" w:rsidRDefault="007309C9" w:rsidP="001D0F73">
      <w:pPr>
        <w:pStyle w:val="BodyText"/>
        <w:tabs>
          <w:tab w:val="right" w:leader="dot" w:pos="9072"/>
        </w:tabs>
        <w:spacing w:before="480" w:after="240"/>
        <w:rPr>
          <w:b/>
        </w:rPr>
      </w:pPr>
      <w:r w:rsidRPr="00A04E56">
        <w:rPr>
          <w:b/>
        </w:rPr>
        <w:t>FOREWORD</w:t>
      </w:r>
      <w:r w:rsidRPr="00A04E56">
        <w:rPr>
          <w:b/>
        </w:rPr>
        <w:tab/>
      </w:r>
      <w:r w:rsidR="00541F63">
        <w:rPr>
          <w:b/>
        </w:rPr>
        <w:fldChar w:fldCharType="begin"/>
      </w:r>
      <w:r w:rsidR="00541F63">
        <w:rPr>
          <w:b/>
        </w:rPr>
        <w:instrText xml:space="preserve"> PAGEREF Foreword \h </w:instrText>
      </w:r>
      <w:r w:rsidR="00541F63">
        <w:rPr>
          <w:b/>
        </w:rPr>
      </w:r>
      <w:r w:rsidR="00541F63">
        <w:rPr>
          <w:b/>
        </w:rPr>
        <w:fldChar w:fldCharType="separate"/>
      </w:r>
      <w:r w:rsidR="0083737D">
        <w:rPr>
          <w:b/>
          <w:noProof/>
        </w:rPr>
        <w:t>3</w:t>
      </w:r>
      <w:r w:rsidR="00541F63">
        <w:rPr>
          <w:b/>
        </w:rPr>
        <w:fldChar w:fldCharType="end"/>
      </w:r>
    </w:p>
    <w:p w14:paraId="3DF7A69B" w14:textId="681DA16B" w:rsidR="007309C9" w:rsidRPr="00A04E56" w:rsidRDefault="007309C9" w:rsidP="0038366C">
      <w:pPr>
        <w:pStyle w:val="BodyText"/>
        <w:tabs>
          <w:tab w:val="right" w:leader="dot" w:pos="9072"/>
        </w:tabs>
        <w:spacing w:before="240" w:after="240"/>
        <w:rPr>
          <w:b/>
        </w:rPr>
      </w:pPr>
      <w:r w:rsidRPr="00A04E56">
        <w:rPr>
          <w:b/>
        </w:rPr>
        <w:t>EXECUTIVE SUMMARY</w:t>
      </w:r>
      <w:r w:rsidRPr="00A04E56">
        <w:rPr>
          <w:b/>
        </w:rPr>
        <w:tab/>
      </w:r>
      <w:r w:rsidR="00541F63">
        <w:rPr>
          <w:b/>
        </w:rPr>
        <w:fldChar w:fldCharType="begin"/>
      </w:r>
      <w:r w:rsidR="00541F63">
        <w:rPr>
          <w:b/>
        </w:rPr>
        <w:instrText xml:space="preserve"> PAGEREF Executivesummary \h </w:instrText>
      </w:r>
      <w:r w:rsidR="00541F63">
        <w:rPr>
          <w:b/>
        </w:rPr>
      </w:r>
      <w:r w:rsidR="00541F63">
        <w:rPr>
          <w:b/>
        </w:rPr>
        <w:fldChar w:fldCharType="separate"/>
      </w:r>
      <w:r w:rsidR="0083737D">
        <w:rPr>
          <w:b/>
          <w:noProof/>
        </w:rPr>
        <w:t>7</w:t>
      </w:r>
      <w:r w:rsidR="00541F63">
        <w:rPr>
          <w:b/>
        </w:rPr>
        <w:fldChar w:fldCharType="end"/>
      </w:r>
    </w:p>
    <w:p w14:paraId="60BF6FEF" w14:textId="7EAB5FC2" w:rsidR="007309C9" w:rsidRPr="00A04E56" w:rsidRDefault="007309C9" w:rsidP="0038366C">
      <w:pPr>
        <w:pStyle w:val="BodyText"/>
        <w:tabs>
          <w:tab w:val="right" w:leader="dot" w:pos="9072"/>
        </w:tabs>
        <w:spacing w:before="240" w:after="240"/>
        <w:rPr>
          <w:b/>
        </w:rPr>
      </w:pPr>
      <w:r w:rsidRPr="00A04E56">
        <w:rPr>
          <w:b/>
        </w:rPr>
        <w:t>INTRODUCTION</w:t>
      </w:r>
      <w:r w:rsidRPr="00A04E56">
        <w:rPr>
          <w:b/>
        </w:rPr>
        <w:tab/>
      </w:r>
      <w:r w:rsidR="00541F63">
        <w:rPr>
          <w:b/>
        </w:rPr>
        <w:fldChar w:fldCharType="begin"/>
      </w:r>
      <w:r w:rsidR="00541F63">
        <w:rPr>
          <w:b/>
        </w:rPr>
        <w:instrText xml:space="preserve"> PAGEREF Introduction \h </w:instrText>
      </w:r>
      <w:r w:rsidR="00541F63">
        <w:rPr>
          <w:b/>
        </w:rPr>
      </w:r>
      <w:r w:rsidR="00541F63">
        <w:rPr>
          <w:b/>
        </w:rPr>
        <w:fldChar w:fldCharType="separate"/>
      </w:r>
      <w:r w:rsidR="0083737D">
        <w:rPr>
          <w:b/>
          <w:noProof/>
        </w:rPr>
        <w:t>21</w:t>
      </w:r>
      <w:r w:rsidR="00541F63">
        <w:rPr>
          <w:b/>
        </w:rPr>
        <w:fldChar w:fldCharType="end"/>
      </w:r>
    </w:p>
    <w:p w14:paraId="69A59889" w14:textId="77777777" w:rsidR="00CA36C2" w:rsidRPr="00A04E56" w:rsidRDefault="00CA36C2" w:rsidP="0038366C">
      <w:pPr>
        <w:pStyle w:val="BodyText"/>
        <w:tabs>
          <w:tab w:val="right" w:leader="dot" w:pos="9072"/>
        </w:tabs>
        <w:spacing w:before="240" w:after="240"/>
        <w:rPr>
          <w:b/>
        </w:rPr>
      </w:pPr>
    </w:p>
    <w:p w14:paraId="2B3605AF" w14:textId="1022C4B0" w:rsidR="007309C9" w:rsidRPr="00A04E56" w:rsidRDefault="007309C9" w:rsidP="0038366C">
      <w:pPr>
        <w:pStyle w:val="BodyText"/>
        <w:tabs>
          <w:tab w:val="right" w:leader="dot" w:pos="9072"/>
        </w:tabs>
        <w:spacing w:before="240" w:after="240"/>
        <w:rPr>
          <w:b/>
        </w:rPr>
      </w:pPr>
      <w:r w:rsidRPr="00A04E56">
        <w:rPr>
          <w:b/>
        </w:rPr>
        <w:t>SECTION 1</w:t>
      </w:r>
      <w:r w:rsidRPr="00A04E56" w:rsidDel="00EC0B83">
        <w:rPr>
          <w:b/>
        </w:rPr>
        <w:t xml:space="preserve"> </w:t>
      </w:r>
      <w:r w:rsidR="00EC0B83" w:rsidRPr="00A04E56">
        <w:rPr>
          <w:b/>
        </w:rPr>
        <w:t xml:space="preserve">— </w:t>
      </w:r>
      <w:r w:rsidRPr="00A04E56">
        <w:rPr>
          <w:b/>
        </w:rPr>
        <w:t>PERFORMANCE AND RESULTS</w:t>
      </w:r>
      <w:r w:rsidR="00BC71F0" w:rsidRPr="00A04E56">
        <w:rPr>
          <w:b/>
        </w:rPr>
        <w:tab/>
      </w:r>
      <w:r w:rsidR="00541F63">
        <w:rPr>
          <w:b/>
        </w:rPr>
        <w:fldChar w:fldCharType="begin"/>
      </w:r>
      <w:r w:rsidR="00541F63">
        <w:rPr>
          <w:b/>
        </w:rPr>
        <w:instrText xml:space="preserve"> PAGEREF Section1 \h </w:instrText>
      </w:r>
      <w:r w:rsidR="00541F63">
        <w:rPr>
          <w:b/>
        </w:rPr>
      </w:r>
      <w:r w:rsidR="00541F63">
        <w:rPr>
          <w:b/>
        </w:rPr>
        <w:fldChar w:fldCharType="separate"/>
      </w:r>
      <w:r w:rsidR="0083737D">
        <w:rPr>
          <w:b/>
          <w:noProof/>
        </w:rPr>
        <w:t>22</w:t>
      </w:r>
      <w:r w:rsidR="00541F63">
        <w:rPr>
          <w:b/>
        </w:rPr>
        <w:fldChar w:fldCharType="end"/>
      </w:r>
    </w:p>
    <w:p w14:paraId="19237307" w14:textId="5609ABB9" w:rsidR="009B74AB" w:rsidRPr="00A04E56" w:rsidRDefault="009F6F9D" w:rsidP="00BC71F0">
      <w:pPr>
        <w:pStyle w:val="BodyText"/>
        <w:numPr>
          <w:ilvl w:val="0"/>
          <w:numId w:val="8"/>
        </w:numPr>
        <w:tabs>
          <w:tab w:val="right" w:leader="dot" w:pos="9072"/>
        </w:tabs>
      </w:pPr>
      <w:r w:rsidRPr="00A04E56">
        <w:t>A result-oriented EU budget</w:t>
      </w:r>
      <w:r w:rsidR="00BC71F0" w:rsidRPr="00A04E56">
        <w:tab/>
      </w:r>
      <w:r w:rsidR="007A6FB9">
        <w:fldChar w:fldCharType="begin"/>
      </w:r>
      <w:r w:rsidR="007A6FB9">
        <w:instrText xml:space="preserve"> PAGEREF AresultorientedEUbudget \h </w:instrText>
      </w:r>
      <w:r w:rsidR="007A6FB9">
        <w:fldChar w:fldCharType="separate"/>
      </w:r>
      <w:r w:rsidR="0083737D">
        <w:rPr>
          <w:noProof/>
        </w:rPr>
        <w:t>23</w:t>
      </w:r>
      <w:r w:rsidR="007A6FB9">
        <w:fldChar w:fldCharType="end"/>
      </w:r>
    </w:p>
    <w:p w14:paraId="4AC37BA7" w14:textId="46CD0D01" w:rsidR="007309C9" w:rsidRPr="00A04E56" w:rsidRDefault="007309C9" w:rsidP="00BC71F0">
      <w:pPr>
        <w:pStyle w:val="BodyText"/>
        <w:numPr>
          <w:ilvl w:val="0"/>
          <w:numId w:val="8"/>
        </w:numPr>
        <w:tabs>
          <w:tab w:val="right" w:leader="dot" w:pos="9072"/>
        </w:tabs>
      </w:pPr>
      <w:r w:rsidRPr="00A04E56">
        <w:t xml:space="preserve">Competitiveness </w:t>
      </w:r>
      <w:r w:rsidR="00EC0B83" w:rsidRPr="00A04E56">
        <w:t xml:space="preserve">for growth and jobs </w:t>
      </w:r>
      <w:r w:rsidRPr="00A04E56">
        <w:t>(</w:t>
      </w:r>
      <w:r w:rsidR="000A5553" w:rsidRPr="00A04E56">
        <w:t>budget</w:t>
      </w:r>
      <w:r w:rsidRPr="00A04E56">
        <w:t xml:space="preserve"> </w:t>
      </w:r>
      <w:r w:rsidR="000A5553" w:rsidRPr="00A04E56">
        <w:t>heading</w:t>
      </w:r>
      <w:r w:rsidRPr="00A04E56">
        <w:t xml:space="preserve"> 1A)</w:t>
      </w:r>
      <w:r w:rsidR="00BC71F0" w:rsidRPr="00A04E56">
        <w:tab/>
      </w:r>
      <w:r w:rsidR="00930C94">
        <w:fldChar w:fldCharType="begin"/>
      </w:r>
      <w:r w:rsidR="00930C94">
        <w:instrText xml:space="preserve"> PAGEREF Competitivenessforgrowthandjobs \h </w:instrText>
      </w:r>
      <w:r w:rsidR="00930C94">
        <w:fldChar w:fldCharType="separate"/>
      </w:r>
      <w:r w:rsidR="0083737D">
        <w:rPr>
          <w:noProof/>
        </w:rPr>
        <w:t>32</w:t>
      </w:r>
      <w:r w:rsidR="00930C94">
        <w:fldChar w:fldCharType="end"/>
      </w:r>
    </w:p>
    <w:p w14:paraId="486B859E" w14:textId="06BC9037" w:rsidR="007309C9" w:rsidRPr="00A04E56" w:rsidRDefault="007309C9" w:rsidP="00BC71F0">
      <w:pPr>
        <w:pStyle w:val="BodyText"/>
        <w:numPr>
          <w:ilvl w:val="0"/>
          <w:numId w:val="8"/>
        </w:numPr>
        <w:tabs>
          <w:tab w:val="right" w:leader="dot" w:pos="9072"/>
        </w:tabs>
      </w:pPr>
      <w:r w:rsidRPr="00A04E56">
        <w:t xml:space="preserve">Economic, </w:t>
      </w:r>
      <w:r w:rsidR="00EC0B83" w:rsidRPr="00A04E56">
        <w:t xml:space="preserve">social and territorial cohesion </w:t>
      </w:r>
      <w:r w:rsidRPr="00A04E56">
        <w:t>(</w:t>
      </w:r>
      <w:r w:rsidR="000A5553" w:rsidRPr="00A04E56">
        <w:t>budget</w:t>
      </w:r>
      <w:r w:rsidRPr="00A04E56">
        <w:t xml:space="preserve"> </w:t>
      </w:r>
      <w:r w:rsidR="000A5553" w:rsidRPr="00A04E56">
        <w:t>heading</w:t>
      </w:r>
      <w:r w:rsidRPr="00A04E56">
        <w:t xml:space="preserve"> 1B)</w:t>
      </w:r>
      <w:r w:rsidRPr="00A04E56">
        <w:tab/>
      </w:r>
      <w:r w:rsidR="00930C94">
        <w:fldChar w:fldCharType="begin"/>
      </w:r>
      <w:r w:rsidR="00930C94">
        <w:instrText xml:space="preserve"> PAGEREF Economicsocialterritorialcohesion \h </w:instrText>
      </w:r>
      <w:r w:rsidR="00930C94">
        <w:fldChar w:fldCharType="separate"/>
      </w:r>
      <w:r w:rsidR="0083737D">
        <w:rPr>
          <w:noProof/>
        </w:rPr>
        <w:t>68</w:t>
      </w:r>
      <w:r w:rsidR="00930C94">
        <w:fldChar w:fldCharType="end"/>
      </w:r>
    </w:p>
    <w:p w14:paraId="5FF1D0F8" w14:textId="006F3990" w:rsidR="007309C9" w:rsidRPr="00A04E56" w:rsidRDefault="007309C9" w:rsidP="00BC71F0">
      <w:pPr>
        <w:pStyle w:val="BodyText"/>
        <w:numPr>
          <w:ilvl w:val="0"/>
          <w:numId w:val="8"/>
        </w:numPr>
        <w:tabs>
          <w:tab w:val="right" w:leader="dot" w:pos="9072"/>
        </w:tabs>
      </w:pPr>
      <w:r w:rsidRPr="00A04E56">
        <w:t xml:space="preserve">Sustainable </w:t>
      </w:r>
      <w:r w:rsidR="00EC0B83" w:rsidRPr="00A04E56">
        <w:t xml:space="preserve">growth: natural resources </w:t>
      </w:r>
      <w:r w:rsidRPr="00A04E56">
        <w:t>(</w:t>
      </w:r>
      <w:r w:rsidR="000A5553" w:rsidRPr="00A04E56">
        <w:t>budget</w:t>
      </w:r>
      <w:r w:rsidRPr="00A04E56">
        <w:t xml:space="preserve"> </w:t>
      </w:r>
      <w:r w:rsidR="000A5553" w:rsidRPr="00A04E56">
        <w:t>heading</w:t>
      </w:r>
      <w:r w:rsidRPr="00A04E56">
        <w:t xml:space="preserve"> 2)</w:t>
      </w:r>
      <w:r w:rsidR="00BC71F0" w:rsidRPr="00A04E56">
        <w:tab/>
      </w:r>
      <w:r w:rsidR="00930C94">
        <w:fldChar w:fldCharType="begin"/>
      </w:r>
      <w:r w:rsidR="00930C94">
        <w:instrText xml:space="preserve"> PAGEREF Sustainablegrowthnaturalresources \h </w:instrText>
      </w:r>
      <w:r w:rsidR="00930C94">
        <w:fldChar w:fldCharType="separate"/>
      </w:r>
      <w:r w:rsidR="0083737D">
        <w:rPr>
          <w:noProof/>
        </w:rPr>
        <w:t>81</w:t>
      </w:r>
      <w:r w:rsidR="00930C94">
        <w:fldChar w:fldCharType="end"/>
      </w:r>
    </w:p>
    <w:p w14:paraId="5AEA9A60" w14:textId="0ACDA953" w:rsidR="007309C9" w:rsidRPr="00A04E56" w:rsidRDefault="007309C9" w:rsidP="00BC71F0">
      <w:pPr>
        <w:pStyle w:val="BodyText"/>
        <w:numPr>
          <w:ilvl w:val="0"/>
          <w:numId w:val="8"/>
        </w:numPr>
        <w:tabs>
          <w:tab w:val="right" w:leader="dot" w:pos="9072"/>
        </w:tabs>
      </w:pPr>
      <w:r w:rsidRPr="00A04E56">
        <w:t xml:space="preserve">Security and </w:t>
      </w:r>
      <w:r w:rsidR="00EC0B83" w:rsidRPr="00A04E56">
        <w:t>cit</w:t>
      </w:r>
      <w:r w:rsidRPr="00A04E56">
        <w:t>izenship (</w:t>
      </w:r>
      <w:r w:rsidR="000A5553" w:rsidRPr="00A04E56">
        <w:t>budget</w:t>
      </w:r>
      <w:r w:rsidRPr="00A04E56">
        <w:t xml:space="preserve"> </w:t>
      </w:r>
      <w:r w:rsidR="000A5553" w:rsidRPr="00A04E56">
        <w:t>heading</w:t>
      </w:r>
      <w:r w:rsidRPr="00A04E56">
        <w:t xml:space="preserve"> 3)</w:t>
      </w:r>
      <w:r w:rsidR="00BC71F0" w:rsidRPr="00A04E56">
        <w:tab/>
      </w:r>
      <w:r w:rsidR="00930C94">
        <w:fldChar w:fldCharType="begin"/>
      </w:r>
      <w:r w:rsidR="00930C94">
        <w:instrText xml:space="preserve"> PAGEREF SecurityandCitizenship \h </w:instrText>
      </w:r>
      <w:r w:rsidR="00930C94">
        <w:fldChar w:fldCharType="separate"/>
      </w:r>
      <w:r w:rsidR="0083737D">
        <w:rPr>
          <w:noProof/>
        </w:rPr>
        <w:t>97</w:t>
      </w:r>
      <w:r w:rsidR="00930C94">
        <w:fldChar w:fldCharType="end"/>
      </w:r>
    </w:p>
    <w:p w14:paraId="75313E5F" w14:textId="1633201D" w:rsidR="007309C9" w:rsidRPr="00A04E56" w:rsidRDefault="007309C9" w:rsidP="00BC71F0">
      <w:pPr>
        <w:pStyle w:val="BodyText"/>
        <w:numPr>
          <w:ilvl w:val="0"/>
          <w:numId w:val="8"/>
        </w:numPr>
        <w:tabs>
          <w:tab w:val="right" w:leader="dot" w:pos="9072"/>
        </w:tabs>
      </w:pPr>
      <w:r w:rsidRPr="00A04E56">
        <w:t>Global Europe (</w:t>
      </w:r>
      <w:r w:rsidR="000A5553" w:rsidRPr="00A04E56">
        <w:t>budget</w:t>
      </w:r>
      <w:r w:rsidRPr="00A04E56">
        <w:t xml:space="preserve"> </w:t>
      </w:r>
      <w:r w:rsidR="000A5553" w:rsidRPr="00A04E56">
        <w:t>heading</w:t>
      </w:r>
      <w:r w:rsidRPr="00A04E56">
        <w:t xml:space="preserve"> 4)</w:t>
      </w:r>
      <w:r w:rsidR="00BC71F0" w:rsidRPr="00A04E56">
        <w:tab/>
      </w:r>
      <w:r w:rsidR="00930C94">
        <w:fldChar w:fldCharType="begin"/>
      </w:r>
      <w:r w:rsidR="00930C94">
        <w:instrText xml:space="preserve"> PAGEREF GlobalEurope \h </w:instrText>
      </w:r>
      <w:r w:rsidR="00930C94">
        <w:fldChar w:fldCharType="separate"/>
      </w:r>
      <w:r w:rsidR="0083737D">
        <w:rPr>
          <w:noProof/>
        </w:rPr>
        <w:t>116</w:t>
      </w:r>
      <w:r w:rsidR="00930C94">
        <w:fldChar w:fldCharType="end"/>
      </w:r>
    </w:p>
    <w:p w14:paraId="7D32B91F" w14:textId="0463456C" w:rsidR="007309C9" w:rsidRPr="00A04E56" w:rsidRDefault="007309C9" w:rsidP="00BC71F0">
      <w:pPr>
        <w:pStyle w:val="BodyText"/>
        <w:numPr>
          <w:ilvl w:val="0"/>
          <w:numId w:val="8"/>
        </w:numPr>
        <w:tabs>
          <w:tab w:val="right" w:leader="dot" w:pos="9072"/>
        </w:tabs>
      </w:pPr>
      <w:r w:rsidRPr="00A04E56">
        <w:t>Special instruments</w:t>
      </w:r>
      <w:r w:rsidR="00BC71F0" w:rsidRPr="00A04E56">
        <w:tab/>
      </w:r>
      <w:r w:rsidR="00930C94">
        <w:fldChar w:fldCharType="begin"/>
      </w:r>
      <w:r w:rsidR="00930C94">
        <w:instrText xml:space="preserve"> PAGEREF Specialinstruments \h </w:instrText>
      </w:r>
      <w:r w:rsidR="00930C94">
        <w:fldChar w:fldCharType="separate"/>
      </w:r>
      <w:r w:rsidR="0083737D">
        <w:rPr>
          <w:noProof/>
        </w:rPr>
        <w:t>140</w:t>
      </w:r>
      <w:r w:rsidR="00930C94">
        <w:fldChar w:fldCharType="end"/>
      </w:r>
    </w:p>
    <w:p w14:paraId="4EDD2161" w14:textId="77777777" w:rsidR="00CA36C2" w:rsidRPr="00A04E56" w:rsidRDefault="00CA36C2" w:rsidP="0038366C">
      <w:pPr>
        <w:pStyle w:val="BodyText"/>
        <w:tabs>
          <w:tab w:val="right" w:leader="dot" w:pos="9072"/>
        </w:tabs>
        <w:spacing w:before="240" w:after="240"/>
        <w:rPr>
          <w:b/>
        </w:rPr>
      </w:pPr>
    </w:p>
    <w:p w14:paraId="1DF4C8C9" w14:textId="743FA85B" w:rsidR="007309C9" w:rsidRPr="00A04E56" w:rsidRDefault="007309C9" w:rsidP="0038366C">
      <w:pPr>
        <w:pStyle w:val="BodyText"/>
        <w:tabs>
          <w:tab w:val="right" w:leader="dot" w:pos="9072"/>
        </w:tabs>
        <w:spacing w:before="240" w:after="240"/>
        <w:rPr>
          <w:b/>
        </w:rPr>
      </w:pPr>
      <w:r w:rsidRPr="00A04E56">
        <w:rPr>
          <w:b/>
        </w:rPr>
        <w:t>SECTION 2</w:t>
      </w:r>
      <w:r w:rsidRPr="00A04E56" w:rsidDel="00EC0B83">
        <w:rPr>
          <w:b/>
        </w:rPr>
        <w:t xml:space="preserve"> </w:t>
      </w:r>
      <w:r w:rsidR="00EC0B83" w:rsidRPr="00A04E56">
        <w:rPr>
          <w:b/>
        </w:rPr>
        <w:t xml:space="preserve">— </w:t>
      </w:r>
      <w:r w:rsidRPr="00A04E56">
        <w:rPr>
          <w:b/>
        </w:rPr>
        <w:t>INTERNAL CONTROL AND FINANCIAL MANAGEMENT</w:t>
      </w:r>
      <w:r w:rsidR="0038366C" w:rsidRPr="00A04E56">
        <w:rPr>
          <w:b/>
        </w:rPr>
        <w:tab/>
      </w:r>
      <w:r w:rsidR="00930C94">
        <w:rPr>
          <w:b/>
        </w:rPr>
        <w:fldChar w:fldCharType="begin"/>
      </w:r>
      <w:r w:rsidR="00930C94">
        <w:rPr>
          <w:b/>
        </w:rPr>
        <w:instrText xml:space="preserve"> PAGEREF Section2 \h </w:instrText>
      </w:r>
      <w:r w:rsidR="00930C94">
        <w:rPr>
          <w:b/>
        </w:rPr>
      </w:r>
      <w:r w:rsidR="00930C94">
        <w:rPr>
          <w:b/>
        </w:rPr>
        <w:fldChar w:fldCharType="separate"/>
      </w:r>
      <w:r w:rsidR="0083737D">
        <w:rPr>
          <w:b/>
          <w:noProof/>
        </w:rPr>
        <w:t>144</w:t>
      </w:r>
      <w:r w:rsidR="00930C94">
        <w:rPr>
          <w:b/>
        </w:rPr>
        <w:fldChar w:fldCharType="end"/>
      </w:r>
    </w:p>
    <w:p w14:paraId="52C7777F" w14:textId="049CFF3B" w:rsidR="007309C9" w:rsidRPr="00A04E56" w:rsidRDefault="00E936B7" w:rsidP="00BC71F0">
      <w:pPr>
        <w:pStyle w:val="BodyText"/>
        <w:numPr>
          <w:ilvl w:val="0"/>
          <w:numId w:val="18"/>
        </w:numPr>
        <w:tabs>
          <w:tab w:val="right" w:leader="dot" w:pos="9072"/>
        </w:tabs>
        <w:ind w:left="714" w:right="397" w:hanging="357"/>
      </w:pPr>
      <w:r w:rsidRPr="00A04E56">
        <w:t>The EU budget is well</w:t>
      </w:r>
      <w:r w:rsidR="0020338B" w:rsidRPr="00A04E56">
        <w:t>-</w:t>
      </w:r>
      <w:r w:rsidRPr="00A04E56">
        <w:t>managed</w:t>
      </w:r>
      <w:r w:rsidR="00BC71F0" w:rsidRPr="00A04E56">
        <w:tab/>
      </w:r>
      <w:r w:rsidR="00930C94">
        <w:fldChar w:fldCharType="begin"/>
      </w:r>
      <w:r w:rsidR="00930C94">
        <w:instrText xml:space="preserve"> PAGEREF TheEUbudgetiswellmanaged \h </w:instrText>
      </w:r>
      <w:r w:rsidR="00930C94">
        <w:fldChar w:fldCharType="separate"/>
      </w:r>
      <w:r w:rsidR="0083737D">
        <w:rPr>
          <w:noProof/>
        </w:rPr>
        <w:t>144</w:t>
      </w:r>
      <w:r w:rsidR="00930C94">
        <w:fldChar w:fldCharType="end"/>
      </w:r>
    </w:p>
    <w:p w14:paraId="494030FB" w14:textId="6AC44F4F" w:rsidR="007309C9" w:rsidRPr="00A04E56" w:rsidRDefault="00E936B7" w:rsidP="00BC71F0">
      <w:pPr>
        <w:pStyle w:val="BodyText"/>
        <w:numPr>
          <w:ilvl w:val="0"/>
          <w:numId w:val="18"/>
        </w:numPr>
        <w:tabs>
          <w:tab w:val="right" w:leader="dot" w:pos="9072"/>
        </w:tabs>
        <w:ind w:left="714" w:right="397" w:hanging="357"/>
      </w:pPr>
      <w:r w:rsidRPr="00A04E56">
        <w:t>Control</w:t>
      </w:r>
      <w:r w:rsidR="007E7D9A" w:rsidRPr="00A04E56">
        <w:t xml:space="preserve"> systems are cost-effective</w:t>
      </w:r>
      <w:r w:rsidR="00BC71F0" w:rsidRPr="00A04E56">
        <w:tab/>
      </w:r>
      <w:r w:rsidR="00930C94">
        <w:fldChar w:fldCharType="begin"/>
      </w:r>
      <w:r w:rsidR="00930C94">
        <w:instrText xml:space="preserve"> PAGEREF Controlsystemsarecosteffective \h </w:instrText>
      </w:r>
      <w:r w:rsidR="00930C94">
        <w:fldChar w:fldCharType="separate"/>
      </w:r>
      <w:r w:rsidR="0083737D">
        <w:rPr>
          <w:noProof/>
        </w:rPr>
        <w:t>149</w:t>
      </w:r>
      <w:r w:rsidR="00930C94">
        <w:fldChar w:fldCharType="end"/>
      </w:r>
    </w:p>
    <w:p w14:paraId="2798740A" w14:textId="54043065" w:rsidR="008C2129" w:rsidRPr="00A04E56" w:rsidRDefault="008C2129" w:rsidP="00BC71F0">
      <w:pPr>
        <w:pStyle w:val="BodyText"/>
        <w:numPr>
          <w:ilvl w:val="0"/>
          <w:numId w:val="18"/>
        </w:numPr>
        <w:tabs>
          <w:tab w:val="right" w:leader="dot" w:pos="9072"/>
        </w:tabs>
        <w:ind w:left="714" w:right="397" w:hanging="357"/>
      </w:pPr>
      <w:r w:rsidRPr="00A04E56">
        <w:t xml:space="preserve">Financial corrections and recoveries </w:t>
      </w:r>
      <w:r w:rsidR="007E7D9A" w:rsidRPr="00A04E56">
        <w:t xml:space="preserve">show that the multiannual control cycle </w:t>
      </w:r>
      <w:r w:rsidRPr="00A04E56">
        <w:t>protect</w:t>
      </w:r>
      <w:r w:rsidR="007E7D9A" w:rsidRPr="00A04E56">
        <w:t>s</w:t>
      </w:r>
      <w:r w:rsidR="00BC71F0" w:rsidRPr="00A04E56">
        <w:t xml:space="preserve"> the EU</w:t>
      </w:r>
      <w:r w:rsidR="00BC71F0" w:rsidRPr="00A04E56">
        <w:rPr>
          <w:rFonts w:ascii="Calibri" w:hAnsi="Calibri" w:cs="Calibri"/>
        </w:rPr>
        <w:t> </w:t>
      </w:r>
      <w:r w:rsidRPr="00A04E56">
        <w:t>budget</w:t>
      </w:r>
      <w:r w:rsidR="00BC71F0" w:rsidRPr="00A04E56">
        <w:tab/>
      </w:r>
      <w:r w:rsidR="00930C94">
        <w:fldChar w:fldCharType="begin"/>
      </w:r>
      <w:r w:rsidR="00930C94">
        <w:instrText xml:space="preserve"> PAGEREF Financialcorrectionsandrecoveries \h </w:instrText>
      </w:r>
      <w:r w:rsidR="00930C94">
        <w:fldChar w:fldCharType="separate"/>
      </w:r>
      <w:r w:rsidR="0083737D">
        <w:rPr>
          <w:noProof/>
        </w:rPr>
        <w:t>160</w:t>
      </w:r>
      <w:r w:rsidR="00930C94">
        <w:fldChar w:fldCharType="end"/>
      </w:r>
    </w:p>
    <w:p w14:paraId="413BFE30" w14:textId="7AE90984" w:rsidR="008C2129" w:rsidRPr="00A04E56" w:rsidRDefault="008C2129" w:rsidP="00BC71F0">
      <w:pPr>
        <w:pStyle w:val="BodyText"/>
        <w:numPr>
          <w:ilvl w:val="0"/>
          <w:numId w:val="18"/>
        </w:numPr>
        <w:tabs>
          <w:tab w:val="right" w:leader="dot" w:pos="9072"/>
        </w:tabs>
        <w:ind w:left="714" w:right="397" w:hanging="357"/>
      </w:pPr>
      <w:r w:rsidRPr="00A04E56">
        <w:t>The Commission's anti-fraud strateg</w:t>
      </w:r>
      <w:r w:rsidR="00326976" w:rsidRPr="00A04E56">
        <w:t>y</w:t>
      </w:r>
      <w:r w:rsidRPr="00A04E56">
        <w:t xml:space="preserve"> </w:t>
      </w:r>
      <w:r w:rsidR="00BE1FA3" w:rsidRPr="00A04E56">
        <w:t xml:space="preserve">has been </w:t>
      </w:r>
      <w:r w:rsidRPr="00A04E56">
        <w:t>updated</w:t>
      </w:r>
      <w:r w:rsidR="00BC71F0" w:rsidRPr="00A04E56">
        <w:tab/>
      </w:r>
      <w:r w:rsidR="00930C94">
        <w:fldChar w:fldCharType="begin"/>
      </w:r>
      <w:r w:rsidR="00930C94">
        <w:instrText xml:space="preserve"> PAGEREF TheCommissionsantifraudstrategy \h </w:instrText>
      </w:r>
      <w:r w:rsidR="00930C94">
        <w:fldChar w:fldCharType="separate"/>
      </w:r>
      <w:r w:rsidR="0083737D">
        <w:rPr>
          <w:noProof/>
        </w:rPr>
        <w:t>165</w:t>
      </w:r>
      <w:r w:rsidR="00930C94">
        <w:fldChar w:fldCharType="end"/>
      </w:r>
    </w:p>
    <w:p w14:paraId="3EA3F1F6" w14:textId="13A812FA" w:rsidR="007309C9" w:rsidRPr="00A04E56" w:rsidRDefault="00E936B7" w:rsidP="00BC71F0">
      <w:pPr>
        <w:pStyle w:val="BodyText"/>
        <w:numPr>
          <w:ilvl w:val="0"/>
          <w:numId w:val="18"/>
        </w:numPr>
        <w:tabs>
          <w:tab w:val="right" w:leader="dot" w:pos="9072"/>
        </w:tabs>
        <w:ind w:left="714" w:right="397" w:hanging="357"/>
      </w:pPr>
      <w:bookmarkStart w:id="4" w:name="_Ref10456090"/>
      <w:r w:rsidRPr="00A04E56">
        <w:t>Management provides reasonable assurance</w:t>
      </w:r>
      <w:r w:rsidR="00BE1FA3" w:rsidRPr="00A04E56">
        <w:t xml:space="preserve"> and the financial impact of reservations is limited</w:t>
      </w:r>
      <w:r w:rsidR="00BC71F0" w:rsidRPr="00A04E56">
        <w:tab/>
      </w:r>
      <w:bookmarkEnd w:id="4"/>
      <w:r w:rsidR="00930C94">
        <w:fldChar w:fldCharType="begin"/>
      </w:r>
      <w:r w:rsidR="00930C94">
        <w:instrText xml:space="preserve"> PAGEREF Managementprovidesreasonableassurance \h </w:instrText>
      </w:r>
      <w:r w:rsidR="00930C94">
        <w:fldChar w:fldCharType="separate"/>
      </w:r>
      <w:r w:rsidR="0083737D">
        <w:rPr>
          <w:noProof/>
        </w:rPr>
        <w:t>168</w:t>
      </w:r>
      <w:r w:rsidR="00930C94">
        <w:fldChar w:fldCharType="end"/>
      </w:r>
    </w:p>
    <w:p w14:paraId="65B6C29F" w14:textId="64BE8BE3" w:rsidR="007309C9" w:rsidRPr="00A04E56" w:rsidRDefault="00E936B7" w:rsidP="00BC71F0">
      <w:pPr>
        <w:pStyle w:val="BodyText"/>
        <w:numPr>
          <w:ilvl w:val="0"/>
          <w:numId w:val="18"/>
        </w:numPr>
        <w:tabs>
          <w:tab w:val="right" w:leader="dot" w:pos="9072"/>
        </w:tabs>
        <w:ind w:left="714" w:right="397" w:hanging="357"/>
      </w:pPr>
      <w:r w:rsidRPr="00A04E56">
        <w:t xml:space="preserve">Assurance obtained through the work of the </w:t>
      </w:r>
      <w:r w:rsidR="007E7D9A" w:rsidRPr="00A04E56">
        <w:t>I</w:t>
      </w:r>
      <w:r w:rsidRPr="00A04E56">
        <w:t xml:space="preserve">nternal </w:t>
      </w:r>
      <w:r w:rsidR="007E7D9A" w:rsidRPr="00A04E56">
        <w:t>A</w:t>
      </w:r>
      <w:r w:rsidRPr="00A04E56">
        <w:t xml:space="preserve">udit </w:t>
      </w:r>
      <w:r w:rsidR="007E7D9A" w:rsidRPr="00A04E56">
        <w:t>S</w:t>
      </w:r>
      <w:r w:rsidRPr="00A04E56">
        <w:t>ervice</w:t>
      </w:r>
      <w:r w:rsidR="00BC71F0" w:rsidRPr="00A04E56">
        <w:tab/>
      </w:r>
      <w:r w:rsidR="00930C94">
        <w:fldChar w:fldCharType="begin"/>
      </w:r>
      <w:r w:rsidR="00930C94">
        <w:instrText xml:space="preserve"> PAGEREF Assuranceobtainedthroughthework \h </w:instrText>
      </w:r>
      <w:r w:rsidR="00930C94">
        <w:fldChar w:fldCharType="separate"/>
      </w:r>
      <w:r w:rsidR="0083737D">
        <w:rPr>
          <w:noProof/>
        </w:rPr>
        <w:t>174</w:t>
      </w:r>
      <w:r w:rsidR="00930C94">
        <w:fldChar w:fldCharType="end"/>
      </w:r>
    </w:p>
    <w:p w14:paraId="2F552C53" w14:textId="6CEE1841" w:rsidR="007309C9" w:rsidRPr="00A04E56" w:rsidRDefault="00E936B7" w:rsidP="00BC71F0">
      <w:pPr>
        <w:pStyle w:val="BodyText"/>
        <w:numPr>
          <w:ilvl w:val="0"/>
          <w:numId w:val="18"/>
        </w:numPr>
        <w:tabs>
          <w:tab w:val="right" w:leader="dot" w:pos="9072"/>
        </w:tabs>
        <w:ind w:left="714" w:right="397" w:hanging="357"/>
      </w:pPr>
      <w:r w:rsidRPr="00A04E56">
        <w:t xml:space="preserve">Summary of conclusions on the work carried out by the </w:t>
      </w:r>
      <w:r w:rsidR="007E7D9A" w:rsidRPr="00A04E56">
        <w:t>A</w:t>
      </w:r>
      <w:r w:rsidRPr="00A04E56">
        <w:t xml:space="preserve">udit </w:t>
      </w:r>
      <w:r w:rsidR="007E7D9A" w:rsidRPr="00A04E56">
        <w:t>P</w:t>
      </w:r>
      <w:r w:rsidRPr="00A04E56">
        <w:t xml:space="preserve">rogress </w:t>
      </w:r>
      <w:r w:rsidR="007E7D9A" w:rsidRPr="00A04E56">
        <w:t>C</w:t>
      </w:r>
      <w:r w:rsidRPr="00A04E56">
        <w:t>ommittee</w:t>
      </w:r>
      <w:r w:rsidR="00BC71F0" w:rsidRPr="00A04E56">
        <w:tab/>
      </w:r>
      <w:r w:rsidR="00930C94">
        <w:fldChar w:fldCharType="begin"/>
      </w:r>
      <w:r w:rsidR="00930C94">
        <w:instrText xml:space="preserve"> PAGEREF Summaryofconclusions \h </w:instrText>
      </w:r>
      <w:r w:rsidR="00930C94">
        <w:fldChar w:fldCharType="separate"/>
      </w:r>
      <w:r w:rsidR="0083737D">
        <w:rPr>
          <w:noProof/>
        </w:rPr>
        <w:t>176</w:t>
      </w:r>
      <w:r w:rsidR="00930C94">
        <w:fldChar w:fldCharType="end"/>
      </w:r>
    </w:p>
    <w:p w14:paraId="71922878" w14:textId="05C74B79" w:rsidR="007309C9" w:rsidRPr="00A04E56" w:rsidRDefault="00E32A58" w:rsidP="00BC71F0">
      <w:pPr>
        <w:pStyle w:val="BodyText"/>
        <w:numPr>
          <w:ilvl w:val="0"/>
          <w:numId w:val="18"/>
        </w:numPr>
        <w:tabs>
          <w:tab w:val="right" w:leader="dot" w:pos="9072"/>
        </w:tabs>
        <w:ind w:left="714" w:right="397" w:hanging="357"/>
      </w:pPr>
      <w:r w:rsidRPr="00A04E56">
        <w:t>External audit and d</w:t>
      </w:r>
      <w:r w:rsidR="007E7D9A" w:rsidRPr="00A04E56">
        <w:t>ischarge: Learning from the past to improve the future</w:t>
      </w:r>
      <w:r w:rsidR="00BC71F0" w:rsidRPr="00A04E56">
        <w:tab/>
      </w:r>
      <w:r w:rsidR="00930C94">
        <w:fldChar w:fldCharType="begin"/>
      </w:r>
      <w:r w:rsidR="00930C94">
        <w:instrText xml:space="preserve"> PAGEREF Externalauditanddischarge \h </w:instrText>
      </w:r>
      <w:r w:rsidR="00930C94">
        <w:fldChar w:fldCharType="separate"/>
      </w:r>
      <w:r w:rsidR="0083737D">
        <w:rPr>
          <w:noProof/>
        </w:rPr>
        <w:t>179</w:t>
      </w:r>
      <w:r w:rsidR="00930C94">
        <w:fldChar w:fldCharType="end"/>
      </w:r>
    </w:p>
    <w:p w14:paraId="0F2765E7" w14:textId="2C0F3DBF" w:rsidR="007309C9" w:rsidRPr="00A04E56" w:rsidRDefault="007309C9" w:rsidP="00BC71F0">
      <w:pPr>
        <w:pStyle w:val="BodyText"/>
        <w:numPr>
          <w:ilvl w:val="0"/>
          <w:numId w:val="18"/>
        </w:numPr>
        <w:tabs>
          <w:tab w:val="right" w:leader="dot" w:pos="9072"/>
        </w:tabs>
        <w:ind w:left="714" w:right="397" w:hanging="357"/>
      </w:pPr>
      <w:r w:rsidRPr="00A04E56">
        <w:t>Organisati</w:t>
      </w:r>
      <w:r w:rsidR="009E754A" w:rsidRPr="00A04E56">
        <w:t>onal management</w:t>
      </w:r>
      <w:r w:rsidR="00BC71F0" w:rsidRPr="00A04E56">
        <w:tab/>
      </w:r>
      <w:r w:rsidR="00930C94">
        <w:fldChar w:fldCharType="begin"/>
      </w:r>
      <w:r w:rsidR="00930C94">
        <w:instrText xml:space="preserve"> PAGEREF Organisationalmanagement \h </w:instrText>
      </w:r>
      <w:r w:rsidR="00930C94">
        <w:fldChar w:fldCharType="separate"/>
      </w:r>
      <w:r w:rsidR="0083737D">
        <w:rPr>
          <w:noProof/>
        </w:rPr>
        <w:t>181</w:t>
      </w:r>
      <w:r w:rsidR="00930C94">
        <w:fldChar w:fldCharType="end"/>
      </w:r>
    </w:p>
    <w:p w14:paraId="0C1CF59F" w14:textId="77777777" w:rsidR="00CA36C2" w:rsidRPr="00A04E56" w:rsidRDefault="00CA36C2" w:rsidP="001D0F73">
      <w:pPr>
        <w:pStyle w:val="BodyText"/>
        <w:spacing w:before="240" w:after="240"/>
        <w:rPr>
          <w:b/>
        </w:rPr>
      </w:pPr>
    </w:p>
    <w:p w14:paraId="757D0E61" w14:textId="563A5223" w:rsidR="007309C9" w:rsidRPr="00A04E56" w:rsidRDefault="007309C9" w:rsidP="001D0F73">
      <w:pPr>
        <w:pStyle w:val="BodyText"/>
        <w:spacing w:before="240" w:after="240"/>
        <w:rPr>
          <w:b/>
        </w:rPr>
      </w:pPr>
      <w:r w:rsidRPr="00A04E56">
        <w:rPr>
          <w:b/>
        </w:rPr>
        <w:t>ANNEXES</w:t>
      </w:r>
      <w:r w:rsidRPr="00A04E56">
        <w:rPr>
          <w:b/>
        </w:rPr>
        <w:tab/>
      </w:r>
    </w:p>
    <w:p w14:paraId="7FF68E71" w14:textId="4C6E879B" w:rsidR="00524878" w:rsidRPr="00A04E56" w:rsidRDefault="00524878" w:rsidP="00607628">
      <w:pPr>
        <w:pStyle w:val="BodyText1spaceafter"/>
        <w:sectPr w:rsidR="00524878" w:rsidRPr="00A04E56" w:rsidSect="00450CCC">
          <w:headerReference w:type="even" r:id="rId25"/>
          <w:headerReference w:type="default" r:id="rId26"/>
          <w:footerReference w:type="even" r:id="rId27"/>
          <w:footerReference w:type="default" r:id="rId28"/>
          <w:headerReference w:type="first" r:id="rId29"/>
          <w:footerReference w:type="first" r:id="rId30"/>
          <w:type w:val="oddPage"/>
          <w:pgSz w:w="11907" w:h="16839" w:code="9"/>
          <w:pgMar w:top="1134" w:right="1418" w:bottom="1134" w:left="1418" w:header="635" w:footer="635" w:gutter="0"/>
          <w:pgNumType w:start="1"/>
          <w:cols w:space="720"/>
          <w:docGrid w:linePitch="360"/>
        </w:sectPr>
      </w:pPr>
    </w:p>
    <w:p w14:paraId="3873BFEA" w14:textId="77777777" w:rsidR="00C11A52" w:rsidRPr="00A04E56" w:rsidRDefault="00C11A52" w:rsidP="00311F8F">
      <w:pPr>
        <w:pStyle w:val="Title1Corporate"/>
        <w:sectPr w:rsidR="00C11A52" w:rsidRPr="00A04E56" w:rsidSect="001C5651">
          <w:headerReference w:type="even" r:id="rId31"/>
          <w:headerReference w:type="default" r:id="rId32"/>
          <w:footerReference w:type="even" r:id="rId33"/>
          <w:footerReference w:type="default" r:id="rId34"/>
          <w:headerReference w:type="first" r:id="rId35"/>
          <w:footerReference w:type="first" r:id="rId36"/>
          <w:pgSz w:w="11907" w:h="16839" w:code="9"/>
          <w:pgMar w:top="1134" w:right="1418" w:bottom="1134" w:left="1418" w:header="635" w:footer="635" w:gutter="0"/>
          <w:cols w:space="720"/>
          <w:docGrid w:linePitch="360"/>
        </w:sectPr>
      </w:pPr>
      <w:bookmarkStart w:id="5" w:name="_Toc535249352"/>
      <w:bookmarkStart w:id="6" w:name="_Toc4680674"/>
      <w:bookmarkStart w:id="7" w:name="_Toc4682948"/>
    </w:p>
    <w:p w14:paraId="2936A348" w14:textId="67913548" w:rsidR="00311F8F" w:rsidRPr="00A04E56" w:rsidRDefault="00311F8F" w:rsidP="00311F8F">
      <w:pPr>
        <w:pStyle w:val="Title1Corporate"/>
        <w:sectPr w:rsidR="00311F8F" w:rsidRPr="00A04E56" w:rsidSect="001C5651">
          <w:headerReference w:type="even" r:id="rId37"/>
          <w:headerReference w:type="default" r:id="rId38"/>
          <w:footerReference w:type="even" r:id="rId39"/>
          <w:footerReference w:type="default" r:id="rId40"/>
          <w:headerReference w:type="first" r:id="rId41"/>
          <w:footerReference w:type="first" r:id="rId42"/>
          <w:pgSz w:w="11907" w:h="16839" w:code="9"/>
          <w:pgMar w:top="1134" w:right="1418" w:bottom="1134" w:left="1418" w:header="635" w:footer="635" w:gutter="0"/>
          <w:cols w:space="720"/>
          <w:docGrid w:linePitch="360"/>
        </w:sectPr>
      </w:pPr>
      <w:bookmarkStart w:id="8" w:name="Foreword"/>
      <w:r w:rsidRPr="00A04E56">
        <w:t>Forewor</w:t>
      </w:r>
      <w:bookmarkEnd w:id="5"/>
      <w:r w:rsidRPr="00A04E56">
        <w:t>d</w:t>
      </w:r>
      <w:bookmarkEnd w:id="6"/>
      <w:bookmarkEnd w:id="7"/>
      <w:bookmarkEnd w:id="8"/>
    </w:p>
    <w:p w14:paraId="329CFF71" w14:textId="48B5FE3F" w:rsidR="0028102B" w:rsidRPr="0028102B" w:rsidRDefault="00D61597" w:rsidP="0028102B">
      <w:pPr>
        <w:pStyle w:val="BodyText1spaceafter"/>
        <w:rPr>
          <w:sz w:val="19"/>
          <w:szCs w:val="19"/>
          <w:lang w:eastAsia="hu-HU"/>
        </w:rPr>
      </w:pPr>
      <w:r>
        <w:rPr>
          <w:sz w:val="19"/>
          <w:szCs w:val="19"/>
          <w:lang w:val="fr-BE"/>
        </w:rPr>
        <w:drawing>
          <wp:anchor distT="0" distB="0" distL="114300" distR="114300" simplePos="0" relativeHeight="251670528" behindDoc="0" locked="0" layoutInCell="1" allowOverlap="1" wp14:anchorId="565A4584" wp14:editId="5CACD6E6">
            <wp:simplePos x="0" y="0"/>
            <wp:positionH relativeFrom="margin">
              <wp:posOffset>12700</wp:posOffset>
            </wp:positionH>
            <wp:positionV relativeFrom="margin">
              <wp:posOffset>501650</wp:posOffset>
            </wp:positionV>
            <wp:extent cx="1078865" cy="1038860"/>
            <wp:effectExtent l="0" t="0" r="6985" b="889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3 - Günther_Oettinger-cropped image.jpg"/>
                    <pic:cNvPicPr/>
                  </pic:nvPicPr>
                  <pic:blipFill>
                    <a:blip r:embed="rId43" cstate="email">
                      <a:extLst>
                        <a:ext uri="{28A0092B-C50C-407E-A947-70E740481C1C}">
                          <a14:useLocalDpi xmlns:a14="http://schemas.microsoft.com/office/drawing/2010/main"/>
                        </a:ext>
                      </a:extLst>
                    </a:blip>
                    <a:stretch>
                      <a:fillRect/>
                    </a:stretch>
                  </pic:blipFill>
                  <pic:spPr>
                    <a:xfrm>
                      <a:off x="0" y="0"/>
                      <a:ext cx="1078865" cy="1038860"/>
                    </a:xfrm>
                    <a:prstGeom prst="rect">
                      <a:avLst/>
                    </a:prstGeom>
                  </pic:spPr>
                </pic:pic>
              </a:graphicData>
            </a:graphic>
          </wp:anchor>
        </w:drawing>
      </w:r>
      <w:r w:rsidR="0028102B" w:rsidRPr="0028102B">
        <w:rPr>
          <w:sz w:val="19"/>
          <w:szCs w:val="19"/>
          <w:lang w:eastAsia="hu-HU"/>
        </w:rPr>
        <w:t xml:space="preserve">It is my pleasure to present the </w:t>
      </w:r>
      <w:r w:rsidR="0028102B" w:rsidRPr="0028102B">
        <w:rPr>
          <w:rStyle w:val="BOLDBLUECorporate"/>
          <w:sz w:val="19"/>
          <w:szCs w:val="19"/>
        </w:rPr>
        <w:t xml:space="preserve">2018 Annual Management and Performance Report for the EU Budget. </w:t>
      </w:r>
      <w:r w:rsidR="0028102B" w:rsidRPr="0028102B">
        <w:rPr>
          <w:sz w:val="19"/>
          <w:szCs w:val="19"/>
          <w:lang w:eastAsia="hu-HU"/>
        </w:rPr>
        <w:t xml:space="preserve">The report provides an overview of the performance, management and protection of the EU budget. It explains how the EU budget supports the EU political priorities and describes both the results achieved and the role of the Commission in ensuring the highest standards of financial management. This report is part of the Commission’s </w:t>
      </w:r>
      <w:r w:rsidR="0028102B" w:rsidRPr="0028102B">
        <w:rPr>
          <w:rStyle w:val="BOLDBLUECorporate"/>
          <w:sz w:val="19"/>
          <w:szCs w:val="19"/>
        </w:rPr>
        <w:t>integrated financial and accountability reporting</w:t>
      </w:r>
      <w:r w:rsidR="0028102B" w:rsidRPr="0028102B">
        <w:rPr>
          <w:sz w:val="19"/>
          <w:szCs w:val="19"/>
          <w:lang w:eastAsia="hu-HU"/>
        </w:rPr>
        <w:t xml:space="preserve"> package. It fulfils our obligations under the financial regulation and is an essential part of our highly developed system of financial accountability. </w:t>
      </w:r>
    </w:p>
    <w:p w14:paraId="4C0057CF" w14:textId="4BB22D87" w:rsidR="0028102B" w:rsidRPr="0028102B" w:rsidRDefault="0028102B" w:rsidP="0028102B">
      <w:pPr>
        <w:pStyle w:val="BodyText1spaceafter"/>
        <w:rPr>
          <w:rFonts w:eastAsiaTheme="minorHAnsi"/>
          <w:sz w:val="19"/>
          <w:szCs w:val="19"/>
        </w:rPr>
      </w:pPr>
      <w:r w:rsidRPr="0028102B">
        <w:rPr>
          <w:sz w:val="19"/>
          <w:szCs w:val="19"/>
        </w:rPr>
        <w:t xml:space="preserve">Despite its relatively modest size, the EU budget makes a big difference for millions of Europeans. It complements national budgets and supports political priorities in areas where it has real value and where it can deliver results in the most efficient way. </w:t>
      </w:r>
      <w:r w:rsidR="00F96452">
        <w:rPr>
          <w:rFonts w:eastAsiaTheme="minorHAnsi"/>
          <w:sz w:val="19"/>
          <w:szCs w:val="19"/>
        </w:rPr>
        <w:t>My guiding principle is that</w:t>
      </w:r>
      <w:r w:rsidRPr="0028102B">
        <w:rPr>
          <w:rFonts w:eastAsiaTheme="minorHAnsi"/>
          <w:sz w:val="19"/>
          <w:szCs w:val="19"/>
        </w:rPr>
        <w:t xml:space="preserve"> the EU budget </w:t>
      </w:r>
      <w:r w:rsidR="00756EB3">
        <w:rPr>
          <w:rFonts w:eastAsiaTheme="minorHAnsi"/>
          <w:sz w:val="19"/>
          <w:szCs w:val="19"/>
        </w:rPr>
        <w:t>should focus on</w:t>
      </w:r>
      <w:r w:rsidRPr="0028102B">
        <w:rPr>
          <w:rFonts w:eastAsiaTheme="minorHAnsi"/>
          <w:sz w:val="19"/>
          <w:szCs w:val="19"/>
        </w:rPr>
        <w:t xml:space="preserve"> areas </w:t>
      </w:r>
      <w:r w:rsidR="00756EB3">
        <w:rPr>
          <w:rFonts w:eastAsiaTheme="minorHAnsi"/>
          <w:sz w:val="19"/>
          <w:szCs w:val="19"/>
        </w:rPr>
        <w:t xml:space="preserve">where it can </w:t>
      </w:r>
      <w:r w:rsidRPr="0028102B">
        <w:rPr>
          <w:rFonts w:eastAsiaTheme="minorHAnsi"/>
          <w:sz w:val="19"/>
          <w:szCs w:val="19"/>
        </w:rPr>
        <w:t>have a bigger impact than public spending at national level. For instance, no Member State alone can finance large infrastructures or research projects that have the required scale to compete with global players such as China or the United States. Some challenges the EU faces are global. Terrorism, organised crime, climate change, natural disasters or epidemics do not have borders. These challenges are best tackled on a pan-European level with the help of the EU budget.</w:t>
      </w:r>
    </w:p>
    <w:p w14:paraId="44357E29" w14:textId="77777777" w:rsidR="0028102B" w:rsidRPr="0028102B" w:rsidRDefault="0028102B" w:rsidP="0028102B">
      <w:pPr>
        <w:pStyle w:val="BodyText1"/>
        <w:rPr>
          <w:b/>
          <w:sz w:val="19"/>
          <w:szCs w:val="19"/>
        </w:rPr>
      </w:pPr>
      <w:r w:rsidRPr="0028102B">
        <w:rPr>
          <w:sz w:val="19"/>
          <w:szCs w:val="19"/>
          <w:lang w:val="en-GB"/>
        </w:rPr>
        <w:t>But the EU budget, even if it proved to be flexible, is limited in size. Therefore, decision-making needs to be more informed and more evidence-based than ever, so that the money is allocated where it is the most needed.</w:t>
      </w:r>
      <w:r w:rsidRPr="0028102B">
        <w:rPr>
          <w:sz w:val="19"/>
          <w:szCs w:val="19"/>
        </w:rPr>
        <w:t xml:space="preserve"> In this report, we describe the many ways in which the EU budget contributed to the achievement of our common goals in 2018. </w:t>
      </w:r>
    </w:p>
    <w:p w14:paraId="5335BC31" w14:textId="77777777" w:rsidR="0028102B" w:rsidRPr="0028102B" w:rsidRDefault="0028102B" w:rsidP="0028102B">
      <w:pPr>
        <w:pStyle w:val="BodyText"/>
        <w:rPr>
          <w:sz w:val="19"/>
          <w:szCs w:val="19"/>
          <w:lang w:val="en-IE" w:eastAsia="fr-BE"/>
        </w:rPr>
      </w:pPr>
    </w:p>
    <w:p w14:paraId="4F8180B6" w14:textId="77777777" w:rsidR="0028102B" w:rsidRPr="0028102B" w:rsidRDefault="0028102B" w:rsidP="00065305">
      <w:pPr>
        <w:pStyle w:val="BodyText1"/>
        <w:spacing w:after="240"/>
        <w:rPr>
          <w:noProof w:val="0"/>
          <w:sz w:val="19"/>
          <w:szCs w:val="19"/>
          <w:lang w:val="en-GB"/>
        </w:rPr>
      </w:pPr>
      <w:r w:rsidRPr="0028102B">
        <w:rPr>
          <w:sz w:val="19"/>
          <w:szCs w:val="19"/>
          <w:lang w:val="en-GB"/>
        </w:rPr>
        <w:t>The focus of 2018 was on strengthening the economic recovery by investing in key areas promoting job creation. The European Fund for Strategic Investments, the Connecting Europe Facility</w:t>
      </w:r>
      <w:r w:rsidRPr="0028102B">
        <w:rPr>
          <w:rFonts w:cs="Calibri"/>
          <w:noProof w:val="0"/>
          <w:sz w:val="19"/>
          <w:szCs w:val="19"/>
          <w:lang w:val="en-GB"/>
        </w:rPr>
        <w:t xml:space="preserve"> </w:t>
      </w:r>
      <w:r w:rsidRPr="0028102B">
        <w:rPr>
          <w:sz w:val="19"/>
          <w:szCs w:val="19"/>
          <w:lang w:val="en-GB"/>
        </w:rPr>
        <w:t xml:space="preserve">and the European Structural and Investment Funds all had a major role to play in this process. </w:t>
      </w:r>
      <w:r w:rsidRPr="0028102B">
        <w:rPr>
          <w:noProof w:val="0"/>
          <w:sz w:val="19"/>
          <w:szCs w:val="19"/>
          <w:lang w:val="en-GB"/>
        </w:rPr>
        <w:t>I invite you to discover the stories behind many EU investments on the ‘InvestEU’ portal (</w:t>
      </w:r>
      <w:r w:rsidRPr="0028102B">
        <w:rPr>
          <w:sz w:val="19"/>
          <w:szCs w:val="19"/>
        </w:rPr>
        <w:t>https://europa.eu/investeu</w:t>
      </w:r>
      <w:r w:rsidRPr="0028102B">
        <w:rPr>
          <w:rStyle w:val="Hyperlink"/>
          <w:sz w:val="19"/>
          <w:szCs w:val="19"/>
        </w:rPr>
        <w:t>)</w:t>
      </w:r>
      <w:r w:rsidRPr="0028102B">
        <w:rPr>
          <w:noProof w:val="0"/>
          <w:sz w:val="19"/>
          <w:szCs w:val="19"/>
          <w:lang w:val="en-GB"/>
        </w:rPr>
        <w:t xml:space="preserve">. </w:t>
      </w:r>
      <w:r w:rsidRPr="0028102B">
        <w:rPr>
          <w:sz w:val="19"/>
          <w:szCs w:val="19"/>
          <w:lang w:val="en-GB"/>
        </w:rPr>
        <w:t>The EU budget also offered strong support in other priority areas such as the EU's comprehensive approach to migration</w:t>
      </w:r>
      <w:r w:rsidRPr="0028102B">
        <w:rPr>
          <w:noProof w:val="0"/>
          <w:sz w:val="19"/>
          <w:szCs w:val="19"/>
          <w:lang w:val="en-GB"/>
        </w:rPr>
        <w:t xml:space="preserve">, the </w:t>
      </w:r>
      <w:r w:rsidRPr="0028102B">
        <w:rPr>
          <w:sz w:val="19"/>
          <w:szCs w:val="19"/>
          <w:lang w:val="en-GB"/>
        </w:rPr>
        <w:t>security union,</w:t>
      </w:r>
      <w:r w:rsidRPr="0028102B" w:rsidDel="00603676">
        <w:rPr>
          <w:sz w:val="19"/>
          <w:szCs w:val="19"/>
          <w:lang w:val="en-GB"/>
        </w:rPr>
        <w:t xml:space="preserve"> </w:t>
      </w:r>
      <w:r w:rsidRPr="0028102B">
        <w:rPr>
          <w:sz w:val="19"/>
          <w:szCs w:val="19"/>
          <w:lang w:val="en-GB"/>
        </w:rPr>
        <w:t xml:space="preserve">cutting-edge research, the </w:t>
      </w:r>
      <w:r w:rsidRPr="0028102B">
        <w:rPr>
          <w:noProof w:val="0"/>
          <w:sz w:val="19"/>
          <w:szCs w:val="19"/>
          <w:lang w:val="en-GB"/>
        </w:rPr>
        <w:t>EU's</w:t>
      </w:r>
      <w:r w:rsidRPr="0028102B">
        <w:rPr>
          <w:sz w:val="19"/>
          <w:szCs w:val="19"/>
          <w:lang w:val="en-GB"/>
        </w:rPr>
        <w:t xml:space="preserve"> external action, while it also</w:t>
      </w:r>
      <w:r w:rsidRPr="0028102B">
        <w:rPr>
          <w:noProof w:val="0"/>
          <w:sz w:val="19"/>
          <w:szCs w:val="19"/>
          <w:lang w:val="en-GB"/>
        </w:rPr>
        <w:t xml:space="preserve"> helped achieving crosscutting policy objectives such as climate action and biodiversity.</w:t>
      </w:r>
    </w:p>
    <w:p w14:paraId="76E53C27" w14:textId="77777777" w:rsidR="0028102B" w:rsidRPr="0028102B" w:rsidRDefault="0028102B" w:rsidP="0028102B">
      <w:pPr>
        <w:pStyle w:val="BodyText1spaceafter"/>
        <w:rPr>
          <w:rStyle w:val="BOLDBLUECorporate"/>
          <w:sz w:val="19"/>
          <w:szCs w:val="19"/>
        </w:rPr>
      </w:pPr>
      <w:r w:rsidRPr="0028102B">
        <w:rPr>
          <w:sz w:val="19"/>
          <w:szCs w:val="19"/>
        </w:rPr>
        <w:t xml:space="preserve">This report also sets out the steps we are taking to ensure that the EU budget is managed in accordance with the highest standards of sound financial management. </w:t>
      </w:r>
      <w:r w:rsidRPr="0028102B">
        <w:rPr>
          <w:rStyle w:val="BOLDBLUECorporate"/>
          <w:sz w:val="19"/>
          <w:szCs w:val="19"/>
        </w:rPr>
        <w:t xml:space="preserve">Through this report, the Commission takes overall political responsibility for the management of the EU budget in 2018. </w:t>
      </w:r>
    </w:p>
    <w:p w14:paraId="5341A81E" w14:textId="77777777" w:rsidR="0028102B" w:rsidRPr="0028102B" w:rsidRDefault="0028102B" w:rsidP="0028102B">
      <w:pPr>
        <w:pStyle w:val="BodyText1spaceafter"/>
        <w:rPr>
          <w:noProof w:val="0"/>
          <w:sz w:val="19"/>
          <w:szCs w:val="19"/>
        </w:rPr>
      </w:pPr>
      <w:r w:rsidRPr="0028102B">
        <w:rPr>
          <w:sz w:val="19"/>
          <w:szCs w:val="19"/>
        </w:rPr>
        <w:t xml:space="preserve">The Commission carefully monitors the implementation of the EU budget on the ground. If Member States or final beneficiaries are found to </w:t>
      </w:r>
      <w:r w:rsidRPr="0028102B">
        <w:rPr>
          <w:noProof w:val="0"/>
          <w:sz w:val="19"/>
          <w:szCs w:val="19"/>
        </w:rPr>
        <w:t>have spent</w:t>
      </w:r>
      <w:r w:rsidRPr="0028102B">
        <w:rPr>
          <w:sz w:val="19"/>
          <w:szCs w:val="19"/>
        </w:rPr>
        <w:t xml:space="preserve"> EU money incorrectly, the Commission takes immediate steps to correct these errors and recover </w:t>
      </w:r>
      <w:r w:rsidRPr="0028102B">
        <w:rPr>
          <w:noProof w:val="0"/>
          <w:sz w:val="19"/>
          <w:szCs w:val="19"/>
        </w:rPr>
        <w:t xml:space="preserve">the </w:t>
      </w:r>
      <w:r w:rsidRPr="0028102B">
        <w:rPr>
          <w:sz w:val="19"/>
          <w:szCs w:val="19"/>
        </w:rPr>
        <w:t>funds as necessary. The Commission estimates that, after corrections and recoveries, the remaining level of error for the 2018 expenditure will be under 1%, well below the materiality threshold.</w:t>
      </w:r>
      <w:r w:rsidRPr="0028102B">
        <w:rPr>
          <w:noProof w:val="0"/>
          <w:sz w:val="19"/>
          <w:szCs w:val="19"/>
        </w:rPr>
        <w:t xml:space="preserve"> </w:t>
      </w:r>
    </w:p>
    <w:p w14:paraId="18DB5BCB" w14:textId="6DDBB6AA" w:rsidR="0028102B" w:rsidRPr="0028102B" w:rsidRDefault="0028102B" w:rsidP="00065305">
      <w:pPr>
        <w:pStyle w:val="BodyText"/>
        <w:spacing w:after="240"/>
        <w:jc w:val="both"/>
        <w:rPr>
          <w:sz w:val="19"/>
          <w:szCs w:val="19"/>
        </w:rPr>
      </w:pPr>
      <w:r w:rsidRPr="0028102B">
        <w:rPr>
          <w:sz w:val="19"/>
          <w:szCs w:val="19"/>
        </w:rPr>
        <w:t xml:space="preserve">2018 was a continuation of the very significant progress we have made in recent years on financial management. The EU's systems to detect and correct errors and combat fraud are mature and robust. This has been recognised by the European Court of Auditors. We will remain vigilant and will continue </w:t>
      </w:r>
      <w:r w:rsidR="00351619">
        <w:rPr>
          <w:sz w:val="19"/>
          <w:szCs w:val="19"/>
        </w:rPr>
        <w:t xml:space="preserve">to ensure that the EU budget is adequately protected </w:t>
      </w:r>
      <w:r w:rsidRPr="0028102B">
        <w:rPr>
          <w:sz w:val="19"/>
          <w:szCs w:val="19"/>
        </w:rPr>
        <w:t xml:space="preserve">in future years. This is particularly important in the context of an increasingly challenging political environment. Reporting consistently and effectively increases the accountability of EU spending, and not only for the purposes of sheer legal compliance. It helps to engage with citizens and with other stakeholders, and to restore their confidence and trust in the European Union. </w:t>
      </w:r>
    </w:p>
    <w:p w14:paraId="325D4CDE" w14:textId="1B5E121D" w:rsidR="00147EF4" w:rsidRPr="0028102B" w:rsidRDefault="00147EF4" w:rsidP="000E469D">
      <w:pPr>
        <w:pStyle w:val="BodyText1spaceafter"/>
        <w:rPr>
          <w:sz w:val="19"/>
          <w:szCs w:val="19"/>
        </w:rPr>
      </w:pPr>
      <w:r w:rsidRPr="0028102B">
        <w:rPr>
          <w:sz w:val="19"/>
          <w:szCs w:val="19"/>
        </w:rPr>
        <w:t xml:space="preserve">2018 was also </w:t>
      </w:r>
      <w:r w:rsidR="00756EB3">
        <w:rPr>
          <w:sz w:val="19"/>
          <w:szCs w:val="19"/>
        </w:rPr>
        <w:t>the</w:t>
      </w:r>
      <w:r w:rsidR="00756EB3" w:rsidRPr="0028102B">
        <w:rPr>
          <w:sz w:val="19"/>
          <w:szCs w:val="19"/>
        </w:rPr>
        <w:t xml:space="preserve"> </w:t>
      </w:r>
      <w:r w:rsidRPr="0028102B">
        <w:rPr>
          <w:sz w:val="19"/>
          <w:szCs w:val="19"/>
        </w:rPr>
        <w:t xml:space="preserve">year </w:t>
      </w:r>
      <w:r w:rsidR="00756EB3">
        <w:rPr>
          <w:sz w:val="19"/>
          <w:szCs w:val="19"/>
        </w:rPr>
        <w:t>where t</w:t>
      </w:r>
      <w:r w:rsidRPr="0028102B">
        <w:rPr>
          <w:sz w:val="19"/>
          <w:szCs w:val="19"/>
        </w:rPr>
        <w:t xml:space="preserve">he Commission made its proposals for the future </w:t>
      </w:r>
      <w:r w:rsidR="00186163" w:rsidRPr="0028102B">
        <w:rPr>
          <w:sz w:val="19"/>
          <w:szCs w:val="19"/>
        </w:rPr>
        <w:t>multiannual financial framework</w:t>
      </w:r>
      <w:r w:rsidR="00DB5E5C">
        <w:rPr>
          <w:sz w:val="19"/>
          <w:szCs w:val="19"/>
        </w:rPr>
        <w:t>,</w:t>
      </w:r>
      <w:r w:rsidR="00756EB3">
        <w:rPr>
          <w:sz w:val="19"/>
          <w:szCs w:val="19"/>
        </w:rPr>
        <w:t xml:space="preserve"> </w:t>
      </w:r>
      <w:r w:rsidRPr="0028102B">
        <w:rPr>
          <w:sz w:val="19"/>
          <w:szCs w:val="19"/>
        </w:rPr>
        <w:t xml:space="preserve">in May </w:t>
      </w:r>
      <w:r w:rsidR="00E87E3A" w:rsidRPr="0028102B">
        <w:rPr>
          <w:sz w:val="19"/>
          <w:szCs w:val="19"/>
        </w:rPr>
        <w:t xml:space="preserve">and June </w:t>
      </w:r>
      <w:r w:rsidRPr="0028102B">
        <w:rPr>
          <w:sz w:val="19"/>
          <w:szCs w:val="19"/>
        </w:rPr>
        <w:t>2018</w:t>
      </w:r>
      <w:r w:rsidR="00DB5E5C">
        <w:rPr>
          <w:sz w:val="19"/>
          <w:szCs w:val="19"/>
        </w:rPr>
        <w:t>. .</w:t>
      </w:r>
      <w:r w:rsidR="00DB5E5C" w:rsidRPr="0028102B">
        <w:rPr>
          <w:sz w:val="19"/>
          <w:szCs w:val="19"/>
        </w:rPr>
        <w:t xml:space="preserve"> </w:t>
      </w:r>
      <w:r w:rsidR="00756EB3">
        <w:rPr>
          <w:sz w:val="19"/>
          <w:szCs w:val="19"/>
        </w:rPr>
        <w:t>A</w:t>
      </w:r>
      <w:r w:rsidR="003F5BB8" w:rsidRPr="0028102B">
        <w:rPr>
          <w:sz w:val="19"/>
          <w:szCs w:val="19"/>
        </w:rPr>
        <w:t>n extensive spending review</w:t>
      </w:r>
      <w:r w:rsidR="00F63703" w:rsidRPr="0028102B">
        <w:rPr>
          <w:rStyle w:val="fnRef"/>
          <w:rFonts w:ascii="Calibri" w:hAnsi="Calibri"/>
          <w:sz w:val="19"/>
          <w:szCs w:val="19"/>
        </w:rPr>
        <w:t> </w:t>
      </w:r>
      <w:r w:rsidR="00F63703" w:rsidRPr="0028102B">
        <w:rPr>
          <w:rStyle w:val="fnRef"/>
          <w:sz w:val="19"/>
          <w:szCs w:val="19"/>
        </w:rPr>
        <w:t>(</w:t>
      </w:r>
      <w:r w:rsidR="003F5BB8" w:rsidRPr="0028102B">
        <w:rPr>
          <w:rStyle w:val="fnRefNo"/>
          <w:sz w:val="19"/>
          <w:szCs w:val="19"/>
        </w:rPr>
        <w:footnoteReference w:id="2"/>
      </w:r>
      <w:r w:rsidR="00F63703" w:rsidRPr="0028102B">
        <w:rPr>
          <w:rStyle w:val="fnRef"/>
          <w:sz w:val="19"/>
          <w:szCs w:val="19"/>
        </w:rPr>
        <w:t>)</w:t>
      </w:r>
      <w:r w:rsidR="003F5BB8" w:rsidRPr="0028102B">
        <w:rPr>
          <w:sz w:val="19"/>
          <w:szCs w:val="19"/>
        </w:rPr>
        <w:t xml:space="preserve"> </w:t>
      </w:r>
      <w:r w:rsidR="00756EB3">
        <w:rPr>
          <w:sz w:val="19"/>
          <w:szCs w:val="19"/>
        </w:rPr>
        <w:t xml:space="preserve">was organised, </w:t>
      </w:r>
      <w:r w:rsidR="003F5BB8" w:rsidRPr="0028102B">
        <w:rPr>
          <w:sz w:val="19"/>
          <w:szCs w:val="19"/>
        </w:rPr>
        <w:t>analysing the performance of all programmes.</w:t>
      </w:r>
      <w:r w:rsidRPr="0028102B">
        <w:rPr>
          <w:sz w:val="19"/>
          <w:szCs w:val="19"/>
        </w:rPr>
        <w:t xml:space="preserve"> </w:t>
      </w:r>
      <w:r w:rsidR="00756EB3">
        <w:rPr>
          <w:sz w:val="19"/>
          <w:szCs w:val="19"/>
        </w:rPr>
        <w:t>My approach was to use EU added-value as a core criteri</w:t>
      </w:r>
      <w:r w:rsidR="005F07DE">
        <w:rPr>
          <w:sz w:val="19"/>
          <w:szCs w:val="19"/>
        </w:rPr>
        <w:t>on</w:t>
      </w:r>
      <w:r w:rsidR="00756EB3">
        <w:rPr>
          <w:sz w:val="19"/>
          <w:szCs w:val="19"/>
        </w:rPr>
        <w:t xml:space="preserve"> to underpin all future spending</w:t>
      </w:r>
      <w:r w:rsidR="00DB5E5C">
        <w:rPr>
          <w:sz w:val="19"/>
          <w:szCs w:val="19"/>
        </w:rPr>
        <w:t xml:space="preserve">, </w:t>
      </w:r>
      <w:r w:rsidR="00DB5E5C" w:rsidRPr="0005798F">
        <w:rPr>
          <w:sz w:val="19"/>
          <w:szCs w:val="19"/>
        </w:rPr>
        <w:t xml:space="preserve">boosting funding for new priorities, modernising existing programmes, simplifying and streamlining </w:t>
      </w:r>
      <w:r w:rsidR="00DB5E5C">
        <w:rPr>
          <w:sz w:val="19"/>
          <w:szCs w:val="19"/>
        </w:rPr>
        <w:t>where possible</w:t>
      </w:r>
      <w:r w:rsidR="00DB5E5C" w:rsidRPr="0005798F">
        <w:rPr>
          <w:sz w:val="19"/>
          <w:szCs w:val="19"/>
        </w:rPr>
        <w:t xml:space="preserve"> and giving the Union a more flexible budget</w:t>
      </w:r>
      <w:r w:rsidR="00756EB3">
        <w:rPr>
          <w:sz w:val="19"/>
          <w:szCs w:val="19"/>
        </w:rPr>
        <w:t xml:space="preserve">. </w:t>
      </w:r>
      <w:r w:rsidR="006A549C">
        <w:rPr>
          <w:sz w:val="19"/>
          <w:szCs w:val="19"/>
        </w:rPr>
        <w:t>I believe that t</w:t>
      </w:r>
      <w:r w:rsidR="006A549C" w:rsidRPr="0028102B">
        <w:rPr>
          <w:sz w:val="19"/>
          <w:szCs w:val="19"/>
        </w:rPr>
        <w:t xml:space="preserve">he </w:t>
      </w:r>
      <w:r w:rsidRPr="0028102B">
        <w:rPr>
          <w:sz w:val="19"/>
          <w:szCs w:val="19"/>
        </w:rPr>
        <w:t xml:space="preserve">Commission has proposed </w:t>
      </w:r>
      <w:r w:rsidR="00861176" w:rsidRPr="0028102B">
        <w:rPr>
          <w:sz w:val="19"/>
          <w:szCs w:val="19"/>
        </w:rPr>
        <w:t>a</w:t>
      </w:r>
      <w:r w:rsidRPr="0028102B">
        <w:rPr>
          <w:sz w:val="19"/>
          <w:szCs w:val="19"/>
        </w:rPr>
        <w:t xml:space="preserve"> </w:t>
      </w:r>
      <w:r w:rsidR="003F5BB8" w:rsidRPr="0028102B">
        <w:rPr>
          <w:sz w:val="19"/>
          <w:szCs w:val="19"/>
        </w:rPr>
        <w:t xml:space="preserve">modern budget for a </w:t>
      </w:r>
      <w:r w:rsidR="0028102B" w:rsidRPr="0028102B">
        <w:rPr>
          <w:sz w:val="19"/>
          <w:szCs w:val="19"/>
        </w:rPr>
        <w:t>union</w:t>
      </w:r>
      <w:r w:rsidR="003F5BB8" w:rsidRPr="0028102B">
        <w:rPr>
          <w:sz w:val="19"/>
          <w:szCs w:val="19"/>
        </w:rPr>
        <w:t xml:space="preserve"> that p</w:t>
      </w:r>
      <w:r w:rsidR="003F5BB8" w:rsidRPr="0028102B">
        <w:rPr>
          <w:color w:val="auto"/>
          <w:sz w:val="19"/>
          <w:szCs w:val="19"/>
        </w:rPr>
        <w:t xml:space="preserve">rotects, </w:t>
      </w:r>
      <w:r w:rsidR="003F5BB8" w:rsidRPr="0028102B">
        <w:rPr>
          <w:sz w:val="19"/>
          <w:szCs w:val="19"/>
        </w:rPr>
        <w:t>e</w:t>
      </w:r>
      <w:r w:rsidR="003F5BB8" w:rsidRPr="0028102B">
        <w:rPr>
          <w:color w:val="auto"/>
          <w:sz w:val="19"/>
          <w:szCs w:val="19"/>
        </w:rPr>
        <w:t xml:space="preserve">mpowers and </w:t>
      </w:r>
      <w:r w:rsidR="003F5BB8" w:rsidRPr="0028102B">
        <w:rPr>
          <w:sz w:val="19"/>
          <w:szCs w:val="19"/>
        </w:rPr>
        <w:t>d</w:t>
      </w:r>
      <w:r w:rsidR="003F5BB8" w:rsidRPr="0028102B">
        <w:rPr>
          <w:color w:val="auto"/>
          <w:sz w:val="19"/>
          <w:szCs w:val="19"/>
        </w:rPr>
        <w:t>efends</w:t>
      </w:r>
      <w:r w:rsidR="003F5BB8" w:rsidRPr="0028102B">
        <w:rPr>
          <w:sz w:val="19"/>
          <w:szCs w:val="19"/>
        </w:rPr>
        <w:t>, and which is balanced and realistic.</w:t>
      </w:r>
      <w:r w:rsidR="0028102B" w:rsidRPr="0028102B">
        <w:rPr>
          <w:sz w:val="19"/>
          <w:szCs w:val="19"/>
        </w:rPr>
        <w:t xml:space="preserve"> </w:t>
      </w:r>
      <w:r w:rsidR="00C60BE3" w:rsidRPr="0028102B">
        <w:rPr>
          <w:sz w:val="19"/>
          <w:szCs w:val="19"/>
        </w:rPr>
        <w:t xml:space="preserve">A timely agreement on the </w:t>
      </w:r>
      <w:r w:rsidRPr="0028102B">
        <w:rPr>
          <w:sz w:val="19"/>
          <w:szCs w:val="19"/>
        </w:rPr>
        <w:t xml:space="preserve">future framework </w:t>
      </w:r>
      <w:r w:rsidR="009D6AE9" w:rsidRPr="0028102B">
        <w:rPr>
          <w:sz w:val="19"/>
          <w:szCs w:val="19"/>
        </w:rPr>
        <w:t>would</w:t>
      </w:r>
      <w:r w:rsidR="00C60BE3" w:rsidRPr="0028102B">
        <w:rPr>
          <w:sz w:val="19"/>
          <w:szCs w:val="19"/>
        </w:rPr>
        <w:t xml:space="preserve"> confirm </w:t>
      </w:r>
      <w:r w:rsidR="009F5200" w:rsidRPr="0028102B">
        <w:rPr>
          <w:sz w:val="19"/>
          <w:szCs w:val="19"/>
        </w:rPr>
        <w:t>the</w:t>
      </w:r>
      <w:r w:rsidR="00C60BE3" w:rsidRPr="0028102B">
        <w:rPr>
          <w:sz w:val="19"/>
          <w:szCs w:val="19"/>
        </w:rPr>
        <w:t xml:space="preserve"> shared commitment </w:t>
      </w:r>
      <w:r w:rsidR="009F5200" w:rsidRPr="0028102B">
        <w:rPr>
          <w:sz w:val="19"/>
          <w:szCs w:val="19"/>
        </w:rPr>
        <w:t xml:space="preserve">of the EU institutions </w:t>
      </w:r>
      <w:r w:rsidR="00C60BE3" w:rsidRPr="0028102B">
        <w:rPr>
          <w:sz w:val="19"/>
          <w:szCs w:val="19"/>
        </w:rPr>
        <w:t xml:space="preserve">to making the very most of every euro invested through the EU budget. </w:t>
      </w:r>
    </w:p>
    <w:p w14:paraId="6535EC09" w14:textId="77777777" w:rsidR="0069143C" w:rsidRPr="0028102B" w:rsidRDefault="00311F8F" w:rsidP="0028102B">
      <w:pPr>
        <w:pStyle w:val="BodyText1"/>
        <w:jc w:val="left"/>
        <w:rPr>
          <w:b/>
          <w:sz w:val="19"/>
          <w:szCs w:val="19"/>
          <w:lang w:val="en-GB"/>
        </w:rPr>
        <w:sectPr w:rsidR="0069143C" w:rsidRPr="0028102B" w:rsidSect="008C2604">
          <w:headerReference w:type="even" r:id="rId44"/>
          <w:headerReference w:type="default" r:id="rId45"/>
          <w:footerReference w:type="even" r:id="rId46"/>
          <w:footerReference w:type="default" r:id="rId47"/>
          <w:headerReference w:type="first" r:id="rId48"/>
          <w:footerReference w:type="first" r:id="rId49"/>
          <w:type w:val="continuous"/>
          <w:pgSz w:w="11907" w:h="16839"/>
          <w:pgMar w:top="1134" w:right="1417" w:bottom="1134" w:left="1417" w:header="635" w:footer="635" w:gutter="0"/>
          <w:cols w:num="2" w:space="720"/>
          <w:docGrid w:linePitch="360"/>
        </w:sectPr>
      </w:pPr>
      <w:r w:rsidRPr="0028102B">
        <w:rPr>
          <w:b/>
          <w:sz w:val="19"/>
          <w:szCs w:val="19"/>
          <w:lang w:val="en-GB"/>
        </w:rPr>
        <w:t xml:space="preserve">Günther H. Oettinger </w:t>
      </w:r>
      <w:r w:rsidRPr="0028102B">
        <w:rPr>
          <w:b/>
          <w:sz w:val="19"/>
          <w:szCs w:val="19"/>
          <w:lang w:val="en-GB"/>
        </w:rPr>
        <w:br/>
        <w:t xml:space="preserve">Commissioner for </w:t>
      </w:r>
      <w:r w:rsidR="00EE275D" w:rsidRPr="0028102B">
        <w:rPr>
          <w:b/>
          <w:sz w:val="19"/>
          <w:szCs w:val="19"/>
          <w:lang w:val="en-GB"/>
        </w:rPr>
        <w:t>B</w:t>
      </w:r>
      <w:r w:rsidR="000A5553" w:rsidRPr="0028102B">
        <w:rPr>
          <w:b/>
          <w:sz w:val="19"/>
          <w:szCs w:val="19"/>
          <w:lang w:val="en-GB"/>
        </w:rPr>
        <w:t>udget</w:t>
      </w:r>
      <w:r w:rsidRPr="0028102B">
        <w:rPr>
          <w:b/>
          <w:sz w:val="19"/>
          <w:szCs w:val="19"/>
          <w:lang w:val="en-GB"/>
        </w:rPr>
        <w:t xml:space="preserve"> and Human Resources</w:t>
      </w:r>
    </w:p>
    <w:p w14:paraId="79480C7E" w14:textId="72E751E9" w:rsidR="00311F8F" w:rsidRPr="00A04E56" w:rsidRDefault="00311F8F" w:rsidP="00311F8F">
      <w:pPr>
        <w:pStyle w:val="BodyText1"/>
        <w:rPr>
          <w:lang w:val="en-GB"/>
        </w:rPr>
      </w:pPr>
    </w:p>
    <w:p w14:paraId="5537ADC9" w14:textId="77777777" w:rsidR="00446BC7" w:rsidRPr="00A04E56" w:rsidRDefault="00446BC7" w:rsidP="00446BC7">
      <w:pPr>
        <w:pStyle w:val="BodyText"/>
        <w:rPr>
          <w:lang w:eastAsia="fr-BE"/>
        </w:rPr>
      </w:pPr>
    </w:p>
    <w:p w14:paraId="73A77875" w14:textId="77777777" w:rsidR="00446BC7" w:rsidRPr="00A04E56" w:rsidRDefault="00446BC7">
      <w:pPr>
        <w:rPr>
          <w:lang w:eastAsia="fr-BE"/>
        </w:rPr>
      </w:pPr>
      <w:r w:rsidRPr="00A04E56">
        <w:rPr>
          <w:lang w:eastAsia="fr-BE"/>
        </w:rPr>
        <w:br w:type="page"/>
      </w:r>
    </w:p>
    <w:p w14:paraId="1007FD86" w14:textId="5412E351" w:rsidR="008C2604" w:rsidRPr="00A04E56" w:rsidRDefault="008C2604" w:rsidP="00446BC7">
      <w:pPr>
        <w:pStyle w:val="BodyText"/>
        <w:rPr>
          <w:lang w:eastAsia="fr-BE"/>
        </w:rPr>
        <w:sectPr w:rsidR="008C2604" w:rsidRPr="00A04E56" w:rsidSect="0069143C">
          <w:headerReference w:type="even" r:id="rId50"/>
          <w:headerReference w:type="default" r:id="rId51"/>
          <w:footerReference w:type="even" r:id="rId52"/>
          <w:footerReference w:type="default" r:id="rId53"/>
          <w:headerReference w:type="first" r:id="rId54"/>
          <w:footerReference w:type="first" r:id="rId55"/>
          <w:pgSz w:w="11907" w:h="16839"/>
          <w:pgMar w:top="1134" w:right="1417" w:bottom="1134" w:left="1417" w:header="635" w:footer="635" w:gutter="0"/>
          <w:cols w:num="2" w:space="720"/>
          <w:docGrid w:linePitch="360"/>
        </w:sectPr>
      </w:pPr>
    </w:p>
    <w:p w14:paraId="5C1445EB" w14:textId="77777777" w:rsidR="00311F8F" w:rsidRPr="00A04E56" w:rsidRDefault="00311F8F" w:rsidP="00311F8F">
      <w:pPr>
        <w:pStyle w:val="Forewordbodytext"/>
        <w:jc w:val="left"/>
        <w:rPr>
          <w:b/>
          <w:i/>
          <w:szCs w:val="20"/>
        </w:rPr>
        <w:sectPr w:rsidR="00311F8F" w:rsidRPr="00A04E56" w:rsidSect="00C87FCC">
          <w:headerReference w:type="even" r:id="rId56"/>
          <w:headerReference w:type="default" r:id="rId57"/>
          <w:footerReference w:type="even" r:id="rId58"/>
          <w:footerReference w:type="default" r:id="rId59"/>
          <w:headerReference w:type="first" r:id="rId60"/>
          <w:footerReference w:type="first" r:id="rId61"/>
          <w:pgSz w:w="11907" w:h="16839" w:code="9"/>
          <w:pgMar w:top="1134" w:right="1418" w:bottom="1134" w:left="1418" w:header="635" w:footer="635" w:gutter="0"/>
          <w:cols w:num="2" w:space="720"/>
          <w:docGrid w:linePitch="360"/>
        </w:sectPr>
      </w:pPr>
      <w:r w:rsidRPr="00A04E56">
        <w:rPr>
          <w:b/>
          <w:i/>
          <w:szCs w:val="20"/>
          <w:lang w:val="fr-BE"/>
        </w:rPr>
        <mc:AlternateContent>
          <mc:Choice Requires="wps">
            <w:drawing>
              <wp:anchor distT="45720" distB="45720" distL="114300" distR="114300" simplePos="0" relativeHeight="251637760" behindDoc="0" locked="0" layoutInCell="1" allowOverlap="1" wp14:anchorId="2CA8FCC2" wp14:editId="6DBD1875">
                <wp:simplePos x="0" y="0"/>
                <wp:positionH relativeFrom="column">
                  <wp:posOffset>-128905</wp:posOffset>
                </wp:positionH>
                <wp:positionV relativeFrom="paragraph">
                  <wp:posOffset>4158938</wp:posOffset>
                </wp:positionV>
                <wp:extent cx="331597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noFill/>
                        <a:ln w="9525">
                          <a:noFill/>
                          <a:miter lim="800000"/>
                          <a:headEnd/>
                          <a:tailEnd/>
                        </a:ln>
                      </wps:spPr>
                      <wps:txbx>
                        <w:txbxContent>
                          <w:p w14:paraId="7CB0D6CF" w14:textId="792133BB" w:rsidR="003C0461" w:rsidRPr="00D813C6" w:rsidRDefault="003C0461" w:rsidP="00311F8F">
                            <w:pPr>
                              <w:pStyle w:val="TitleforSectionpagebreak"/>
                            </w:pPr>
                            <w:r w:rsidRPr="00F2491E">
                              <w:t>EXECUTIVE SUMMARY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A8FCC2" id="_x0000_t202" coordsize="21600,21600" o:spt="202" path="m,l,21600r21600,l21600,xe">
                <v:stroke joinstyle="miter"/>
                <v:path gradientshapeok="t" o:connecttype="rect"/>
              </v:shapetype>
              <v:shape id="Text Box 2" o:spid="_x0000_s1026" type="#_x0000_t202" style="position:absolute;margin-left:-10.15pt;margin-top:327.5pt;width:261.1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1V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" filled="f" stroked="f">
                <v:textbox style="mso-fit-shape-to-text:t">
                  <w:txbxContent>
                    <w:p w14:paraId="7CB0D6CF" w14:textId="792133BB" w:rsidR="003C0461" w:rsidRPr="00D813C6" w:rsidRDefault="003C0461" w:rsidP="00311F8F">
                      <w:pPr>
                        <w:pStyle w:val="TitleforSectionpagebreak"/>
                      </w:pPr>
                      <w:r w:rsidRPr="00F2491E">
                        <w:t>EXECUTIVE SUMMARY</w:t>
                      </w:r>
                    </w:p>
                  </w:txbxContent>
                </v:textbox>
                <w10:wrap type="square"/>
              </v:shape>
            </w:pict>
          </mc:Fallback>
        </mc:AlternateContent>
      </w:r>
    </w:p>
    <w:p w14:paraId="2E09267E" w14:textId="77777777" w:rsidR="008C2604" w:rsidRPr="00A04E56" w:rsidRDefault="008C2604" w:rsidP="00C93020">
      <w:pPr>
        <w:pStyle w:val="TITLE1EXECUTIVESUMMARY"/>
        <w:rPr>
          <w:lang w:val="en-GB" w:eastAsia="zh-CN"/>
        </w:rPr>
        <w:sectPr w:rsidR="008C2604" w:rsidRPr="00A04E56" w:rsidSect="00137900">
          <w:headerReference w:type="even" r:id="rId62"/>
          <w:headerReference w:type="default" r:id="rId63"/>
          <w:footerReference w:type="even" r:id="rId64"/>
          <w:footerReference w:type="default" r:id="rId65"/>
          <w:headerReference w:type="first" r:id="rId66"/>
          <w:footerReference w:type="first" r:id="rId67"/>
          <w:pgSz w:w="11907" w:h="16839"/>
          <w:pgMar w:top="1134" w:right="1418" w:bottom="1134" w:left="1418" w:header="635" w:footer="635" w:gutter="0"/>
          <w:cols w:space="720"/>
          <w:docGrid w:linePitch="360"/>
        </w:sectPr>
      </w:pPr>
      <w:bookmarkStart w:id="9" w:name="_Toc535249353"/>
      <w:bookmarkStart w:id="10" w:name="_Toc4680675"/>
      <w:bookmarkStart w:id="11" w:name="_Toc4682949"/>
    </w:p>
    <w:p w14:paraId="10CB23DD" w14:textId="0AD9C2BD" w:rsidR="00311F8F" w:rsidRPr="00A04E56" w:rsidRDefault="00311F8F" w:rsidP="00C93020">
      <w:pPr>
        <w:pStyle w:val="TITLE1EXECUTIVESUMMARY"/>
        <w:rPr>
          <w:lang w:val="en-GB" w:eastAsia="zh-CN"/>
        </w:rPr>
      </w:pPr>
      <w:bookmarkStart w:id="12" w:name="Executivesummary"/>
      <w:r w:rsidRPr="00A04E56">
        <w:rPr>
          <w:lang w:val="en-GB" w:eastAsia="zh-CN"/>
        </w:rPr>
        <w:t xml:space="preserve">Executive </w:t>
      </w:r>
      <w:r w:rsidR="00276B51" w:rsidRPr="00A04E56">
        <w:rPr>
          <w:lang w:val="en-GB" w:eastAsia="zh-CN"/>
        </w:rPr>
        <w:t>s</w:t>
      </w:r>
      <w:r w:rsidRPr="00A04E56">
        <w:rPr>
          <w:lang w:val="en-GB" w:eastAsia="zh-CN"/>
        </w:rPr>
        <w:t>ummary</w:t>
      </w:r>
      <w:bookmarkEnd w:id="9"/>
      <w:bookmarkEnd w:id="10"/>
      <w:bookmarkEnd w:id="11"/>
      <w:bookmarkEnd w:id="12"/>
    </w:p>
    <w:p w14:paraId="1E721CAC" w14:textId="6C1F8453" w:rsidR="004C31CA" w:rsidRPr="00A04E56" w:rsidRDefault="004C31CA">
      <w:pPr>
        <w:pStyle w:val="BodyText1spaceafter"/>
      </w:pPr>
      <w:r w:rsidRPr="00A04E56">
        <w:t>Th</w:t>
      </w:r>
      <w:r w:rsidR="00951E04" w:rsidRPr="00A04E56">
        <w:t>e</w:t>
      </w:r>
      <w:r w:rsidRPr="00A04E56">
        <w:t xml:space="preserve"> </w:t>
      </w:r>
      <w:r w:rsidR="008D4D3F" w:rsidRPr="00A04E56">
        <w:rPr>
          <w:noProof w:val="0"/>
        </w:rPr>
        <w:t>Annual Management and Performance Report</w:t>
      </w:r>
      <w:r w:rsidRPr="00A04E56">
        <w:rPr>
          <w:noProof w:val="0"/>
        </w:rPr>
        <w:t xml:space="preserve"> </w:t>
      </w:r>
      <w:r w:rsidRPr="00A04E56">
        <w:t xml:space="preserve">for the EU </w:t>
      </w:r>
      <w:r w:rsidR="009648A2" w:rsidRPr="00A04E56">
        <w:t>B</w:t>
      </w:r>
      <w:r w:rsidRPr="00A04E56">
        <w:t>udget presents the latest information on the results achieved with the EU budget (</w:t>
      </w:r>
      <w:r w:rsidRPr="00A04E56">
        <w:rPr>
          <w:noProof w:val="0"/>
        </w:rPr>
        <w:t>Section</w:t>
      </w:r>
      <w:r w:rsidRPr="00A04E56">
        <w:rPr>
          <w:rFonts w:cs="Calibri"/>
          <w:noProof w:val="0"/>
        </w:rPr>
        <w:t> </w:t>
      </w:r>
      <w:r w:rsidRPr="00A04E56">
        <w:t>1)</w:t>
      </w:r>
      <w:r w:rsidR="009648A2" w:rsidRPr="00A04E56">
        <w:t>,</w:t>
      </w:r>
      <w:r w:rsidRPr="00A04E56">
        <w:t xml:space="preserve"> and on how the EU budget is managed and protected (</w:t>
      </w:r>
      <w:r w:rsidRPr="00A04E56">
        <w:rPr>
          <w:noProof w:val="0"/>
        </w:rPr>
        <w:t>Section</w:t>
      </w:r>
      <w:r w:rsidRPr="00A04E56">
        <w:rPr>
          <w:rFonts w:cs="Calibri"/>
          <w:noProof w:val="0"/>
        </w:rPr>
        <w:t> </w:t>
      </w:r>
      <w:r w:rsidRPr="00A04E56">
        <w:t>2).</w:t>
      </w:r>
    </w:p>
    <w:p w14:paraId="1AC2A3B7" w14:textId="34D71696" w:rsidR="004C31CA" w:rsidRPr="00A04E56" w:rsidRDefault="004C31CA" w:rsidP="00FE6475">
      <w:pPr>
        <w:pStyle w:val="BodyText1spaceafter"/>
      </w:pPr>
      <w:r w:rsidRPr="00A04E56">
        <w:rPr>
          <w:noProof w:val="0"/>
        </w:rPr>
        <w:t>Section</w:t>
      </w:r>
      <w:r w:rsidRPr="00A04E56">
        <w:rPr>
          <w:rFonts w:cs="Calibri"/>
          <w:noProof w:val="0"/>
        </w:rPr>
        <w:t> </w:t>
      </w:r>
      <w:r w:rsidRPr="00A04E56">
        <w:t>1 is structured by budget heading</w:t>
      </w:r>
      <w:r w:rsidR="009648A2" w:rsidRPr="00A04E56">
        <w:t xml:space="preserve">. It </w:t>
      </w:r>
      <w:r w:rsidRPr="00A04E56">
        <w:t>explains how the EU</w:t>
      </w:r>
      <w:r w:rsidR="00861176" w:rsidRPr="00A04E56">
        <w:t>’</w:t>
      </w:r>
      <w:r w:rsidRPr="00A04E56">
        <w:t xml:space="preserve">s financial programmes have contributed to the </w:t>
      </w:r>
      <w:r w:rsidRPr="00A04E56">
        <w:rPr>
          <w:noProof w:val="0"/>
        </w:rPr>
        <w:t>EU</w:t>
      </w:r>
      <w:r w:rsidR="00861176" w:rsidRPr="00A04E56">
        <w:rPr>
          <w:noProof w:val="0"/>
        </w:rPr>
        <w:t>’</w:t>
      </w:r>
      <w:r w:rsidRPr="00A04E56">
        <w:rPr>
          <w:noProof w:val="0"/>
        </w:rPr>
        <w:t>s</w:t>
      </w:r>
      <w:r w:rsidRPr="00A04E56">
        <w:t xml:space="preserve"> political priorities</w:t>
      </w:r>
      <w:r w:rsidR="00537AE1" w:rsidRPr="00A04E56">
        <w:t>. It also</w:t>
      </w:r>
      <w:r w:rsidR="009648A2" w:rsidRPr="00A04E56">
        <w:t xml:space="preserve"> </w:t>
      </w:r>
      <w:r w:rsidRPr="00A04E56">
        <w:t xml:space="preserve">summarises the latest evaluation results on </w:t>
      </w:r>
      <w:r w:rsidR="00537AE1" w:rsidRPr="00A04E56">
        <w:t xml:space="preserve">how </w:t>
      </w:r>
      <w:r w:rsidRPr="00A04E56">
        <w:t>these programmes</w:t>
      </w:r>
      <w:r w:rsidR="00537AE1" w:rsidRPr="00A04E56">
        <w:t xml:space="preserve"> have performed</w:t>
      </w:r>
      <w:r w:rsidRPr="00A04E56">
        <w:t>.</w:t>
      </w:r>
    </w:p>
    <w:p w14:paraId="72F90DBF" w14:textId="3DB7394B" w:rsidR="00A835F0" w:rsidRDefault="004C31CA" w:rsidP="00311F16">
      <w:pPr>
        <w:pStyle w:val="BodyText1spaceafter"/>
      </w:pPr>
      <w:r w:rsidRPr="00A04E56">
        <w:t xml:space="preserve">2018 was the fifth year of the current </w:t>
      </w:r>
      <w:r w:rsidRPr="00A04E56">
        <w:rPr>
          <w:noProof w:val="0"/>
        </w:rPr>
        <w:t>multiannual financial fra</w:t>
      </w:r>
      <w:r w:rsidRPr="00A04E56">
        <w:t>mework</w:t>
      </w:r>
      <w:r w:rsidR="002F304A" w:rsidRPr="00A04E56">
        <w:t xml:space="preserve">, which runs from </w:t>
      </w:r>
      <w:r w:rsidRPr="00A04E56">
        <w:rPr>
          <w:rFonts w:cs="Calibri"/>
          <w:noProof w:val="0"/>
        </w:rPr>
        <w:t>2014</w:t>
      </w:r>
      <w:r w:rsidR="002F304A" w:rsidRPr="00A04E56">
        <w:rPr>
          <w:rFonts w:cs="Calibri"/>
          <w:noProof w:val="0"/>
        </w:rPr>
        <w:t xml:space="preserve"> to </w:t>
      </w:r>
      <w:r w:rsidRPr="00A04E56">
        <w:rPr>
          <w:rFonts w:cs="Calibri"/>
          <w:noProof w:val="0"/>
        </w:rPr>
        <w:t>2020</w:t>
      </w:r>
      <w:r w:rsidRPr="00A04E56">
        <w:t xml:space="preserve">. </w:t>
      </w:r>
      <w:r w:rsidR="00D20988">
        <w:t xml:space="preserve">Due to the late adoption of the multiannual financial framework, </w:t>
      </w:r>
      <w:r w:rsidRPr="00A04E56">
        <w:t xml:space="preserve">delays </w:t>
      </w:r>
      <w:r w:rsidR="00D20988">
        <w:t xml:space="preserve">were </w:t>
      </w:r>
      <w:r w:rsidRPr="00A04E56">
        <w:t>experienced at the beginning of th</w:t>
      </w:r>
      <w:r w:rsidR="00951E04" w:rsidRPr="00A04E56">
        <w:t>e</w:t>
      </w:r>
      <w:r w:rsidRPr="00A04E56">
        <w:t xml:space="preserve"> period</w:t>
      </w:r>
      <w:r w:rsidR="00D20988">
        <w:t xml:space="preserve">. Now, </w:t>
      </w:r>
      <w:r w:rsidRPr="00A04E56">
        <w:t>the EU</w:t>
      </w:r>
      <w:r w:rsidR="00861176" w:rsidRPr="00A04E56">
        <w:t>’</w:t>
      </w:r>
      <w:r w:rsidRPr="00A04E56">
        <w:t xml:space="preserve">s financial programmes are fully operational. They offer strong and tangible support to the </w:t>
      </w:r>
      <w:r w:rsidRPr="00A04E56">
        <w:rPr>
          <w:noProof w:val="0"/>
        </w:rPr>
        <w:t>EU</w:t>
      </w:r>
      <w:r w:rsidR="00861176" w:rsidRPr="00A04E56">
        <w:rPr>
          <w:noProof w:val="0"/>
        </w:rPr>
        <w:t>’</w:t>
      </w:r>
      <w:r w:rsidRPr="00A04E56">
        <w:rPr>
          <w:noProof w:val="0"/>
        </w:rPr>
        <w:t>s</w:t>
      </w:r>
      <w:r w:rsidRPr="00A04E56">
        <w:t xml:space="preserve"> political priorities in a variety of areas. </w:t>
      </w:r>
    </w:p>
    <w:p w14:paraId="4CEA8977" w14:textId="2F5A08F3" w:rsidR="004C31CA" w:rsidRPr="00A04E56" w:rsidRDefault="007D1744" w:rsidP="0049758A">
      <w:pPr>
        <w:pStyle w:val="SubtitleGreenExecutiveSummary"/>
      </w:pPr>
      <w:r w:rsidRPr="00A04E56">
        <w:t>Budget h</w:t>
      </w:r>
      <w:r w:rsidR="00311F16" w:rsidRPr="00A04E56">
        <w:t xml:space="preserve">eading 1A </w:t>
      </w:r>
      <w:r w:rsidR="00861176" w:rsidRPr="00A04E56">
        <w:t>—</w:t>
      </w:r>
      <w:r w:rsidR="00311F16" w:rsidRPr="00A04E56">
        <w:t xml:space="preserve"> </w:t>
      </w:r>
      <w:r w:rsidR="004C31CA" w:rsidRPr="00A04E56">
        <w:t>Boosting jobs, growth and investment</w:t>
      </w:r>
    </w:p>
    <w:p w14:paraId="45D50B66" w14:textId="391DC69E" w:rsidR="00C82583" w:rsidRPr="00A04E56" w:rsidRDefault="004C31CA" w:rsidP="00C82583">
      <w:pPr>
        <w:pStyle w:val="BodyText1spaceafter"/>
        <w:rPr>
          <w:b/>
          <w:color w:val="08AA74"/>
        </w:rPr>
      </w:pPr>
      <w:r w:rsidRPr="00A04E56">
        <w:t xml:space="preserve">When the Juncker Commission took office in the aftermath of the economic </w:t>
      </w:r>
      <w:r w:rsidR="002F304A" w:rsidRPr="00A04E56">
        <w:t xml:space="preserve">and financial </w:t>
      </w:r>
      <w:r w:rsidRPr="00A04E56">
        <w:t>crisis, it promise</w:t>
      </w:r>
      <w:r w:rsidR="00537AE1" w:rsidRPr="00A04E56">
        <w:t>d</w:t>
      </w:r>
      <w:r w:rsidRPr="00A04E56">
        <w:t xml:space="preserve"> to get more people into work. Together with Member States it has delivered on that promise.</w:t>
      </w:r>
      <w:r w:rsidRPr="00A04E56">
        <w:rPr>
          <w:rStyle w:val="BOLDGREENExecutiveSummary"/>
        </w:rPr>
        <w:t xml:space="preserve"> More Europeans are in work than ever before, </w:t>
      </w:r>
      <w:r w:rsidRPr="00A04E56">
        <w:t>with</w:t>
      </w:r>
      <w:r w:rsidRPr="00A04E56">
        <w:rPr>
          <w:szCs w:val="20"/>
        </w:rPr>
        <w:t xml:space="preserve"> </w:t>
      </w:r>
      <w:r w:rsidR="000569BD" w:rsidRPr="00A04E56">
        <w:rPr>
          <w:szCs w:val="20"/>
        </w:rPr>
        <w:t>240</w:t>
      </w:r>
      <w:r w:rsidR="001313A6">
        <w:rPr>
          <w:szCs w:val="20"/>
        </w:rPr>
        <w:t xml:space="preserve">,7 </w:t>
      </w:r>
      <w:r w:rsidRPr="00A04E56">
        <w:rPr>
          <w:noProof w:val="0"/>
          <w:szCs w:val="20"/>
        </w:rPr>
        <w:t>million</w:t>
      </w:r>
      <w:r w:rsidRPr="00A04E56">
        <w:rPr>
          <w:szCs w:val="20"/>
        </w:rPr>
        <w:t xml:space="preserve"> people in employment. </w:t>
      </w:r>
      <w:r w:rsidR="009648A2" w:rsidRPr="00A04E56">
        <w:rPr>
          <w:szCs w:val="20"/>
        </w:rPr>
        <w:t xml:space="preserve">More than </w:t>
      </w:r>
      <w:r w:rsidR="00537AE1" w:rsidRPr="00A04E56">
        <w:rPr>
          <w:szCs w:val="20"/>
        </w:rPr>
        <w:t>12</w:t>
      </w:r>
      <w:r w:rsidR="00861176" w:rsidRPr="00A04E56">
        <w:rPr>
          <w:rFonts w:ascii="Calibri" w:hAnsi="Calibri" w:cs="Calibri"/>
          <w:szCs w:val="20"/>
        </w:rPr>
        <w:t> </w:t>
      </w:r>
      <w:r w:rsidRPr="00A04E56">
        <w:rPr>
          <w:szCs w:val="20"/>
        </w:rPr>
        <w:t xml:space="preserve">million of those jobs have been created since the start of this Commission. Youth unemployment is at its lowest </w:t>
      </w:r>
      <w:r w:rsidR="002F304A" w:rsidRPr="00A04E56">
        <w:rPr>
          <w:szCs w:val="20"/>
        </w:rPr>
        <w:t xml:space="preserve">level </w:t>
      </w:r>
      <w:r w:rsidRPr="00A04E56">
        <w:rPr>
          <w:szCs w:val="20"/>
        </w:rPr>
        <w:t>since 2008, although</w:t>
      </w:r>
      <w:r w:rsidRPr="00A04E56">
        <w:rPr>
          <w:noProof w:val="0"/>
          <w:szCs w:val="20"/>
        </w:rPr>
        <w:t xml:space="preserve"> it is</w:t>
      </w:r>
      <w:r w:rsidRPr="00A04E56">
        <w:rPr>
          <w:szCs w:val="20"/>
        </w:rPr>
        <w:t xml:space="preserve"> still too high</w:t>
      </w:r>
      <w:r w:rsidR="00951E04" w:rsidRPr="00A04E56">
        <w:rPr>
          <w:szCs w:val="20"/>
        </w:rPr>
        <w:t xml:space="preserve"> in many parts of the </w:t>
      </w:r>
      <w:r w:rsidR="00537AE1" w:rsidRPr="00A04E56">
        <w:rPr>
          <w:szCs w:val="20"/>
        </w:rPr>
        <w:t>EU</w:t>
      </w:r>
      <w:r w:rsidRPr="00A04E56">
        <w:rPr>
          <w:szCs w:val="20"/>
        </w:rPr>
        <w:t>.</w:t>
      </w:r>
      <w:r w:rsidRPr="00A04E56">
        <w:t xml:space="preserve"> The</w:t>
      </w:r>
      <w:r w:rsidRPr="00A04E56">
        <w:rPr>
          <w:b/>
        </w:rPr>
        <w:t xml:space="preserve"> </w:t>
      </w:r>
      <w:r w:rsidRPr="00A04E56">
        <w:rPr>
          <w:rStyle w:val="BOLDGREENExecutiveSummary"/>
        </w:rPr>
        <w:t xml:space="preserve">EU budget </w:t>
      </w:r>
      <w:r w:rsidR="002F304A" w:rsidRPr="00A04E56">
        <w:rPr>
          <w:rStyle w:val="BOLDGREENExecutiveSummary"/>
        </w:rPr>
        <w:t xml:space="preserve">has been </w:t>
      </w:r>
      <w:r w:rsidRPr="00A04E56">
        <w:rPr>
          <w:rStyle w:val="BOLDGREENExecutiveSummary"/>
        </w:rPr>
        <w:t xml:space="preserve">instrumental </w:t>
      </w:r>
      <w:r w:rsidR="002F304A" w:rsidRPr="00A04E56">
        <w:rPr>
          <w:rStyle w:val="BOLDGREENExecutiveSummary"/>
        </w:rPr>
        <w:t xml:space="preserve">in </w:t>
      </w:r>
      <w:r w:rsidRPr="00A04E56">
        <w:rPr>
          <w:rStyle w:val="BOLDGREENExecutiveSummary"/>
        </w:rPr>
        <w:t xml:space="preserve">these achievements and </w:t>
      </w:r>
      <w:r w:rsidR="002F304A" w:rsidRPr="00A04E56">
        <w:rPr>
          <w:rStyle w:val="BOLDGREENExecutiveSummary"/>
        </w:rPr>
        <w:t xml:space="preserve">continues to </w:t>
      </w:r>
      <w:r w:rsidR="00951E04" w:rsidRPr="00A04E56">
        <w:rPr>
          <w:rStyle w:val="BOLDGREENExecutiveSummary"/>
        </w:rPr>
        <w:t xml:space="preserve">offer </w:t>
      </w:r>
      <w:r w:rsidRPr="00A04E56">
        <w:rPr>
          <w:rStyle w:val="BOLDGREENExecutiveSummary"/>
        </w:rPr>
        <w:t>a vital source of investment across Europe.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C82583" w:rsidRPr="00A04E56" w14:paraId="38870A58" w14:textId="77777777" w:rsidTr="000D13EF">
        <w:trPr>
          <w:cantSplit/>
        </w:trPr>
        <w:tc>
          <w:tcPr>
            <w:tcW w:w="9070" w:type="dxa"/>
            <w:tcBorders>
              <w:top w:val="nil"/>
              <w:left w:val="nil"/>
              <w:bottom w:val="nil"/>
              <w:right w:val="nil"/>
            </w:tcBorders>
            <w:shd w:val="clear" w:color="auto" w:fill="D7F1EA" w:themeFill="accent4" w:themeFillTint="33"/>
          </w:tcPr>
          <w:p w14:paraId="508C46BF" w14:textId="4FA5EAFB" w:rsidR="00C82583" w:rsidRPr="00A04E56" w:rsidRDefault="008907E2" w:rsidP="00FE3BB0">
            <w:pPr>
              <w:pStyle w:val="BOXE2GREENtabletext"/>
              <w:rPr>
                <w:lang w:val="en-GB"/>
              </w:rPr>
            </w:pPr>
            <w:r w:rsidRPr="00A04E56">
              <w:rPr>
                <w:lang w:val="en-GB"/>
              </w:rPr>
              <w:t xml:space="preserve">More than </w:t>
            </w:r>
            <w:r w:rsidR="00C82583" w:rsidRPr="00A04E56">
              <w:rPr>
                <w:lang w:val="en-GB"/>
              </w:rPr>
              <w:t>12</w:t>
            </w:r>
            <w:r w:rsidR="00C82583" w:rsidRPr="00A04E56">
              <w:rPr>
                <w:rFonts w:cs="Calibri"/>
                <w:noProof w:val="0"/>
                <w:lang w:val="en-GB"/>
              </w:rPr>
              <w:t> </w:t>
            </w:r>
            <w:r w:rsidR="00C82583" w:rsidRPr="00A04E56">
              <w:rPr>
                <w:lang w:val="en-GB"/>
              </w:rPr>
              <w:t xml:space="preserve">million jobs </w:t>
            </w:r>
            <w:r w:rsidRPr="00A04E56">
              <w:rPr>
                <w:lang w:val="en-GB"/>
              </w:rPr>
              <w:t xml:space="preserve">have been </w:t>
            </w:r>
            <w:r w:rsidR="00C82583" w:rsidRPr="00A04E56">
              <w:rPr>
                <w:lang w:val="en-GB"/>
              </w:rPr>
              <w:t xml:space="preserve">created </w:t>
            </w:r>
            <w:r w:rsidR="00C82583" w:rsidRPr="00277538">
              <w:rPr>
                <w:lang w:val="en-GB"/>
              </w:rPr>
              <w:t>since the start</w:t>
            </w:r>
            <w:r w:rsidR="00C82583" w:rsidRPr="00A04E56">
              <w:rPr>
                <w:lang w:val="en-GB"/>
              </w:rPr>
              <w:t xml:space="preserve"> of the Juncker Commission</w:t>
            </w:r>
            <w:r w:rsidR="00BC0637" w:rsidRPr="00A04E56">
              <w:rPr>
                <w:lang w:val="en-GB"/>
              </w:rPr>
              <w:t>.</w:t>
            </w:r>
          </w:p>
          <w:p w14:paraId="03358DA1" w14:textId="446E517C" w:rsidR="00BC0637" w:rsidRPr="00A04E56" w:rsidRDefault="00BC0637" w:rsidP="000433A4">
            <w:pPr>
              <w:pStyle w:val="BOXE2GREENtabletext"/>
              <w:rPr>
                <w:lang w:val="en-GB"/>
              </w:rPr>
            </w:pPr>
            <w:r w:rsidRPr="00A04E56">
              <w:rPr>
                <w:lang w:val="en-GB"/>
              </w:rPr>
              <w:t xml:space="preserve">Youth </w:t>
            </w:r>
            <w:r w:rsidR="003D6477">
              <w:rPr>
                <w:lang w:val="en-GB"/>
              </w:rPr>
              <w:t>un</w:t>
            </w:r>
            <w:r w:rsidRPr="00A04E56">
              <w:rPr>
                <w:lang w:val="en-GB"/>
              </w:rPr>
              <w:t xml:space="preserve">employment decreased from 24% in 2014 to 14% in </w:t>
            </w:r>
            <w:r w:rsidR="000433A4" w:rsidRPr="00A04E56">
              <w:rPr>
                <w:i/>
                <w:u w:val="single"/>
                <w:lang w:val="en-GB"/>
              </w:rPr>
              <w:t xml:space="preserve">December </w:t>
            </w:r>
            <w:r w:rsidRPr="00A04E56">
              <w:rPr>
                <w:i/>
                <w:u w:val="single"/>
                <w:lang w:val="en-GB"/>
              </w:rPr>
              <w:t>201</w:t>
            </w:r>
            <w:r w:rsidR="000433A4" w:rsidRPr="00A04E56">
              <w:rPr>
                <w:i/>
                <w:u w:val="single"/>
                <w:lang w:val="en-GB"/>
              </w:rPr>
              <w:t>8</w:t>
            </w:r>
            <w:r w:rsidRPr="00A04E56">
              <w:rPr>
                <w:lang w:val="en-GB"/>
              </w:rPr>
              <w:t xml:space="preserve">. </w:t>
            </w:r>
          </w:p>
        </w:tc>
      </w:tr>
    </w:tbl>
    <w:p w14:paraId="440C98A3" w14:textId="0892893B" w:rsidR="004C31CA" w:rsidRPr="00A04E56" w:rsidRDefault="004C31CA" w:rsidP="00C82583">
      <w:pPr>
        <w:pStyle w:val="BodyText1spacebeforeandafter"/>
        <w:rPr>
          <w:rFonts w:cstheme="minorHAnsi"/>
          <w:szCs w:val="20"/>
        </w:rPr>
      </w:pPr>
      <w:r w:rsidRPr="00A04E56">
        <w:t xml:space="preserve">The priority for the EU budget </w:t>
      </w:r>
      <w:r w:rsidR="008C1D39" w:rsidRPr="00A04E56">
        <w:rPr>
          <w:i/>
          <w:u w:val="single"/>
        </w:rPr>
        <w:t>in 2018</w:t>
      </w:r>
      <w:r w:rsidRPr="00A04E56">
        <w:t xml:space="preserve"> was to build on</w:t>
      </w:r>
      <w:r w:rsidRPr="00A04E56" w:rsidDel="00434CF7">
        <w:t xml:space="preserve"> </w:t>
      </w:r>
      <w:r w:rsidR="002F304A" w:rsidRPr="00A04E56">
        <w:t xml:space="preserve">the </w:t>
      </w:r>
      <w:r w:rsidRPr="00A04E56">
        <w:t xml:space="preserve">economic recovery, </w:t>
      </w:r>
      <w:r w:rsidR="002F304A" w:rsidRPr="00A04E56">
        <w:t xml:space="preserve">in particular by giving a </w:t>
      </w:r>
      <w:r w:rsidR="00537AE1" w:rsidRPr="00A04E56">
        <w:t xml:space="preserve">further </w:t>
      </w:r>
      <w:r w:rsidR="002F304A" w:rsidRPr="00A04E56">
        <w:t>boost to investment</w:t>
      </w:r>
      <w:r w:rsidRPr="00A04E56">
        <w:t>. Investment has picked up significantly</w:t>
      </w:r>
      <w:r w:rsidR="002F304A" w:rsidRPr="00A04E56">
        <w:t xml:space="preserve"> </w:t>
      </w:r>
      <w:r w:rsidRPr="00A04E56">
        <w:t xml:space="preserve">thanks to </w:t>
      </w:r>
      <w:r w:rsidR="00AD1176" w:rsidRPr="00A04E56">
        <w:t xml:space="preserve">more than </w:t>
      </w:r>
      <w:r w:rsidRPr="00A04E56">
        <w:rPr>
          <w:rStyle w:val="BOLDGREENExecutiveSummary"/>
        </w:rPr>
        <w:t>EUR</w:t>
      </w:r>
      <w:r w:rsidR="00161740">
        <w:rPr>
          <w:rStyle w:val="BOLDGREENExecutiveSummary"/>
        </w:rPr>
        <w:t xml:space="preserve"> 408 </w:t>
      </w:r>
      <w:r w:rsidRPr="00A04E56">
        <w:rPr>
          <w:rStyle w:val="BOLDGREENExecutiveSummary"/>
        </w:rPr>
        <w:t>billion</w:t>
      </w:r>
      <w:r w:rsidR="00EC0F7D" w:rsidRPr="00277538">
        <w:rPr>
          <w:rStyle w:val="BOLDGREENExecutiveSummary"/>
          <w:rFonts w:ascii="Calibri" w:hAnsi="Calibri" w:cs="Calibri"/>
          <w:b w:val="0"/>
        </w:rPr>
        <w:t> (</w:t>
      </w:r>
      <w:r w:rsidR="00B62154" w:rsidRPr="006454AE">
        <w:rPr>
          <w:rStyle w:val="fnRefNo"/>
          <w:color w:val="08AA74"/>
        </w:rPr>
        <w:footnoteReference w:id="3"/>
      </w:r>
      <w:r w:rsidR="00EC0F7D" w:rsidRPr="00277538">
        <w:rPr>
          <w:rStyle w:val="BOLDGREENExecutiveSummary"/>
          <w:rFonts w:ascii="Calibri" w:hAnsi="Calibri" w:cs="Calibri"/>
          <w:b w:val="0"/>
        </w:rPr>
        <w:t>)</w:t>
      </w:r>
      <w:r w:rsidR="00BF3BD9">
        <w:rPr>
          <w:rStyle w:val="BOLDGREENExecutiveSummary"/>
          <w:rFonts w:ascii="Calibri" w:hAnsi="Calibri" w:cs="Calibri"/>
          <w:b w:val="0"/>
        </w:rPr>
        <w:t xml:space="preserve"> </w:t>
      </w:r>
      <w:r w:rsidRPr="00A04E56">
        <w:rPr>
          <w:rStyle w:val="BOLDGREENExecutiveSummary"/>
        </w:rPr>
        <w:t>worth of investment triggered by the European Fund for Strategic Investments</w:t>
      </w:r>
      <w:r w:rsidRPr="00A04E56">
        <w:rPr>
          <w:rStyle w:val="BOLDGREENExecutiveSummary"/>
          <w:b w:val="0"/>
        </w:rPr>
        <w:t>.</w:t>
      </w:r>
      <w:r w:rsidRPr="00A04E56">
        <w:rPr>
          <w:b/>
        </w:rPr>
        <w:t xml:space="preserve"> </w:t>
      </w:r>
      <w:r w:rsidRPr="00A04E56">
        <w:t xml:space="preserve">This fund, launched by </w:t>
      </w:r>
      <w:r w:rsidRPr="00A04E56" w:rsidDel="00434CF7">
        <w:t>t</w:t>
      </w:r>
      <w:r w:rsidRPr="00A04E56">
        <w:t>he Commission together with the European Investment Bank Group</w:t>
      </w:r>
      <w:r w:rsidRPr="00A04E56">
        <w:rPr>
          <w:rStyle w:val="fnRef"/>
          <w:rFonts w:ascii="Arial" w:hAnsi="Arial" w:cs="Arial"/>
        </w:rPr>
        <w:t> </w:t>
      </w:r>
      <w:r w:rsidRPr="00A04E56">
        <w:rPr>
          <w:rStyle w:val="fnRef"/>
        </w:rPr>
        <w:t>(</w:t>
      </w:r>
      <w:r w:rsidRPr="00A04E56">
        <w:rPr>
          <w:rStyle w:val="fnRefNo"/>
        </w:rPr>
        <w:footnoteReference w:id="4"/>
      </w:r>
      <w:r w:rsidRPr="00A04E56">
        <w:rPr>
          <w:rStyle w:val="fnRef"/>
        </w:rPr>
        <w:t>)</w:t>
      </w:r>
      <w:r w:rsidRPr="00A04E56">
        <w:t xml:space="preserve"> in 2015,</w:t>
      </w:r>
      <w:r w:rsidRPr="00A04E56" w:rsidDel="00434CF7">
        <w:t xml:space="preserve"> </w:t>
      </w:r>
      <w:r w:rsidR="00AE298D">
        <w:t>attracts</w:t>
      </w:r>
      <w:r w:rsidRPr="00A04E56">
        <w:t xml:space="preserve"> private funding in areas </w:t>
      </w:r>
      <w:r w:rsidR="00AD1176" w:rsidRPr="00A04E56">
        <w:t xml:space="preserve">such as </w:t>
      </w:r>
      <w:r w:rsidRPr="00A04E56">
        <w:t>transport, energy, health</w:t>
      </w:r>
      <w:r w:rsidR="003B6127" w:rsidRPr="00A04E56">
        <w:t xml:space="preserve"> </w:t>
      </w:r>
      <w:r w:rsidRPr="00A04E56">
        <w:t>care</w:t>
      </w:r>
      <w:r w:rsidR="00AD1176" w:rsidRPr="00A04E56">
        <w:t xml:space="preserve">, small and medium-sized enterprises </w:t>
      </w:r>
      <w:r w:rsidR="006D1EBB" w:rsidRPr="00A04E56">
        <w:t xml:space="preserve">as well as </w:t>
      </w:r>
      <w:r w:rsidRPr="00A04E56">
        <w:t>information and communication technologies</w:t>
      </w:r>
      <w:r w:rsidR="00556A2B" w:rsidRPr="00A04E56">
        <w:t xml:space="preserve">. In this way it amplifies </w:t>
      </w:r>
      <w:r w:rsidRPr="00A04E56">
        <w:t xml:space="preserve">the impact of the EU budget. </w:t>
      </w:r>
      <w:r w:rsidR="00AD1176" w:rsidRPr="00A04E56">
        <w:t xml:space="preserve">The lifetime of the </w:t>
      </w:r>
      <w:r w:rsidRPr="00A04E56">
        <w:t xml:space="preserve">European Fund for Strategic Investments was extended </w:t>
      </w:r>
      <w:r w:rsidR="00AD1176" w:rsidRPr="00A04E56">
        <w:t xml:space="preserve">from mid-2018 </w:t>
      </w:r>
      <w:r w:rsidRPr="00A04E56">
        <w:t xml:space="preserve">until the end of 2020 with a new investment target of </w:t>
      </w:r>
      <w:r w:rsidRPr="00A04E56" w:rsidDel="00543763">
        <w:t>EUR</w:t>
      </w:r>
      <w:r w:rsidRPr="00A04E56">
        <w:rPr>
          <w:rFonts w:ascii="Calibri" w:hAnsi="Calibri" w:cs="Calibri"/>
        </w:rPr>
        <w:t> </w:t>
      </w:r>
      <w:r w:rsidRPr="00A04E56">
        <w:t>500</w:t>
      </w:r>
      <w:r w:rsidR="00EC0F7D" w:rsidRPr="00A04E56">
        <w:rPr>
          <w:rFonts w:ascii="Calibri" w:hAnsi="Calibri" w:cs="Calibri"/>
        </w:rPr>
        <w:t> </w:t>
      </w:r>
      <w:r w:rsidRPr="00A04E56">
        <w:t>billion</w:t>
      </w:r>
      <w:r w:rsidR="00B36C54">
        <w:rPr>
          <w:rFonts w:ascii="Calibri" w:hAnsi="Calibri" w:cs="Calibri"/>
        </w:rPr>
        <w:t> </w:t>
      </w:r>
      <w:r w:rsidR="00E85D90">
        <w:t>(</w:t>
      </w:r>
      <w:r w:rsidR="00BF05F8" w:rsidRPr="00E85D90">
        <w:rPr>
          <w:rStyle w:val="fnRefNo"/>
          <w:color w:val="auto"/>
        </w:rPr>
        <w:footnoteReference w:id="5"/>
      </w:r>
      <w:r w:rsidR="00E85D90">
        <w:t>)</w:t>
      </w:r>
      <w:r w:rsidRPr="00A04E56" w:rsidDel="00543763">
        <w:t>.</w:t>
      </w:r>
      <w:r w:rsidRPr="00A04E56">
        <w:t xml:space="preserve"> It is expected that this plan will help create an estimated</w:t>
      </w:r>
      <w:r w:rsidRPr="00A04E56">
        <w:rPr>
          <w:rStyle w:val="BOLDGREENExecutiveSummary"/>
        </w:rPr>
        <w:t xml:space="preserve"> 1.4</w:t>
      </w:r>
      <w:r w:rsidRPr="00A04E56">
        <w:rPr>
          <w:rStyle w:val="BodyText1Char"/>
          <w:rFonts w:cs="Calibri"/>
          <w:b/>
          <w:noProof w:val="0"/>
          <w:lang w:val="en-GB"/>
        </w:rPr>
        <w:t> </w:t>
      </w:r>
      <w:r w:rsidRPr="00A04E56">
        <w:rPr>
          <w:rStyle w:val="BOLDGREENExecutiveSummary"/>
        </w:rPr>
        <w:t xml:space="preserve">million new jobs by </w:t>
      </w:r>
      <w:r w:rsidRPr="00A04E56">
        <w:rPr>
          <w:rStyle w:val="BOLDGREENExecutiveSummary"/>
          <w:i/>
        </w:rPr>
        <w:t>2020</w:t>
      </w:r>
      <w:r w:rsidRPr="00A04E56">
        <w:rPr>
          <w:rStyle w:val="BOLDGREENExecutiveSummary"/>
        </w:rPr>
        <w:t xml:space="preserve">, </w:t>
      </w:r>
      <w:r w:rsidRPr="00A04E56">
        <w:t>while the EU’s</w:t>
      </w:r>
      <w:r w:rsidRPr="00A04E56">
        <w:rPr>
          <w:rStyle w:val="BOLDGREENExecutiveSummary"/>
        </w:rPr>
        <w:t xml:space="preserve"> gross domestic product will be boosted by an estimated 1.3%. </w:t>
      </w:r>
      <w:r w:rsidR="002F304A" w:rsidRPr="00A04E56">
        <w:rPr>
          <w:rStyle w:val="BodyText1Char"/>
          <w:lang w:val="en-GB"/>
        </w:rPr>
        <w:t>T</w:t>
      </w:r>
      <w:r w:rsidRPr="00A04E56">
        <w:t xml:space="preserve">hanks to these investments, </w:t>
      </w:r>
      <w:r w:rsidR="00D45935" w:rsidRPr="00A04E56">
        <w:t>a further 11</w:t>
      </w:r>
      <w:r w:rsidR="00EC0F7D" w:rsidRPr="00A04E56">
        <w:rPr>
          <w:rFonts w:ascii="Calibri" w:hAnsi="Calibri" w:cs="Calibri"/>
        </w:rPr>
        <w:t> </w:t>
      </w:r>
      <w:r w:rsidR="00D45935" w:rsidRPr="00A04E56">
        <w:t xml:space="preserve">million households enjoy </w:t>
      </w:r>
      <w:r w:rsidRPr="00A04E56">
        <w:t xml:space="preserve">high-speed internet access, </w:t>
      </w:r>
      <w:r w:rsidR="00D45935" w:rsidRPr="00A04E56">
        <w:t>more than 4</w:t>
      </w:r>
      <w:r w:rsidR="00EC0F7D" w:rsidRPr="00A04E56">
        <w:rPr>
          <w:rFonts w:ascii="Calibri" w:hAnsi="Calibri" w:cs="Calibri"/>
        </w:rPr>
        <w:t> </w:t>
      </w:r>
      <w:r w:rsidR="00D45935" w:rsidRPr="00A04E56">
        <w:t xml:space="preserve">million households use </w:t>
      </w:r>
      <w:r w:rsidRPr="00A04E56">
        <w:t>energy from renewable sources</w:t>
      </w:r>
      <w:r w:rsidR="002F304A" w:rsidRPr="00A04E56">
        <w:t>,</w:t>
      </w:r>
      <w:r w:rsidRPr="00A04E56">
        <w:t xml:space="preserve"> and </w:t>
      </w:r>
      <w:r w:rsidR="004B721B" w:rsidRPr="00A04E56">
        <w:t>30</w:t>
      </w:r>
      <w:r w:rsidR="004B721B" w:rsidRPr="00A04E56">
        <w:rPr>
          <w:rFonts w:cs="Calibri"/>
        </w:rPr>
        <w:t> </w:t>
      </w:r>
      <w:r w:rsidRPr="00A04E56">
        <w:t xml:space="preserve">million </w:t>
      </w:r>
      <w:r w:rsidR="00D45935" w:rsidRPr="00A04E56">
        <w:t>Europeans benefit from better health</w:t>
      </w:r>
      <w:r w:rsidR="003B6127" w:rsidRPr="00A04E56">
        <w:t xml:space="preserve"> </w:t>
      </w:r>
      <w:r w:rsidR="00D45935" w:rsidRPr="00A04E56">
        <w:t>care</w:t>
      </w:r>
      <w:r w:rsidRPr="00A04E56">
        <w: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AD1F59" w:rsidRPr="00A04E56" w14:paraId="634A2B79" w14:textId="77777777" w:rsidTr="000D13EF">
        <w:trPr>
          <w:cantSplit/>
        </w:trPr>
        <w:tc>
          <w:tcPr>
            <w:tcW w:w="4365" w:type="dxa"/>
            <w:tcBorders>
              <w:top w:val="nil"/>
              <w:left w:val="nil"/>
              <w:bottom w:val="nil"/>
              <w:right w:val="nil"/>
            </w:tcBorders>
            <w:shd w:val="clear" w:color="auto" w:fill="D7F1EA"/>
          </w:tcPr>
          <w:p w14:paraId="441A729A" w14:textId="78A75CCB" w:rsidR="00AD1F59" w:rsidRPr="00A04E56" w:rsidRDefault="002321F1" w:rsidP="002321F1">
            <w:pPr>
              <w:pStyle w:val="BOXE2GREENtabletext"/>
              <w:rPr>
                <w:lang w:val="en-GB"/>
              </w:rPr>
            </w:pPr>
            <w:r w:rsidRPr="0005798F">
              <w:rPr>
                <w:i/>
                <w:u w:val="single"/>
                <w:lang w:val="en-GB"/>
              </w:rPr>
              <w:t>As per 31 December 2018</w:t>
            </w:r>
            <w:r>
              <w:rPr>
                <w:lang w:val="en-GB"/>
              </w:rPr>
              <w:t>, t</w:t>
            </w:r>
            <w:r w:rsidR="00AD1F59" w:rsidRPr="00A04E56">
              <w:rPr>
                <w:lang w:val="en-GB"/>
              </w:rPr>
              <w:t>he European Fund for Strategic Investment</w:t>
            </w:r>
            <w:r w:rsidR="00556A2B" w:rsidRPr="00A04E56">
              <w:rPr>
                <w:lang w:val="en-GB"/>
              </w:rPr>
              <w:t>s</w:t>
            </w:r>
            <w:r w:rsidR="00AD1F59" w:rsidRPr="00A04E56">
              <w:rPr>
                <w:lang w:val="en-GB"/>
              </w:rPr>
              <w:t xml:space="preserve"> has mobilised over EUR</w:t>
            </w:r>
            <w:r w:rsidR="00AD1F59" w:rsidRPr="00A04E56">
              <w:rPr>
                <w:rFonts w:ascii="Calibri" w:hAnsi="Calibri" w:cs="Calibri"/>
                <w:noProof w:val="0"/>
                <w:lang w:val="en-GB"/>
              </w:rPr>
              <w:t> </w:t>
            </w:r>
            <w:r w:rsidR="00AD1F59" w:rsidRPr="00A04E56">
              <w:rPr>
                <w:lang w:val="en-GB"/>
              </w:rPr>
              <w:t>370</w:t>
            </w:r>
            <w:r w:rsidR="00AD1F59" w:rsidRPr="00A04E56">
              <w:rPr>
                <w:rFonts w:ascii="Calibri" w:hAnsi="Calibri" w:cs="Calibri"/>
                <w:lang w:val="en-GB"/>
              </w:rPr>
              <w:t> </w:t>
            </w:r>
            <w:r w:rsidR="00AD1F59" w:rsidRPr="00A04E56">
              <w:rPr>
                <w:lang w:val="en-GB"/>
              </w:rPr>
              <w:t xml:space="preserve">billion in investment across Europe since 2015, significantly more than the </w:t>
            </w:r>
            <w:r w:rsidR="00AD1176" w:rsidRPr="00A04E56">
              <w:rPr>
                <w:lang w:val="en-GB"/>
              </w:rPr>
              <w:t xml:space="preserve">initial </w:t>
            </w:r>
            <w:r w:rsidR="00AD1F59" w:rsidRPr="00A04E56">
              <w:rPr>
                <w:lang w:val="en-GB"/>
              </w:rPr>
              <w:t>target</w:t>
            </w:r>
            <w:r w:rsidR="00AD1176" w:rsidRPr="00A04E56">
              <w:rPr>
                <w:lang w:val="en-GB"/>
              </w:rPr>
              <w:t xml:space="preserve"> of EUR</w:t>
            </w:r>
            <w:r w:rsidR="00EC0F7D" w:rsidRPr="00A04E56">
              <w:rPr>
                <w:rFonts w:ascii="Calibri" w:hAnsi="Calibri" w:cs="Calibri"/>
                <w:lang w:val="en-GB"/>
              </w:rPr>
              <w:t> </w:t>
            </w:r>
            <w:r w:rsidR="00AD1176" w:rsidRPr="00A04E56">
              <w:rPr>
                <w:lang w:val="en-GB"/>
              </w:rPr>
              <w:t>315</w:t>
            </w:r>
            <w:r w:rsidR="00EC0F7D" w:rsidRPr="00A04E56">
              <w:rPr>
                <w:rFonts w:ascii="Calibri" w:hAnsi="Calibri" w:cs="Calibri"/>
                <w:lang w:val="en-GB"/>
              </w:rPr>
              <w:t> </w:t>
            </w:r>
            <w:r w:rsidR="00AD1176" w:rsidRPr="00A04E56">
              <w:rPr>
                <w:lang w:val="en-GB"/>
              </w:rPr>
              <w:t>billion and is on track to reach the increased 2020 target of EUR</w:t>
            </w:r>
            <w:r w:rsidR="00EC0F7D" w:rsidRPr="00A04E56">
              <w:rPr>
                <w:rFonts w:ascii="Calibri" w:hAnsi="Calibri" w:cs="Calibri"/>
                <w:lang w:val="en-GB"/>
              </w:rPr>
              <w:t> </w:t>
            </w:r>
            <w:r w:rsidR="00AD1176" w:rsidRPr="00A04E56">
              <w:rPr>
                <w:lang w:val="en-GB"/>
              </w:rPr>
              <w:t>500</w:t>
            </w:r>
            <w:r w:rsidR="00EC0F7D" w:rsidRPr="00A04E56">
              <w:rPr>
                <w:rFonts w:ascii="Calibri" w:hAnsi="Calibri" w:cs="Calibri"/>
                <w:lang w:val="en-GB"/>
              </w:rPr>
              <w:t> </w:t>
            </w:r>
            <w:r w:rsidR="00AD1176" w:rsidRPr="00A04E56">
              <w:rPr>
                <w:lang w:val="en-GB"/>
              </w:rPr>
              <w:t>billion</w:t>
            </w:r>
            <w:r w:rsidR="00AD1F59" w:rsidRPr="00A04E56">
              <w:rPr>
                <w:lang w:val="en-GB"/>
              </w:rPr>
              <w:t>.</w:t>
            </w:r>
          </w:p>
        </w:tc>
        <w:tc>
          <w:tcPr>
            <w:tcW w:w="340" w:type="dxa"/>
            <w:tcBorders>
              <w:top w:val="nil"/>
              <w:left w:val="nil"/>
              <w:bottom w:val="nil"/>
              <w:right w:val="nil"/>
            </w:tcBorders>
            <w:shd w:val="clear" w:color="auto" w:fill="auto"/>
          </w:tcPr>
          <w:p w14:paraId="45AB5CBB" w14:textId="77777777" w:rsidR="00AD1F59" w:rsidRPr="00A04E56" w:rsidRDefault="00AD1F59" w:rsidP="004F469D">
            <w:pPr>
              <w:pStyle w:val="BOXE2GREENtabletext"/>
              <w:rPr>
                <w:lang w:val="en-GB"/>
              </w:rPr>
            </w:pPr>
          </w:p>
        </w:tc>
        <w:tc>
          <w:tcPr>
            <w:tcW w:w="4365" w:type="dxa"/>
            <w:tcBorders>
              <w:top w:val="nil"/>
              <w:left w:val="nil"/>
              <w:bottom w:val="nil"/>
              <w:right w:val="nil"/>
            </w:tcBorders>
            <w:shd w:val="clear" w:color="auto" w:fill="D7F1EA"/>
          </w:tcPr>
          <w:p w14:paraId="5A114328" w14:textId="2D3AF29B" w:rsidR="00AD1F59" w:rsidRPr="00A04E56" w:rsidRDefault="00951E04" w:rsidP="005B3875">
            <w:pPr>
              <w:pStyle w:val="BOXE2GREENtabletext"/>
              <w:rPr>
                <w:lang w:val="en-GB"/>
              </w:rPr>
            </w:pPr>
            <w:r w:rsidRPr="00A04E56">
              <w:rPr>
                <w:lang w:val="en-GB"/>
              </w:rPr>
              <w:t>T</w:t>
            </w:r>
            <w:r w:rsidR="00AD1F59" w:rsidRPr="00A04E56">
              <w:rPr>
                <w:lang w:val="en-GB"/>
              </w:rPr>
              <w:t xml:space="preserve">he European Fund for Strategic Investments </w:t>
            </w:r>
            <w:r w:rsidRPr="00A04E56">
              <w:rPr>
                <w:lang w:val="en-GB"/>
              </w:rPr>
              <w:t xml:space="preserve">has </w:t>
            </w:r>
            <w:r w:rsidR="00AD1F59" w:rsidRPr="00A04E56">
              <w:rPr>
                <w:lang w:val="en-GB"/>
              </w:rPr>
              <w:t>helped finance the building of half a million affordable homes, improv</w:t>
            </w:r>
            <w:r w:rsidR="009648A2" w:rsidRPr="00A04E56">
              <w:rPr>
                <w:lang w:val="en-GB"/>
              </w:rPr>
              <w:t>e</w:t>
            </w:r>
            <w:r w:rsidR="00AD1F59" w:rsidRPr="00A04E56">
              <w:rPr>
                <w:lang w:val="en-GB"/>
              </w:rPr>
              <w:t xml:space="preserve"> health</w:t>
            </w:r>
            <w:r w:rsidR="003B6127" w:rsidRPr="00A04E56">
              <w:rPr>
                <w:lang w:val="en-GB"/>
              </w:rPr>
              <w:t>-</w:t>
            </w:r>
            <w:r w:rsidR="00AD1F59" w:rsidRPr="00A04E56">
              <w:rPr>
                <w:lang w:val="en-GB"/>
              </w:rPr>
              <w:t>care services for 30</w:t>
            </w:r>
            <w:r w:rsidR="00AD1F59" w:rsidRPr="00A04E56">
              <w:rPr>
                <w:rFonts w:ascii="Calibri" w:hAnsi="Calibri" w:cs="Calibri"/>
                <w:noProof w:val="0"/>
                <w:lang w:val="en-GB"/>
              </w:rPr>
              <w:t> </w:t>
            </w:r>
            <w:r w:rsidR="00AD1F59" w:rsidRPr="00A04E56">
              <w:rPr>
                <w:noProof w:val="0"/>
                <w:lang w:val="en-GB"/>
              </w:rPr>
              <w:t>million</w:t>
            </w:r>
            <w:r w:rsidR="00AD1F59" w:rsidRPr="00A04E56">
              <w:rPr>
                <w:lang w:val="en-GB"/>
              </w:rPr>
              <w:t xml:space="preserve"> Europeans, upgrad</w:t>
            </w:r>
            <w:r w:rsidR="009648A2" w:rsidRPr="00A04E56">
              <w:rPr>
                <w:lang w:val="en-GB"/>
              </w:rPr>
              <w:t>e</w:t>
            </w:r>
            <w:r w:rsidR="00AD1F59" w:rsidRPr="00A04E56">
              <w:rPr>
                <w:lang w:val="en-GB"/>
              </w:rPr>
              <w:t xml:space="preserve"> rail and urban infrastructure for 95</w:t>
            </w:r>
            <w:r w:rsidR="00AD1F59" w:rsidRPr="00A04E56">
              <w:rPr>
                <w:rFonts w:ascii="Calibri" w:hAnsi="Calibri" w:cs="Calibri"/>
                <w:noProof w:val="0"/>
                <w:lang w:val="en-GB"/>
              </w:rPr>
              <w:t> </w:t>
            </w:r>
            <w:r w:rsidR="00AD1F59" w:rsidRPr="00A04E56">
              <w:rPr>
                <w:noProof w:val="0"/>
                <w:lang w:val="en-GB"/>
              </w:rPr>
              <w:t>million</w:t>
            </w:r>
            <w:r w:rsidR="00AD1F59" w:rsidRPr="00A04E56">
              <w:rPr>
                <w:lang w:val="en-GB"/>
              </w:rPr>
              <w:t xml:space="preserve"> passengers</w:t>
            </w:r>
            <w:r w:rsidR="00AD1176" w:rsidRPr="00A04E56">
              <w:rPr>
                <w:lang w:val="en-GB"/>
              </w:rPr>
              <w:t xml:space="preserve"> and support access to finance </w:t>
            </w:r>
            <w:r w:rsidR="005B3875">
              <w:rPr>
                <w:lang w:val="en-GB"/>
              </w:rPr>
              <w:t>for</w:t>
            </w:r>
            <w:r w:rsidR="00AD1176" w:rsidRPr="00A04E56">
              <w:rPr>
                <w:lang w:val="en-GB"/>
              </w:rPr>
              <w:t xml:space="preserve"> more than 280</w:t>
            </w:r>
            <w:r w:rsidR="00AD1176" w:rsidRPr="00A04E56">
              <w:rPr>
                <w:rFonts w:ascii="Calibri" w:hAnsi="Calibri" w:cs="Calibri"/>
                <w:lang w:val="en-GB"/>
              </w:rPr>
              <w:t> </w:t>
            </w:r>
            <w:r w:rsidR="00AD1176" w:rsidRPr="00A04E56">
              <w:rPr>
                <w:lang w:val="en-GB"/>
              </w:rPr>
              <w:t>000 small and medium-sized enterprises</w:t>
            </w:r>
            <w:r w:rsidR="00AD1F59" w:rsidRPr="00A04E56">
              <w:rPr>
                <w:lang w:val="en-GB"/>
              </w:rPr>
              <w:t>.</w:t>
            </w:r>
          </w:p>
        </w:tc>
      </w:tr>
    </w:tbl>
    <w:p w14:paraId="742EFB90" w14:textId="082A8784" w:rsidR="004C31CA" w:rsidRPr="00320F0E" w:rsidRDefault="004C31CA" w:rsidP="00AD1F59">
      <w:pPr>
        <w:pStyle w:val="BodyText1spacebeforeandafter"/>
      </w:pPr>
      <w:r w:rsidRPr="00A04E56">
        <w:rPr>
          <w:rStyle w:val="BOLDGREENExecutiveSummary"/>
        </w:rPr>
        <w:t>Strategic investments have also boosted economic growth and competitiveness</w:t>
      </w:r>
      <w:r w:rsidRPr="00A04E56">
        <w:rPr>
          <w:color w:val="2F856F" w:themeColor="accent4" w:themeShade="BF"/>
          <w:szCs w:val="20"/>
        </w:rPr>
        <w:t xml:space="preserve"> </w:t>
      </w:r>
      <w:r w:rsidRPr="00A04E56">
        <w:t>by</w:t>
      </w:r>
      <w:r w:rsidRPr="00A04E56">
        <w:rPr>
          <w:b/>
        </w:rPr>
        <w:t xml:space="preserve"> </w:t>
      </w:r>
      <w:r w:rsidRPr="00A04E56">
        <w:t xml:space="preserve">financing key transport, energy or </w:t>
      </w:r>
      <w:r w:rsidR="00AD1F59" w:rsidRPr="00A04E56">
        <w:t xml:space="preserve">telecommunications </w:t>
      </w:r>
      <w:r w:rsidRPr="00A04E56">
        <w:rPr>
          <w:noProof w:val="0"/>
        </w:rPr>
        <w:t>infrastructure</w:t>
      </w:r>
      <w:r w:rsidRPr="00A04E56">
        <w:t xml:space="preserve">. These investments focus on areas where the </w:t>
      </w:r>
      <w:r w:rsidRPr="00A04E56">
        <w:rPr>
          <w:noProof w:val="0"/>
        </w:rPr>
        <w:t>EU</w:t>
      </w:r>
      <w:r w:rsidRPr="00A04E56">
        <w:t xml:space="preserve"> </w:t>
      </w:r>
      <w:r w:rsidR="007A7126" w:rsidRPr="00A04E56">
        <w:t>enables</w:t>
      </w:r>
      <w:r w:rsidRPr="00A04E56">
        <w:t xml:space="preserve"> a greater impact than public spending at national level. The Connecting Europe Facility plays an important role in developing such infrastructures, which also prepare the ground for a less</w:t>
      </w:r>
      <w:r w:rsidR="00AE298D">
        <w:t xml:space="preserve"> </w:t>
      </w:r>
      <w:r w:rsidRPr="00A04E56">
        <w:t xml:space="preserve">carbon-intensive EU energy network. </w:t>
      </w:r>
      <w:r w:rsidR="008C1D39" w:rsidRPr="00A04E56">
        <w:rPr>
          <w:i/>
          <w:u w:val="single"/>
        </w:rPr>
        <w:t>In 2018</w:t>
      </w:r>
      <w:r w:rsidRPr="00A04E56">
        <w:t>, this facility made available EUR</w:t>
      </w:r>
      <w:r w:rsidRPr="00A04E56">
        <w:rPr>
          <w:rFonts w:cs="Calibri"/>
          <w:noProof w:val="0"/>
        </w:rPr>
        <w:t> </w:t>
      </w:r>
      <w:r w:rsidRPr="00A04E56">
        <w:t>1.</w:t>
      </w:r>
      <w:r w:rsidR="007A40E3">
        <w:t>4</w:t>
      </w:r>
      <w:r w:rsidRPr="00A04E56">
        <w:rPr>
          <w:rFonts w:cs="Calibri"/>
          <w:noProof w:val="0"/>
        </w:rPr>
        <w:t> </w:t>
      </w:r>
      <w:r w:rsidRPr="00A04E56">
        <w:t>billion</w:t>
      </w:r>
      <w:r w:rsidRPr="00A04E56">
        <w:rPr>
          <w:noProof w:val="0"/>
        </w:rPr>
        <w:t xml:space="preserve"> in</w:t>
      </w:r>
      <w:r w:rsidRPr="00A04E56">
        <w:t xml:space="preserve"> EU grants, to be combined with financing from the European Fund for Strategic Investments and other </w:t>
      </w:r>
      <w:r w:rsidRPr="00107DA8">
        <w:t>sources</w:t>
      </w:r>
      <w:r w:rsidRPr="00320F0E">
        <w:t>.</w:t>
      </w:r>
      <w:r w:rsidR="00266B12" w:rsidRPr="00320F0E">
        <w:t xml:space="preserve"> </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1673FF" w:rsidRPr="00A04E56" w14:paraId="0BC8ABE9" w14:textId="77777777" w:rsidTr="000D13EF">
        <w:trPr>
          <w:cantSplit/>
        </w:trPr>
        <w:tc>
          <w:tcPr>
            <w:tcW w:w="9070" w:type="dxa"/>
            <w:tcBorders>
              <w:top w:val="nil"/>
              <w:left w:val="nil"/>
              <w:bottom w:val="nil"/>
              <w:right w:val="nil"/>
            </w:tcBorders>
            <w:shd w:val="clear" w:color="auto" w:fill="D7F1EA" w:themeFill="accent4" w:themeFillTint="33"/>
          </w:tcPr>
          <w:p w14:paraId="6F78E3D1" w14:textId="2837C2F2" w:rsidR="001673FF" w:rsidRPr="00A04E56" w:rsidRDefault="00F232AE" w:rsidP="00EC0F7D">
            <w:pPr>
              <w:pStyle w:val="BOXE2GREENtabletext"/>
              <w:rPr>
                <w:lang w:val="en-GB"/>
              </w:rPr>
            </w:pPr>
            <w:r w:rsidRPr="00A04E56">
              <w:rPr>
                <w:lang w:val="en-GB"/>
              </w:rPr>
              <w:t>The Connecting Europe Facility partially funds a</w:t>
            </w:r>
            <w:r w:rsidR="001673FF" w:rsidRPr="00A04E56">
              <w:rPr>
                <w:lang w:val="en-GB"/>
              </w:rPr>
              <w:t xml:space="preserve"> new tunnel under the 18</w:t>
            </w:r>
            <w:r w:rsidR="001673FF" w:rsidRPr="00A04E56">
              <w:rPr>
                <w:rFonts w:ascii="Calibri" w:hAnsi="Calibri" w:cs="Calibri"/>
                <w:lang w:val="en-GB"/>
              </w:rPr>
              <w:t> </w:t>
            </w:r>
            <w:r w:rsidR="001673FF" w:rsidRPr="00A04E56">
              <w:rPr>
                <w:noProof w:val="0"/>
                <w:lang w:val="en-GB"/>
              </w:rPr>
              <w:t>km</w:t>
            </w:r>
            <w:r w:rsidR="001673FF" w:rsidRPr="00A04E56">
              <w:rPr>
                <w:lang w:val="en-GB"/>
              </w:rPr>
              <w:t xml:space="preserve">-wide Fehmarn Strait, between Rødby in Denmark and Puttgarden in Germany. Travel time by car between Copenhagen and Hamburg will be reduced by </w:t>
            </w:r>
            <w:r w:rsidRPr="00A04E56">
              <w:rPr>
                <w:lang w:val="en-GB"/>
              </w:rPr>
              <w:t>around 1</w:t>
            </w:r>
            <w:r w:rsidR="00EC0F7D" w:rsidRPr="00A04E56">
              <w:rPr>
                <w:rFonts w:ascii="Calibri" w:hAnsi="Calibri" w:cs="Calibri"/>
                <w:lang w:val="en-GB"/>
              </w:rPr>
              <w:t> </w:t>
            </w:r>
            <w:r w:rsidR="001673FF" w:rsidRPr="00A04E56">
              <w:rPr>
                <w:lang w:val="en-GB"/>
              </w:rPr>
              <w:t xml:space="preserve">hour, and </w:t>
            </w:r>
            <w:r w:rsidRPr="00A04E56">
              <w:rPr>
                <w:lang w:val="en-GB"/>
              </w:rPr>
              <w:t>by 2</w:t>
            </w:r>
            <w:r w:rsidR="00EC0F7D" w:rsidRPr="00A04E56">
              <w:rPr>
                <w:rFonts w:ascii="Calibri" w:hAnsi="Calibri" w:cs="Calibri"/>
                <w:lang w:val="en-GB"/>
              </w:rPr>
              <w:t> </w:t>
            </w:r>
            <w:r w:rsidRPr="00A04E56">
              <w:rPr>
                <w:lang w:val="en-GB"/>
              </w:rPr>
              <w:t xml:space="preserve">hours </w:t>
            </w:r>
            <w:r w:rsidR="001673FF" w:rsidRPr="00A04E56">
              <w:rPr>
                <w:lang w:val="en-GB"/>
              </w:rPr>
              <w:t>for rail freight transport.</w:t>
            </w:r>
          </w:p>
        </w:tc>
      </w:tr>
    </w:tbl>
    <w:p w14:paraId="2CB26194" w14:textId="0F60828C" w:rsidR="004C31CA" w:rsidRPr="00A04E56" w:rsidRDefault="00951E04" w:rsidP="001673FF">
      <w:pPr>
        <w:pStyle w:val="BodyText1spacebeforeandafter"/>
      </w:pPr>
      <w:r w:rsidRPr="00A04E56">
        <w:t>T</w:t>
      </w:r>
      <w:r w:rsidR="004C31CA" w:rsidRPr="00A04E56">
        <w:rPr>
          <w:noProof w:val="0"/>
        </w:rPr>
        <w:t>he EU</w:t>
      </w:r>
      <w:r w:rsidR="004C31CA" w:rsidRPr="00A04E56">
        <w:t xml:space="preserve"> </w:t>
      </w:r>
      <w:r w:rsidRPr="00A04E56">
        <w:t xml:space="preserve">budget </w:t>
      </w:r>
      <w:r w:rsidR="004C31CA" w:rsidRPr="00A04E56">
        <w:t xml:space="preserve">is </w:t>
      </w:r>
      <w:r w:rsidRPr="00A04E56">
        <w:t xml:space="preserve">also </w:t>
      </w:r>
      <w:r w:rsidR="004C31CA" w:rsidRPr="00A04E56">
        <w:t xml:space="preserve">delivering </w:t>
      </w:r>
      <w:r w:rsidR="00F232AE" w:rsidRPr="00A04E56">
        <w:t xml:space="preserve">thanks to </w:t>
      </w:r>
      <w:r w:rsidR="004C31CA" w:rsidRPr="00A04E56">
        <w:rPr>
          <w:rStyle w:val="BOLDGREENExecutiveSummary"/>
        </w:rPr>
        <w:t>space programmes</w:t>
      </w:r>
      <w:r w:rsidR="004C31CA" w:rsidRPr="00A04E56">
        <w:t xml:space="preserve"> such as Galileo</w:t>
      </w:r>
      <w:r w:rsidR="00BF3BD9">
        <w:t>, Copernicus and EGNOS</w:t>
      </w:r>
      <w:r w:rsidR="004C31CA" w:rsidRPr="00A04E56">
        <w:t xml:space="preserve">. No single Member State </w:t>
      </w:r>
      <w:r w:rsidRPr="00A04E56">
        <w:t xml:space="preserve">acting alone </w:t>
      </w:r>
      <w:r w:rsidR="004C31CA" w:rsidRPr="00A04E56">
        <w:t>could have put 26 satellites in</w:t>
      </w:r>
      <w:r w:rsidR="00F232AE" w:rsidRPr="00A04E56">
        <w:t>to</w:t>
      </w:r>
      <w:r w:rsidR="004C31CA" w:rsidRPr="00A04E56">
        <w:t xml:space="preserve"> orbit, benefit</w:t>
      </w:r>
      <w:r w:rsidR="00923BD9" w:rsidRPr="00A04E56">
        <w:t>ing</w:t>
      </w:r>
      <w:r w:rsidR="004C31CA" w:rsidRPr="00A04E56">
        <w:t xml:space="preserve"> </w:t>
      </w:r>
      <w:r w:rsidR="00BF4A27" w:rsidRPr="00A04E56">
        <w:t>500</w:t>
      </w:r>
      <w:r w:rsidR="00845223" w:rsidRPr="00A04E56">
        <w:rPr>
          <w:rFonts w:cs="Calibri"/>
          <w:noProof w:val="0"/>
        </w:rPr>
        <w:t> </w:t>
      </w:r>
      <w:r w:rsidR="004C31CA" w:rsidRPr="00A04E56">
        <w:rPr>
          <w:noProof w:val="0"/>
        </w:rPr>
        <w:t>million</w:t>
      </w:r>
      <w:r w:rsidR="00B36C54">
        <w:rPr>
          <w:rFonts w:ascii="Calibri" w:hAnsi="Calibri" w:cs="Calibri"/>
          <w:noProof w:val="0"/>
        </w:rPr>
        <w:t> </w:t>
      </w:r>
      <w:r w:rsidR="00BF3BD9" w:rsidRPr="00C260C9">
        <w:rPr>
          <w:noProof w:val="0"/>
          <w:color w:val="auto"/>
        </w:rPr>
        <w:t>(</w:t>
      </w:r>
      <w:r w:rsidR="00BF3BD9" w:rsidRPr="00C260C9">
        <w:rPr>
          <w:rStyle w:val="fnRefNo"/>
          <w:color w:val="auto"/>
        </w:rPr>
        <w:footnoteReference w:id="6"/>
      </w:r>
      <w:r w:rsidR="00BF3BD9" w:rsidRPr="00C260C9">
        <w:rPr>
          <w:color w:val="auto"/>
        </w:rPr>
        <w:t>)</w:t>
      </w:r>
      <w:r w:rsidR="004C31CA" w:rsidRPr="00A04E56">
        <w:t xml:space="preserve"> users worldwide</w:t>
      </w:r>
      <w:r w:rsidR="00BF4A27" w:rsidRPr="00A04E56">
        <w:t xml:space="preserve"> </w:t>
      </w:r>
      <w:r w:rsidR="005B3875" w:rsidRPr="005B3875">
        <w:rPr>
          <w:i/>
          <w:u w:val="single"/>
        </w:rPr>
        <w:t>by the end of 2018</w:t>
      </w:r>
      <w:r w:rsidR="005B3875">
        <w:t xml:space="preserve">. </w:t>
      </w:r>
      <w:r w:rsidR="008C1D39" w:rsidRPr="00A04E56">
        <w:rPr>
          <w:i/>
          <w:u w:val="single"/>
        </w:rPr>
        <w:t>In 2018</w:t>
      </w:r>
      <w:r w:rsidR="004C31CA" w:rsidRPr="00A04E56">
        <w:t xml:space="preserve">, </w:t>
      </w:r>
      <w:r w:rsidR="00BF3BD9">
        <w:t xml:space="preserve">four additional new Galileo satellites were </w:t>
      </w:r>
      <w:r w:rsidR="004C31CA" w:rsidRPr="00A04E56">
        <w:t xml:space="preserve">launched </w:t>
      </w:r>
      <w:r w:rsidR="00BF3BD9">
        <w:t>for</w:t>
      </w:r>
      <w:r w:rsidR="00F232AE" w:rsidRPr="00A04E56">
        <w:t xml:space="preserve"> better </w:t>
      </w:r>
      <w:r w:rsidR="004C31CA" w:rsidRPr="00A04E56">
        <w:t>monitor</w:t>
      </w:r>
      <w:r w:rsidR="00E52683">
        <w:t>ing of</w:t>
      </w:r>
      <w:r w:rsidR="004C31CA" w:rsidRPr="00A04E56">
        <w:t xml:space="preserve"> oceans, land and the atmosphere. EU space</w:t>
      </w:r>
      <w:r w:rsidR="00BF3BD9">
        <w:t xml:space="preserve"> signals and</w:t>
      </w:r>
      <w:r w:rsidR="004C31CA" w:rsidRPr="00A04E56">
        <w:t xml:space="preserve"> data is transforming our lives with services such as </w:t>
      </w:r>
      <w:r w:rsidR="00D869C2" w:rsidRPr="00A04E56">
        <w:t>enhanced navigation</w:t>
      </w:r>
      <w:r w:rsidR="006D1EBB" w:rsidRPr="00A04E56">
        <w:t>,</w:t>
      </w:r>
      <w:r w:rsidR="004C31CA" w:rsidRPr="00A04E56">
        <w:t xml:space="preserve"> precis</w:t>
      </w:r>
      <w:r w:rsidR="006D1EBB" w:rsidRPr="00A04E56">
        <w:t>ion</w:t>
      </w:r>
      <w:r w:rsidR="004C31CA" w:rsidRPr="00A04E56">
        <w:t xml:space="preserve"> farming, crop monitoring, responding to natural disasters, saving lives at sea, search and rescue of </w:t>
      </w:r>
      <w:r w:rsidR="00096C12" w:rsidRPr="00A04E56">
        <w:t xml:space="preserve">people </w:t>
      </w:r>
      <w:r w:rsidR="004C31CA" w:rsidRPr="00A04E56">
        <w:t>equip</w:t>
      </w:r>
      <w:r w:rsidR="00DB313B" w:rsidRPr="00A04E56">
        <w:t>p</w:t>
      </w:r>
      <w:r w:rsidR="004C31CA" w:rsidRPr="00A04E56">
        <w:t>ed with distres</w:t>
      </w:r>
      <w:r w:rsidR="00DB313B" w:rsidRPr="00A04E56">
        <w:t>s</w:t>
      </w:r>
      <w:r w:rsidR="004C31CA" w:rsidRPr="00A04E56">
        <w:t xml:space="preserve"> beacons, </w:t>
      </w:r>
      <w:r w:rsidR="00DB313B" w:rsidRPr="00A04E56">
        <w:t xml:space="preserve">and </w:t>
      </w:r>
      <w:r w:rsidR="004C31CA" w:rsidRPr="00A04E56">
        <w:t xml:space="preserve">monitoring </w:t>
      </w:r>
      <w:r w:rsidR="00DB313B" w:rsidRPr="00A04E56">
        <w:t xml:space="preserve">of </w:t>
      </w:r>
      <w:r w:rsidR="004C31CA" w:rsidRPr="00A04E56">
        <w:t>vessels and oil spills.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4C083B" w:rsidRPr="00A04E56" w14:paraId="7416335F" w14:textId="77777777" w:rsidTr="000D13EF">
        <w:trPr>
          <w:cantSplit/>
        </w:trPr>
        <w:tc>
          <w:tcPr>
            <w:tcW w:w="9070" w:type="dxa"/>
            <w:gridSpan w:val="3"/>
            <w:tcBorders>
              <w:top w:val="nil"/>
              <w:left w:val="nil"/>
              <w:bottom w:val="nil"/>
              <w:right w:val="nil"/>
            </w:tcBorders>
            <w:shd w:val="clear" w:color="auto" w:fill="D7F1EA" w:themeFill="accent4" w:themeFillTint="33"/>
          </w:tcPr>
          <w:p w14:paraId="2C3E7B8A" w14:textId="77AA22F5" w:rsidR="004C083B" w:rsidRPr="00A04E56" w:rsidRDefault="00915CCE" w:rsidP="00096C12">
            <w:pPr>
              <w:pStyle w:val="BOXE2GREENtabletext"/>
              <w:rPr>
                <w:lang w:val="en-GB"/>
              </w:rPr>
            </w:pPr>
            <w:r w:rsidRPr="00C260C9">
              <w:rPr>
                <w:i/>
                <w:u w:val="single"/>
                <w:lang w:val="en-GB"/>
              </w:rPr>
              <w:t>At the end of 2018</w:t>
            </w:r>
            <w:r>
              <w:rPr>
                <w:lang w:val="en-GB"/>
              </w:rPr>
              <w:t xml:space="preserve">, </w:t>
            </w:r>
            <w:r w:rsidRPr="00A04E56">
              <w:rPr>
                <w:lang w:val="en-GB"/>
              </w:rPr>
              <w:t>3</w:t>
            </w:r>
            <w:r>
              <w:rPr>
                <w:lang w:val="en-GB"/>
              </w:rPr>
              <w:t>15</w:t>
            </w:r>
            <w:r w:rsidR="001B6E6E" w:rsidRPr="00A04E56">
              <w:rPr>
                <w:lang w:val="en-GB"/>
              </w:rPr>
              <w:t xml:space="preserve"> airports in almost all EU countries are using the European Geostationary Navigation Overlay Service</w:t>
            </w:r>
            <w:r w:rsidR="00DB313B" w:rsidRPr="00A04E56">
              <w:rPr>
                <w:lang w:val="en-GB"/>
              </w:rPr>
              <w:t>,</w:t>
            </w:r>
            <w:r w:rsidR="001B6E6E" w:rsidRPr="00A04E56">
              <w:rPr>
                <w:lang w:val="en-GB"/>
              </w:rPr>
              <w:t xml:space="preserve"> making landing in difficult weather conditions </w:t>
            </w:r>
            <w:r w:rsidR="00096C12" w:rsidRPr="00A04E56">
              <w:rPr>
                <w:lang w:val="en-GB"/>
              </w:rPr>
              <w:t xml:space="preserve">safer </w:t>
            </w:r>
            <w:r w:rsidR="001B6E6E" w:rsidRPr="00A04E56">
              <w:rPr>
                <w:lang w:val="en-GB"/>
              </w:rPr>
              <w:t>and avoiding delays and re-routing.</w:t>
            </w:r>
          </w:p>
        </w:tc>
      </w:tr>
      <w:tr w:rsidR="004C083B" w:rsidRPr="00A04E56" w14:paraId="4C0CFD45" w14:textId="77777777" w:rsidTr="000D13EF">
        <w:trPr>
          <w:cantSplit/>
          <w:trHeight w:hRule="exact" w:val="227"/>
        </w:trPr>
        <w:tc>
          <w:tcPr>
            <w:tcW w:w="4365" w:type="dxa"/>
            <w:tcBorders>
              <w:top w:val="nil"/>
              <w:left w:val="nil"/>
              <w:bottom w:val="nil"/>
              <w:right w:val="nil"/>
            </w:tcBorders>
            <w:shd w:val="clear" w:color="auto" w:fill="auto"/>
          </w:tcPr>
          <w:p w14:paraId="12BDC657" w14:textId="77777777" w:rsidR="004C083B" w:rsidRPr="00A04E56" w:rsidRDefault="004C083B" w:rsidP="004F469D">
            <w:pPr>
              <w:pStyle w:val="BOXE2GREENtabletext"/>
              <w:rPr>
                <w:lang w:val="en-GB"/>
              </w:rPr>
            </w:pPr>
          </w:p>
        </w:tc>
        <w:tc>
          <w:tcPr>
            <w:tcW w:w="340" w:type="dxa"/>
            <w:tcBorders>
              <w:top w:val="nil"/>
              <w:left w:val="nil"/>
              <w:bottom w:val="nil"/>
              <w:right w:val="nil"/>
            </w:tcBorders>
            <w:shd w:val="clear" w:color="auto" w:fill="auto"/>
            <w:tcMar>
              <w:top w:w="113" w:type="dxa"/>
              <w:left w:w="0" w:type="dxa"/>
              <w:bottom w:w="113" w:type="dxa"/>
              <w:right w:w="0" w:type="dxa"/>
            </w:tcMar>
          </w:tcPr>
          <w:p w14:paraId="156EB0A1" w14:textId="77777777" w:rsidR="004C083B" w:rsidRPr="00A04E56" w:rsidRDefault="004C083B" w:rsidP="004F469D">
            <w:pPr>
              <w:pStyle w:val="BOXE2GREENtabletext"/>
              <w:rPr>
                <w:lang w:val="en-GB"/>
              </w:rPr>
            </w:pPr>
          </w:p>
        </w:tc>
        <w:tc>
          <w:tcPr>
            <w:tcW w:w="4365" w:type="dxa"/>
            <w:tcBorders>
              <w:top w:val="nil"/>
              <w:left w:val="nil"/>
              <w:bottom w:val="nil"/>
              <w:right w:val="nil"/>
            </w:tcBorders>
            <w:shd w:val="clear" w:color="auto" w:fill="auto"/>
            <w:tcMar>
              <w:top w:w="113" w:type="dxa"/>
              <w:bottom w:w="113" w:type="dxa"/>
            </w:tcMar>
          </w:tcPr>
          <w:p w14:paraId="527ACCBB" w14:textId="77777777" w:rsidR="004C083B" w:rsidRPr="00A04E56" w:rsidRDefault="004C083B" w:rsidP="004F469D">
            <w:pPr>
              <w:pStyle w:val="BOXE2GREENtabletext"/>
              <w:rPr>
                <w:lang w:val="en-GB"/>
              </w:rPr>
            </w:pPr>
          </w:p>
        </w:tc>
      </w:tr>
      <w:tr w:rsidR="004C083B" w:rsidRPr="00A04E56" w14:paraId="608B58B9" w14:textId="77777777" w:rsidTr="000D13EF">
        <w:trPr>
          <w:cantSplit/>
        </w:trPr>
        <w:tc>
          <w:tcPr>
            <w:tcW w:w="4365" w:type="dxa"/>
            <w:tcBorders>
              <w:top w:val="nil"/>
              <w:left w:val="nil"/>
              <w:bottom w:val="nil"/>
              <w:right w:val="nil"/>
            </w:tcBorders>
            <w:shd w:val="clear" w:color="auto" w:fill="D7F1EA" w:themeFill="accent4" w:themeFillTint="33"/>
          </w:tcPr>
          <w:p w14:paraId="295D2A04" w14:textId="63FA7EBC" w:rsidR="004C083B" w:rsidRPr="00A04E56" w:rsidRDefault="001B6E6E" w:rsidP="00096C12">
            <w:pPr>
              <w:pStyle w:val="BOXE2GREENtabletext"/>
              <w:rPr>
                <w:lang w:val="en-GB"/>
              </w:rPr>
            </w:pPr>
            <w:r w:rsidRPr="00A04E56">
              <w:rPr>
                <w:i/>
                <w:u w:val="single"/>
                <w:lang w:val="en-GB"/>
              </w:rPr>
              <w:t>From April 2018</w:t>
            </w:r>
            <w:r w:rsidRPr="00A04E56">
              <w:rPr>
                <w:lang w:val="en-GB"/>
              </w:rPr>
              <w:t>, Galileo is integrated in</w:t>
            </w:r>
            <w:r w:rsidR="00096C12" w:rsidRPr="00A04E56">
              <w:rPr>
                <w:lang w:val="en-GB"/>
              </w:rPr>
              <w:t xml:space="preserve">to </w:t>
            </w:r>
            <w:r w:rsidR="00915CCE">
              <w:rPr>
                <w:lang w:val="en-GB"/>
              </w:rPr>
              <w:t>every new</w:t>
            </w:r>
            <w:r w:rsidR="00096C12" w:rsidRPr="00A04E56">
              <w:rPr>
                <w:lang w:val="en-GB"/>
              </w:rPr>
              <w:t xml:space="preserve"> </w:t>
            </w:r>
            <w:r w:rsidRPr="00A04E56">
              <w:rPr>
                <w:lang w:val="en-GB"/>
              </w:rPr>
              <w:t xml:space="preserve">car </w:t>
            </w:r>
            <w:r w:rsidR="00915CCE">
              <w:rPr>
                <w:lang w:val="en-GB"/>
              </w:rPr>
              <w:t>type</w:t>
            </w:r>
            <w:r w:rsidRPr="00A04E56">
              <w:rPr>
                <w:lang w:val="en-GB"/>
              </w:rPr>
              <w:t xml:space="preserve"> sold in Europe, supporting the eCall emergency-response system.</w:t>
            </w:r>
          </w:p>
        </w:tc>
        <w:tc>
          <w:tcPr>
            <w:tcW w:w="340" w:type="dxa"/>
            <w:tcBorders>
              <w:top w:val="nil"/>
              <w:left w:val="nil"/>
              <w:bottom w:val="nil"/>
              <w:right w:val="nil"/>
            </w:tcBorders>
            <w:shd w:val="clear" w:color="auto" w:fill="auto"/>
          </w:tcPr>
          <w:p w14:paraId="7621AF25" w14:textId="77777777" w:rsidR="004C083B" w:rsidRPr="00A04E56" w:rsidRDefault="004C083B" w:rsidP="004F469D">
            <w:pPr>
              <w:pStyle w:val="BOXE2GREENtabletext"/>
              <w:rPr>
                <w:lang w:val="en-GB"/>
              </w:rPr>
            </w:pPr>
          </w:p>
        </w:tc>
        <w:tc>
          <w:tcPr>
            <w:tcW w:w="4365" w:type="dxa"/>
            <w:tcBorders>
              <w:top w:val="nil"/>
              <w:left w:val="nil"/>
              <w:bottom w:val="nil"/>
              <w:right w:val="nil"/>
            </w:tcBorders>
            <w:shd w:val="clear" w:color="auto" w:fill="D7F1EA" w:themeFill="accent4" w:themeFillTint="33"/>
          </w:tcPr>
          <w:p w14:paraId="05491A87" w14:textId="44015A0D" w:rsidR="004C083B" w:rsidRPr="00A04E56" w:rsidRDefault="00915CCE" w:rsidP="00096C12">
            <w:pPr>
              <w:pStyle w:val="BOXE2GREENtabletext"/>
              <w:rPr>
                <w:lang w:val="en-GB"/>
              </w:rPr>
            </w:pPr>
            <w:r>
              <w:rPr>
                <w:lang w:val="en-GB"/>
              </w:rPr>
              <w:t>Copernicus has provided emergency maps for 80% of the floods in Europe. This helped the national emergency services with better overview of the situation and to be more effective during rescue operations.</w:t>
            </w:r>
          </w:p>
        </w:tc>
      </w:tr>
    </w:tbl>
    <w:p w14:paraId="6FBBE96F" w14:textId="468B0545" w:rsidR="001B6E6E" w:rsidRPr="00A04E56" w:rsidRDefault="004C31CA" w:rsidP="001B6E6E">
      <w:pPr>
        <w:pStyle w:val="BodyText1spacebeforeandafter"/>
      </w:pPr>
      <w:r w:rsidRPr="00A04E56">
        <w:t xml:space="preserve">2018 also marked a new chapter in </w:t>
      </w:r>
      <w:r w:rsidRPr="00A04E56">
        <w:rPr>
          <w:rStyle w:val="BOLDGREENExecutiveSummary"/>
        </w:rPr>
        <w:t>European defence cooperation</w:t>
      </w:r>
      <w:r w:rsidRPr="00A04E56">
        <w:t xml:space="preserve"> with the</w:t>
      </w:r>
      <w:r w:rsidR="005D3C0B" w:rsidRPr="00A04E56">
        <w:t xml:space="preserve"> European Defence Fund</w:t>
      </w:r>
      <w:r w:rsidRPr="00A04E56">
        <w:t xml:space="preserve">. </w:t>
      </w:r>
      <w:r w:rsidR="00FC4AAC" w:rsidRPr="00A04E56">
        <w:rPr>
          <w:i/>
          <w:u w:val="single"/>
        </w:rPr>
        <w:t>In 2018</w:t>
      </w:r>
      <w:r w:rsidR="00FC4AAC" w:rsidRPr="00A04E56">
        <w:t>,</w:t>
      </w:r>
      <w:r w:rsidRPr="00A04E56">
        <w:t xml:space="preserve"> EUR</w:t>
      </w:r>
      <w:r w:rsidR="00EC0F7D" w:rsidRPr="00A04E56">
        <w:rPr>
          <w:rFonts w:ascii="Calibri" w:hAnsi="Calibri" w:cs="Calibri"/>
        </w:rPr>
        <w:t> </w:t>
      </w:r>
      <w:r w:rsidRPr="00A04E56">
        <w:t>40</w:t>
      </w:r>
      <w:r w:rsidR="00EC0F7D" w:rsidRPr="00A04E56">
        <w:rPr>
          <w:rFonts w:ascii="Calibri" w:hAnsi="Calibri" w:cs="Calibri"/>
        </w:rPr>
        <w:t> </w:t>
      </w:r>
      <w:r w:rsidRPr="00A04E56">
        <w:t xml:space="preserve">million has been </w:t>
      </w:r>
      <w:r w:rsidR="00415201" w:rsidRPr="00A04E56">
        <w:t xml:space="preserve">allocated </w:t>
      </w:r>
      <w:r w:rsidRPr="00A04E56">
        <w:t xml:space="preserve">to collaborative research in innovative defence technologies and products. The Commission has adopted </w:t>
      </w:r>
      <w:r w:rsidR="00415201" w:rsidRPr="00A04E56">
        <w:t>the bi</w:t>
      </w:r>
      <w:r w:rsidR="00AC477C" w:rsidRPr="00A04E56">
        <w:t>ennial</w:t>
      </w:r>
      <w:r w:rsidR="00415201" w:rsidRPr="00A04E56">
        <w:t xml:space="preserve"> </w:t>
      </w:r>
      <w:r w:rsidRPr="00A04E56">
        <w:t xml:space="preserve">work programmes to co-finance joint defence </w:t>
      </w:r>
      <w:r w:rsidR="00415201" w:rsidRPr="00A04E56">
        <w:t xml:space="preserve">capability development </w:t>
      </w:r>
      <w:r w:rsidRPr="00A04E56">
        <w:t xml:space="preserve">projects in 2019-2020 </w:t>
      </w:r>
      <w:r w:rsidR="00915CCE">
        <w:t>with an EU contribution of</w:t>
      </w:r>
      <w:r w:rsidRPr="00A04E56">
        <w:t xml:space="preserve"> EUR</w:t>
      </w:r>
      <w:r w:rsidR="00EC0F7D" w:rsidRPr="00A04E56">
        <w:rPr>
          <w:rFonts w:ascii="Calibri" w:hAnsi="Calibri" w:cs="Calibri"/>
        </w:rPr>
        <w:t> </w:t>
      </w:r>
      <w:r w:rsidRPr="00A04E56">
        <w:t>500</w:t>
      </w:r>
      <w:r w:rsidR="00EC0F7D" w:rsidRPr="00A04E56">
        <w:rPr>
          <w:rFonts w:ascii="Calibri" w:hAnsi="Calibri" w:cs="Calibri"/>
        </w:rPr>
        <w:t> </w:t>
      </w:r>
      <w:r w:rsidRPr="00A04E56">
        <w:t>million.</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1B6E6E" w:rsidRPr="00A04E56" w14:paraId="22D9CD55" w14:textId="77777777" w:rsidTr="000D13EF">
        <w:trPr>
          <w:cantSplit/>
        </w:trPr>
        <w:tc>
          <w:tcPr>
            <w:tcW w:w="9070" w:type="dxa"/>
            <w:tcBorders>
              <w:top w:val="nil"/>
              <w:left w:val="nil"/>
              <w:bottom w:val="nil"/>
              <w:right w:val="nil"/>
            </w:tcBorders>
            <w:shd w:val="clear" w:color="auto" w:fill="D7F1EA" w:themeFill="accent4" w:themeFillTint="33"/>
          </w:tcPr>
          <w:p w14:paraId="16F72882" w14:textId="7697CA78" w:rsidR="001B6E6E" w:rsidRPr="00A04E56" w:rsidRDefault="00951E04" w:rsidP="00EC0F7D">
            <w:pPr>
              <w:pStyle w:val="BOXE2GREENtabletext"/>
              <w:rPr>
                <w:lang w:val="en-GB"/>
              </w:rPr>
            </w:pPr>
            <w:r w:rsidRPr="00A04E56">
              <w:rPr>
                <w:lang w:val="en-GB"/>
              </w:rPr>
              <w:t>T</w:t>
            </w:r>
            <w:r w:rsidR="001B6E6E" w:rsidRPr="00A04E56">
              <w:rPr>
                <w:lang w:val="en-GB"/>
              </w:rPr>
              <w:t>he EU is investing</w:t>
            </w:r>
            <w:r w:rsidR="00861176" w:rsidRPr="00A04E56">
              <w:rPr>
                <w:rFonts w:ascii="Calibri" w:hAnsi="Calibri" w:cs="Calibri"/>
                <w:lang w:val="en-GB"/>
              </w:rPr>
              <w:t> </w:t>
            </w:r>
            <w:r w:rsidR="00845223" w:rsidRPr="00A04E56">
              <w:rPr>
                <w:lang w:val="en-GB"/>
              </w:rPr>
              <w:t>(</w:t>
            </w:r>
            <w:r w:rsidR="00845223" w:rsidRPr="00C91D3B">
              <w:rPr>
                <w:rStyle w:val="fnRefNo"/>
              </w:rPr>
              <w:footnoteReference w:id="7"/>
            </w:r>
            <w:r w:rsidR="00845223" w:rsidRPr="00A04E56">
              <w:rPr>
                <w:lang w:val="en-GB"/>
              </w:rPr>
              <w:t>)</w:t>
            </w:r>
            <w:r w:rsidR="001B6E6E" w:rsidRPr="00A04E56">
              <w:rPr>
                <w:lang w:val="en-GB"/>
              </w:rPr>
              <w:t xml:space="preserve"> EUR</w:t>
            </w:r>
            <w:r w:rsidR="00EC0F7D" w:rsidRPr="00A04E56">
              <w:rPr>
                <w:rFonts w:ascii="Calibri" w:hAnsi="Calibri" w:cs="Calibri"/>
                <w:lang w:val="en-GB"/>
              </w:rPr>
              <w:t> </w:t>
            </w:r>
            <w:r w:rsidR="001B6E6E" w:rsidRPr="00A04E56">
              <w:rPr>
                <w:lang w:val="en-GB"/>
              </w:rPr>
              <w:t>35</w:t>
            </w:r>
            <w:r w:rsidR="00EC0F7D" w:rsidRPr="00A04E56">
              <w:rPr>
                <w:rFonts w:ascii="Calibri" w:hAnsi="Calibri" w:cs="Calibri"/>
                <w:lang w:val="en-GB"/>
              </w:rPr>
              <w:t> </w:t>
            </w:r>
            <w:r w:rsidR="001B6E6E" w:rsidRPr="00A04E56">
              <w:rPr>
                <w:lang w:val="en-GB"/>
              </w:rPr>
              <w:t>million into the Ocean2020 research project</w:t>
            </w:r>
            <w:r w:rsidR="00923BD9" w:rsidRPr="00A04E56">
              <w:rPr>
                <w:lang w:val="en-GB"/>
              </w:rPr>
              <w:t xml:space="preserve">. This project brings together </w:t>
            </w:r>
            <w:r w:rsidR="001B6E6E" w:rsidRPr="00A04E56">
              <w:rPr>
                <w:lang w:val="en-GB"/>
              </w:rPr>
              <w:t>42</w:t>
            </w:r>
            <w:r w:rsidR="00845223" w:rsidRPr="00A04E56">
              <w:rPr>
                <w:rFonts w:ascii="Calibri" w:hAnsi="Calibri" w:cs="Calibri"/>
                <w:lang w:val="en-GB"/>
              </w:rPr>
              <w:t> </w:t>
            </w:r>
            <w:r w:rsidR="001B6E6E" w:rsidRPr="00A04E56">
              <w:rPr>
                <w:lang w:val="en-GB"/>
              </w:rPr>
              <w:t xml:space="preserve">partners from 15 EU </w:t>
            </w:r>
            <w:r w:rsidR="00EC0F7D" w:rsidRPr="00A04E56">
              <w:rPr>
                <w:lang w:val="en-GB"/>
              </w:rPr>
              <w:t>Member States</w:t>
            </w:r>
            <w:r w:rsidR="001B6E6E" w:rsidRPr="00A04E56">
              <w:rPr>
                <w:lang w:val="en-GB"/>
              </w:rPr>
              <w:t xml:space="preserve"> to support maritime surveillance missions at sea by integrating drones and unmanned submarines into fleet operations.</w:t>
            </w:r>
          </w:p>
        </w:tc>
      </w:tr>
    </w:tbl>
    <w:p w14:paraId="5BCF072A" w14:textId="1301C897" w:rsidR="00AA75A3" w:rsidRPr="00A04E56" w:rsidRDefault="00AA75A3" w:rsidP="0049758A">
      <w:pPr>
        <w:pStyle w:val="SubtitleGreenExecutiveSummary"/>
      </w:pPr>
      <w:r w:rsidRPr="00A04E56">
        <w:t>Supporting cutting-edge research and innovation</w:t>
      </w:r>
    </w:p>
    <w:p w14:paraId="05FCB832" w14:textId="3F87831B" w:rsidR="004F469D" w:rsidRPr="00A04E56" w:rsidRDefault="004C31CA" w:rsidP="00996369">
      <w:pPr>
        <w:pStyle w:val="BodyText1spaceafter"/>
      </w:pPr>
      <w:r w:rsidRPr="00A04E56">
        <w:t>The EU budget continued to underpin the EU</w:t>
      </w:r>
      <w:r w:rsidR="00EC0F7D" w:rsidRPr="00A04E56">
        <w:t>’</w:t>
      </w:r>
      <w:r w:rsidRPr="00A04E56">
        <w:t>s commitment to supporting cutting-edge research and</w:t>
      </w:r>
      <w:r w:rsidR="00AA75A3" w:rsidRPr="00A04E56">
        <w:t xml:space="preserve"> </w:t>
      </w:r>
      <w:r w:rsidRPr="00A04E56">
        <w:t>innovation</w:t>
      </w:r>
      <w:r w:rsidR="00533493" w:rsidRPr="00A04E56">
        <w:t>,</w:t>
      </w:r>
      <w:r w:rsidRPr="00A04E56">
        <w:t xml:space="preserve"> focusing on cross-country collaboration, industrial </w:t>
      </w:r>
      <w:r w:rsidR="00592D81" w:rsidRPr="00A04E56">
        <w:t xml:space="preserve">relevance </w:t>
      </w:r>
      <w:r w:rsidRPr="00A04E56">
        <w:t>and economies of scale.</w:t>
      </w:r>
      <w:r w:rsidR="00AA75A3" w:rsidRPr="00A04E56">
        <w:t xml:space="preserve"> </w:t>
      </w:r>
      <w:r w:rsidRPr="00A04E56" w:rsidDel="009F0415">
        <w:t>Horizon</w:t>
      </w:r>
      <w:r w:rsidRPr="00A04E56">
        <w:rPr>
          <w:rFonts w:ascii="Calibri" w:hAnsi="Calibri" w:cs="Calibri"/>
        </w:rPr>
        <w:t> </w:t>
      </w:r>
      <w:r w:rsidRPr="00A04E56">
        <w:t>2020, the EU framework programme for research and innovation, is the world’s largest transnational research</w:t>
      </w:r>
      <w:r w:rsidR="002B5F47" w:rsidRPr="00A04E56">
        <w:t>-</w:t>
      </w:r>
      <w:r w:rsidRPr="00A04E56">
        <w:t xml:space="preserve">funding programme. It is also the </w:t>
      </w:r>
      <w:r w:rsidRPr="00A04E56">
        <w:rPr>
          <w:rStyle w:val="BOLDGREENExecutiveSummary"/>
        </w:rPr>
        <w:t>biggest EU research and innovation programme ever</w:t>
      </w:r>
      <w:r w:rsidR="00EB3DFC" w:rsidRPr="00A04E56">
        <w:rPr>
          <w:rStyle w:val="BOLDGREENExecutiveSummary"/>
        </w:rPr>
        <w:t>,</w:t>
      </w:r>
      <w:r w:rsidRPr="00A04E56">
        <w:rPr>
          <w:rStyle w:val="BOLDGREENExecutiveSummary"/>
        </w:rPr>
        <w:t xml:space="preserve"> with nearly </w:t>
      </w:r>
      <w:r w:rsidRPr="00A04E56" w:rsidDel="00543763">
        <w:rPr>
          <w:rStyle w:val="BOLDGREENExecutiveSummary"/>
        </w:rPr>
        <w:t>EUR</w:t>
      </w:r>
      <w:r w:rsidRPr="00A04E56">
        <w:rPr>
          <w:rStyle w:val="BOLDGREENExecutiveSummary"/>
        </w:rPr>
        <w:t> 80 billion</w:t>
      </w:r>
      <w:r w:rsidRPr="00A04E56">
        <w:rPr>
          <w:b/>
        </w:rPr>
        <w:t xml:space="preserve"> </w:t>
      </w:r>
      <w:r w:rsidRPr="00A04E56">
        <w:t>of funding available over 7</w:t>
      </w:r>
      <w:r w:rsidRPr="00A04E56">
        <w:rPr>
          <w:rFonts w:ascii="Calibri" w:hAnsi="Calibri" w:cs="Calibri"/>
        </w:rPr>
        <w:t> </w:t>
      </w:r>
      <w:r w:rsidRPr="00A04E56">
        <w:t>years</w:t>
      </w:r>
      <w:r w:rsidR="00EC0F7D" w:rsidRPr="00A04E56">
        <w:rPr>
          <w:rFonts w:ascii="Calibri" w:hAnsi="Calibri" w:cs="Calibri"/>
        </w:rPr>
        <w:t> (</w:t>
      </w:r>
      <w:r w:rsidR="00845223" w:rsidRPr="00C91D3B">
        <w:rPr>
          <w:rStyle w:val="fnRefNo"/>
        </w:rPr>
        <w:footnoteReference w:id="8"/>
      </w:r>
      <w:r w:rsidR="00EC0F7D" w:rsidRPr="00A04E56">
        <w:rPr>
          <w:rFonts w:ascii="Calibri" w:hAnsi="Calibri" w:cs="Calibri"/>
        </w:rPr>
        <w:t>)</w:t>
      </w:r>
      <w:r w:rsidRPr="00A04E56">
        <w:t xml:space="preserve">. </w:t>
      </w:r>
      <w:r w:rsidR="008C1D39" w:rsidRPr="00A04E56">
        <w:rPr>
          <w:i/>
          <w:u w:val="single"/>
        </w:rPr>
        <w:t>In 2018</w:t>
      </w:r>
      <w:r w:rsidRPr="00A04E56">
        <w:t>, calls for proposals worth EUR</w:t>
      </w:r>
      <w:r w:rsidRPr="00A04E56">
        <w:rPr>
          <w:rFonts w:ascii="Calibri" w:hAnsi="Calibri" w:cs="Calibri"/>
        </w:rPr>
        <w:t> </w:t>
      </w:r>
      <w:r w:rsidRPr="00A04E56">
        <w:t>10</w:t>
      </w:r>
      <w:r w:rsidRPr="00A04E56">
        <w:rPr>
          <w:rFonts w:ascii="Calibri" w:hAnsi="Calibri" w:cs="Calibri"/>
        </w:rPr>
        <w:t> </w:t>
      </w:r>
      <w:r w:rsidRPr="00A04E56">
        <w:t>billion were launched for</w:t>
      </w:r>
      <w:r w:rsidRPr="00A04E56" w:rsidDel="00D63039">
        <w:t xml:space="preserve"> </w:t>
      </w:r>
      <w:r w:rsidRPr="00A04E56" w:rsidDel="009F0415">
        <w:t>Horizon</w:t>
      </w:r>
      <w:r w:rsidRPr="00A04E56">
        <w:rPr>
          <w:rFonts w:ascii="Calibri" w:hAnsi="Calibri" w:cs="Calibri"/>
        </w:rPr>
        <w:t> </w:t>
      </w:r>
      <w:r w:rsidRPr="00A04E56">
        <w:t>2020</w:t>
      </w:r>
      <w:r w:rsidR="004F469D" w:rsidRPr="00A04E56">
        <w: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4F469D" w:rsidRPr="00A04E56" w14:paraId="009283EB" w14:textId="77777777" w:rsidTr="000D13EF">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4B330D50" w14:textId="2790587E" w:rsidR="004F469D" w:rsidRPr="00A04E56" w:rsidRDefault="00951E04" w:rsidP="00FE3BB0">
            <w:pPr>
              <w:pStyle w:val="BOXE2GREENtabletext"/>
              <w:rPr>
                <w:lang w:val="en-GB"/>
              </w:rPr>
            </w:pPr>
            <w:r w:rsidRPr="00A04E56">
              <w:rPr>
                <w:lang w:val="en-GB"/>
              </w:rPr>
              <w:t>U</w:t>
            </w:r>
            <w:r w:rsidR="00AC6283" w:rsidRPr="00A04E56">
              <w:rPr>
                <w:lang w:val="en-GB"/>
              </w:rPr>
              <w:t xml:space="preserve">sing Horizon 2020 funding, </w:t>
            </w:r>
            <w:r w:rsidR="00DF7376" w:rsidRPr="00A04E56">
              <w:rPr>
                <w:lang w:val="en-GB"/>
              </w:rPr>
              <w:t>t</w:t>
            </w:r>
            <w:r w:rsidR="004F469D" w:rsidRPr="00A04E56">
              <w:rPr>
                <w:lang w:val="en-GB"/>
              </w:rPr>
              <w:t xml:space="preserve">he Joint Research </w:t>
            </w:r>
            <w:r w:rsidR="0094707D" w:rsidRPr="00A04E56">
              <w:rPr>
                <w:lang w:val="en-GB"/>
              </w:rPr>
              <w:t xml:space="preserve">Centre </w:t>
            </w:r>
            <w:r w:rsidR="004F469D" w:rsidRPr="00A04E56">
              <w:rPr>
                <w:lang w:val="en-GB"/>
              </w:rPr>
              <w:t>has developed and operates the only worldwide automatic tsunami alert system</w:t>
            </w:r>
            <w:r w:rsidR="00EB3DFC" w:rsidRPr="00A04E56">
              <w:rPr>
                <w:lang w:val="en-GB"/>
              </w:rPr>
              <w:t>, which it also operates</w:t>
            </w:r>
            <w:r w:rsidR="004F469D" w:rsidRPr="00A04E56">
              <w:rPr>
                <w:lang w:val="en-GB"/>
              </w:rPr>
              <w:t xml:space="preserve">. It can quickly calculate the estimated wave height and travel time and automatically send an alert message through the </w:t>
            </w:r>
            <w:hyperlink r:id="rId68" w:tgtFrame="_blank" w:tooltip="Opens external link in new window" w:history="1">
              <w:r w:rsidR="004F469D" w:rsidRPr="00A04E56">
                <w:rPr>
                  <w:lang w:val="en-GB"/>
                </w:rPr>
                <w:t>global disaster alerts and coordination system.</w:t>
              </w:r>
            </w:hyperlink>
          </w:p>
        </w:tc>
      </w:tr>
    </w:tbl>
    <w:p w14:paraId="37405CB6" w14:textId="256861D7" w:rsidR="004C31CA" w:rsidRPr="00A04E56" w:rsidRDefault="004C31CA" w:rsidP="004F469D">
      <w:pPr>
        <w:pStyle w:val="BodyText1spacebeforeandafter"/>
      </w:pPr>
      <w:r w:rsidRPr="00A04E56">
        <w:t>Horizon</w:t>
      </w:r>
      <w:r w:rsidRPr="00A04E56">
        <w:rPr>
          <w:rFonts w:cs="Calibri"/>
        </w:rPr>
        <w:t> </w:t>
      </w:r>
      <w:r w:rsidRPr="00A04E56">
        <w:t xml:space="preserve">2020 provides a common strategic framework for the </w:t>
      </w:r>
      <w:r w:rsidRPr="00A04E56">
        <w:rPr>
          <w:noProof w:val="0"/>
        </w:rPr>
        <w:t>EU</w:t>
      </w:r>
      <w:r w:rsidR="00EC0F7D" w:rsidRPr="00A04E56">
        <w:rPr>
          <w:noProof w:val="0"/>
        </w:rPr>
        <w:t>’</w:t>
      </w:r>
      <w:r w:rsidRPr="00A04E56">
        <w:rPr>
          <w:noProof w:val="0"/>
        </w:rPr>
        <w:t>s</w:t>
      </w:r>
      <w:r w:rsidRPr="00A04E56">
        <w:t xml:space="preserve"> research and innovation funding. It is </w:t>
      </w:r>
      <w:r w:rsidR="006D101C" w:rsidRPr="00A04E56">
        <w:t>key to</w:t>
      </w:r>
      <w:r w:rsidRPr="00A04E56">
        <w:rPr>
          <w:noProof w:val="0"/>
        </w:rPr>
        <w:t xml:space="preserve"> ensuring</w:t>
      </w:r>
      <w:r w:rsidRPr="00A04E56">
        <w:t xml:space="preserve"> </w:t>
      </w:r>
      <w:r w:rsidR="006D101C" w:rsidRPr="00A04E56">
        <w:t xml:space="preserve">that </w:t>
      </w:r>
      <w:r w:rsidR="00EB3DFC" w:rsidRPr="00A04E56">
        <w:t xml:space="preserve">the EU </w:t>
      </w:r>
      <w:r w:rsidR="006D101C" w:rsidRPr="00A04E56">
        <w:t xml:space="preserve">continues to </w:t>
      </w:r>
      <w:r w:rsidRPr="00A04E56">
        <w:t>produce world-class science and technology</w:t>
      </w:r>
      <w:r w:rsidR="00FE540A" w:rsidRPr="00A04E56">
        <w:t xml:space="preserve">. It helps to </w:t>
      </w:r>
      <w:r w:rsidRPr="00A04E56">
        <w:t>remove barriers to innovation and make</w:t>
      </w:r>
      <w:r w:rsidR="006D1EBB" w:rsidRPr="00A04E56">
        <w:t>s</w:t>
      </w:r>
      <w:r w:rsidRPr="00A04E56">
        <w:t xml:space="preserve"> it easier for the public and private sectors to work together in delivering solutions to </w:t>
      </w:r>
      <w:r w:rsidR="00FE540A" w:rsidRPr="00A04E56">
        <w:t xml:space="preserve">major societal </w:t>
      </w:r>
      <w:r w:rsidRPr="00A04E56">
        <w:t xml:space="preserve">challenges. EU support for research and innovation stimulates cooperation between research teams across countries and between disciplines </w:t>
      </w:r>
      <w:r w:rsidR="00EB3DFC" w:rsidRPr="00A04E56">
        <w:t xml:space="preserve">which </w:t>
      </w:r>
      <w:r w:rsidRPr="00A04E56">
        <w:t xml:space="preserve">is vital </w:t>
      </w:r>
      <w:r w:rsidRPr="00A04E56">
        <w:rPr>
          <w:noProof w:val="0"/>
        </w:rPr>
        <w:t>to</w:t>
      </w:r>
      <w:r w:rsidRPr="00A04E56">
        <w:t xml:space="preserve"> making breakthrough discoveries. It allows the EU to deliver on priorities such as the </w:t>
      </w:r>
      <w:r w:rsidRPr="00A04E56">
        <w:rPr>
          <w:rStyle w:val="BOLDGREENExecutiveSummary"/>
        </w:rPr>
        <w:t>Paris Agreement on climate change</w:t>
      </w:r>
      <w:r w:rsidRPr="00A04E56">
        <w:rPr>
          <w:rStyle w:val="fnRef"/>
          <w:rFonts w:ascii="Arial" w:hAnsi="Arial" w:cs="Arial"/>
        </w:rPr>
        <w:t> </w:t>
      </w:r>
      <w:r w:rsidRPr="00A04E56">
        <w:rPr>
          <w:rStyle w:val="fnRef"/>
        </w:rPr>
        <w:t>(</w:t>
      </w:r>
      <w:r w:rsidRPr="00A04E56">
        <w:rPr>
          <w:rStyle w:val="fnRefNo"/>
        </w:rPr>
        <w:footnoteReference w:id="9"/>
      </w:r>
      <w:r w:rsidRPr="00A04E56">
        <w:rPr>
          <w:rStyle w:val="fnRef"/>
        </w:rPr>
        <w:t>)</w:t>
      </w:r>
      <w:r w:rsidRPr="00A04E56">
        <w:t xml:space="preserve">. Horizon 2020 has contributed directly to the overall objective </w:t>
      </w:r>
      <w:r w:rsidR="00EB3DFC" w:rsidRPr="00A04E56">
        <w:t xml:space="preserve">of </w:t>
      </w:r>
      <w:r w:rsidRPr="00A04E56">
        <w:t>boost</w:t>
      </w:r>
      <w:r w:rsidR="00EB3DFC" w:rsidRPr="00A04E56">
        <w:t>ing</w:t>
      </w:r>
      <w:r w:rsidRPr="00A04E56">
        <w:t xml:space="preserve"> Europe’s industrial leadership and competitiveness. </w:t>
      </w:r>
      <w:r w:rsidR="00794F39" w:rsidRPr="00A04E56">
        <w:t xml:space="preserve">It has been </w:t>
      </w:r>
      <w:r w:rsidRPr="00A04E56">
        <w:t>particula</w:t>
      </w:r>
      <w:r w:rsidR="00FE540A" w:rsidRPr="00A04E56">
        <w:t>r</w:t>
      </w:r>
      <w:r w:rsidR="00794F39" w:rsidRPr="00A04E56">
        <w:t>ly</w:t>
      </w:r>
      <w:r w:rsidRPr="00A04E56">
        <w:t xml:space="preserve"> successful in stimulating innovation by small and medium-sized enterprises. The overall target of 20% participation has even been surpassed</w:t>
      </w:r>
      <w:r w:rsidRPr="00A04E56">
        <w:rPr>
          <w:rStyle w:val="fnRef"/>
          <w:rFonts w:ascii="Arial" w:hAnsi="Arial" w:cs="Arial"/>
        </w:rPr>
        <w:t> </w:t>
      </w:r>
      <w:r w:rsidRPr="00A04E56">
        <w:rPr>
          <w:rStyle w:val="fnRef"/>
        </w:rPr>
        <w:t>(</w:t>
      </w:r>
      <w:r w:rsidRPr="00A04E56">
        <w:rPr>
          <w:rStyle w:val="fnRefNo"/>
        </w:rPr>
        <w:footnoteReference w:id="10"/>
      </w:r>
      <w:r w:rsidRPr="00A04E56">
        <w:rPr>
          <w:rStyle w:val="fnRef"/>
        </w:rPr>
        <w:t>)</w:t>
      </w:r>
      <w:r w:rsidRPr="00A04E56">
        <w: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4F469D" w:rsidRPr="00A04E56" w14:paraId="420CA6DB" w14:textId="77777777" w:rsidTr="000D13EF">
        <w:trPr>
          <w:cantSplit/>
        </w:trPr>
        <w:tc>
          <w:tcPr>
            <w:tcW w:w="4365" w:type="dxa"/>
            <w:tcBorders>
              <w:top w:val="nil"/>
              <w:left w:val="nil"/>
              <w:bottom w:val="nil"/>
              <w:right w:val="nil"/>
            </w:tcBorders>
            <w:shd w:val="clear" w:color="auto" w:fill="D7F1EA"/>
          </w:tcPr>
          <w:p w14:paraId="0E114D92" w14:textId="223AC25A" w:rsidR="004F469D" w:rsidRPr="00A04E56" w:rsidRDefault="004F469D" w:rsidP="004F469D">
            <w:pPr>
              <w:pStyle w:val="BOXE2GREENtabletext"/>
              <w:rPr>
                <w:lang w:val="en-GB"/>
              </w:rPr>
            </w:pPr>
            <w:r w:rsidRPr="00A04E56">
              <w:rPr>
                <w:lang w:val="en-GB"/>
              </w:rPr>
              <w:t>The European High</w:t>
            </w:r>
            <w:r w:rsidRPr="00A04E56">
              <w:rPr>
                <w:noProof w:val="0"/>
                <w:lang w:val="en-GB"/>
              </w:rPr>
              <w:t>-Performance</w:t>
            </w:r>
            <w:r w:rsidRPr="00A04E56" w:rsidDel="0019228F">
              <w:rPr>
                <w:lang w:val="en-GB"/>
              </w:rPr>
              <w:t xml:space="preserve"> </w:t>
            </w:r>
            <w:r w:rsidRPr="00A04E56">
              <w:rPr>
                <w:lang w:val="en-GB"/>
              </w:rPr>
              <w:t xml:space="preserve">Computing Joint Undertaking began operations </w:t>
            </w:r>
            <w:r w:rsidRPr="00A04E56">
              <w:rPr>
                <w:i/>
                <w:u w:val="single"/>
                <w:lang w:val="en-GB"/>
              </w:rPr>
              <w:t>in November</w:t>
            </w:r>
            <w:r w:rsidR="00794F39" w:rsidRPr="00A04E56">
              <w:rPr>
                <w:i/>
                <w:u w:val="single"/>
                <w:lang w:val="en-GB"/>
              </w:rPr>
              <w:t xml:space="preserve"> 2018</w:t>
            </w:r>
            <w:r w:rsidRPr="00A04E56">
              <w:rPr>
                <w:lang w:val="en-GB"/>
              </w:rPr>
              <w:t>. It will pool EU and participating countries’ resources to build in Europe a world-class supercomputing and data infrastructure and a competitive innovation ecosystem in relevant technologies and applications</w:t>
            </w:r>
            <w:r w:rsidR="00794F39" w:rsidRPr="00A04E56">
              <w:rPr>
                <w:lang w:val="en-GB"/>
              </w:rPr>
              <w:t xml:space="preserve"> in Europe</w:t>
            </w:r>
            <w:r w:rsidRPr="00A04E56">
              <w:rPr>
                <w:lang w:val="en-GB"/>
              </w:rPr>
              <w:t>.</w:t>
            </w:r>
          </w:p>
        </w:tc>
        <w:tc>
          <w:tcPr>
            <w:tcW w:w="340" w:type="dxa"/>
            <w:tcBorders>
              <w:top w:val="nil"/>
              <w:left w:val="nil"/>
              <w:bottom w:val="nil"/>
              <w:right w:val="nil"/>
            </w:tcBorders>
            <w:shd w:val="clear" w:color="auto" w:fill="auto"/>
          </w:tcPr>
          <w:p w14:paraId="48D98460" w14:textId="77777777" w:rsidR="004F469D" w:rsidRPr="00A04E56" w:rsidRDefault="004F469D" w:rsidP="004F469D">
            <w:pPr>
              <w:pStyle w:val="BOXE2GREENtabletext"/>
              <w:rPr>
                <w:lang w:val="en-GB"/>
              </w:rPr>
            </w:pPr>
          </w:p>
        </w:tc>
        <w:tc>
          <w:tcPr>
            <w:tcW w:w="4365" w:type="dxa"/>
            <w:tcBorders>
              <w:top w:val="nil"/>
              <w:left w:val="nil"/>
              <w:bottom w:val="nil"/>
              <w:right w:val="nil"/>
            </w:tcBorders>
            <w:shd w:val="clear" w:color="auto" w:fill="D7F1EA"/>
          </w:tcPr>
          <w:p w14:paraId="5BB82267" w14:textId="5456EF4E" w:rsidR="004F469D" w:rsidRPr="00A04E56" w:rsidRDefault="000B7EAC" w:rsidP="001A5A8F">
            <w:pPr>
              <w:pStyle w:val="BOXE2GREENtabletext"/>
              <w:rPr>
                <w:lang w:val="en-GB"/>
              </w:rPr>
            </w:pPr>
            <w:r>
              <w:rPr>
                <w:lang w:val="en-GB"/>
              </w:rPr>
              <w:t>Thanks to research</w:t>
            </w:r>
            <w:r w:rsidR="004F469D" w:rsidRPr="00A04E56">
              <w:rPr>
                <w:lang w:val="en-GB"/>
              </w:rPr>
              <w:t xml:space="preserve"> and partial fund</w:t>
            </w:r>
            <w:r w:rsidR="00794F39" w:rsidRPr="00A04E56">
              <w:rPr>
                <w:lang w:val="en-GB"/>
              </w:rPr>
              <w:t>ing from</w:t>
            </w:r>
            <w:r w:rsidR="004F469D" w:rsidRPr="00A04E56">
              <w:rPr>
                <w:lang w:val="en-GB"/>
              </w:rPr>
              <w:t xml:space="preserve"> </w:t>
            </w:r>
            <w:r w:rsidR="004F469D" w:rsidRPr="00A04E56" w:rsidDel="009F0415">
              <w:rPr>
                <w:lang w:val="en-GB"/>
              </w:rPr>
              <w:t>Horizon</w:t>
            </w:r>
            <w:r w:rsidR="004F469D" w:rsidRPr="00A04E56">
              <w:rPr>
                <w:rFonts w:ascii="Calibri" w:hAnsi="Calibri" w:cs="Calibri"/>
                <w:lang w:val="en-GB"/>
              </w:rPr>
              <w:t> </w:t>
            </w:r>
            <w:r w:rsidR="004F469D" w:rsidRPr="00A04E56">
              <w:rPr>
                <w:lang w:val="en-GB"/>
              </w:rPr>
              <w:t>2020</w:t>
            </w:r>
            <w:r w:rsidR="001A5A8F">
              <w:rPr>
                <w:lang w:val="en-GB"/>
              </w:rPr>
              <w:t xml:space="preserve"> </w:t>
            </w:r>
            <w:r w:rsidR="001A5A8F" w:rsidRPr="0005798F">
              <w:rPr>
                <w:i/>
                <w:u w:val="single"/>
                <w:lang w:val="en-GB"/>
              </w:rPr>
              <w:t>done in 2018</w:t>
            </w:r>
            <w:r w:rsidR="004F469D" w:rsidRPr="00A04E56">
              <w:rPr>
                <w:lang w:val="en-GB"/>
              </w:rPr>
              <w:t xml:space="preserve">, a 45-year-old woman in Sweden </w:t>
            </w:r>
            <w:r w:rsidR="00794F39" w:rsidRPr="00A04E56">
              <w:rPr>
                <w:lang w:val="en-GB"/>
              </w:rPr>
              <w:t xml:space="preserve">underwent </w:t>
            </w:r>
            <w:r w:rsidR="004F469D" w:rsidRPr="00A04E56">
              <w:rPr>
                <w:lang w:val="en-GB"/>
              </w:rPr>
              <w:t xml:space="preserve">surgery to </w:t>
            </w:r>
            <w:r w:rsidR="00794F39" w:rsidRPr="00A04E56">
              <w:rPr>
                <w:lang w:val="en-GB"/>
              </w:rPr>
              <w:t xml:space="preserve">receive a </w:t>
            </w:r>
            <w:r w:rsidR="004F469D" w:rsidRPr="00A04E56">
              <w:rPr>
                <w:lang w:val="en-GB"/>
              </w:rPr>
              <w:t>permanent</w:t>
            </w:r>
            <w:r w:rsidR="00794F39" w:rsidRPr="00A04E56">
              <w:rPr>
                <w:lang w:val="en-GB"/>
              </w:rPr>
              <w:t xml:space="preserve"> </w:t>
            </w:r>
            <w:r w:rsidR="004F469D" w:rsidRPr="00A04E56">
              <w:rPr>
                <w:lang w:val="en-GB"/>
              </w:rPr>
              <w:t>robotic hand</w:t>
            </w:r>
            <w:r w:rsidR="00794F39" w:rsidRPr="00A04E56">
              <w:rPr>
                <w:lang w:val="en-GB"/>
              </w:rPr>
              <w:t xml:space="preserve">, which </w:t>
            </w:r>
            <w:r w:rsidR="004F469D" w:rsidRPr="00A04E56">
              <w:rPr>
                <w:lang w:val="en-GB"/>
              </w:rPr>
              <w:t xml:space="preserve">she </w:t>
            </w:r>
            <w:r w:rsidR="00794F39" w:rsidRPr="00A04E56">
              <w:rPr>
                <w:lang w:val="en-GB"/>
              </w:rPr>
              <w:t xml:space="preserve">can </w:t>
            </w:r>
            <w:r w:rsidR="004F469D" w:rsidRPr="00A04E56">
              <w:rPr>
                <w:lang w:val="en-GB"/>
              </w:rPr>
              <w:t xml:space="preserve">use on a daily </w:t>
            </w:r>
            <w:r w:rsidR="004F469D" w:rsidRPr="00A04E56">
              <w:rPr>
                <w:rFonts w:cs="Calibri"/>
                <w:lang w:val="en-GB"/>
              </w:rPr>
              <w:t>basis</w:t>
            </w:r>
            <w:r w:rsidR="00887FBA" w:rsidRPr="00A04E56">
              <w:rPr>
                <w:rFonts w:cs="Calibri"/>
                <w:lang w:val="en-GB"/>
              </w:rPr>
              <w:t xml:space="preserve">. </w:t>
            </w:r>
          </w:p>
        </w:tc>
      </w:tr>
    </w:tbl>
    <w:p w14:paraId="35671242" w14:textId="4E7DDA0E" w:rsidR="004C31CA" w:rsidRPr="00A04E56" w:rsidRDefault="004C31CA" w:rsidP="0049758A">
      <w:pPr>
        <w:pStyle w:val="SubtitleGreenExecutiveSummary"/>
      </w:pPr>
      <w:r w:rsidRPr="00A04E56">
        <w:t>Supporting young Europeans</w:t>
      </w:r>
    </w:p>
    <w:p w14:paraId="2D7DDF2B" w14:textId="509BDAAA" w:rsidR="00AC477C" w:rsidRPr="00A04E56" w:rsidRDefault="004C31CA" w:rsidP="00C34D74">
      <w:pPr>
        <w:pStyle w:val="BodyText1spaceafter"/>
      </w:pPr>
      <w:r w:rsidRPr="00A04E56">
        <w:t xml:space="preserve">The EU budget </w:t>
      </w:r>
      <w:r w:rsidR="00794F39" w:rsidRPr="00A04E56">
        <w:t xml:space="preserve">has </w:t>
      </w:r>
      <w:r w:rsidRPr="00A04E56">
        <w:t xml:space="preserve">created </w:t>
      </w:r>
      <w:r w:rsidRPr="00A04E56">
        <w:rPr>
          <w:rStyle w:val="BOLDGREENExecutiveSummary"/>
        </w:rPr>
        <w:t>opportunities to study and travel abroad</w:t>
      </w:r>
      <w:r w:rsidRPr="00A04E56">
        <w:t xml:space="preserve"> and helped</w:t>
      </w:r>
      <w:r w:rsidRPr="00A04E56" w:rsidDel="00494B64">
        <w:t xml:space="preserve"> </w:t>
      </w:r>
      <w:r w:rsidRPr="00A04E56">
        <w:t>young unemployed</w:t>
      </w:r>
      <w:r w:rsidRPr="00A04E56">
        <w:rPr>
          <w:noProof w:val="0"/>
        </w:rPr>
        <w:t xml:space="preserve"> people</w:t>
      </w:r>
      <w:r w:rsidRPr="00A04E56">
        <w:t xml:space="preserve"> to find work or enrol in training to increase their chances of finding a job. </w:t>
      </w:r>
      <w:r w:rsidR="00D75955">
        <w:t>Every year</w:t>
      </w:r>
      <w:r w:rsidRPr="00F10338">
        <w:t>,</w:t>
      </w:r>
      <w:r w:rsidRPr="00A04E56">
        <w:t xml:space="preserve"> more than 3.5</w:t>
      </w:r>
      <w:r w:rsidRPr="00A04E56">
        <w:rPr>
          <w:rFonts w:ascii="Calibri" w:hAnsi="Calibri" w:cs="Calibri"/>
          <w:noProof w:val="0"/>
        </w:rPr>
        <w:t> </w:t>
      </w:r>
      <w:r w:rsidRPr="00A04E56">
        <w:rPr>
          <w:noProof w:val="0"/>
        </w:rPr>
        <w:t>million</w:t>
      </w:r>
      <w:r w:rsidRPr="00A04E56">
        <w:t xml:space="preserve"> young people registered </w:t>
      </w:r>
      <w:r w:rsidR="00697D9E">
        <w:t>under</w:t>
      </w:r>
      <w:r w:rsidRPr="00A04E56">
        <w:t xml:space="preserve"> the </w:t>
      </w:r>
      <w:r w:rsidR="00697D9E">
        <w:t xml:space="preserve">Youth Guarantee </w:t>
      </w:r>
      <w:r w:rsidRPr="00A04E56">
        <w:t>receive an offer of employment, education</w:t>
      </w:r>
      <w:r w:rsidRPr="00A04E56">
        <w:rPr>
          <w:noProof w:val="0"/>
        </w:rPr>
        <w:t>, a traineeship or apprenticeship</w:t>
      </w:r>
      <w:r w:rsidR="00D75955">
        <w:rPr>
          <w:noProof w:val="0"/>
        </w:rPr>
        <w:t xml:space="preserve">. Since 2014, in total </w:t>
      </w:r>
      <w:r w:rsidR="006D101C" w:rsidRPr="00A04E56">
        <w:rPr>
          <w:noProof w:val="0"/>
        </w:rPr>
        <w:t xml:space="preserve">more than </w:t>
      </w:r>
      <w:r w:rsidR="006D101C" w:rsidRPr="00A04E56">
        <w:t>14</w:t>
      </w:r>
      <w:r w:rsidR="006F06FB" w:rsidRPr="00A04E56">
        <w:rPr>
          <w:rFonts w:ascii="Calibri" w:hAnsi="Calibri" w:cs="Calibri"/>
        </w:rPr>
        <w:t> </w:t>
      </w:r>
      <w:r w:rsidR="006D101C" w:rsidRPr="00A04E56">
        <w:t xml:space="preserve">million </w:t>
      </w:r>
      <w:r w:rsidR="00D75955">
        <w:t xml:space="preserve">have been </w:t>
      </w:r>
      <w:r w:rsidR="006D101C" w:rsidRPr="00A04E56">
        <w:t xml:space="preserve">benefiting </w:t>
      </w:r>
      <w:r w:rsidR="00D75955">
        <w:t>from this scheme.</w:t>
      </w:r>
      <w:r w:rsidR="00697D9E">
        <w:t xml:space="preserve"> </w:t>
      </w:r>
    </w:p>
    <w:p w14:paraId="23DCD16A" w14:textId="2627571C" w:rsidR="00351619" w:rsidRDefault="004C31CA" w:rsidP="004912D7">
      <w:pPr>
        <w:pStyle w:val="BodyText1spaceafter"/>
      </w:pPr>
      <w:r w:rsidRPr="00A04E56">
        <w:rPr>
          <w:rStyle w:val="BOLDGREENExecutiveSummary"/>
        </w:rPr>
        <w:t>Erasmus+</w:t>
      </w:r>
      <w:r w:rsidRPr="00A04E56">
        <w:t xml:space="preserve"> is one of the </w:t>
      </w:r>
      <w:r w:rsidR="00951E04" w:rsidRPr="00A04E56">
        <w:t>main ways for</w:t>
      </w:r>
      <w:r w:rsidRPr="00A04E56">
        <w:t xml:space="preserve"> </w:t>
      </w:r>
      <w:r w:rsidR="0023699D" w:rsidRPr="00A04E56">
        <w:t xml:space="preserve">Europeans </w:t>
      </w:r>
      <w:r w:rsidR="00951E04" w:rsidRPr="00A04E56">
        <w:t xml:space="preserve">to </w:t>
      </w:r>
      <w:r w:rsidRPr="00A04E56">
        <w:t xml:space="preserve">experience European identity in all its diversity. </w:t>
      </w:r>
      <w:r w:rsidR="008C1D39" w:rsidRPr="00A04E56">
        <w:rPr>
          <w:i/>
          <w:u w:val="single"/>
        </w:rPr>
        <w:t>In 2018</w:t>
      </w:r>
      <w:r w:rsidRPr="00A04E56">
        <w:t xml:space="preserve">, Erasmus+ </w:t>
      </w:r>
      <w:r w:rsidR="00351619" w:rsidRPr="00A04E56">
        <w:t>enabled around 800</w:t>
      </w:r>
      <w:r w:rsidR="00351619" w:rsidRPr="00A04E56">
        <w:rPr>
          <w:rFonts w:ascii="Calibri" w:hAnsi="Calibri" w:cs="Calibri"/>
        </w:rPr>
        <w:t> </w:t>
      </w:r>
      <w:r w:rsidR="00351619" w:rsidRPr="00A04E56">
        <w:t>000 teachers, lecturers, trainers, education staff and youth workers to acquire new skills abroad and boost their future employability.</w:t>
      </w:r>
      <w:r w:rsidR="00351619">
        <w:t xml:space="preserve"> The flagship programme </w:t>
      </w:r>
      <w:r w:rsidRPr="00A04E56">
        <w:t xml:space="preserve">demonstrated its flexibility with </w:t>
      </w:r>
      <w:r w:rsidR="00351619">
        <w:t xml:space="preserve">its support for setting-up of ‘European Universitites’ and </w:t>
      </w:r>
      <w:r w:rsidRPr="00A04E56">
        <w:t>the</w:t>
      </w:r>
      <w:r w:rsidR="00351619">
        <w:t xml:space="preserve"> Erasmus+ virtual exchanges.</w:t>
      </w:r>
    </w:p>
    <w:p w14:paraId="50977330" w14:textId="32AED50E" w:rsidR="00351619" w:rsidRDefault="00351619" w:rsidP="004912D7">
      <w:pPr>
        <w:pStyle w:val="BodyText1spaceafter"/>
        <w:rPr>
          <w:rStyle w:val="fnRef"/>
        </w:rPr>
      </w:pPr>
      <w:r>
        <w:t xml:space="preserve">Moreover, the Commission launched a </w:t>
      </w:r>
      <w:r w:rsidR="000B7EAC">
        <w:t>pilot</w:t>
      </w:r>
      <w:r>
        <w:t xml:space="preserve"> initiative, </w:t>
      </w:r>
      <w:r w:rsidR="004C31CA" w:rsidRPr="00A04E56">
        <w:t>DiscoverEU</w:t>
      </w:r>
      <w:r w:rsidR="004C31CA" w:rsidRPr="00A04E56">
        <w:rPr>
          <w:rStyle w:val="fnRef"/>
          <w:rFonts w:ascii="Arial" w:hAnsi="Arial" w:cs="Arial"/>
        </w:rPr>
        <w:t> </w:t>
      </w:r>
      <w:r w:rsidR="004C31CA" w:rsidRPr="00A04E56">
        <w:rPr>
          <w:rStyle w:val="fnRef"/>
        </w:rPr>
        <w:t>(</w:t>
      </w:r>
      <w:r w:rsidR="004C31CA" w:rsidRPr="00A04E56">
        <w:rPr>
          <w:rStyle w:val="fnRefNo"/>
        </w:rPr>
        <w:footnoteReference w:id="11"/>
      </w:r>
      <w:r w:rsidR="004C31CA" w:rsidRPr="00A04E56">
        <w:rPr>
          <w:rStyle w:val="fnRef"/>
        </w:rPr>
        <w:t>)</w:t>
      </w:r>
      <w:r w:rsidR="005F07DE">
        <w:rPr>
          <w:rStyle w:val="fnRef"/>
        </w:rPr>
        <w:t>,</w:t>
      </w:r>
      <w:r>
        <w:rPr>
          <w:rStyle w:val="fnRef"/>
        </w:rPr>
        <w:t xml:space="preserve"> which gives 18-year-old young people the opportunity to travel around Europe, learn from other cultures and explore their European identity. The Commission intends to develop DiscoverEU further and has therefore included it in its proposals for the next Eramus program.</w:t>
      </w:r>
    </w:p>
    <w:p w14:paraId="63158E94" w14:textId="342FE534" w:rsidR="00351619" w:rsidRDefault="00351619" w:rsidP="0005798F">
      <w:pPr>
        <w:pStyle w:val="BodyText1"/>
        <w:rPr>
          <w:rStyle w:val="fnRef"/>
          <w:noProof w:val="0"/>
          <w:color w:val="auto"/>
          <w:lang w:eastAsia="en-US"/>
        </w:rPr>
      </w:pPr>
      <w:r>
        <w:rPr>
          <w:lang w:val="en-GB"/>
        </w:rPr>
        <w:t xml:space="preserve">The </w:t>
      </w:r>
      <w:r w:rsidR="004C31CA" w:rsidRPr="00A04E56">
        <w:t>European Solidarity Corps</w:t>
      </w:r>
      <w:r w:rsidR="004C31CA" w:rsidRPr="00A04E56">
        <w:rPr>
          <w:rStyle w:val="fnRef"/>
          <w:rFonts w:ascii="Arial" w:hAnsi="Arial" w:cs="Arial"/>
        </w:rPr>
        <w:t> </w:t>
      </w:r>
      <w:r w:rsidR="004C31CA" w:rsidRPr="00A04E56">
        <w:rPr>
          <w:rStyle w:val="fnRef"/>
        </w:rPr>
        <w:t>(</w:t>
      </w:r>
      <w:r w:rsidR="004C31CA" w:rsidRPr="00A04E56">
        <w:rPr>
          <w:rStyle w:val="fnRefNo"/>
        </w:rPr>
        <w:footnoteReference w:id="12"/>
      </w:r>
      <w:r w:rsidR="004C31CA" w:rsidRPr="00A04E56">
        <w:rPr>
          <w:rStyle w:val="fnRef"/>
        </w:rPr>
        <w:t>)</w:t>
      </w:r>
      <w:r w:rsidR="000B7EAC">
        <w:t xml:space="preserve">programme got its own rules and budget and enabled a large number of young people to </w:t>
      </w:r>
      <w:r w:rsidR="0050158B">
        <w:t>help; explore, learn and develop, through activities like helping socially deprived</w:t>
      </w:r>
      <w:r w:rsidR="00D40477">
        <w:t>, taking care of the environment</w:t>
      </w:r>
      <w:r w:rsidR="0050158B">
        <w:t xml:space="preserve"> or reconstructing and bringing hope to communities after a natural disaster</w:t>
      </w:r>
      <w:r w:rsidR="000B7EAC">
        <w:t>.</w:t>
      </w:r>
    </w:p>
    <w:p w14:paraId="46F60B9F" w14:textId="0902A82B" w:rsidR="004C31CA" w:rsidRPr="00A04E56" w:rsidRDefault="004C31CA" w:rsidP="0005798F"/>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111"/>
        <w:gridCol w:w="254"/>
        <w:gridCol w:w="340"/>
        <w:gridCol w:w="115"/>
        <w:gridCol w:w="4250"/>
        <w:gridCol w:w="66"/>
      </w:tblGrid>
      <w:tr w:rsidR="00AF696B" w:rsidRPr="00A04E56" w14:paraId="21C824C4" w14:textId="77777777" w:rsidTr="000D13EF">
        <w:trPr>
          <w:gridAfter w:val="1"/>
          <w:wAfter w:w="66" w:type="dxa"/>
          <w:cantSplit/>
        </w:trPr>
        <w:tc>
          <w:tcPr>
            <w:tcW w:w="4365" w:type="dxa"/>
            <w:gridSpan w:val="2"/>
            <w:tcBorders>
              <w:top w:val="nil"/>
              <w:left w:val="nil"/>
              <w:bottom w:val="nil"/>
              <w:right w:val="nil"/>
            </w:tcBorders>
            <w:shd w:val="clear" w:color="auto" w:fill="D7F1EA" w:themeFill="accent4" w:themeFillTint="33"/>
            <w:tcMar>
              <w:top w:w="113" w:type="dxa"/>
              <w:bottom w:w="113" w:type="dxa"/>
            </w:tcMar>
          </w:tcPr>
          <w:p w14:paraId="227A1823" w14:textId="47FD5A90" w:rsidR="00AF696B" w:rsidRPr="00A04E56" w:rsidRDefault="00E307C6">
            <w:pPr>
              <w:pStyle w:val="BOXE2GREENtabletext"/>
              <w:keepNext/>
              <w:rPr>
                <w:lang w:val="en-GB"/>
              </w:rPr>
            </w:pPr>
            <w:r>
              <w:rPr>
                <w:lang w:val="en-GB"/>
              </w:rPr>
              <w:t>Since its start in 1987, m</w:t>
            </w:r>
            <w:r w:rsidR="00AF696B" w:rsidRPr="00A04E56">
              <w:rPr>
                <w:lang w:val="en-GB"/>
              </w:rPr>
              <w:t xml:space="preserve">ore than </w:t>
            </w:r>
            <w:r w:rsidR="000A33BD" w:rsidRPr="00A04E56">
              <w:rPr>
                <w:lang w:val="en-GB"/>
              </w:rPr>
              <w:t>10</w:t>
            </w:r>
            <w:r w:rsidR="00AF696B" w:rsidRPr="00A04E56">
              <w:rPr>
                <w:rFonts w:ascii="Calibri" w:hAnsi="Calibri" w:cs="Calibri"/>
                <w:noProof w:val="0"/>
                <w:lang w:val="en-GB"/>
              </w:rPr>
              <w:t> </w:t>
            </w:r>
            <w:r w:rsidR="00AF696B" w:rsidRPr="00A04E56">
              <w:rPr>
                <w:noProof w:val="0"/>
                <w:lang w:val="en-GB"/>
              </w:rPr>
              <w:t>million</w:t>
            </w:r>
            <w:r w:rsidR="00AF696B" w:rsidRPr="00A04E56">
              <w:rPr>
                <w:lang w:val="en-GB"/>
              </w:rPr>
              <w:t xml:space="preserve"> people</w:t>
            </w:r>
            <w:r w:rsidR="00C02E9A" w:rsidRPr="00A04E56">
              <w:rPr>
                <w:rFonts w:ascii="Calibri" w:hAnsi="Calibri" w:cs="Calibri"/>
                <w:lang w:val="en-GB"/>
              </w:rPr>
              <w:t> </w:t>
            </w:r>
            <w:r w:rsidR="00AF696B" w:rsidRPr="00A04E56">
              <w:rPr>
                <w:lang w:val="en-GB"/>
              </w:rPr>
              <w:t>have participated in Erasmus</w:t>
            </w:r>
            <w:r w:rsidR="00951E04" w:rsidRPr="00A04E56">
              <w:rPr>
                <w:lang w:val="en-GB"/>
              </w:rPr>
              <w:t>.</w:t>
            </w:r>
          </w:p>
        </w:tc>
        <w:tc>
          <w:tcPr>
            <w:tcW w:w="340" w:type="dxa"/>
            <w:tcBorders>
              <w:top w:val="nil"/>
              <w:left w:val="nil"/>
              <w:bottom w:val="nil"/>
              <w:right w:val="nil"/>
            </w:tcBorders>
            <w:shd w:val="clear" w:color="auto" w:fill="auto"/>
            <w:tcMar>
              <w:top w:w="113" w:type="dxa"/>
              <w:bottom w:w="113" w:type="dxa"/>
            </w:tcMar>
          </w:tcPr>
          <w:p w14:paraId="40FCBBB9" w14:textId="77777777" w:rsidR="00AF696B" w:rsidRPr="00A04E56" w:rsidRDefault="00AF696B" w:rsidP="00791BEC">
            <w:pPr>
              <w:pStyle w:val="BOXE2GREENtabletext"/>
              <w:keepNext/>
              <w:rPr>
                <w:lang w:val="en-GB"/>
              </w:rPr>
            </w:pPr>
          </w:p>
        </w:tc>
        <w:tc>
          <w:tcPr>
            <w:tcW w:w="4365" w:type="dxa"/>
            <w:gridSpan w:val="2"/>
            <w:tcBorders>
              <w:top w:val="nil"/>
              <w:left w:val="nil"/>
              <w:bottom w:val="nil"/>
              <w:right w:val="nil"/>
            </w:tcBorders>
            <w:shd w:val="clear" w:color="auto" w:fill="D7F1EA"/>
            <w:tcMar>
              <w:top w:w="113" w:type="dxa"/>
              <w:bottom w:w="113" w:type="dxa"/>
            </w:tcMar>
          </w:tcPr>
          <w:p w14:paraId="3ABA8D36" w14:textId="5492B87E" w:rsidR="00AF696B" w:rsidRPr="00A04E56" w:rsidRDefault="00AF696B" w:rsidP="00985159">
            <w:pPr>
              <w:pStyle w:val="BOXE2GREENtabletext"/>
              <w:keepNext/>
              <w:rPr>
                <w:lang w:val="en-GB"/>
              </w:rPr>
            </w:pPr>
            <w:r w:rsidRPr="00A04E56">
              <w:rPr>
                <w:i/>
                <w:u w:val="single"/>
                <w:lang w:val="en-GB"/>
              </w:rPr>
              <w:t>Between July and October 2018</w:t>
            </w:r>
            <w:r w:rsidRPr="00A04E56">
              <w:rPr>
                <w:lang w:val="en-GB"/>
              </w:rPr>
              <w:t xml:space="preserve"> around 15</w:t>
            </w:r>
            <w:r w:rsidR="0023699D" w:rsidRPr="00A04E56">
              <w:rPr>
                <w:rFonts w:ascii="Calibri" w:hAnsi="Calibri" w:cs="Calibri"/>
                <w:lang w:val="en-GB"/>
              </w:rPr>
              <w:t> </w:t>
            </w:r>
            <w:r w:rsidRPr="00A04E56" w:rsidDel="006221A4">
              <w:rPr>
                <w:lang w:val="en-GB"/>
              </w:rPr>
              <w:t>000</w:t>
            </w:r>
            <w:r w:rsidRPr="00A04E56">
              <w:rPr>
                <w:lang w:val="en-GB"/>
              </w:rPr>
              <w:t xml:space="preserve"> young people </w:t>
            </w:r>
            <w:r w:rsidR="0023699D" w:rsidRPr="00A04E56">
              <w:rPr>
                <w:lang w:val="en-GB"/>
              </w:rPr>
              <w:t xml:space="preserve">were able </w:t>
            </w:r>
            <w:r w:rsidRPr="00A04E56">
              <w:rPr>
                <w:lang w:val="en-GB"/>
              </w:rPr>
              <w:t xml:space="preserve">to explore Europe </w:t>
            </w:r>
            <w:r w:rsidR="006E5112" w:rsidRPr="00A04E56">
              <w:rPr>
                <w:lang w:val="en-GB"/>
              </w:rPr>
              <w:t xml:space="preserve">by rail </w:t>
            </w:r>
            <w:r w:rsidR="000A33BD" w:rsidRPr="00A04E56">
              <w:rPr>
                <w:lang w:val="en-GB"/>
              </w:rPr>
              <w:t>with a DiscoverEU travel pass.</w:t>
            </w:r>
            <w:r w:rsidR="00AE5EB7">
              <w:rPr>
                <w:lang w:val="en-GB"/>
              </w:rPr>
              <w:t xml:space="preserve"> Another </w:t>
            </w:r>
            <w:r w:rsidR="00E307C6">
              <w:rPr>
                <w:lang w:val="en-GB"/>
              </w:rPr>
              <w:t xml:space="preserve">14 500 have been selected </w:t>
            </w:r>
            <w:r w:rsidR="00985159">
              <w:rPr>
                <w:lang w:val="en-GB"/>
              </w:rPr>
              <w:t>i</w:t>
            </w:r>
            <w:r w:rsidR="00E307C6">
              <w:rPr>
                <w:lang w:val="en-GB"/>
              </w:rPr>
              <w:t>n the November 2018 application round.</w:t>
            </w:r>
          </w:p>
        </w:tc>
      </w:tr>
      <w:tr w:rsidR="00AF696B" w:rsidRPr="00A04E56" w14:paraId="47341B2C" w14:textId="77777777" w:rsidTr="000D13EF">
        <w:trPr>
          <w:cantSplit/>
          <w:trHeight w:hRule="exact" w:val="227"/>
        </w:trPr>
        <w:tc>
          <w:tcPr>
            <w:tcW w:w="4111" w:type="dxa"/>
            <w:tcBorders>
              <w:top w:val="nil"/>
              <w:left w:val="nil"/>
              <w:bottom w:val="nil"/>
              <w:right w:val="nil"/>
            </w:tcBorders>
            <w:shd w:val="clear" w:color="auto" w:fill="auto"/>
            <w:tcMar>
              <w:top w:w="113" w:type="dxa"/>
              <w:left w:w="0" w:type="dxa"/>
              <w:bottom w:w="113" w:type="dxa"/>
              <w:right w:w="0" w:type="dxa"/>
            </w:tcMar>
          </w:tcPr>
          <w:p w14:paraId="16372602" w14:textId="77777777" w:rsidR="00AF696B" w:rsidRPr="00A04E56" w:rsidRDefault="00AF696B" w:rsidP="00791BEC">
            <w:pPr>
              <w:pStyle w:val="BOXE2GREENtabletext"/>
              <w:keepNext/>
              <w:rPr>
                <w:lang w:val="en-GB"/>
              </w:rPr>
            </w:pPr>
          </w:p>
        </w:tc>
        <w:tc>
          <w:tcPr>
            <w:tcW w:w="709" w:type="dxa"/>
            <w:gridSpan w:val="3"/>
            <w:tcBorders>
              <w:top w:val="nil"/>
              <w:left w:val="nil"/>
              <w:bottom w:val="nil"/>
              <w:right w:val="nil"/>
            </w:tcBorders>
            <w:shd w:val="clear" w:color="auto" w:fill="auto"/>
            <w:tcMar>
              <w:top w:w="113" w:type="dxa"/>
              <w:left w:w="0" w:type="dxa"/>
              <w:bottom w:w="113" w:type="dxa"/>
              <w:right w:w="0" w:type="dxa"/>
            </w:tcMar>
          </w:tcPr>
          <w:p w14:paraId="5CB9D40C" w14:textId="77777777" w:rsidR="00AF696B" w:rsidRPr="00A04E56" w:rsidRDefault="00AF696B" w:rsidP="00791BEC">
            <w:pPr>
              <w:pStyle w:val="BOXE2GREENtabletext"/>
              <w:keepNext/>
              <w:rPr>
                <w:lang w:val="en-GB"/>
              </w:rPr>
            </w:pPr>
          </w:p>
        </w:tc>
        <w:tc>
          <w:tcPr>
            <w:tcW w:w="4316" w:type="dxa"/>
            <w:gridSpan w:val="2"/>
            <w:tcBorders>
              <w:top w:val="nil"/>
              <w:left w:val="nil"/>
              <w:bottom w:val="nil"/>
              <w:right w:val="nil"/>
            </w:tcBorders>
            <w:shd w:val="clear" w:color="auto" w:fill="auto"/>
            <w:tcMar>
              <w:top w:w="113" w:type="dxa"/>
              <w:bottom w:w="113" w:type="dxa"/>
            </w:tcMar>
          </w:tcPr>
          <w:p w14:paraId="6008A879" w14:textId="77777777" w:rsidR="00AF696B" w:rsidRPr="00A04E56" w:rsidRDefault="00AF696B" w:rsidP="00791BEC">
            <w:pPr>
              <w:pStyle w:val="BOXE2GREENtabletext"/>
              <w:keepNext/>
              <w:rPr>
                <w:lang w:val="en-GB"/>
              </w:rPr>
            </w:pPr>
          </w:p>
        </w:tc>
      </w:tr>
      <w:tr w:rsidR="00AF696B" w:rsidRPr="00A04E56" w14:paraId="5B7E31EE" w14:textId="77777777" w:rsidTr="000D13EF">
        <w:trPr>
          <w:cantSplit/>
        </w:trPr>
        <w:tc>
          <w:tcPr>
            <w:tcW w:w="9136" w:type="dxa"/>
            <w:gridSpan w:val="6"/>
            <w:tcBorders>
              <w:top w:val="nil"/>
              <w:left w:val="nil"/>
              <w:bottom w:val="nil"/>
              <w:right w:val="nil"/>
            </w:tcBorders>
            <w:shd w:val="clear" w:color="auto" w:fill="D7F1EA" w:themeFill="accent4" w:themeFillTint="33"/>
            <w:tcMar>
              <w:top w:w="113" w:type="dxa"/>
              <w:bottom w:w="113" w:type="dxa"/>
            </w:tcMar>
          </w:tcPr>
          <w:p w14:paraId="3503526F" w14:textId="4792FE32" w:rsidR="00AF696B" w:rsidRPr="00A04E56" w:rsidRDefault="00AF696B" w:rsidP="00D40477">
            <w:pPr>
              <w:pStyle w:val="BOXE2GREENtabletext"/>
              <w:rPr>
                <w:lang w:val="en-GB"/>
              </w:rPr>
            </w:pPr>
            <w:r w:rsidRPr="00A04E56">
              <w:rPr>
                <w:i/>
                <w:u w:val="single"/>
                <w:lang w:val="en-GB"/>
              </w:rPr>
              <w:t>By the end of December</w:t>
            </w:r>
            <w:r w:rsidR="00EE6848" w:rsidRPr="00A04E56">
              <w:rPr>
                <w:i/>
                <w:u w:val="single"/>
                <w:lang w:val="en-GB"/>
              </w:rPr>
              <w:t xml:space="preserve"> 2018</w:t>
            </w:r>
            <w:r w:rsidRPr="00A04E56">
              <w:rPr>
                <w:lang w:val="en-GB"/>
              </w:rPr>
              <w:t xml:space="preserve">, </w:t>
            </w:r>
            <w:r w:rsidR="00351619">
              <w:rPr>
                <w:lang w:val="en-GB"/>
              </w:rPr>
              <w:t xml:space="preserve">around 100 000 </w:t>
            </w:r>
            <w:r w:rsidR="00351619" w:rsidRPr="00A04E56">
              <w:rPr>
                <w:lang w:val="en-GB"/>
              </w:rPr>
              <w:t>civic-minded young people had</w:t>
            </w:r>
            <w:r w:rsidR="00351619">
              <w:rPr>
                <w:lang w:val="en-GB"/>
              </w:rPr>
              <w:t xml:space="preserve"> registered to join the </w:t>
            </w:r>
            <w:r w:rsidR="00351619" w:rsidRPr="00A04E56">
              <w:rPr>
                <w:lang w:val="en-GB"/>
              </w:rPr>
              <w:t>European Solidarity Corps</w:t>
            </w:r>
            <w:r w:rsidR="00351619">
              <w:rPr>
                <w:lang w:val="en-GB"/>
              </w:rPr>
              <w:t xml:space="preserve">. Almost </w:t>
            </w:r>
            <w:r w:rsidRPr="00A04E56">
              <w:rPr>
                <w:lang w:val="en-GB"/>
              </w:rPr>
              <w:t>11</w:t>
            </w:r>
            <w:r w:rsidRPr="00A04E56" w:rsidDel="006221A4">
              <w:rPr>
                <w:rFonts w:ascii="Calibri" w:hAnsi="Calibri" w:cs="Calibri"/>
                <w:lang w:val="en-GB"/>
              </w:rPr>
              <w:t> </w:t>
            </w:r>
            <w:r w:rsidRPr="00A04E56" w:rsidDel="006221A4">
              <w:rPr>
                <w:lang w:val="en-GB"/>
              </w:rPr>
              <w:t>000</w:t>
            </w:r>
            <w:r w:rsidR="00951E04" w:rsidRPr="00A04E56">
              <w:rPr>
                <w:lang w:val="en-GB"/>
              </w:rPr>
              <w:t xml:space="preserve"> </w:t>
            </w:r>
            <w:r w:rsidR="00351619">
              <w:rPr>
                <w:lang w:val="en-GB"/>
              </w:rPr>
              <w:t xml:space="preserve">of them had supported individuals and communities in need across Europe, mostly through </w:t>
            </w:r>
            <w:r w:rsidR="00A45523" w:rsidRPr="00A04E56">
              <w:rPr>
                <w:lang w:val="en-GB"/>
              </w:rPr>
              <w:t xml:space="preserve">volunteering </w:t>
            </w:r>
            <w:r w:rsidRPr="00A04E56">
              <w:rPr>
                <w:lang w:val="en-GB"/>
              </w:rPr>
              <w:t>activities.</w:t>
            </w:r>
            <w:r w:rsidR="008A37EF" w:rsidRPr="00A04E56">
              <w:rPr>
                <w:lang w:val="en-GB"/>
              </w:rPr>
              <w:t xml:space="preserve"> </w:t>
            </w:r>
          </w:p>
        </w:tc>
      </w:tr>
    </w:tbl>
    <w:p w14:paraId="689B0E7B" w14:textId="77777777" w:rsidR="00AC477C" w:rsidRPr="00A04E56" w:rsidRDefault="00AC477C" w:rsidP="00C34D74">
      <w:pPr>
        <w:pStyle w:val="BOXE2GREENtabletext"/>
        <w:keepNext/>
        <w:rPr>
          <w:lang w:val="en-GB"/>
        </w:rPr>
      </w:pPr>
    </w:p>
    <w:p w14:paraId="1AE03449" w14:textId="26FF1BA2" w:rsidR="00AC477C" w:rsidRPr="00A04E56" w:rsidRDefault="00AC477C" w:rsidP="00AC477C">
      <w:pPr>
        <w:pStyle w:val="BodyText1spaceafter"/>
      </w:pPr>
      <w:r w:rsidRPr="00A04E56">
        <w:t>The EU budget’s contribution to implement</w:t>
      </w:r>
      <w:r w:rsidR="00AE298D">
        <w:t>ing</w:t>
      </w:r>
      <w:r w:rsidRPr="00A04E56">
        <w:t xml:space="preserve"> the Youth Guarantee has been substantial, by creating opportunities for young people to study and travel abroad and by helping them find work or access training to increase their chances of finding a job.</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AC477C" w:rsidRPr="00A04E56" w14:paraId="6581441A" w14:textId="77777777" w:rsidTr="00AC477C">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2642A359" w14:textId="77777777" w:rsidR="00AC477C" w:rsidRPr="00A04E56" w:rsidRDefault="00AC477C" w:rsidP="00AC477C">
            <w:pPr>
              <w:pStyle w:val="BOXE2GREENtabletext"/>
              <w:rPr>
                <w:lang w:val="en-GB"/>
              </w:rPr>
            </w:pPr>
            <w:r w:rsidRPr="00A04E56">
              <w:rPr>
                <w:lang w:val="en-GB"/>
              </w:rPr>
              <w:t>Since its launch</w:t>
            </w:r>
            <w:r w:rsidRPr="00A04E56">
              <w:rPr>
                <w:rFonts w:ascii="Calibri" w:hAnsi="Calibri" w:cs="Calibri"/>
                <w:lang w:val="en-GB"/>
              </w:rPr>
              <w:t> </w:t>
            </w:r>
            <w:r w:rsidRPr="00A04E56">
              <w:rPr>
                <w:lang w:val="en-GB"/>
              </w:rPr>
              <w:t>(</w:t>
            </w:r>
            <w:r w:rsidRPr="00C91D3B">
              <w:rPr>
                <w:rStyle w:val="fnRefNo"/>
              </w:rPr>
              <w:footnoteReference w:id="13"/>
            </w:r>
            <w:r w:rsidRPr="00A04E56">
              <w:rPr>
                <w:lang w:val="en-GB"/>
              </w:rPr>
              <w:t>), more than 3.5</w:t>
            </w:r>
            <w:r w:rsidRPr="00A04E56">
              <w:rPr>
                <w:rFonts w:ascii="Calibri" w:hAnsi="Calibri" w:cs="Calibri"/>
                <w:noProof w:val="0"/>
                <w:lang w:val="en-GB"/>
              </w:rPr>
              <w:t> </w:t>
            </w:r>
            <w:r w:rsidRPr="00A04E56">
              <w:rPr>
                <w:noProof w:val="0"/>
                <w:lang w:val="en-GB"/>
              </w:rPr>
              <w:t>million</w:t>
            </w:r>
            <w:r w:rsidRPr="00A04E56">
              <w:rPr>
                <w:lang w:val="en-GB"/>
              </w:rPr>
              <w:t xml:space="preserve"> young people registered under the Youth Guarantee have received an offer of employment, continued education, a traineeship or an apprenticeship each year. </w:t>
            </w:r>
          </w:p>
        </w:tc>
      </w:tr>
    </w:tbl>
    <w:p w14:paraId="771AB5DA" w14:textId="113C7D8C" w:rsidR="004C31CA" w:rsidRPr="00A04E56" w:rsidRDefault="007D1744" w:rsidP="0049758A">
      <w:pPr>
        <w:pStyle w:val="SubtitleGreenExecutiveSummary"/>
      </w:pPr>
      <w:r w:rsidRPr="00A04E56">
        <w:t>Budget h</w:t>
      </w:r>
      <w:r w:rsidR="00311F16" w:rsidRPr="00A04E56">
        <w:t xml:space="preserve">eading 1B </w:t>
      </w:r>
      <w:r w:rsidR="00C02E9A" w:rsidRPr="00A04E56">
        <w:t>—</w:t>
      </w:r>
      <w:r w:rsidR="00311F16" w:rsidRPr="00A04E56">
        <w:t xml:space="preserve"> </w:t>
      </w:r>
      <w:r w:rsidR="00AA75A3" w:rsidRPr="00A04E56">
        <w:t>Driving</w:t>
      </w:r>
      <w:r w:rsidR="004C31CA" w:rsidRPr="00A04E56">
        <w:t xml:space="preserve"> job creation, sustainable growth and innovation </w:t>
      </w:r>
      <w:r w:rsidR="00AA75A3" w:rsidRPr="00A04E56">
        <w:t>through cohesion policy</w:t>
      </w:r>
    </w:p>
    <w:p w14:paraId="2582447F" w14:textId="179B757A" w:rsidR="00BF6927" w:rsidRPr="00A04E56" w:rsidRDefault="004C31CA" w:rsidP="00444757">
      <w:pPr>
        <w:pStyle w:val="BodyText1spaceafter"/>
      </w:pPr>
      <w:r w:rsidRPr="00A04E56">
        <w:t xml:space="preserve">Cohesion </w:t>
      </w:r>
      <w:r w:rsidR="003A6AFF" w:rsidRPr="00A04E56">
        <w:t>p</w:t>
      </w:r>
      <w:r w:rsidRPr="00A04E56">
        <w:t>olicy</w:t>
      </w:r>
      <w:r w:rsidR="00744358" w:rsidRPr="00A04E56">
        <w:t>, with a budget of EUR</w:t>
      </w:r>
      <w:r w:rsidR="00C02E9A" w:rsidRPr="00A04E56">
        <w:rPr>
          <w:rFonts w:ascii="Calibri" w:hAnsi="Calibri" w:cs="Calibri"/>
        </w:rPr>
        <w:t> </w:t>
      </w:r>
      <w:r w:rsidR="00744358" w:rsidRPr="00A04E56">
        <w:t>352</w:t>
      </w:r>
      <w:r w:rsidR="00C02E9A" w:rsidRPr="00A04E56">
        <w:rPr>
          <w:rFonts w:ascii="Calibri" w:hAnsi="Calibri" w:cs="Calibri"/>
        </w:rPr>
        <w:t> </w:t>
      </w:r>
      <w:r w:rsidR="00744358" w:rsidRPr="00A04E56">
        <w:t>billion (for 2014-2020</w:t>
      </w:r>
      <w:r w:rsidR="00BF6927" w:rsidRPr="00A04E56">
        <w:t xml:space="preserve">), almost a third of the total EU </w:t>
      </w:r>
      <w:r w:rsidR="00C02E9A" w:rsidRPr="00A04E56">
        <w:t>b</w:t>
      </w:r>
      <w:r w:rsidR="00BF6927" w:rsidRPr="00A04E56">
        <w:t>udget, aims to reduce disparities and support</w:t>
      </w:r>
      <w:r w:rsidRPr="00A04E56">
        <w:t xml:space="preserve"> the </w:t>
      </w:r>
      <w:r w:rsidRPr="00A04E56">
        <w:rPr>
          <w:rStyle w:val="BOLDGREENExecutiveSummary"/>
        </w:rPr>
        <w:t>economic, social and territorial cohesion</w:t>
      </w:r>
      <w:r w:rsidRPr="00A04E56">
        <w:t xml:space="preserve"> of </w:t>
      </w:r>
      <w:r w:rsidRPr="00A04E56">
        <w:rPr>
          <w:noProof w:val="0"/>
        </w:rPr>
        <w:t>the EU.</w:t>
      </w:r>
      <w:r w:rsidRPr="00A04E56">
        <w:t xml:space="preserve"> The </w:t>
      </w:r>
      <w:r w:rsidR="00776816" w:rsidRPr="00A04E56">
        <w:t xml:space="preserve">powerful </w:t>
      </w:r>
      <w:r w:rsidR="003A6AFF" w:rsidRPr="00A04E56">
        <w:t>contribution of</w:t>
      </w:r>
      <w:r w:rsidR="00BF6927" w:rsidRPr="00A04E56">
        <w:t xml:space="preserve"> this </w:t>
      </w:r>
      <w:r w:rsidR="003A6AFF" w:rsidRPr="00A04E56">
        <w:t>p</w:t>
      </w:r>
      <w:r w:rsidRPr="00A04E56">
        <w:t xml:space="preserve">olicy is evidenced by the </w:t>
      </w:r>
      <w:r w:rsidR="00BF6927" w:rsidRPr="00A04E56">
        <w:t xml:space="preserve">strong </w:t>
      </w:r>
      <w:r w:rsidRPr="00A04E56">
        <w:t xml:space="preserve">catching-up </w:t>
      </w:r>
      <w:r w:rsidR="00BF6927" w:rsidRPr="00A04E56">
        <w:t xml:space="preserve">of less-developed Member Sates and regions with the rest of the </w:t>
      </w:r>
      <w:r w:rsidR="00A77651" w:rsidRPr="00A04E56">
        <w:t>E</w:t>
      </w:r>
      <w:r w:rsidR="00BF6927" w:rsidRPr="00A04E56">
        <w:t>U in terms of productivity and gross domestic product per head</w:t>
      </w:r>
      <w:r w:rsidRPr="00A04E56">
        <w:t xml:space="preserve">. </w:t>
      </w:r>
      <w:r w:rsidR="00BF6927" w:rsidRPr="00A04E56">
        <w:t>The funds directly support the delivery of key EU priorities</w:t>
      </w:r>
      <w:r w:rsidR="00A77651" w:rsidRPr="00A04E56">
        <w:t xml:space="preserve"> and</w:t>
      </w:r>
      <w:r w:rsidR="00BF6927" w:rsidRPr="00A04E56">
        <w:t xml:space="preserve"> the implementation of country</w:t>
      </w:r>
      <w:r w:rsidR="00A77651" w:rsidRPr="00A04E56">
        <w:t>-</w:t>
      </w:r>
      <w:r w:rsidR="00BF6927" w:rsidRPr="00A04E56">
        <w:t xml:space="preserve">specific recommendations in the context of the European </w:t>
      </w:r>
      <w:r w:rsidR="00AE4B2D" w:rsidRPr="00A04E56">
        <w:t>Semester</w:t>
      </w:r>
      <w:r w:rsidR="00A77651" w:rsidRPr="00A04E56">
        <w:t>, as well as</w:t>
      </w:r>
      <w:r w:rsidR="00BF6927" w:rsidRPr="00A04E56">
        <w:t xml:space="preserve"> e</w:t>
      </w:r>
      <w:r w:rsidR="00A77651" w:rsidRPr="00A04E56">
        <w:t>n</w:t>
      </w:r>
      <w:r w:rsidR="00BF6927" w:rsidRPr="00A04E56">
        <w:t xml:space="preserve">sure the necessary investment conditions through the follow-up of </w:t>
      </w:r>
      <w:r w:rsidR="00BF6927" w:rsidRPr="00A04E56">
        <w:rPr>
          <w:i/>
        </w:rPr>
        <w:t>ex</w:t>
      </w:r>
      <w:r w:rsidR="00A77651" w:rsidRPr="00A04E56">
        <w:rPr>
          <w:i/>
        </w:rPr>
        <w:t xml:space="preserve"> </w:t>
      </w:r>
      <w:r w:rsidR="00BF6927" w:rsidRPr="00A04E56">
        <w:rPr>
          <w:i/>
        </w:rPr>
        <w:t>ante</w:t>
      </w:r>
      <w:r w:rsidR="00BF6927" w:rsidRPr="00A04E56">
        <w:t xml:space="preserve"> condition</w:t>
      </w:r>
      <w:r w:rsidR="00EF7A87" w:rsidRPr="00A04E56">
        <w:t>s set</w:t>
      </w:r>
      <w:r w:rsidR="00BF6927" w:rsidRPr="00A04E56">
        <w:t xml:space="preserve"> for the 2014-2020 programmes.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187FAF" w:rsidRPr="00A04E56" w14:paraId="58B58B6E" w14:textId="77777777" w:rsidTr="00187FAF">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6AF1C8E9" w14:textId="3C9A2BFC" w:rsidR="00187FAF" w:rsidRPr="00A04E56" w:rsidRDefault="00187FAF" w:rsidP="00187FAF">
            <w:pPr>
              <w:pStyle w:val="BOXE2GREENtabletext"/>
              <w:rPr>
                <w:lang w:val="en-GB"/>
              </w:rPr>
            </w:pPr>
            <w:r w:rsidRPr="00A04E56">
              <w:rPr>
                <w:lang w:val="en-GB"/>
              </w:rPr>
              <w:t>EUR</w:t>
            </w:r>
            <w:r w:rsidRPr="00A04E56">
              <w:rPr>
                <w:rFonts w:ascii="Calibri" w:hAnsi="Calibri" w:cs="Calibri"/>
                <w:lang w:val="en-GB"/>
              </w:rPr>
              <w:t> </w:t>
            </w:r>
            <w:r w:rsidRPr="00A04E56">
              <w:rPr>
                <w:lang w:val="en-GB"/>
              </w:rPr>
              <w:t>1 of cohesion policy investments made in the period 2007-2013 is expected to generate EUR</w:t>
            </w:r>
            <w:r w:rsidRPr="00A04E56">
              <w:rPr>
                <w:rFonts w:ascii="Calibri" w:hAnsi="Calibri" w:cs="Calibri"/>
                <w:lang w:val="en-GB"/>
              </w:rPr>
              <w:t> </w:t>
            </w:r>
            <w:r w:rsidRPr="00A04E56">
              <w:rPr>
                <w:lang w:val="en-GB"/>
              </w:rPr>
              <w:t>2.74 of additional gross domestic product by 2023. During the same period, around 1.3</w:t>
            </w:r>
            <w:r w:rsidRPr="00A04E56">
              <w:rPr>
                <w:rFonts w:ascii="Calibri" w:hAnsi="Calibri" w:cs="Calibri"/>
                <w:lang w:val="en-GB"/>
              </w:rPr>
              <w:t> </w:t>
            </w:r>
            <w:r w:rsidRPr="00A04E56">
              <w:rPr>
                <w:lang w:val="en-GB"/>
              </w:rPr>
              <w:t>million jobs were created.</w:t>
            </w:r>
          </w:p>
        </w:tc>
      </w:tr>
    </w:tbl>
    <w:p w14:paraId="56BF66A1" w14:textId="64A8C02E" w:rsidR="004C31CA" w:rsidRDefault="003A6AFF" w:rsidP="002033E1">
      <w:pPr>
        <w:pStyle w:val="BodyText1spacebeforeandafter"/>
      </w:pPr>
      <w:r w:rsidRPr="00A04E56">
        <w:t>T</w:t>
      </w:r>
      <w:r w:rsidR="004C31CA" w:rsidRPr="00A04E56">
        <w:rPr>
          <w:noProof w:val="0"/>
        </w:rPr>
        <w:t>he</w:t>
      </w:r>
      <w:r w:rsidR="004C31CA" w:rsidRPr="00A04E56">
        <w:t xml:space="preserve"> EU budget continued to support Member States and region</w:t>
      </w:r>
      <w:r w:rsidR="004C31CA" w:rsidRPr="00A04E56" w:rsidDel="009E10A7">
        <w:t xml:space="preserve">s in </w:t>
      </w:r>
      <w:r w:rsidR="004C31CA" w:rsidRPr="00A04E56">
        <w:t xml:space="preserve">tackling new and persistent challenges, such as harnessing globalisation, </w:t>
      </w:r>
      <w:r w:rsidR="00BF6927" w:rsidRPr="00A04E56">
        <w:t xml:space="preserve">tackling unemployment, </w:t>
      </w:r>
      <w:r w:rsidR="004C31CA" w:rsidRPr="00A04E56">
        <w:t xml:space="preserve">addressing industrial change, embracing innovation and digitalisation, </w:t>
      </w:r>
      <w:r w:rsidR="005B6187" w:rsidRPr="00A04E56">
        <w:t xml:space="preserve">reskilling people, </w:t>
      </w:r>
      <w:r w:rsidR="004C31CA" w:rsidRPr="00A04E56">
        <w:t>managing migration in the long run and fighting climate change</w:t>
      </w:r>
      <w:r w:rsidR="00BF6927" w:rsidRPr="00A04E56">
        <w:t xml:space="preserve">, including the transition to less-carbon </w:t>
      </w:r>
      <w:r w:rsidR="00AE298D">
        <w:t xml:space="preserve">intensive </w:t>
      </w:r>
      <w:r w:rsidR="00BF6927" w:rsidRPr="00A04E56">
        <w:t>economy and transports</w:t>
      </w:r>
      <w:r w:rsidR="004C31CA" w:rsidRPr="00A04E56">
        <w:t xml:space="preserve">. </w:t>
      </w:r>
    </w:p>
    <w:tbl>
      <w:tblPr>
        <w:tblW w:w="9411" w:type="dxa"/>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1"/>
        <w:gridCol w:w="340"/>
      </w:tblGrid>
      <w:tr w:rsidR="00643DE5" w:rsidRPr="00A04E56" w14:paraId="53935618" w14:textId="77777777" w:rsidTr="0005798F">
        <w:trPr>
          <w:cantSplit/>
        </w:trPr>
        <w:tc>
          <w:tcPr>
            <w:tcW w:w="9071" w:type="dxa"/>
            <w:shd w:val="clear" w:color="auto" w:fill="D7F1EA"/>
            <w:tcMar>
              <w:top w:w="113" w:type="dxa"/>
              <w:bottom w:w="113" w:type="dxa"/>
            </w:tcMar>
          </w:tcPr>
          <w:p w14:paraId="0DB437D1" w14:textId="342327AD" w:rsidR="00643DE5" w:rsidRPr="00A04E56" w:rsidRDefault="00643DE5" w:rsidP="00A45523">
            <w:pPr>
              <w:pStyle w:val="BOXE2GREENtabletext"/>
              <w:rPr>
                <w:lang w:val="en-GB"/>
              </w:rPr>
            </w:pPr>
            <w:r w:rsidRPr="00A04E56">
              <w:rPr>
                <w:lang w:val="en-GB"/>
              </w:rPr>
              <w:t xml:space="preserve">EU investment in transport </w:t>
            </w:r>
            <w:r w:rsidR="00D75955">
              <w:rPr>
                <w:lang w:val="en-GB"/>
              </w:rPr>
              <w:t xml:space="preserve">focussed on </w:t>
            </w:r>
            <w:r w:rsidRPr="00A04E56">
              <w:rPr>
                <w:lang w:val="en-GB"/>
              </w:rPr>
              <w:t xml:space="preserve">removing bottlenecks </w:t>
            </w:r>
            <w:r w:rsidR="00D75955">
              <w:rPr>
                <w:lang w:val="en-GB"/>
              </w:rPr>
              <w:t xml:space="preserve">by </w:t>
            </w:r>
            <w:r w:rsidRPr="00A04E56">
              <w:rPr>
                <w:lang w:val="en-GB"/>
              </w:rPr>
              <w:t>help</w:t>
            </w:r>
            <w:r w:rsidR="00D75955">
              <w:rPr>
                <w:lang w:val="en-GB"/>
              </w:rPr>
              <w:t>ing</w:t>
            </w:r>
            <w:r w:rsidRPr="00A04E56">
              <w:rPr>
                <w:lang w:val="en-GB"/>
              </w:rPr>
              <w:t xml:space="preserve"> </w:t>
            </w:r>
            <w:r w:rsidR="00D75955">
              <w:rPr>
                <w:lang w:val="en-GB"/>
              </w:rPr>
              <w:t xml:space="preserve">the </w:t>
            </w:r>
            <w:r w:rsidRPr="00A04E56">
              <w:rPr>
                <w:lang w:val="en-GB"/>
              </w:rPr>
              <w:t xml:space="preserve">repair </w:t>
            </w:r>
            <w:r w:rsidR="00D75955">
              <w:rPr>
                <w:lang w:val="en-GB"/>
              </w:rPr>
              <w:t xml:space="preserve">and </w:t>
            </w:r>
            <w:r w:rsidRPr="00A04E56">
              <w:rPr>
                <w:lang w:val="en-GB"/>
              </w:rPr>
              <w:t>improve</w:t>
            </w:r>
            <w:r w:rsidR="00D75955">
              <w:rPr>
                <w:lang w:val="en-GB"/>
              </w:rPr>
              <w:t>ment of</w:t>
            </w:r>
            <w:r w:rsidRPr="00A04E56">
              <w:rPr>
                <w:lang w:val="en-GB"/>
              </w:rPr>
              <w:t xml:space="preserve"> 7</w:t>
            </w:r>
            <w:r w:rsidRPr="00A04E56">
              <w:rPr>
                <w:rFonts w:ascii="Calibri" w:hAnsi="Calibri" w:cs="Calibri"/>
                <w:lang w:val="en-GB"/>
              </w:rPr>
              <w:t> </w:t>
            </w:r>
            <w:r w:rsidRPr="00A04E56">
              <w:rPr>
                <w:lang w:val="en-GB"/>
              </w:rPr>
              <w:t>500</w:t>
            </w:r>
            <w:r w:rsidRPr="00A04E56">
              <w:rPr>
                <w:rFonts w:ascii="Calibri" w:hAnsi="Calibri" w:cs="Calibri"/>
                <w:lang w:val="en-GB"/>
              </w:rPr>
              <w:t> </w:t>
            </w:r>
            <w:r w:rsidRPr="00A04E56">
              <w:rPr>
                <w:lang w:val="en-GB"/>
              </w:rPr>
              <w:t xml:space="preserve">km of old roads and </w:t>
            </w:r>
            <w:r w:rsidR="00964923">
              <w:rPr>
                <w:lang w:val="en-GB"/>
              </w:rPr>
              <w:t xml:space="preserve">the </w:t>
            </w:r>
            <w:r w:rsidRPr="00A04E56">
              <w:rPr>
                <w:lang w:val="en-GB"/>
              </w:rPr>
              <w:t>build</w:t>
            </w:r>
            <w:r w:rsidR="00D75955">
              <w:rPr>
                <w:lang w:val="en-GB"/>
              </w:rPr>
              <w:t>ing</w:t>
            </w:r>
            <w:r w:rsidR="00964923">
              <w:rPr>
                <w:lang w:val="en-GB"/>
              </w:rPr>
              <w:t xml:space="preserve"> of</w:t>
            </w:r>
            <w:r w:rsidRPr="00A04E56">
              <w:rPr>
                <w:lang w:val="en-GB"/>
              </w:rPr>
              <w:t xml:space="preserve"> 3</w:t>
            </w:r>
            <w:r w:rsidRPr="00A04E56">
              <w:rPr>
                <w:rFonts w:ascii="Calibri" w:hAnsi="Calibri" w:cs="Calibri"/>
                <w:lang w:val="en-GB"/>
              </w:rPr>
              <w:t> </w:t>
            </w:r>
            <w:r w:rsidRPr="00A04E56">
              <w:rPr>
                <w:lang w:val="en-GB"/>
              </w:rPr>
              <w:t>100</w:t>
            </w:r>
            <w:r w:rsidRPr="00A04E56">
              <w:rPr>
                <w:rFonts w:ascii="Calibri" w:hAnsi="Calibri" w:cs="Calibri"/>
                <w:noProof w:val="0"/>
                <w:lang w:val="en-GB"/>
              </w:rPr>
              <w:t> </w:t>
            </w:r>
            <w:r w:rsidRPr="00A04E56">
              <w:rPr>
                <w:noProof w:val="0"/>
                <w:lang w:val="en-GB"/>
              </w:rPr>
              <w:t>km</w:t>
            </w:r>
            <w:r w:rsidRPr="00A04E56" w:rsidDel="00E9307F">
              <w:rPr>
                <w:lang w:val="en-GB"/>
              </w:rPr>
              <w:t xml:space="preserve"> </w:t>
            </w:r>
            <w:r w:rsidRPr="00A04E56">
              <w:rPr>
                <w:lang w:val="en-GB"/>
              </w:rPr>
              <w:t>new roads</w:t>
            </w:r>
            <w:r w:rsidRPr="00A04E56" w:rsidDel="00603676">
              <w:rPr>
                <w:lang w:val="en-GB"/>
              </w:rPr>
              <w:t xml:space="preserve"> </w:t>
            </w:r>
            <w:r w:rsidRPr="00A04E56">
              <w:rPr>
                <w:lang w:val="en-GB"/>
              </w:rPr>
              <w:t>(</w:t>
            </w:r>
            <w:r w:rsidRPr="00A04E56">
              <w:rPr>
                <w:i/>
                <w:u w:val="single"/>
                <w:lang w:val="en-GB"/>
              </w:rPr>
              <w:t>projects selected</w:t>
            </w:r>
            <w:r w:rsidRPr="00A04E56">
              <w:rPr>
                <w:u w:val="single"/>
                <w:lang w:val="en-GB"/>
              </w:rPr>
              <w:t xml:space="preserve"> </w:t>
            </w:r>
            <w:r w:rsidRPr="00A04E56">
              <w:rPr>
                <w:i/>
                <w:u w:val="single"/>
                <w:lang w:val="en-GB"/>
              </w:rPr>
              <w:t>up to the end of 2018</w:t>
            </w:r>
            <w:r w:rsidRPr="00A04E56">
              <w:rPr>
                <w:lang w:val="en-GB"/>
              </w:rPr>
              <w:t>).</w:t>
            </w:r>
          </w:p>
        </w:tc>
        <w:tc>
          <w:tcPr>
            <w:tcW w:w="340" w:type="dxa"/>
            <w:shd w:val="clear" w:color="auto" w:fill="auto"/>
            <w:tcMar>
              <w:top w:w="113" w:type="dxa"/>
              <w:bottom w:w="113" w:type="dxa"/>
            </w:tcMar>
          </w:tcPr>
          <w:p w14:paraId="55CE0A71" w14:textId="77777777" w:rsidR="00643DE5" w:rsidRPr="00A04E56" w:rsidRDefault="00643DE5" w:rsidP="00444757">
            <w:pPr>
              <w:pStyle w:val="BOXE2GREENtabletext"/>
              <w:rPr>
                <w:lang w:val="en-GB"/>
              </w:rPr>
            </w:pPr>
          </w:p>
        </w:tc>
      </w:tr>
    </w:tbl>
    <w:p w14:paraId="60788234" w14:textId="66E6399F" w:rsidR="000433A4" w:rsidRPr="00107DA0" w:rsidRDefault="000433A4" w:rsidP="00791BEC">
      <w:pPr>
        <w:pStyle w:val="BodyText1spaceafter"/>
        <w:rPr>
          <w:sz w:val="6"/>
        </w:rPr>
      </w:pPr>
    </w:p>
    <w:tbl>
      <w:tblPr>
        <w:tblW w:w="9070" w:type="dxa"/>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BF6927" w:rsidRPr="00A04E56" w14:paraId="19118FCE" w14:textId="77777777" w:rsidTr="00E752DE">
        <w:trPr>
          <w:cantSplit/>
        </w:trPr>
        <w:tc>
          <w:tcPr>
            <w:tcW w:w="4365" w:type="dxa"/>
            <w:shd w:val="clear" w:color="auto" w:fill="D7F1EA"/>
            <w:tcMar>
              <w:top w:w="113" w:type="dxa"/>
              <w:bottom w:w="113" w:type="dxa"/>
            </w:tcMar>
          </w:tcPr>
          <w:p w14:paraId="38692E02" w14:textId="46F084FC" w:rsidR="00021484" w:rsidRPr="009D539E" w:rsidRDefault="00BF6927" w:rsidP="0005798F">
            <w:pPr>
              <w:pStyle w:val="BOXE2GREENtabletext"/>
            </w:pPr>
            <w:r w:rsidRPr="0005798F">
              <w:rPr>
                <w:lang w:val="en-GB"/>
              </w:rPr>
              <w:t>Through cohesion policy investments</w:t>
            </w:r>
            <w:r w:rsidR="00021484" w:rsidRPr="0005798F">
              <w:rPr>
                <w:lang w:val="en-GB"/>
              </w:rPr>
              <w:t>,</w:t>
            </w:r>
            <w:r w:rsidR="00B5506F" w:rsidRPr="0005798F">
              <w:rPr>
                <w:lang w:val="en-GB"/>
              </w:rPr>
              <w:t xml:space="preserve"> </w:t>
            </w:r>
            <w:r w:rsidR="00021484" w:rsidRPr="0005798F">
              <w:rPr>
                <w:lang w:val="en-GB"/>
              </w:rPr>
              <w:t xml:space="preserve">public buildings use 5.2 </w:t>
            </w:r>
            <w:r w:rsidR="005F07DE">
              <w:rPr>
                <w:lang w:val="en-GB"/>
              </w:rPr>
              <w:t xml:space="preserve">terrawatt hours per </w:t>
            </w:r>
            <w:r w:rsidR="00021484" w:rsidRPr="0005798F">
              <w:rPr>
                <w:lang w:val="en-GB"/>
              </w:rPr>
              <w:t>year less energy than they did</w:t>
            </w:r>
            <w:r w:rsidR="00B5506F" w:rsidRPr="0005798F">
              <w:rPr>
                <w:lang w:val="en-GB"/>
              </w:rPr>
              <w:t xml:space="preserve">. In addition, </w:t>
            </w:r>
            <w:r w:rsidR="00021484" w:rsidRPr="0005798F">
              <w:rPr>
                <w:lang w:val="en-GB"/>
              </w:rPr>
              <w:t>748 km of new or improved tram and metro lines</w:t>
            </w:r>
            <w:r w:rsidR="00B5506F" w:rsidRPr="0005798F">
              <w:rPr>
                <w:lang w:val="en-GB"/>
              </w:rPr>
              <w:t xml:space="preserve"> </w:t>
            </w:r>
            <w:r w:rsidR="005F07DE">
              <w:rPr>
                <w:lang w:val="en-GB"/>
              </w:rPr>
              <w:t xml:space="preserve">and </w:t>
            </w:r>
            <w:r w:rsidR="00B5506F" w:rsidRPr="0005798F">
              <w:rPr>
                <w:lang w:val="en-GB"/>
              </w:rPr>
              <w:t xml:space="preserve"> </w:t>
            </w:r>
            <w:r w:rsidR="005F07DE">
              <w:rPr>
                <w:lang w:val="en-GB"/>
              </w:rPr>
              <w:t xml:space="preserve">close to </w:t>
            </w:r>
            <w:r w:rsidR="00B5506F" w:rsidRPr="0005798F">
              <w:rPr>
                <w:lang w:val="en-GB"/>
              </w:rPr>
              <w:t>7 5</w:t>
            </w:r>
            <w:r w:rsidR="005F07DE">
              <w:rPr>
                <w:lang w:val="en-GB"/>
              </w:rPr>
              <w:t>00</w:t>
            </w:r>
            <w:r w:rsidR="00B5506F" w:rsidRPr="0005798F">
              <w:rPr>
                <w:lang w:val="en-GB"/>
              </w:rPr>
              <w:t xml:space="preserve"> km of new or upgraded railway lines</w:t>
            </w:r>
            <w:r w:rsidR="00021484" w:rsidRPr="0005798F">
              <w:rPr>
                <w:lang w:val="en-GB"/>
              </w:rPr>
              <w:t>.</w:t>
            </w:r>
          </w:p>
          <w:p w14:paraId="06203131" w14:textId="1C68574A" w:rsidR="00BF6927" w:rsidRPr="00A04E56" w:rsidRDefault="00BF6927" w:rsidP="00021484">
            <w:pPr>
              <w:pStyle w:val="BOXE2GREENtabletext"/>
              <w:rPr>
                <w:lang w:val="en-GB"/>
              </w:rPr>
            </w:pPr>
          </w:p>
        </w:tc>
        <w:tc>
          <w:tcPr>
            <w:tcW w:w="340" w:type="dxa"/>
            <w:shd w:val="clear" w:color="auto" w:fill="auto"/>
            <w:tcMar>
              <w:top w:w="113" w:type="dxa"/>
              <w:bottom w:w="113" w:type="dxa"/>
            </w:tcMar>
          </w:tcPr>
          <w:p w14:paraId="1C0BCD31" w14:textId="77777777" w:rsidR="00BF6927" w:rsidRPr="00A04E56" w:rsidRDefault="00BF6927" w:rsidP="00E752DE">
            <w:pPr>
              <w:pStyle w:val="BOXE2GREENtabletext"/>
              <w:rPr>
                <w:lang w:val="en-GB"/>
              </w:rPr>
            </w:pPr>
          </w:p>
        </w:tc>
        <w:tc>
          <w:tcPr>
            <w:tcW w:w="4365" w:type="dxa"/>
            <w:shd w:val="clear" w:color="auto" w:fill="D7F1EA"/>
            <w:tcMar>
              <w:top w:w="113" w:type="dxa"/>
              <w:bottom w:w="113" w:type="dxa"/>
            </w:tcMar>
          </w:tcPr>
          <w:p w14:paraId="0BCB809C" w14:textId="3ACEB942" w:rsidR="00BF6927" w:rsidRPr="00A04E56" w:rsidRDefault="00BF6927" w:rsidP="00372A3D">
            <w:pPr>
              <w:pStyle w:val="BOXE2GREENtabletext"/>
              <w:rPr>
                <w:lang w:val="en-GB"/>
              </w:rPr>
            </w:pPr>
            <w:r w:rsidRPr="00277538">
              <w:rPr>
                <w:lang w:val="en-GB"/>
              </w:rPr>
              <w:t xml:space="preserve">By </w:t>
            </w:r>
            <w:r w:rsidR="00372A3D" w:rsidRPr="00277538">
              <w:rPr>
                <w:lang w:val="en-GB"/>
              </w:rPr>
              <w:t>the end of 2017</w:t>
            </w:r>
            <w:r w:rsidR="00372A3D" w:rsidRPr="00A04E56">
              <w:rPr>
                <w:lang w:val="en-GB"/>
              </w:rPr>
              <w:t xml:space="preserve">, over 15 million people </w:t>
            </w:r>
            <w:r w:rsidR="00372A3D" w:rsidRPr="00A04E56">
              <w:rPr>
                <w:noProof w:val="0"/>
                <w:lang w:val="en-GB"/>
              </w:rPr>
              <w:t>benefit</w:t>
            </w:r>
            <w:r w:rsidR="00DA20EC" w:rsidRPr="00A04E56">
              <w:rPr>
                <w:noProof w:val="0"/>
                <w:lang w:val="en-GB"/>
              </w:rPr>
              <w:t>ed</w:t>
            </w:r>
            <w:r w:rsidR="00372A3D" w:rsidRPr="00A04E56">
              <w:rPr>
                <w:lang w:val="en-GB"/>
              </w:rPr>
              <w:t xml:space="preserve"> from support</w:t>
            </w:r>
            <w:r w:rsidR="00372A3D" w:rsidRPr="00A04E56">
              <w:rPr>
                <w:noProof w:val="0"/>
                <w:lang w:val="en-GB"/>
              </w:rPr>
              <w:t xml:space="preserve"> from</w:t>
            </w:r>
            <w:r w:rsidR="00372A3D" w:rsidRPr="00A04E56">
              <w:rPr>
                <w:lang w:val="en-GB"/>
              </w:rPr>
              <w:t xml:space="preserve"> </w:t>
            </w:r>
            <w:r w:rsidR="00372A3D" w:rsidRPr="00A04E56">
              <w:rPr>
                <w:noProof w:val="0"/>
                <w:lang w:val="en-GB"/>
              </w:rPr>
              <w:t xml:space="preserve">the </w:t>
            </w:r>
            <w:r w:rsidR="00372A3D" w:rsidRPr="00A04E56">
              <w:rPr>
                <w:lang w:val="en-GB"/>
              </w:rPr>
              <w:t xml:space="preserve">European Social Fund to find better job </w:t>
            </w:r>
            <w:r w:rsidR="00783F72" w:rsidRPr="00783F72">
              <w:rPr>
                <w:lang w:val="en-GB"/>
              </w:rPr>
              <w:t>opportunities</w:t>
            </w:r>
            <w:r w:rsidR="00372A3D" w:rsidRPr="00A04E56">
              <w:rPr>
                <w:noProof w:val="0"/>
                <w:lang w:val="en-GB"/>
              </w:rPr>
              <w:t xml:space="preserve"> and develop their </w:t>
            </w:r>
            <w:r w:rsidR="00372A3D" w:rsidRPr="00A04E56">
              <w:rPr>
                <w:lang w:val="en-GB"/>
              </w:rPr>
              <w:t>skills, more than 1.7 million unemployed people found a job and over 2 million people gained new qualifications.</w:t>
            </w:r>
          </w:p>
        </w:tc>
      </w:tr>
    </w:tbl>
    <w:p w14:paraId="25FD24AF" w14:textId="77777777" w:rsidR="00021484" w:rsidRDefault="00021484" w:rsidP="00021484">
      <w:pPr>
        <w:ind w:left="1440"/>
      </w:pPr>
      <w:r>
        <w:rPr>
          <w:rFonts w:ascii="Calibri" w:hAnsi="Calibri" w:cs="Calibri"/>
        </w:rPr>
        <w:t> </w:t>
      </w:r>
    </w:p>
    <w:p w14:paraId="02ACD8E7" w14:textId="3501B6F8" w:rsidR="004C31CA" w:rsidRPr="00A04E56" w:rsidRDefault="007D1744" w:rsidP="0049758A">
      <w:pPr>
        <w:pStyle w:val="SubtitleGreenExecutiveSummary"/>
      </w:pPr>
      <w:r w:rsidRPr="00A04E56">
        <w:t>Budget h</w:t>
      </w:r>
      <w:r w:rsidR="00311F16" w:rsidRPr="00A04E56">
        <w:t xml:space="preserve">eading 2 </w:t>
      </w:r>
      <w:r w:rsidR="00A77651" w:rsidRPr="00A04E56">
        <w:t>—</w:t>
      </w:r>
      <w:r w:rsidR="00311F16" w:rsidRPr="00A04E56">
        <w:t xml:space="preserve"> </w:t>
      </w:r>
      <w:r w:rsidR="004C31CA" w:rsidRPr="00A04E56">
        <w:t xml:space="preserve">The EU budget </w:t>
      </w:r>
      <w:r w:rsidR="00B27DD5" w:rsidRPr="00A04E56">
        <w:t xml:space="preserve">helps modernise </w:t>
      </w:r>
      <w:r w:rsidR="004C31CA" w:rsidRPr="00A04E56">
        <w:t xml:space="preserve">the EU agricultural sector, to </w:t>
      </w:r>
      <w:r w:rsidR="00B27DD5" w:rsidRPr="00A04E56">
        <w:t>ensure safe</w:t>
      </w:r>
      <w:r w:rsidR="00AE298D">
        <w:t>,</w:t>
      </w:r>
      <w:r w:rsidR="00B27DD5" w:rsidRPr="00A04E56">
        <w:t xml:space="preserve"> </w:t>
      </w:r>
      <w:r w:rsidR="008A136B" w:rsidRPr="00A04E56">
        <w:t>high-</w:t>
      </w:r>
      <w:r w:rsidR="004C31CA" w:rsidRPr="00A04E56">
        <w:t xml:space="preserve">quality food, </w:t>
      </w:r>
      <w:r w:rsidR="008A136B" w:rsidRPr="00A04E56">
        <w:t xml:space="preserve">and </w:t>
      </w:r>
      <w:r w:rsidR="00B27DD5" w:rsidRPr="00A04E56">
        <w:t xml:space="preserve">create </w:t>
      </w:r>
      <w:r w:rsidR="004C31CA" w:rsidRPr="00A04E56">
        <w:t>sustainable ag</w:t>
      </w:r>
      <w:r w:rsidR="00D762D1">
        <w:t>riculture and rural development</w:t>
      </w:r>
    </w:p>
    <w:p w14:paraId="3C09B982" w14:textId="51956DD3" w:rsidR="004C31CA" w:rsidRPr="00A04E56" w:rsidRDefault="004C31CA" w:rsidP="00AE298D">
      <w:pPr>
        <w:pStyle w:val="BodyText1spaceafter"/>
      </w:pPr>
      <w:r w:rsidRPr="00A04E56">
        <w:t>The common agricultural policy</w:t>
      </w:r>
      <w:r w:rsidRPr="00A04E56">
        <w:rPr>
          <w:rFonts w:ascii="Calibri" w:hAnsi="Calibri" w:cs="Calibri"/>
        </w:rPr>
        <w:t> </w:t>
      </w:r>
      <w:r w:rsidR="00B6777E" w:rsidRPr="00A04E56">
        <w:rPr>
          <w:rFonts w:cs="Calibri"/>
        </w:rPr>
        <w:t xml:space="preserve">has </w:t>
      </w:r>
      <w:r w:rsidRPr="00A04E56">
        <w:t xml:space="preserve">helped </w:t>
      </w:r>
      <w:r w:rsidR="00B6777E" w:rsidRPr="00A04E56">
        <w:t xml:space="preserve">to </w:t>
      </w:r>
      <w:r w:rsidRPr="00A04E56">
        <w:t xml:space="preserve">achieve balanced territorial development and </w:t>
      </w:r>
      <w:r w:rsidRPr="00A04E56">
        <w:rPr>
          <w:rStyle w:val="BOLDGREENExecutiveSummary"/>
        </w:rPr>
        <w:t>reduc</w:t>
      </w:r>
      <w:r w:rsidR="00B27DD5" w:rsidRPr="00A04E56">
        <w:rPr>
          <w:rStyle w:val="BOLDGREENExecutiveSummary"/>
        </w:rPr>
        <w:t xml:space="preserve">e </w:t>
      </w:r>
      <w:r w:rsidRPr="00A04E56">
        <w:rPr>
          <w:rStyle w:val="BOLDGREENExecutiveSummary"/>
        </w:rPr>
        <w:t>the income gap</w:t>
      </w:r>
      <w:r w:rsidRPr="00A04E56">
        <w:t xml:space="preserve"> between </w:t>
      </w:r>
      <w:r w:rsidR="00B27DD5" w:rsidRPr="00A04E56">
        <w:t xml:space="preserve">the </w:t>
      </w:r>
      <w:r w:rsidRPr="00A04E56">
        <w:t xml:space="preserve">agricultural </w:t>
      </w:r>
      <w:r w:rsidR="00B27DD5" w:rsidRPr="00A04E56">
        <w:t xml:space="preserve">sector </w:t>
      </w:r>
      <w:r w:rsidRPr="00A04E56">
        <w:t>and other sectors</w:t>
      </w:r>
      <w:r w:rsidR="00FA50D0">
        <w:t>;</w:t>
      </w:r>
      <w:r w:rsidRPr="00A04E56">
        <w:t xml:space="preserve"> and between Member States and regions</w:t>
      </w:r>
      <w:r w:rsidR="00FA50D0">
        <w:t>. The policy also</w:t>
      </w:r>
      <w:r w:rsidR="00860AF8" w:rsidRPr="00A04E56">
        <w:t xml:space="preserve"> help</w:t>
      </w:r>
      <w:r w:rsidR="00FA50D0">
        <w:t>s</w:t>
      </w:r>
      <w:r w:rsidR="00860AF8" w:rsidRPr="00A04E56">
        <w:t xml:space="preserve"> to keep the EU’s vital food production sustainable</w:t>
      </w:r>
      <w:r w:rsidRPr="00A04E56">
        <w:t xml:space="preserve">. Direct payments </w:t>
      </w:r>
      <w:r w:rsidR="00F42679" w:rsidRPr="00A04E56">
        <w:t xml:space="preserve">boost </w:t>
      </w:r>
      <w:r w:rsidRPr="00A04E56">
        <w:t>income and provide relative income stability to farmers facing significant price and production volatility</w:t>
      </w:r>
      <w:r w:rsidR="00887FBA" w:rsidRPr="00A04E56">
        <w:t xml:space="preserve">. </w:t>
      </w:r>
    </w:p>
    <w:p w14:paraId="1C3EA45C" w14:textId="4A4DE0B9" w:rsidR="00E75D41" w:rsidRPr="00A04E56" w:rsidRDefault="004C31CA" w:rsidP="00E75D41">
      <w:pPr>
        <w:pStyle w:val="BodyText1spaceafter"/>
      </w:pPr>
      <w:r w:rsidRPr="00A04E56">
        <w:t>The EU budget provide</w:t>
      </w:r>
      <w:r w:rsidR="00F42679" w:rsidRPr="00A04E56">
        <w:t>s</w:t>
      </w:r>
      <w:r w:rsidRPr="00A04E56">
        <w:t xml:space="preserve"> the necessary means for </w:t>
      </w:r>
      <w:r w:rsidRPr="00A04E56">
        <w:rPr>
          <w:rStyle w:val="BOLDGREENExecutiveSummary"/>
        </w:rPr>
        <w:t>resilient, sustainable and competitive agriculture</w:t>
      </w:r>
      <w:r w:rsidRPr="00A04E56">
        <w:t xml:space="preserve">. </w:t>
      </w:r>
      <w:r w:rsidR="00F42679" w:rsidRPr="00A04E56">
        <w:t xml:space="preserve">Some </w:t>
      </w:r>
      <w:r w:rsidRPr="00A04E56">
        <w:t>6.</w:t>
      </w:r>
      <w:r w:rsidR="006D1EBB" w:rsidRPr="00A04E56">
        <w:t>5</w:t>
      </w:r>
      <w:r w:rsidRPr="00A04E56">
        <w:rPr>
          <w:rFonts w:cs="Calibri"/>
          <w:noProof w:val="0"/>
        </w:rPr>
        <w:t> </w:t>
      </w:r>
      <w:r w:rsidRPr="00A04E56">
        <w:rPr>
          <w:noProof w:val="0"/>
        </w:rPr>
        <w:t>million</w:t>
      </w:r>
      <w:r w:rsidRPr="00A04E56">
        <w:t xml:space="preserve"> farmers benefited from direct payments </w:t>
      </w:r>
      <w:r w:rsidR="00F42679" w:rsidRPr="00A04E56">
        <w:t xml:space="preserve">with </w:t>
      </w:r>
      <w:r w:rsidRPr="00A04E56">
        <w:t>this support constitut</w:t>
      </w:r>
      <w:r w:rsidR="00F42679" w:rsidRPr="00A04E56">
        <w:t>ing</w:t>
      </w:r>
      <w:r w:rsidRPr="00A04E56">
        <w:t xml:space="preserve"> 38% of their farming income.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E75D41" w:rsidRPr="00A04E56" w14:paraId="1E37F311" w14:textId="77777777" w:rsidTr="000D13EF">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50C4853A" w14:textId="2CB76A4E" w:rsidR="00E75D41" w:rsidRPr="00A04E56" w:rsidRDefault="00E75D41" w:rsidP="00F74DD4">
            <w:pPr>
              <w:pStyle w:val="BOXE2GREENtabletext"/>
              <w:rPr>
                <w:lang w:val="en-GB"/>
              </w:rPr>
            </w:pPr>
            <w:r w:rsidRPr="00277538">
              <w:rPr>
                <w:lang w:val="en-GB"/>
              </w:rPr>
              <w:t>Since 2014</w:t>
            </w:r>
            <w:r w:rsidR="001E6EC4">
              <w:rPr>
                <w:lang w:val="en-GB"/>
              </w:rPr>
              <w:t>,</w:t>
            </w:r>
            <w:r w:rsidRPr="00A04E56">
              <w:rPr>
                <w:lang w:val="en-GB"/>
              </w:rPr>
              <w:t xml:space="preserve"> the European Agricultural Fund for Rural Development </w:t>
            </w:r>
            <w:r w:rsidR="00F42679" w:rsidRPr="00A04E56">
              <w:rPr>
                <w:lang w:val="en-GB"/>
              </w:rPr>
              <w:t xml:space="preserve">helped </w:t>
            </w:r>
            <w:r w:rsidR="001E6EC4">
              <w:rPr>
                <w:lang w:val="en-GB"/>
              </w:rPr>
              <w:t>to</w:t>
            </w:r>
            <w:r w:rsidR="00F42679" w:rsidRPr="00A04E56">
              <w:rPr>
                <w:lang w:val="en-GB"/>
              </w:rPr>
              <w:t xml:space="preserve"> </w:t>
            </w:r>
            <w:r w:rsidRPr="00A04E56">
              <w:rPr>
                <w:lang w:val="en-GB"/>
              </w:rPr>
              <w:t>modernis</w:t>
            </w:r>
            <w:r w:rsidR="00F42679" w:rsidRPr="00A04E56">
              <w:rPr>
                <w:lang w:val="en-GB"/>
              </w:rPr>
              <w:t xml:space="preserve">e the </w:t>
            </w:r>
            <w:r w:rsidRPr="00A04E56">
              <w:rPr>
                <w:lang w:val="en-GB"/>
              </w:rPr>
              <w:t xml:space="preserve">agricultural holdings of more than </w:t>
            </w:r>
            <w:r w:rsidR="008645AA" w:rsidRPr="00A04E56">
              <w:rPr>
                <w:lang w:val="en-GB"/>
              </w:rPr>
              <w:t>51</w:t>
            </w:r>
            <w:r w:rsidR="00F42679" w:rsidRPr="00A04E56">
              <w:rPr>
                <w:rFonts w:ascii="Calibri" w:hAnsi="Calibri" w:cs="Calibri"/>
                <w:lang w:val="en-GB"/>
              </w:rPr>
              <w:t> </w:t>
            </w:r>
            <w:r w:rsidR="002E247F" w:rsidRPr="00A04E56">
              <w:rPr>
                <w:lang w:val="en-GB"/>
              </w:rPr>
              <w:t>4</w:t>
            </w:r>
            <w:r w:rsidR="002E247F" w:rsidRPr="00A04E56" w:rsidDel="006221A4">
              <w:rPr>
                <w:lang w:val="en-GB"/>
              </w:rPr>
              <w:t>00</w:t>
            </w:r>
            <w:r w:rsidR="002E247F" w:rsidRPr="00A04E56">
              <w:rPr>
                <w:lang w:val="en-GB"/>
              </w:rPr>
              <w:t xml:space="preserve"> </w:t>
            </w:r>
            <w:r w:rsidRPr="00A04E56">
              <w:rPr>
                <w:lang w:val="en-GB"/>
              </w:rPr>
              <w:t xml:space="preserve">young farmers, </w:t>
            </w:r>
            <w:r w:rsidR="00F42679" w:rsidRPr="00A04E56">
              <w:rPr>
                <w:lang w:val="en-GB"/>
              </w:rPr>
              <w:t xml:space="preserve">helped </w:t>
            </w:r>
            <w:r w:rsidR="001E6EC4">
              <w:rPr>
                <w:lang w:val="en-GB"/>
              </w:rPr>
              <w:t>to</w:t>
            </w:r>
            <w:r w:rsidR="00F42679" w:rsidRPr="00A04E56">
              <w:rPr>
                <w:lang w:val="en-GB"/>
              </w:rPr>
              <w:t xml:space="preserve"> </w:t>
            </w:r>
            <w:r w:rsidRPr="00A04E56">
              <w:rPr>
                <w:lang w:val="en-GB"/>
              </w:rPr>
              <w:t>train</w:t>
            </w:r>
            <w:r w:rsidR="00F42679" w:rsidRPr="00A04E56">
              <w:rPr>
                <w:lang w:val="en-GB"/>
              </w:rPr>
              <w:t xml:space="preserve"> </w:t>
            </w:r>
            <w:r w:rsidRPr="00A04E56">
              <w:rPr>
                <w:lang w:val="en-GB"/>
              </w:rPr>
              <w:t>more than 1</w:t>
            </w:r>
            <w:r w:rsidRPr="00A04E56">
              <w:rPr>
                <w:rFonts w:ascii="Calibri" w:hAnsi="Calibri" w:cs="Calibri"/>
                <w:lang w:val="en-GB"/>
              </w:rPr>
              <w:t> </w:t>
            </w:r>
            <w:r w:rsidRPr="00A04E56">
              <w:rPr>
                <w:lang w:val="en-GB"/>
              </w:rPr>
              <w:t xml:space="preserve">million participants, </w:t>
            </w:r>
            <w:r w:rsidR="00F42679" w:rsidRPr="00A04E56">
              <w:rPr>
                <w:lang w:val="en-GB"/>
              </w:rPr>
              <w:t xml:space="preserve">supported </w:t>
            </w:r>
            <w:r w:rsidRPr="00A04E56">
              <w:rPr>
                <w:lang w:val="en-GB"/>
              </w:rPr>
              <w:t>organic farming on close to 16</w:t>
            </w:r>
            <w:r w:rsidRPr="00A04E56">
              <w:rPr>
                <w:rFonts w:ascii="Calibri" w:hAnsi="Calibri" w:cs="Calibri"/>
                <w:noProof w:val="0"/>
                <w:lang w:val="en-GB"/>
              </w:rPr>
              <w:t> </w:t>
            </w:r>
            <w:r w:rsidRPr="00A04E56">
              <w:rPr>
                <w:noProof w:val="0"/>
                <w:lang w:val="en-GB"/>
              </w:rPr>
              <w:t>million</w:t>
            </w:r>
            <w:r w:rsidRPr="00A04E56">
              <w:rPr>
                <w:lang w:val="en-GB"/>
              </w:rPr>
              <w:t xml:space="preserve"> hectares and invested over </w:t>
            </w:r>
            <w:r w:rsidRPr="00A04E56" w:rsidDel="00D63039">
              <w:rPr>
                <w:lang w:val="en-GB"/>
              </w:rPr>
              <w:t>EUR</w:t>
            </w:r>
            <w:r w:rsidRPr="00A04E56">
              <w:rPr>
                <w:rFonts w:ascii="Calibri" w:hAnsi="Calibri" w:cs="Calibri"/>
                <w:noProof w:val="0"/>
                <w:lang w:val="en-GB"/>
              </w:rPr>
              <w:t> </w:t>
            </w:r>
            <w:r w:rsidRPr="00A04E56">
              <w:rPr>
                <w:lang w:val="en-GB"/>
              </w:rPr>
              <w:t>255</w:t>
            </w:r>
            <w:r w:rsidRPr="00A04E56">
              <w:rPr>
                <w:rFonts w:ascii="Calibri" w:hAnsi="Calibri" w:cs="Calibri"/>
                <w:lang w:val="en-GB"/>
              </w:rPr>
              <w:t> </w:t>
            </w:r>
            <w:r w:rsidRPr="00A04E56">
              <w:rPr>
                <w:lang w:val="en-GB"/>
              </w:rPr>
              <w:t>million in renewable</w:t>
            </w:r>
            <w:r w:rsidR="002B5F47" w:rsidRPr="00A04E56">
              <w:rPr>
                <w:lang w:val="en-GB"/>
              </w:rPr>
              <w:t>-energy</w:t>
            </w:r>
            <w:r w:rsidRPr="00A04E56">
              <w:rPr>
                <w:lang w:val="en-GB"/>
              </w:rPr>
              <w:t xml:space="preserve"> production.</w:t>
            </w:r>
          </w:p>
        </w:tc>
      </w:tr>
    </w:tbl>
    <w:p w14:paraId="2CB7FF5D" w14:textId="62A85DBD" w:rsidR="004C31CA" w:rsidRDefault="00F74DD4" w:rsidP="00E75D41">
      <w:pPr>
        <w:pStyle w:val="BodyText1spacebeforeandafter"/>
      </w:pPr>
      <w:r w:rsidRPr="00A04E56">
        <w:t xml:space="preserve">The European Maritime and Fisheries Fund supports </w:t>
      </w:r>
      <w:r w:rsidRPr="00A04E56">
        <w:rPr>
          <w:rStyle w:val="BOLDGREENExecutiveSummary"/>
        </w:rPr>
        <w:t>e</w:t>
      </w:r>
      <w:r w:rsidR="004C31CA" w:rsidRPr="00A04E56">
        <w:rPr>
          <w:rStyle w:val="BOLDGREENExecutiveSummary"/>
        </w:rPr>
        <w:t>nvironmentally sustainable, resource-efficient, innovative, competitive and knowledge-based fisheries and aquaculture</w:t>
      </w:r>
      <w:r w:rsidR="004C31CA" w:rsidRPr="00A04E56">
        <w:t xml:space="preserve">. </w:t>
      </w:r>
      <w:r w:rsidR="00A2482F" w:rsidRPr="00A04E56">
        <w:t xml:space="preserve">These efforts </w:t>
      </w:r>
      <w:r w:rsidR="002A544F" w:rsidRPr="00A04E56">
        <w:t xml:space="preserve">allow </w:t>
      </w:r>
      <w:r w:rsidR="00A2482F" w:rsidRPr="00A04E56">
        <w:t>the</w:t>
      </w:r>
      <w:r w:rsidR="004C31CA" w:rsidRPr="00A04E56">
        <w:t xml:space="preserve"> EU </w:t>
      </w:r>
      <w:r w:rsidR="002A544F" w:rsidRPr="00A04E56">
        <w:t xml:space="preserve">to </w:t>
      </w:r>
      <w:r w:rsidR="00A2482F" w:rsidRPr="00A04E56">
        <w:t>remain</w:t>
      </w:r>
      <w:r w:rsidR="004C31CA" w:rsidRPr="00A04E56">
        <w:t xml:space="preserve"> an international leader i</w:t>
      </w:r>
      <w:r w:rsidR="00652E8D" w:rsidRPr="00A04E56">
        <w:t>n sustainable ocean management.</w:t>
      </w:r>
    </w:p>
    <w:p w14:paraId="29CC5998" w14:textId="3729E61D" w:rsidR="004C31CA" w:rsidRPr="00A04E56" w:rsidRDefault="004C31CA" w:rsidP="0049758A">
      <w:pPr>
        <w:pStyle w:val="SubtitleGreenExecutiveSummary"/>
      </w:pPr>
      <w:r w:rsidRPr="00A04E56">
        <w:t xml:space="preserve">The </w:t>
      </w:r>
      <w:r w:rsidR="00737E8F" w:rsidRPr="00A04E56">
        <w:t xml:space="preserve">EU </w:t>
      </w:r>
      <w:r w:rsidRPr="00A04E56">
        <w:t>is a global front-runner in sustainability and climate policies</w:t>
      </w:r>
    </w:p>
    <w:p w14:paraId="565CB6DA" w14:textId="0A548CF5" w:rsidR="00CF658F" w:rsidRDefault="009D6AE9" w:rsidP="008037B3">
      <w:pPr>
        <w:pStyle w:val="BodyText1spaceafter"/>
        <w:spacing w:after="360"/>
      </w:pPr>
      <w:r w:rsidRPr="00A04E56">
        <w:t xml:space="preserve">As part of </w:t>
      </w:r>
      <w:r w:rsidR="004C31CA" w:rsidRPr="00A04E56">
        <w:t xml:space="preserve">its commitment to the </w:t>
      </w:r>
      <w:r w:rsidR="004C31CA" w:rsidRPr="0005798F">
        <w:t>fight against climate change</w:t>
      </w:r>
      <w:r w:rsidR="005C4C3A" w:rsidRPr="00A04E56">
        <w:t xml:space="preserve">, </w:t>
      </w:r>
      <w:r w:rsidR="005C4C3A" w:rsidRPr="0005798F">
        <w:rPr>
          <w:rStyle w:val="BOLDGREENExecutiveSummary"/>
        </w:rPr>
        <w:t xml:space="preserve">the EU has </w:t>
      </w:r>
      <w:r w:rsidR="004C31CA" w:rsidRPr="0005798F">
        <w:rPr>
          <w:rStyle w:val="BOLDGREENExecutiveSummary"/>
        </w:rPr>
        <w:t>integrat</w:t>
      </w:r>
      <w:r w:rsidR="005C4C3A" w:rsidRPr="0005798F">
        <w:rPr>
          <w:rStyle w:val="BOLDGREENExecutiveSummary"/>
        </w:rPr>
        <w:t>ed</w:t>
      </w:r>
      <w:r w:rsidR="004C31CA" w:rsidRPr="0005798F">
        <w:rPr>
          <w:rStyle w:val="BOLDGREENExecutiveSummary"/>
        </w:rPr>
        <w:t xml:space="preserve"> </w:t>
      </w:r>
      <w:r w:rsidR="00CF658F" w:rsidRPr="0005798F">
        <w:rPr>
          <w:rStyle w:val="BOLDGREENExecutiveSummary"/>
        </w:rPr>
        <w:t xml:space="preserve">EUR 32 billion </w:t>
      </w:r>
      <w:r w:rsidR="004C31CA" w:rsidRPr="0005798F">
        <w:rPr>
          <w:rStyle w:val="BOLDGREENExecutiveSummary"/>
        </w:rPr>
        <w:t>spending on climate action across all EU programmes</w:t>
      </w:r>
      <w:r w:rsidR="004C31CA" w:rsidRPr="00A04E56">
        <w:t xml:space="preserve">, in particular </w:t>
      </w:r>
      <w:r w:rsidR="00737E8F" w:rsidRPr="00A04E56">
        <w:t>c</w:t>
      </w:r>
      <w:r w:rsidR="004C31CA" w:rsidRPr="00A04E56">
        <w:t xml:space="preserve">ohesion </w:t>
      </w:r>
      <w:r w:rsidR="00737E8F" w:rsidRPr="00A04E56">
        <w:t>p</w:t>
      </w:r>
      <w:r w:rsidR="004C31CA" w:rsidRPr="00A04E56">
        <w:t>olicy, energy, transport, research and innovation</w:t>
      </w:r>
      <w:r w:rsidR="002A544F" w:rsidRPr="00A04E56">
        <w:t xml:space="preserve"> and</w:t>
      </w:r>
      <w:r w:rsidR="004C31CA" w:rsidRPr="00A04E56">
        <w:t xml:space="preserve"> the </w:t>
      </w:r>
      <w:r w:rsidR="004C31CA" w:rsidRPr="00A04E56">
        <w:rPr>
          <w:noProof w:val="0"/>
        </w:rPr>
        <w:t>common agricultural policy</w:t>
      </w:r>
      <w:r w:rsidR="002A544F" w:rsidRPr="00A04E56">
        <w:rPr>
          <w:noProof w:val="0"/>
        </w:rPr>
        <w:t>,</w:t>
      </w:r>
      <w:r w:rsidR="004C31CA" w:rsidRPr="00A04E56">
        <w:rPr>
          <w:noProof w:val="0"/>
        </w:rPr>
        <w:t xml:space="preserve"> </w:t>
      </w:r>
      <w:r w:rsidR="004C31CA" w:rsidRPr="00A04E56">
        <w:t xml:space="preserve">as well as the EU’s development policy, making the EU budget a </w:t>
      </w:r>
      <w:r w:rsidR="002A544F" w:rsidRPr="00A04E56">
        <w:t xml:space="preserve">key </w:t>
      </w:r>
      <w:r w:rsidR="004C31CA" w:rsidRPr="00A04E56">
        <w:t>driver of sustainability.</w:t>
      </w:r>
      <w:r w:rsidR="00CF658F">
        <w:t xml:space="preserve"> This represents 20.7% of the 2018 budget. </w:t>
      </w:r>
      <w:r w:rsidR="00CF658F" w:rsidRPr="00CF658F">
        <w:t>The latest estimate is that it will be EUR 210 billion (19.7%) for the entire programming period.</w:t>
      </w:r>
    </w:p>
    <w:p w14:paraId="4ECBCBDC" w14:textId="4C1D022A" w:rsidR="003C447A" w:rsidRDefault="00321611" w:rsidP="008037B3">
      <w:pPr>
        <w:pStyle w:val="BodyText1spaceafter"/>
        <w:spacing w:after="360"/>
      </w:pPr>
      <w:r w:rsidRPr="00A04E56">
        <w:rPr>
          <w:i/>
          <w:u w:val="single"/>
        </w:rPr>
        <w:t>Between 2014 and</w:t>
      </w:r>
      <w:r w:rsidR="005205C2" w:rsidRPr="00A04E56">
        <w:rPr>
          <w:i/>
          <w:u w:val="single"/>
        </w:rPr>
        <w:t xml:space="preserve"> 20</w:t>
      </w:r>
      <w:r w:rsidR="00D20988">
        <w:rPr>
          <w:i/>
          <w:u w:val="single"/>
        </w:rPr>
        <w:t>20</w:t>
      </w:r>
      <w:r w:rsidR="005205C2" w:rsidRPr="00A04E56">
        <w:t>, the</w:t>
      </w:r>
      <w:r w:rsidR="006F4CA8" w:rsidRPr="00A04E56">
        <w:t xml:space="preserve"> European Regional Development Fund and Cohesion Fund </w:t>
      </w:r>
      <w:r w:rsidR="003C447A">
        <w:t xml:space="preserve">are </w:t>
      </w:r>
      <w:r w:rsidR="003C447A" w:rsidRPr="00A04E56">
        <w:t>invest</w:t>
      </w:r>
      <w:r w:rsidR="003C447A">
        <w:t>ing</w:t>
      </w:r>
      <w:r w:rsidR="003C447A" w:rsidRPr="00A04E56">
        <w:t xml:space="preserve"> </w:t>
      </w:r>
      <w:r w:rsidR="006F4CA8" w:rsidRPr="00A04E56">
        <w:t>EUR</w:t>
      </w:r>
      <w:r w:rsidR="00543AC8" w:rsidRPr="00A04E56">
        <w:rPr>
          <w:rFonts w:ascii="Calibri" w:hAnsi="Calibri" w:cs="Calibri"/>
        </w:rPr>
        <w:t> </w:t>
      </w:r>
      <w:r w:rsidR="00D20988">
        <w:t>54.8</w:t>
      </w:r>
      <w:r w:rsidR="00543AC8" w:rsidRPr="00A04E56">
        <w:rPr>
          <w:rFonts w:ascii="Calibri" w:hAnsi="Calibri" w:cs="Calibri"/>
        </w:rPr>
        <w:t> </w:t>
      </w:r>
      <w:r w:rsidR="006F4CA8" w:rsidRPr="00A04E56">
        <w:t>billion</w:t>
      </w:r>
      <w:r w:rsidR="000F11B6" w:rsidRPr="00A04E56">
        <w:rPr>
          <w:rFonts w:ascii="Calibri" w:hAnsi="Calibri" w:cs="Calibri"/>
        </w:rPr>
        <w:t> </w:t>
      </w:r>
      <w:r w:rsidR="000F11B6" w:rsidRPr="00A04E56">
        <w:t>(</w:t>
      </w:r>
      <w:r w:rsidR="005205C2" w:rsidRPr="00C91D3B">
        <w:rPr>
          <w:rStyle w:val="fnRefNo"/>
        </w:rPr>
        <w:footnoteReference w:id="14"/>
      </w:r>
      <w:r w:rsidR="000F11B6" w:rsidRPr="00A04E56">
        <w:t>)</w:t>
      </w:r>
      <w:r w:rsidR="006F4CA8" w:rsidRPr="00A04E56">
        <w:t xml:space="preserve"> targeting climate-relate</w:t>
      </w:r>
      <w:r w:rsidR="00E752DE" w:rsidRPr="00A04E56">
        <w:t>d</w:t>
      </w:r>
      <w:r w:rsidR="006F4CA8" w:rsidRPr="00A04E56">
        <w:t xml:space="preserve"> goals. </w:t>
      </w:r>
      <w:r w:rsidR="003C447A">
        <w:t xml:space="preserve">These investments </w:t>
      </w:r>
      <w:r w:rsidR="003C447A" w:rsidRPr="003C447A">
        <w:t>support the shift towards a low-carbon economy by promoting the production and distribution of energy derived from renewable sources, promoting energy efficiency, implementing smart distribution systems and research and innovation in low-carbon technologies; investing in adaptation to climate change, promoting investments to address specific risks, ensuring disaster resilience and developing disaster management systems.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3C447A" w:rsidRPr="00A04E56" w14:paraId="5E1A5076" w14:textId="77777777" w:rsidTr="00E33F52">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20A1111D" w14:textId="20D4AE85" w:rsidR="003C447A" w:rsidRPr="00A04E56" w:rsidRDefault="003C447A" w:rsidP="00393E69">
            <w:pPr>
              <w:pStyle w:val="BOXE2GREENtabletext"/>
              <w:rPr>
                <w:lang w:val="en-GB"/>
              </w:rPr>
            </w:pPr>
            <w:r>
              <w:rPr>
                <w:lang w:val="en-GB"/>
              </w:rPr>
              <w:t>Projects supported by the European Regional Development Fund and</w:t>
            </w:r>
            <w:r w:rsidR="00DB3264">
              <w:rPr>
                <w:lang w:val="en-GB"/>
              </w:rPr>
              <w:t xml:space="preserve"> by</w:t>
            </w:r>
            <w:r>
              <w:rPr>
                <w:lang w:val="en-GB"/>
              </w:rPr>
              <w:t xml:space="preserve"> the Cohesion fund enable the renovation of housing for 875 000 families who will benefit from reduced energy use and</w:t>
            </w:r>
            <w:r w:rsidR="003052C3">
              <w:rPr>
                <w:lang w:val="en-GB"/>
              </w:rPr>
              <w:t xml:space="preserve"> connecting</w:t>
            </w:r>
            <w:r>
              <w:rPr>
                <w:lang w:val="en-GB"/>
              </w:rPr>
              <w:t xml:space="preserve"> 3.3</w:t>
            </w:r>
            <w:r w:rsidR="003052C3">
              <w:rPr>
                <w:rFonts w:ascii="Calibri" w:hAnsi="Calibri" w:cs="Calibri"/>
                <w:lang w:val="en-GB"/>
              </w:rPr>
              <w:t> </w:t>
            </w:r>
            <w:r>
              <w:rPr>
                <w:lang w:val="en-GB"/>
              </w:rPr>
              <w:t xml:space="preserve">million additional energy users to smart grids. Projects also supported additional capacity </w:t>
            </w:r>
            <w:r w:rsidR="003052C3">
              <w:rPr>
                <w:lang w:val="en-GB"/>
              </w:rPr>
              <w:t>to produce renewable energy (</w:t>
            </w:r>
            <w:r w:rsidR="00CA2B92">
              <w:rPr>
                <w:lang w:val="en-GB"/>
              </w:rPr>
              <w:t>7 670 megawatts</w:t>
            </w:r>
            <w:r w:rsidR="003052C3">
              <w:rPr>
                <w:lang w:val="en-GB"/>
              </w:rPr>
              <w:t>).</w:t>
            </w:r>
          </w:p>
        </w:tc>
      </w:tr>
    </w:tbl>
    <w:p w14:paraId="14FA3819" w14:textId="77777777" w:rsidR="003C447A" w:rsidRPr="00E57141" w:rsidRDefault="003C447A" w:rsidP="0005798F">
      <w:pPr>
        <w:pStyle w:val="BodyText1"/>
      </w:pPr>
    </w:p>
    <w:p w14:paraId="1F95E8A6" w14:textId="2962CFD4" w:rsidR="004C31CA" w:rsidRDefault="008C1D39" w:rsidP="008037B3">
      <w:pPr>
        <w:pStyle w:val="BodyText1spaceafter"/>
        <w:spacing w:after="360"/>
      </w:pPr>
      <w:r w:rsidRPr="00A04E56">
        <w:rPr>
          <w:i/>
          <w:szCs w:val="20"/>
          <w:u w:val="single"/>
        </w:rPr>
        <w:t>In 2018</w:t>
      </w:r>
      <w:r w:rsidR="00737E8F" w:rsidRPr="00A04E56">
        <w:rPr>
          <w:szCs w:val="20"/>
        </w:rPr>
        <w:t>,</w:t>
      </w:r>
      <w:r w:rsidR="004C31CA" w:rsidRPr="00A04E56">
        <w:rPr>
          <w:szCs w:val="20"/>
        </w:rPr>
        <w:t xml:space="preserve"> a total of EUR</w:t>
      </w:r>
      <w:r w:rsidR="004C31CA" w:rsidRPr="00A04E56">
        <w:rPr>
          <w:rFonts w:ascii="Calibri" w:hAnsi="Calibri" w:cs="Calibri"/>
          <w:szCs w:val="20"/>
        </w:rPr>
        <w:t> </w:t>
      </w:r>
      <w:r w:rsidR="00191FA4" w:rsidRPr="00A04E56">
        <w:rPr>
          <w:szCs w:val="20"/>
        </w:rPr>
        <w:t>52</w:t>
      </w:r>
      <w:r w:rsidR="0081155C">
        <w:rPr>
          <w:szCs w:val="20"/>
        </w:rPr>
        <w:t>2</w:t>
      </w:r>
      <w:r w:rsidR="008C7F8A" w:rsidRPr="00A04E56">
        <w:rPr>
          <w:rFonts w:ascii="Calibri" w:hAnsi="Calibri" w:cs="Calibri"/>
          <w:szCs w:val="20"/>
        </w:rPr>
        <w:t> </w:t>
      </w:r>
      <w:r w:rsidR="004C31CA" w:rsidRPr="00A04E56">
        <w:rPr>
          <w:noProof w:val="0"/>
          <w:szCs w:val="20"/>
        </w:rPr>
        <w:t>million</w:t>
      </w:r>
      <w:r w:rsidR="004C31CA" w:rsidRPr="00A04E56">
        <w:rPr>
          <w:szCs w:val="20"/>
        </w:rPr>
        <w:t xml:space="preserve"> was allocated</w:t>
      </w:r>
      <w:r w:rsidR="004C31CA" w:rsidRPr="00A04E56">
        <w:rPr>
          <w:szCs w:val="20"/>
          <w:vertAlign w:val="superscript"/>
        </w:rPr>
        <w:t xml:space="preserve"> </w:t>
      </w:r>
      <w:r w:rsidR="004C31CA" w:rsidRPr="00A04E56">
        <w:rPr>
          <w:szCs w:val="20"/>
        </w:rPr>
        <w:t>to the</w:t>
      </w:r>
      <w:r w:rsidR="004C31CA" w:rsidRPr="00A04E56" w:rsidDel="00603676">
        <w:rPr>
          <w:szCs w:val="20"/>
        </w:rPr>
        <w:t xml:space="preserve"> </w:t>
      </w:r>
      <w:r w:rsidR="004C31CA" w:rsidRPr="00A04E56">
        <w:rPr>
          <w:szCs w:val="20"/>
        </w:rPr>
        <w:t xml:space="preserve">LIFE programme. </w:t>
      </w:r>
      <w:r w:rsidR="002A544F">
        <w:rPr>
          <w:szCs w:val="20"/>
        </w:rPr>
        <w:t xml:space="preserve">Through </w:t>
      </w:r>
      <w:r w:rsidR="005C24E8">
        <w:rPr>
          <w:szCs w:val="20"/>
        </w:rPr>
        <w:t>this</w:t>
      </w:r>
      <w:r w:rsidR="004C31CA">
        <w:rPr>
          <w:szCs w:val="20"/>
        </w:rPr>
        <w:t xml:space="preserve"> programme</w:t>
      </w:r>
      <w:r w:rsidR="005C4C3A">
        <w:rPr>
          <w:szCs w:val="20"/>
        </w:rPr>
        <w:t xml:space="preserve">, </w:t>
      </w:r>
      <w:r w:rsidR="002A544F" w:rsidRPr="00A04E56">
        <w:rPr>
          <w:rStyle w:val="BodyText1Char"/>
          <w:lang w:val="en-GB"/>
        </w:rPr>
        <w:t xml:space="preserve">the EU budget </w:t>
      </w:r>
      <w:r w:rsidR="004C31CA" w:rsidRPr="00A04E56">
        <w:rPr>
          <w:rStyle w:val="BodyText1Char"/>
          <w:lang w:val="en-GB"/>
        </w:rPr>
        <w:t>supports environment</w:t>
      </w:r>
      <w:r w:rsidR="004C31CA" w:rsidRPr="00A04E56">
        <w:rPr>
          <w:rStyle w:val="BodyText1Char"/>
          <w:noProof w:val="0"/>
          <w:lang w:val="en-GB"/>
        </w:rPr>
        <w:t>al</w:t>
      </w:r>
      <w:r w:rsidR="004C31CA" w:rsidRPr="00A04E56">
        <w:rPr>
          <w:rStyle w:val="BodyText1Char"/>
          <w:lang w:val="en-GB"/>
        </w:rPr>
        <w:t xml:space="preserve"> and nature conservation projects and climate action.</w:t>
      </w:r>
      <w:r w:rsidR="004C31CA" w:rsidRPr="00A04E56">
        <w:t xml:space="preserve"> This includes major investment in projects that will enable more plastic to be reused. Turning this waste into high-quality raw material</w:t>
      </w:r>
      <w:r w:rsidR="002A544F" w:rsidRPr="00A04E56">
        <w:t>s</w:t>
      </w:r>
      <w:r w:rsidR="004C31CA" w:rsidRPr="00A04E56">
        <w:t xml:space="preserve"> for the car, construction and packaging industries is one </w:t>
      </w:r>
      <w:r w:rsidR="005C4C3A" w:rsidRPr="00A04E56">
        <w:t xml:space="preserve">of the </w:t>
      </w:r>
      <w:r w:rsidR="004C31CA" w:rsidRPr="00A04E56">
        <w:t>way</w:t>
      </w:r>
      <w:r w:rsidR="005C4C3A" w:rsidRPr="00A04E56">
        <w:t>s</w:t>
      </w:r>
      <w:r w:rsidR="004C31CA" w:rsidRPr="00A04E56">
        <w:t xml:space="preserve"> in which LIFE gives practical support to the goals of the European </w:t>
      </w:r>
      <w:r w:rsidR="00737E8F" w:rsidRPr="00A04E56">
        <w:t>s</w:t>
      </w:r>
      <w:r w:rsidR="004C31CA" w:rsidRPr="00A04E56">
        <w:t xml:space="preserve">trategy for </w:t>
      </w:r>
      <w:r w:rsidR="00737E8F" w:rsidRPr="00A04E56">
        <w:t>p</w:t>
      </w:r>
      <w:r w:rsidR="004C31CA" w:rsidRPr="00A04E56">
        <w:t xml:space="preserve">lastics in a </w:t>
      </w:r>
      <w:r w:rsidR="00737E8F" w:rsidRPr="00A04E56">
        <w:t>c</w:t>
      </w:r>
      <w:r w:rsidR="004C31CA" w:rsidRPr="00A04E56">
        <w:t xml:space="preserve">ircular </w:t>
      </w:r>
      <w:r w:rsidR="00737E8F" w:rsidRPr="00A04E56">
        <w:t>e</w:t>
      </w:r>
      <w:r w:rsidR="004C31CA" w:rsidRPr="00A04E56">
        <w:t>conomy.</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FA50D0" w:rsidRPr="00A04E56" w14:paraId="2C217B98" w14:textId="77777777" w:rsidTr="008037B3">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3BB50F87" w14:textId="77777777" w:rsidR="00FA50D0" w:rsidRPr="00A04E56" w:rsidRDefault="00FA50D0" w:rsidP="008037B3">
            <w:pPr>
              <w:pStyle w:val="BOXE2GREENtabletext"/>
              <w:rPr>
                <w:lang w:val="en-GB"/>
              </w:rPr>
            </w:pPr>
            <w:r>
              <w:rPr>
                <w:lang w:val="en-GB"/>
              </w:rPr>
              <w:t>Projects</w:t>
            </w:r>
            <w:r w:rsidRPr="00A04E56">
              <w:rPr>
                <w:lang w:val="en-GB"/>
              </w:rPr>
              <w:t xml:space="preserve"> supported by the LIFE programme helped to shift towards a resource-efficient, circular, low-carbon and climate-resilient economy; to halt and reverse biodiversity loss; to tackle the degradation of ecosystems by improving the quality of the environment, including air, water and soil; and to improve environmental and climate governance at all levels.</w:t>
            </w:r>
          </w:p>
        </w:tc>
      </w:tr>
    </w:tbl>
    <w:p w14:paraId="26397E0C" w14:textId="6E993FE5" w:rsidR="004C31CA" w:rsidRPr="00A04E56" w:rsidRDefault="007D1744" w:rsidP="0049758A">
      <w:pPr>
        <w:pStyle w:val="SubtitleGreenExecutiveSummary"/>
      </w:pPr>
      <w:r w:rsidRPr="00A04E56">
        <w:t>Budget h</w:t>
      </w:r>
      <w:r w:rsidR="00311F16" w:rsidRPr="00A04E56">
        <w:t xml:space="preserve">eading 3 </w:t>
      </w:r>
      <w:r w:rsidR="00543AC8" w:rsidRPr="00A04E56">
        <w:t>—</w:t>
      </w:r>
      <w:r w:rsidR="00311F16" w:rsidRPr="00A04E56">
        <w:t xml:space="preserve"> </w:t>
      </w:r>
      <w:r w:rsidR="004C31CA" w:rsidRPr="00A04E56">
        <w:t>The EU budget is a vital part of the EU</w:t>
      </w:r>
      <w:r w:rsidR="00543AC8" w:rsidRPr="00A04E56">
        <w:t>’</w:t>
      </w:r>
      <w:r w:rsidR="004C31CA" w:rsidRPr="00A04E56">
        <w:t>s comprehensive approach to migration policy</w:t>
      </w:r>
    </w:p>
    <w:p w14:paraId="06A568E8" w14:textId="0240ABC2" w:rsidR="004C31CA" w:rsidRPr="00A04E56" w:rsidRDefault="004C31CA" w:rsidP="003F20A2">
      <w:pPr>
        <w:pStyle w:val="BodyText1spaceafter"/>
        <w:rPr>
          <w:rStyle w:val="BOLDGREENExecutiveSummary"/>
        </w:rPr>
      </w:pPr>
      <w:r w:rsidRPr="00A04E56">
        <w:t xml:space="preserve">The EU budget supported the continued comprehensive European response to migration </w:t>
      </w:r>
      <w:r w:rsidR="00C24BBB" w:rsidRPr="00A04E56">
        <w:t>challenges</w:t>
      </w:r>
      <w:r w:rsidRPr="00A04E56">
        <w:t xml:space="preserve"> and the management of the EU’s external borders. </w:t>
      </w:r>
      <w:r w:rsidR="008C1D39" w:rsidRPr="00A04E56">
        <w:rPr>
          <w:i/>
          <w:u w:val="single"/>
        </w:rPr>
        <w:t>In 2018</w:t>
      </w:r>
      <w:r w:rsidRPr="00A04E56">
        <w:t xml:space="preserve">, the </w:t>
      </w:r>
      <w:r w:rsidR="00F822FF" w:rsidRPr="00A04E56">
        <w:t>EU</w:t>
      </w:r>
      <w:r w:rsidRPr="00A04E56">
        <w:t xml:space="preserve">’s comprehensive approach </w:t>
      </w:r>
      <w:r w:rsidR="00F822FF" w:rsidRPr="00A04E56">
        <w:t xml:space="preserve">to </w:t>
      </w:r>
      <w:r w:rsidRPr="00A04E56">
        <w:t xml:space="preserve">migration continued to </w:t>
      </w:r>
      <w:r w:rsidR="005C4C3A" w:rsidRPr="00A04E56">
        <w:t>operate</w:t>
      </w:r>
      <w:r w:rsidRPr="00A04E56">
        <w:t xml:space="preserve"> on all fronts: deeper cooperation with partner countries; better-managed external borders; and more effective and operational tools to protect our borders and manage migration within the </w:t>
      </w:r>
      <w:r w:rsidR="00F822FF" w:rsidRPr="00A04E56">
        <w:t xml:space="preserve">EU </w:t>
      </w:r>
      <w:r w:rsidRPr="00A04E56">
        <w:t xml:space="preserve">in a spirit of solidarity and responsibility. Dedicated instruments such as the Asylum, Migration and Integration Fund played an important role </w:t>
      </w:r>
      <w:r w:rsidR="006F4CA8" w:rsidRPr="00A04E56">
        <w:t xml:space="preserve">for immediate responses to migration issues </w:t>
      </w:r>
      <w:r w:rsidRPr="00A04E56">
        <w:t>alongside targeted support from</w:t>
      </w:r>
      <w:r w:rsidR="00F822FF" w:rsidRPr="00A04E56">
        <w:t xml:space="preserve"> c</w:t>
      </w:r>
      <w:r w:rsidRPr="00A04E56">
        <w:t xml:space="preserve">ohesion </w:t>
      </w:r>
      <w:r w:rsidR="00F822FF" w:rsidRPr="00A04E56">
        <w:t>p</w:t>
      </w:r>
      <w:r w:rsidRPr="00A04E56">
        <w:t xml:space="preserve">olicy </w:t>
      </w:r>
      <w:r w:rsidR="006F4CA8" w:rsidRPr="00A04E56">
        <w:t xml:space="preserve">for </w:t>
      </w:r>
      <w:r w:rsidR="00543AC8" w:rsidRPr="00A04E56">
        <w:t xml:space="preserve">the </w:t>
      </w:r>
      <w:r w:rsidR="006F4CA8" w:rsidRPr="00A04E56">
        <w:t>longer</w:t>
      </w:r>
      <w:r w:rsidR="00543AC8" w:rsidRPr="00A04E56">
        <w:t>-</w:t>
      </w:r>
      <w:r w:rsidR="006F4CA8" w:rsidRPr="00A04E56">
        <w:t>term integration of migra</w:t>
      </w:r>
      <w:r w:rsidR="00E752DE" w:rsidRPr="00A04E56">
        <w:t>n</w:t>
      </w:r>
      <w:r w:rsidR="006F4CA8" w:rsidRPr="00A04E56">
        <w:t xml:space="preserve">ts </w:t>
      </w:r>
      <w:r w:rsidRPr="00A04E56">
        <w:t>and the EU</w:t>
      </w:r>
      <w:r w:rsidR="00543AC8" w:rsidRPr="00A04E56">
        <w:t>’</w:t>
      </w:r>
      <w:r w:rsidRPr="00A04E56">
        <w:t xml:space="preserve">s external instruments. Work on the European </w:t>
      </w:r>
      <w:r w:rsidR="00F822FF" w:rsidRPr="00A04E56">
        <w:t>a</w:t>
      </w:r>
      <w:r w:rsidRPr="00A04E56">
        <w:t xml:space="preserve">genda on </w:t>
      </w:r>
      <w:r w:rsidR="00F822FF" w:rsidRPr="00A04E56">
        <w:t>m</w:t>
      </w:r>
      <w:r w:rsidRPr="00A04E56">
        <w:t>igration made a positive contribution to replacing unsafe and uncontrolled migration with</w:t>
      </w:r>
      <w:r w:rsidRPr="00A04E56">
        <w:rPr>
          <w:rStyle w:val="BOLDGREENExecutiveSummary"/>
        </w:rPr>
        <w:t xml:space="preserve"> safe, orderly and regular migration.</w:t>
      </w:r>
    </w:p>
    <w:p w14:paraId="23D80C9F" w14:textId="27F9DD6F" w:rsidR="00AC477C" w:rsidRPr="00A04E56" w:rsidRDefault="00CF0E97" w:rsidP="00107DA0">
      <w:pPr>
        <w:pStyle w:val="BodyText1spaceafter"/>
      </w:pPr>
      <w:r w:rsidRPr="00A04E56">
        <w:t xml:space="preserve">Under the ongoing EU resettlement scheme, 20 Member States have pledged to resettle more than 50 000 persons by October 2019. </w:t>
      </w:r>
      <w:r w:rsidRPr="00A04E56">
        <w:rPr>
          <w:i/>
          <w:u w:val="single"/>
        </w:rPr>
        <w:t>At year-end 2018</w:t>
      </w:r>
      <w:r w:rsidRPr="00A04E56">
        <w:t>, over 24 000  of these pledges have already materialised, providing persons with shelter in the EU.</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B83E11" w:rsidRPr="00A04E56" w14:paraId="7B8A09B7" w14:textId="77777777" w:rsidTr="000D13EF">
        <w:trPr>
          <w:cantSplit/>
        </w:trPr>
        <w:tc>
          <w:tcPr>
            <w:tcW w:w="4365" w:type="dxa"/>
            <w:tcBorders>
              <w:top w:val="nil"/>
              <w:left w:val="nil"/>
              <w:bottom w:val="nil"/>
              <w:right w:val="nil"/>
            </w:tcBorders>
            <w:shd w:val="clear" w:color="auto" w:fill="D7F1EA"/>
            <w:tcMar>
              <w:top w:w="113" w:type="dxa"/>
              <w:bottom w:w="113" w:type="dxa"/>
            </w:tcMar>
          </w:tcPr>
          <w:p w14:paraId="60A5F2A6" w14:textId="2BD6A6B1" w:rsidR="00B83E11" w:rsidRPr="00A04E56" w:rsidRDefault="00EA713B" w:rsidP="00E435DC">
            <w:pPr>
              <w:pStyle w:val="BOXE2GREENtabletext"/>
              <w:rPr>
                <w:lang w:val="en-GB"/>
              </w:rPr>
            </w:pPr>
            <w:r w:rsidRPr="00A04E56">
              <w:rPr>
                <w:lang w:val="en-GB"/>
              </w:rPr>
              <w:t xml:space="preserve">Following the 2015 peak in arrivals to the </w:t>
            </w:r>
            <w:r w:rsidR="00A6680A" w:rsidRPr="00A04E56">
              <w:rPr>
                <w:lang w:val="en-GB"/>
              </w:rPr>
              <w:t>EU</w:t>
            </w:r>
            <w:r w:rsidRPr="00A04E56">
              <w:rPr>
                <w:lang w:val="en-GB"/>
              </w:rPr>
              <w:t>, migration flows are now back to below pre-crisis levels.</w:t>
            </w:r>
          </w:p>
          <w:p w14:paraId="78446359" w14:textId="665A162F" w:rsidR="006C4ED2" w:rsidRPr="00A04E56" w:rsidRDefault="006C4ED2" w:rsidP="00A6680A">
            <w:pPr>
              <w:pStyle w:val="BOXE2GREENtabletext"/>
              <w:rPr>
                <w:lang w:val="en-GB"/>
              </w:rPr>
            </w:pPr>
            <w:r w:rsidRPr="00A04E56">
              <w:rPr>
                <w:lang w:val="en-GB"/>
              </w:rPr>
              <w:t xml:space="preserve">Irregular border crossings into the EU </w:t>
            </w:r>
            <w:r w:rsidR="00DB17B5" w:rsidRPr="00A04E56">
              <w:rPr>
                <w:lang w:val="en-GB"/>
              </w:rPr>
              <w:t>fell</w:t>
            </w:r>
            <w:r w:rsidRPr="00A04E56">
              <w:rPr>
                <w:lang w:val="en-GB"/>
              </w:rPr>
              <w:t xml:space="preserve"> to 150</w:t>
            </w:r>
            <w:r w:rsidR="00A6680A" w:rsidRPr="00A04E56">
              <w:rPr>
                <w:rFonts w:ascii="Calibri" w:hAnsi="Calibri" w:cs="Calibri"/>
                <w:lang w:val="en-GB"/>
              </w:rPr>
              <w:t> </w:t>
            </w:r>
            <w:r w:rsidR="00654752" w:rsidRPr="00A04E56">
              <w:rPr>
                <w:lang w:val="en-GB"/>
              </w:rPr>
              <w:t>1</w:t>
            </w:r>
            <w:r w:rsidRPr="00A04E56">
              <w:rPr>
                <w:lang w:val="en-GB"/>
              </w:rPr>
              <w:t xml:space="preserve">00 </w:t>
            </w:r>
            <w:r w:rsidR="008C1D39" w:rsidRPr="00A04E56">
              <w:rPr>
                <w:i/>
                <w:u w:val="single"/>
                <w:lang w:val="en-GB"/>
              </w:rPr>
              <w:t>in 2018</w:t>
            </w:r>
            <w:r w:rsidRPr="00A04E56">
              <w:rPr>
                <w:lang w:val="en-GB"/>
              </w:rPr>
              <w:t>. This is the lowest figure in 5</w:t>
            </w:r>
            <w:r w:rsidR="00A6680A" w:rsidRPr="00A04E56">
              <w:rPr>
                <w:rFonts w:ascii="Calibri" w:hAnsi="Calibri" w:cs="Calibri"/>
                <w:lang w:val="en-GB"/>
              </w:rPr>
              <w:t> </w:t>
            </w:r>
            <w:r w:rsidRPr="00A04E56">
              <w:rPr>
                <w:lang w:val="en-GB"/>
              </w:rPr>
              <w:t>years.</w:t>
            </w:r>
          </w:p>
        </w:tc>
        <w:tc>
          <w:tcPr>
            <w:tcW w:w="340" w:type="dxa"/>
            <w:tcBorders>
              <w:top w:val="nil"/>
              <w:left w:val="nil"/>
              <w:bottom w:val="nil"/>
              <w:right w:val="nil"/>
            </w:tcBorders>
            <w:shd w:val="clear" w:color="auto" w:fill="auto"/>
            <w:tcMar>
              <w:top w:w="113" w:type="dxa"/>
              <w:bottom w:w="113" w:type="dxa"/>
            </w:tcMar>
          </w:tcPr>
          <w:p w14:paraId="72A43ACD" w14:textId="77777777" w:rsidR="00B83E11" w:rsidRPr="00A04E56" w:rsidRDefault="00B83E11" w:rsidP="00E435DC">
            <w:pPr>
              <w:pStyle w:val="BOXE2GREENtabletext"/>
              <w:rPr>
                <w:lang w:val="en-GB"/>
              </w:rPr>
            </w:pPr>
          </w:p>
        </w:tc>
        <w:tc>
          <w:tcPr>
            <w:tcW w:w="4365" w:type="dxa"/>
            <w:tcBorders>
              <w:top w:val="nil"/>
              <w:left w:val="nil"/>
              <w:bottom w:val="nil"/>
              <w:right w:val="nil"/>
            </w:tcBorders>
            <w:shd w:val="clear" w:color="auto" w:fill="D7F1EA"/>
            <w:tcMar>
              <w:top w:w="113" w:type="dxa"/>
              <w:bottom w:w="113" w:type="dxa"/>
            </w:tcMar>
          </w:tcPr>
          <w:p w14:paraId="08245012" w14:textId="35F41810" w:rsidR="00B83E11" w:rsidRPr="00A04E56" w:rsidRDefault="00C24BBB" w:rsidP="00543AC8">
            <w:pPr>
              <w:pStyle w:val="BOXE2GREENtabletext"/>
              <w:rPr>
                <w:lang w:val="en-GB"/>
              </w:rPr>
            </w:pPr>
            <w:r w:rsidRPr="00A04E56">
              <w:rPr>
                <w:lang w:val="en-GB"/>
              </w:rPr>
              <w:t>Since 2015, l</w:t>
            </w:r>
            <w:r w:rsidR="00EA713B" w:rsidRPr="00A04E56">
              <w:rPr>
                <w:lang w:val="en-GB"/>
              </w:rPr>
              <w:t xml:space="preserve">egal migration channels to the </w:t>
            </w:r>
            <w:r w:rsidR="00A6680A" w:rsidRPr="00A04E56">
              <w:rPr>
                <w:lang w:val="en-GB"/>
              </w:rPr>
              <w:t xml:space="preserve">EU </w:t>
            </w:r>
            <w:r w:rsidR="00EA713B" w:rsidRPr="00A04E56">
              <w:rPr>
                <w:lang w:val="en-GB"/>
              </w:rPr>
              <w:t>increased for people in need o</w:t>
            </w:r>
            <w:r w:rsidR="009365CC" w:rsidRPr="00A04E56">
              <w:rPr>
                <w:lang w:val="en-GB"/>
              </w:rPr>
              <w:t>f international protection</w:t>
            </w:r>
            <w:r w:rsidR="002A544F" w:rsidRPr="00A04E56">
              <w:rPr>
                <w:lang w:val="en-GB"/>
              </w:rPr>
              <w:t xml:space="preserve">. </w:t>
            </w:r>
            <w:r w:rsidR="00255D9B" w:rsidRPr="00A04E56">
              <w:rPr>
                <w:lang w:val="en-GB"/>
              </w:rPr>
              <w:t xml:space="preserve">EU </w:t>
            </w:r>
            <w:r w:rsidR="00EA713B" w:rsidRPr="00A04E56">
              <w:rPr>
                <w:lang w:val="en-GB"/>
              </w:rPr>
              <w:t>resettlement programmes have offered safe and legal pathways to</w:t>
            </w:r>
            <w:r w:rsidR="002A544F" w:rsidRPr="00A04E56">
              <w:rPr>
                <w:lang w:val="en-GB"/>
              </w:rPr>
              <w:t xml:space="preserve"> </w:t>
            </w:r>
            <w:r w:rsidRPr="00A04E56">
              <w:rPr>
                <w:lang w:val="en-GB"/>
              </w:rPr>
              <w:t>almost</w:t>
            </w:r>
            <w:r w:rsidR="00F0431B" w:rsidRPr="00A04E56">
              <w:rPr>
                <w:lang w:val="en-GB"/>
              </w:rPr>
              <w:t xml:space="preserve"> 50</w:t>
            </w:r>
            <w:r w:rsidR="00EA713B" w:rsidRPr="00A04E56">
              <w:rPr>
                <w:rFonts w:ascii="Calibri" w:hAnsi="Calibri" w:cs="Calibri"/>
                <w:noProof w:val="0"/>
                <w:lang w:val="en-GB"/>
              </w:rPr>
              <w:t> </w:t>
            </w:r>
            <w:r w:rsidR="00EA713B" w:rsidRPr="00A04E56">
              <w:rPr>
                <w:noProof w:val="0"/>
                <w:lang w:val="en-GB"/>
              </w:rPr>
              <w:t>000</w:t>
            </w:r>
            <w:r w:rsidR="00EA713B" w:rsidRPr="00A04E56">
              <w:rPr>
                <w:lang w:val="en-GB"/>
              </w:rPr>
              <w:t xml:space="preserve"> people</w:t>
            </w:r>
            <w:r w:rsidR="00A6680A" w:rsidRPr="00A04E56">
              <w:rPr>
                <w:lang w:val="en-GB"/>
              </w:rPr>
              <w:t xml:space="preserve"> </w:t>
            </w:r>
            <w:r w:rsidRPr="00A04E56">
              <w:rPr>
                <w:lang w:val="en-GB"/>
              </w:rPr>
              <w:t>(</w:t>
            </w:r>
            <w:r w:rsidRPr="00A04E56">
              <w:rPr>
                <w:i/>
                <w:u w:val="single"/>
                <w:lang w:val="en-GB"/>
              </w:rPr>
              <w:t>as per 31 December 2018)</w:t>
            </w:r>
            <w:r w:rsidR="00EA713B" w:rsidRPr="00A04E56">
              <w:rPr>
                <w:i/>
                <w:u w:val="single"/>
                <w:lang w:val="en-GB"/>
              </w:rPr>
              <w:t>.</w:t>
            </w:r>
          </w:p>
          <w:p w14:paraId="2170B2DA" w14:textId="4B3D5773" w:rsidR="00CF0E97" w:rsidRPr="00A04E56" w:rsidRDefault="00CF0E97" w:rsidP="00C34D74">
            <w:pPr>
              <w:pStyle w:val="BOXE2GREENtabletext"/>
              <w:ind w:left="0"/>
              <w:rPr>
                <w:lang w:val="en-GB"/>
              </w:rPr>
            </w:pPr>
          </w:p>
        </w:tc>
      </w:tr>
    </w:tbl>
    <w:p w14:paraId="54F3879D" w14:textId="77777777" w:rsidR="00AC477C" w:rsidRPr="00A04E56" w:rsidRDefault="00AC477C" w:rsidP="00543AC8">
      <w:pPr>
        <w:pStyle w:val="BOXE2GREENtabletext"/>
        <w:rPr>
          <w:lang w:val="en-GB"/>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722C1D" w:rsidRPr="00A04E56" w14:paraId="6A25160F" w14:textId="77777777" w:rsidTr="000D13EF">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6B139AC3" w14:textId="4EE071DD" w:rsidR="00722C1D" w:rsidRPr="00A04E56" w:rsidRDefault="004C31CA" w:rsidP="00DF0116">
            <w:pPr>
              <w:pStyle w:val="BOXE2GREENtabletext"/>
              <w:rPr>
                <w:lang w:val="en-GB"/>
              </w:rPr>
            </w:pPr>
            <w:r w:rsidRPr="00A04E56">
              <w:rPr>
                <w:lang w:val="en-GB"/>
              </w:rPr>
              <w:t xml:space="preserve">The 2016 </w:t>
            </w:r>
            <w:r w:rsidRPr="00A04E56">
              <w:rPr>
                <w:rStyle w:val="BOLDGREENExecutiveSummary"/>
              </w:rPr>
              <w:t>EU-Turkey statement and the facility for refugees in Turkey</w:t>
            </w:r>
            <w:r w:rsidRPr="00A04E56">
              <w:rPr>
                <w:lang w:val="en-GB"/>
              </w:rPr>
              <w:t xml:space="preserve"> remain</w:t>
            </w:r>
            <w:r w:rsidR="00A6680A" w:rsidRPr="00A04E56">
              <w:rPr>
                <w:lang w:val="en-GB"/>
              </w:rPr>
              <w:t>s</w:t>
            </w:r>
            <w:r w:rsidRPr="00A04E56">
              <w:rPr>
                <w:lang w:val="en-GB"/>
              </w:rPr>
              <w:t xml:space="preserve"> of paramount importance in reducing irregular and dangerous crossings to the Greek islands from the Turkish mainland, saving lives at sea</w:t>
            </w:r>
            <w:r w:rsidR="00091924" w:rsidRPr="00A04E56">
              <w:rPr>
                <w:lang w:val="en-GB"/>
              </w:rPr>
              <w:t xml:space="preserve"> and</w:t>
            </w:r>
            <w:r w:rsidRPr="00A04E56">
              <w:rPr>
                <w:lang w:val="en-GB"/>
              </w:rPr>
              <w:t xml:space="preserve"> promoting the resettlement of Syrians in need of international protection.</w:t>
            </w:r>
            <w:r w:rsidR="009365CC" w:rsidRPr="00A04E56">
              <w:rPr>
                <w:lang w:val="en-GB"/>
              </w:rPr>
              <w:t xml:space="preserve"> The EU has supported</w:t>
            </w:r>
            <w:r w:rsidRPr="00A04E56">
              <w:rPr>
                <w:lang w:val="en-GB"/>
              </w:rPr>
              <w:t xml:space="preserve"> Turkey </w:t>
            </w:r>
            <w:r w:rsidR="009365CC" w:rsidRPr="00A04E56">
              <w:rPr>
                <w:lang w:val="en-GB"/>
              </w:rPr>
              <w:t>in its</w:t>
            </w:r>
            <w:r w:rsidRPr="00A04E56">
              <w:rPr>
                <w:lang w:val="en-GB"/>
              </w:rPr>
              <w:t xml:space="preserve"> efforts to provide shelter and support</w:t>
            </w:r>
            <w:r w:rsidRPr="00A04E56">
              <w:rPr>
                <w:noProof w:val="0"/>
                <w:lang w:val="en-GB"/>
              </w:rPr>
              <w:t xml:space="preserve"> for</w:t>
            </w:r>
            <w:r w:rsidRPr="00A04E56" w:rsidDel="00C963F1">
              <w:rPr>
                <w:lang w:val="en-GB"/>
              </w:rPr>
              <w:t xml:space="preserve"> </w:t>
            </w:r>
            <w:r w:rsidRPr="00A04E56">
              <w:rPr>
                <w:lang w:val="en-GB"/>
              </w:rPr>
              <w:t xml:space="preserve">more than </w:t>
            </w:r>
            <w:r w:rsidR="0032236C" w:rsidRPr="00A04E56">
              <w:rPr>
                <w:lang w:val="en-GB"/>
              </w:rPr>
              <w:t>4</w:t>
            </w:r>
            <w:r w:rsidRPr="00A04E56">
              <w:rPr>
                <w:rFonts w:cs="Calibri"/>
                <w:noProof w:val="0"/>
                <w:lang w:val="en-GB"/>
              </w:rPr>
              <w:t> </w:t>
            </w:r>
            <w:r w:rsidRPr="00A04E56">
              <w:rPr>
                <w:noProof w:val="0"/>
                <w:lang w:val="en-GB"/>
              </w:rPr>
              <w:t>million</w:t>
            </w:r>
            <w:r w:rsidRPr="00A04E56">
              <w:rPr>
                <w:lang w:val="en-GB"/>
              </w:rPr>
              <w:t xml:space="preserve"> registered Syrian refugees. </w:t>
            </w:r>
            <w:r w:rsidR="00CF0E97" w:rsidRPr="00A04E56">
              <w:rPr>
                <w:rFonts w:eastAsia="Calibri"/>
                <w:i/>
                <w:color w:val="000000" w:themeColor="text1"/>
                <w:u w:val="single"/>
                <w:lang w:val="en-GB"/>
              </w:rPr>
              <w:t>By the end of 2018</w:t>
            </w:r>
            <w:r w:rsidR="00CF0E97" w:rsidRPr="00A04E56">
              <w:rPr>
                <w:lang w:val="en-GB"/>
              </w:rPr>
              <w:t xml:space="preserve">, humanitarian assistance had helped 1.5 million of the most vulnerable refugees through the </w:t>
            </w:r>
            <w:r w:rsidR="003D55F2" w:rsidRPr="00A04E56">
              <w:rPr>
                <w:lang w:val="en-GB"/>
              </w:rPr>
              <w:t>emergency social safety net</w:t>
            </w:r>
            <w:r w:rsidR="00CF0E97" w:rsidRPr="00A04E56">
              <w:rPr>
                <w:lang w:val="en-GB"/>
              </w:rPr>
              <w:t xml:space="preserve">, a social assistance safety net scheme, and supported over 410 000 students in attending school (under the </w:t>
            </w:r>
            <w:r w:rsidR="003D55F2" w:rsidRPr="00A04E56">
              <w:rPr>
                <w:lang w:val="en-GB"/>
              </w:rPr>
              <w:t>conditional cash transfer for education programme</w:t>
            </w:r>
            <w:r w:rsidR="00CF0E97" w:rsidRPr="00A04E56">
              <w:rPr>
                <w:lang w:val="en-GB"/>
              </w:rPr>
              <w:t xml:space="preserve">). A further 600 000 children have been helped to integrate into the Turkish school system. </w:t>
            </w:r>
            <w:r w:rsidR="00722C1D" w:rsidRPr="00A04E56">
              <w:rPr>
                <w:lang w:val="en-GB"/>
              </w:rPr>
              <w:t xml:space="preserve">Thanks to the </w:t>
            </w:r>
            <w:r w:rsidR="00722C1D" w:rsidRPr="00A04E56">
              <w:rPr>
                <w:noProof w:val="0"/>
                <w:lang w:val="en-GB"/>
              </w:rPr>
              <w:t xml:space="preserve">facility for refugees </w:t>
            </w:r>
            <w:r w:rsidR="00722C1D" w:rsidRPr="00A04E56">
              <w:rPr>
                <w:lang w:val="en-GB"/>
              </w:rPr>
              <w:t xml:space="preserve">in Turkey, 136 new schools </w:t>
            </w:r>
            <w:r w:rsidR="00853A64" w:rsidRPr="00A04E56">
              <w:rPr>
                <w:lang w:val="en-GB"/>
              </w:rPr>
              <w:t xml:space="preserve">have been </w:t>
            </w:r>
            <w:r w:rsidR="00722C1D" w:rsidRPr="00A04E56">
              <w:rPr>
                <w:lang w:val="en-GB"/>
              </w:rPr>
              <w:t>built, 410</w:t>
            </w:r>
            <w:r w:rsidR="00722C1D" w:rsidRPr="00A04E56">
              <w:rPr>
                <w:rFonts w:ascii="Calibri" w:hAnsi="Calibri" w:cs="Calibri"/>
                <w:noProof w:val="0"/>
                <w:lang w:val="en-GB"/>
              </w:rPr>
              <w:t> </w:t>
            </w:r>
            <w:r w:rsidR="00722C1D" w:rsidRPr="00A04E56">
              <w:rPr>
                <w:lang w:val="en-GB"/>
              </w:rPr>
              <w:t>000 refugee children are now attending school and 60</w:t>
            </w:r>
            <w:r w:rsidR="00722C1D" w:rsidRPr="00A04E56">
              <w:rPr>
                <w:rFonts w:ascii="Calibri" w:hAnsi="Calibri" w:cs="Calibri"/>
                <w:noProof w:val="0"/>
                <w:lang w:val="en-GB"/>
              </w:rPr>
              <w:t> </w:t>
            </w:r>
            <w:r w:rsidR="00722C1D" w:rsidRPr="00A04E56">
              <w:rPr>
                <w:noProof w:val="0"/>
                <w:lang w:val="en-GB"/>
              </w:rPr>
              <w:t>000</w:t>
            </w:r>
            <w:r w:rsidR="00722C1D" w:rsidRPr="00A04E56">
              <w:rPr>
                <w:lang w:val="en-GB"/>
              </w:rPr>
              <w:t xml:space="preserve"> students </w:t>
            </w:r>
            <w:r w:rsidR="00853A64" w:rsidRPr="00A04E56">
              <w:rPr>
                <w:lang w:val="en-GB"/>
              </w:rPr>
              <w:t xml:space="preserve">have </w:t>
            </w:r>
            <w:r w:rsidR="00722C1D" w:rsidRPr="00A04E56">
              <w:rPr>
                <w:lang w:val="en-GB"/>
              </w:rPr>
              <w:t>joined catch-up classes. 178 health</w:t>
            </w:r>
            <w:r w:rsidR="00853A64" w:rsidRPr="00A04E56">
              <w:rPr>
                <w:lang w:val="en-GB"/>
              </w:rPr>
              <w:t>-</w:t>
            </w:r>
            <w:r w:rsidR="00722C1D" w:rsidRPr="00A04E56">
              <w:rPr>
                <w:lang w:val="en-GB"/>
              </w:rPr>
              <w:t>care centres are now operational</w:t>
            </w:r>
            <w:r w:rsidR="0032236C" w:rsidRPr="00A04E56">
              <w:rPr>
                <w:lang w:val="en-GB"/>
              </w:rPr>
              <w:t>, four million primar</w:t>
            </w:r>
            <w:r w:rsidR="00AE298D">
              <w:rPr>
                <w:lang w:val="en-GB"/>
              </w:rPr>
              <w:t>y</w:t>
            </w:r>
            <w:r w:rsidR="0032236C" w:rsidRPr="00A04E56">
              <w:rPr>
                <w:lang w:val="en-GB"/>
              </w:rPr>
              <w:t xml:space="preserve"> health</w:t>
            </w:r>
            <w:r w:rsidR="00DF0116" w:rsidRPr="00A04E56">
              <w:rPr>
                <w:lang w:val="en-GB"/>
              </w:rPr>
              <w:t>-</w:t>
            </w:r>
            <w:r w:rsidR="0032236C" w:rsidRPr="00A04E56">
              <w:rPr>
                <w:lang w:val="en-GB"/>
              </w:rPr>
              <w:t>care consultations have been supported</w:t>
            </w:r>
            <w:r w:rsidR="00722C1D" w:rsidRPr="00A04E56">
              <w:rPr>
                <w:lang w:val="en-GB"/>
              </w:rPr>
              <w:t xml:space="preserve"> and 650</w:t>
            </w:r>
            <w:r w:rsidR="00722C1D" w:rsidRPr="00A04E56">
              <w:rPr>
                <w:rFonts w:ascii="Calibri" w:hAnsi="Calibri" w:cs="Calibri"/>
                <w:noProof w:val="0"/>
                <w:lang w:val="en-GB"/>
              </w:rPr>
              <w:t> </w:t>
            </w:r>
            <w:r w:rsidR="00722C1D" w:rsidRPr="00A04E56">
              <w:rPr>
                <w:noProof w:val="0"/>
                <w:lang w:val="en-GB"/>
              </w:rPr>
              <w:t xml:space="preserve">000 </w:t>
            </w:r>
            <w:r w:rsidR="00853A64" w:rsidRPr="00A04E56">
              <w:rPr>
                <w:lang w:val="en-GB"/>
              </w:rPr>
              <w:t xml:space="preserve">child </w:t>
            </w:r>
            <w:r w:rsidR="00722C1D" w:rsidRPr="00A04E56">
              <w:rPr>
                <w:noProof w:val="0"/>
                <w:lang w:val="en-GB"/>
              </w:rPr>
              <w:t>refugee</w:t>
            </w:r>
            <w:r w:rsidR="00853A64" w:rsidRPr="00A04E56">
              <w:rPr>
                <w:noProof w:val="0"/>
                <w:lang w:val="en-GB"/>
              </w:rPr>
              <w:t>s</w:t>
            </w:r>
            <w:r w:rsidR="00722C1D" w:rsidRPr="00A04E56">
              <w:rPr>
                <w:noProof w:val="0"/>
                <w:lang w:val="en-GB"/>
              </w:rPr>
              <w:t xml:space="preserve"> </w:t>
            </w:r>
            <w:r w:rsidR="00853A64" w:rsidRPr="00A04E56">
              <w:rPr>
                <w:lang w:val="en-GB"/>
              </w:rPr>
              <w:t xml:space="preserve">have been </w:t>
            </w:r>
            <w:r w:rsidR="00722C1D" w:rsidRPr="00A04E56">
              <w:rPr>
                <w:lang w:val="en-GB"/>
              </w:rPr>
              <w:t>vaccinated</w:t>
            </w:r>
            <w:r w:rsidR="00543AC8" w:rsidRPr="00A04E56">
              <w:rPr>
                <w:rFonts w:ascii="Calibri" w:hAnsi="Calibri" w:cs="Calibri"/>
                <w:lang w:val="en-GB"/>
              </w:rPr>
              <w:t> </w:t>
            </w:r>
            <w:r w:rsidR="00EE6848" w:rsidRPr="00A04E56">
              <w:rPr>
                <w:lang w:val="en-GB"/>
              </w:rPr>
              <w:t>(</w:t>
            </w:r>
            <w:r w:rsidR="00EE6848" w:rsidRPr="00C91D3B">
              <w:rPr>
                <w:rStyle w:val="fnRefNo"/>
              </w:rPr>
              <w:footnoteReference w:id="15"/>
            </w:r>
            <w:r w:rsidR="00EE6848" w:rsidRPr="00A04E56">
              <w:rPr>
                <w:lang w:val="en-GB"/>
              </w:rPr>
              <w:t>)</w:t>
            </w:r>
            <w:r w:rsidR="00543AC8" w:rsidRPr="00A04E56">
              <w:rPr>
                <w:lang w:val="en-GB"/>
              </w:rPr>
              <w:t>.</w:t>
            </w:r>
          </w:p>
        </w:tc>
      </w:tr>
    </w:tbl>
    <w:p w14:paraId="244856EE" w14:textId="0AFD371A" w:rsidR="0032236C" w:rsidRPr="00A04E56" w:rsidRDefault="0032236C" w:rsidP="0032236C">
      <w:pPr>
        <w:pStyle w:val="BodyText1spacebeforeandafter"/>
      </w:pPr>
      <w:r w:rsidRPr="00A04E56">
        <w:t>As well as in Turkey, the EU has provided substantial humanitarian support to internally displaced persons</w:t>
      </w:r>
      <w:r w:rsidR="00AE298D">
        <w:t xml:space="preserve"> in side Syria as well as refuge</w:t>
      </w:r>
      <w:r w:rsidRPr="00A04E56">
        <w:t xml:space="preserve">es and host communities in Jordan and Lebanon, as well as helping in Iraq and Egypt. Overall, the EU </w:t>
      </w:r>
      <w:r w:rsidR="003D55F2" w:rsidRPr="00A04E56">
        <w:t>Regional Trust Fund in Response to the Syrian Crisis</w:t>
      </w:r>
      <w:r w:rsidRPr="00A04E56">
        <w:t xml:space="preserve"> supported some 2 million Syrian refugees and hosting communities </w:t>
      </w:r>
      <w:r w:rsidRPr="00A04E56">
        <w:rPr>
          <w:i/>
          <w:u w:val="single"/>
        </w:rPr>
        <w:t>in 2018</w:t>
      </w:r>
      <w:r w:rsidRPr="00A04E56">
        <w:t>.</w:t>
      </w:r>
    </w:p>
    <w:p w14:paraId="6E31B9AF" w14:textId="3F970ABE" w:rsidR="00722C1D" w:rsidRPr="00A04E56" w:rsidRDefault="004C31CA" w:rsidP="0032236C">
      <w:pPr>
        <w:pStyle w:val="BodyText1spacebeforeandafter"/>
      </w:pPr>
      <w:r w:rsidRPr="00A04E56">
        <w:t xml:space="preserve">Financed by the EU budget, the </w:t>
      </w:r>
      <w:r w:rsidRPr="00A04E56">
        <w:rPr>
          <w:rStyle w:val="BOLDGREENExecutiveSummary"/>
        </w:rPr>
        <w:t>European Border and Coast Guard Agency</w:t>
      </w:r>
      <w:r w:rsidRPr="00A04E56">
        <w:t xml:space="preserve"> with its extended mandate</w:t>
      </w:r>
      <w:r w:rsidR="001E0738" w:rsidRPr="00A04E56">
        <w:t xml:space="preserve"> has </w:t>
      </w:r>
      <w:r w:rsidRPr="00A04E56">
        <w:t>significantly strengthened its presence at the EU’s external borders</w:t>
      </w:r>
      <w:r w:rsidR="00853A64" w:rsidRPr="00A04E56">
        <w:t xml:space="preserve">. The aim is to support </w:t>
      </w:r>
      <w:r w:rsidRPr="00A04E56">
        <w:t>the Member States in their border</w:t>
      </w:r>
      <w:r w:rsidR="00C6111C" w:rsidRPr="00A04E56">
        <w:rPr>
          <w:noProof w:val="0"/>
        </w:rPr>
        <w:t>-management</w:t>
      </w:r>
      <w:r w:rsidRPr="00A04E56">
        <w:t xml:space="preserve"> activities and jointly implement</w:t>
      </w:r>
      <w:r w:rsidRPr="00A04E56" w:rsidDel="00AD5111">
        <w:t xml:space="preserve"> </w:t>
      </w:r>
      <w:r w:rsidRPr="00A04E56">
        <w:t>integrated border management at EU level.</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722C1D" w:rsidRPr="00A04E56" w14:paraId="0C239E2F" w14:textId="77777777" w:rsidTr="000D13EF">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04AD6C62" w14:textId="53A5976F" w:rsidR="00722C1D" w:rsidRPr="00A04E56" w:rsidRDefault="00CB3656" w:rsidP="00035E18">
            <w:pPr>
              <w:pStyle w:val="BOXE2GREENtabletext"/>
              <w:rPr>
                <w:lang w:val="en-GB"/>
              </w:rPr>
            </w:pPr>
            <w:r w:rsidRPr="00FA50D0">
              <w:rPr>
                <w:i/>
                <w:u w:val="single"/>
                <w:lang w:val="en-GB"/>
              </w:rPr>
              <w:t>In 2018</w:t>
            </w:r>
            <w:r w:rsidR="005C24E8" w:rsidRPr="005C24E8">
              <w:rPr>
                <w:lang w:val="en-GB"/>
              </w:rPr>
              <w:t>,</w:t>
            </w:r>
            <w:r w:rsidRPr="00A04E56">
              <w:rPr>
                <w:lang w:val="en-GB"/>
              </w:rPr>
              <w:t xml:space="preserve"> the European Border and Coast Guard deployed altogether around 11</w:t>
            </w:r>
            <w:r w:rsidRPr="00A04E56">
              <w:rPr>
                <w:rFonts w:ascii="Calibri" w:hAnsi="Calibri" w:cs="Calibri"/>
                <w:lang w:val="en-GB"/>
              </w:rPr>
              <w:t> </w:t>
            </w:r>
            <w:r w:rsidRPr="00A04E56">
              <w:rPr>
                <w:lang w:val="en-GB"/>
              </w:rPr>
              <w:t>000 border guards to assist the front line Member States</w:t>
            </w:r>
            <w:r w:rsidR="00732CB7">
              <w:rPr>
                <w:lang w:val="en-GB"/>
              </w:rPr>
              <w:t>. This made it possible to</w:t>
            </w:r>
            <w:r w:rsidRPr="00A04E56">
              <w:rPr>
                <w:lang w:val="en-GB"/>
              </w:rPr>
              <w:t xml:space="preserve"> </w:t>
            </w:r>
            <w:r w:rsidR="00732CB7">
              <w:rPr>
                <w:lang w:val="en-GB"/>
              </w:rPr>
              <w:t>rescue</w:t>
            </w:r>
            <w:r w:rsidRPr="00A04E56">
              <w:rPr>
                <w:lang w:val="en-GB"/>
              </w:rPr>
              <w:t xml:space="preserve"> 37</w:t>
            </w:r>
            <w:r w:rsidRPr="00A04E56">
              <w:rPr>
                <w:rFonts w:ascii="Calibri" w:hAnsi="Calibri" w:cs="Calibri"/>
                <w:lang w:val="en-GB"/>
              </w:rPr>
              <w:t> </w:t>
            </w:r>
            <w:r w:rsidRPr="00A04E56">
              <w:rPr>
                <w:lang w:val="en-GB"/>
              </w:rPr>
              <w:t xml:space="preserve">000 migrants, </w:t>
            </w:r>
            <w:r w:rsidR="005C24E8">
              <w:rPr>
                <w:lang w:val="en-GB"/>
              </w:rPr>
              <w:t>catch</w:t>
            </w:r>
            <w:r w:rsidRPr="00A04E56">
              <w:rPr>
                <w:lang w:val="en-GB"/>
              </w:rPr>
              <w:t xml:space="preserve"> almost 1</w:t>
            </w:r>
            <w:r w:rsidRPr="00A04E56">
              <w:rPr>
                <w:rFonts w:ascii="Calibri" w:hAnsi="Calibri" w:cs="Calibri"/>
                <w:lang w:val="en-GB"/>
              </w:rPr>
              <w:t> </w:t>
            </w:r>
            <w:r w:rsidRPr="00A04E56">
              <w:rPr>
                <w:lang w:val="en-GB"/>
              </w:rPr>
              <w:t>200 people smugglers and coordinate/organise the return of almost 14</w:t>
            </w:r>
            <w:r w:rsidRPr="00A04E56">
              <w:rPr>
                <w:rFonts w:ascii="Calibri" w:hAnsi="Calibri" w:cs="Calibri"/>
                <w:lang w:val="en-GB"/>
              </w:rPr>
              <w:t> </w:t>
            </w:r>
            <w:r w:rsidR="00A51D8C">
              <w:rPr>
                <w:lang w:val="en-GB"/>
              </w:rPr>
              <w:t>000 migrants</w:t>
            </w:r>
            <w:r w:rsidR="00732CB7">
              <w:rPr>
                <w:lang w:val="en-GB"/>
              </w:rPr>
              <w:t>.</w:t>
            </w:r>
            <w:r w:rsidR="00A51D8C">
              <w:rPr>
                <w:lang w:val="en-GB"/>
              </w:rPr>
              <w:t xml:space="preserve"> </w:t>
            </w:r>
            <w:r w:rsidR="00C972B0">
              <w:rPr>
                <w:lang w:val="en-GB"/>
              </w:rPr>
              <w:t>In addition,</w:t>
            </w:r>
            <w:r w:rsidR="00A51D8C">
              <w:rPr>
                <w:lang w:val="en-GB"/>
              </w:rPr>
              <w:t xml:space="preserve"> the </w:t>
            </w:r>
            <w:r w:rsidR="00732CB7" w:rsidRPr="00732CB7">
              <w:rPr>
                <w:lang w:val="en-GB"/>
              </w:rPr>
              <w:t xml:space="preserve">Fund for </w:t>
            </w:r>
            <w:r w:rsidR="00A51D8C">
              <w:rPr>
                <w:lang w:val="en-GB"/>
              </w:rPr>
              <w:t xml:space="preserve">Asylum, Migration and Integration </w:t>
            </w:r>
            <w:r w:rsidR="00732CB7">
              <w:rPr>
                <w:lang w:val="en-GB"/>
              </w:rPr>
              <w:t>enabled the voluntary return of almost 39 5</w:t>
            </w:r>
            <w:r w:rsidR="00AA65EF">
              <w:rPr>
                <w:lang w:val="en-GB"/>
              </w:rPr>
              <w:t>00 persons</w:t>
            </w:r>
            <w:r w:rsidR="00B36C54">
              <w:rPr>
                <w:rFonts w:ascii="Calibri" w:hAnsi="Calibri" w:cs="Calibri"/>
                <w:lang w:val="en-GB"/>
              </w:rPr>
              <w:t> </w:t>
            </w:r>
            <w:r w:rsidR="00F74F22">
              <w:rPr>
                <w:lang w:val="en-GB"/>
              </w:rPr>
              <w:t>(</w:t>
            </w:r>
            <w:r w:rsidR="00A51D8C" w:rsidRPr="00035E18">
              <w:rPr>
                <w:rStyle w:val="FootnoteReference"/>
                <w:sz w:val="20"/>
              </w:rPr>
              <w:footnoteReference w:id="16"/>
            </w:r>
            <w:r w:rsidR="00F74F22">
              <w:rPr>
                <w:lang w:val="en-GB"/>
              </w:rPr>
              <w:t>)</w:t>
            </w:r>
            <w:r w:rsidR="00A51D8C">
              <w:rPr>
                <w:lang w:val="en-GB"/>
              </w:rPr>
              <w:t>.</w:t>
            </w:r>
            <w:r w:rsidRPr="00A04E56" w:rsidDel="00CB3656">
              <w:rPr>
                <w:lang w:val="en-GB"/>
              </w:rPr>
              <w:t xml:space="preserve"> </w:t>
            </w:r>
          </w:p>
        </w:tc>
      </w:tr>
    </w:tbl>
    <w:p w14:paraId="3166E4DB" w14:textId="30DCB1CF" w:rsidR="00311F16" w:rsidRPr="00A04E56" w:rsidRDefault="00311F16" w:rsidP="0049758A">
      <w:pPr>
        <w:pStyle w:val="SubtitleGreenExecutiveSummary"/>
      </w:pPr>
      <w:r w:rsidRPr="00A04E56">
        <w:t>The EU budget continues to help make the EU</w:t>
      </w:r>
      <w:r w:rsidR="00D762D1">
        <w:t xml:space="preserve"> a safer place to live and work</w:t>
      </w:r>
    </w:p>
    <w:p w14:paraId="53666A6B" w14:textId="23BE013C" w:rsidR="00311F16" w:rsidRPr="00A04E56" w:rsidRDefault="00311F16" w:rsidP="00311F16">
      <w:pPr>
        <w:pStyle w:val="BodyText1spaceafter"/>
      </w:pPr>
      <w:r w:rsidRPr="00A04E56">
        <w:t>Security threats have intensified and diversified in Europe. They come in the form of terrorist attacks</w:t>
      </w:r>
      <w:r w:rsidR="00543AC8" w:rsidRPr="00A04E56">
        <w:t xml:space="preserve"> and</w:t>
      </w:r>
      <w:r w:rsidRPr="00A04E56">
        <w:t xml:space="preserve"> new types of organised crime, as well as cybercrime. To </w:t>
      </w:r>
      <w:r w:rsidRPr="00A04E56">
        <w:rPr>
          <w:rStyle w:val="BOLDGREENExecutiveSummary"/>
        </w:rPr>
        <w:t>protect</w:t>
      </w:r>
      <w:r w:rsidRPr="00A04E56" w:rsidDel="00E9307F">
        <w:t xml:space="preserve"> </w:t>
      </w:r>
      <w:r w:rsidRPr="00A04E56">
        <w:t>the public against these threats, the EU has provided funding and supported cooperation</w:t>
      </w:r>
      <w:r w:rsidR="004740BC" w:rsidRPr="00A04E56">
        <w:t>,</w:t>
      </w:r>
      <w:r w:rsidRPr="00A04E56">
        <w:t xml:space="preserve"> for instance</w:t>
      </w:r>
      <w:r w:rsidR="004740BC" w:rsidRPr="00A04E56">
        <w:t>,</w:t>
      </w:r>
      <w:r w:rsidRPr="00A04E56">
        <w:t xml:space="preserve"> to fight money laundering, intercept and seize counterfeit products and combat disinformation campaigns.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1A3D98" w:rsidRPr="00A04E56" w14:paraId="6BC2CA79" w14:textId="77777777" w:rsidTr="007F4908">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1A5FE437" w14:textId="77777777" w:rsidR="001A3D98" w:rsidRPr="00A04E56" w:rsidRDefault="001A3D98" w:rsidP="007F4908">
            <w:pPr>
              <w:pStyle w:val="BOXE2GREENtabletext"/>
              <w:rPr>
                <w:lang w:val="en-GB"/>
              </w:rPr>
            </w:pPr>
            <w:r w:rsidRPr="00A04E56">
              <w:rPr>
                <w:lang w:val="en-GB"/>
              </w:rPr>
              <w:t xml:space="preserve">The Connecting Europe Facility </w:t>
            </w:r>
            <w:r w:rsidRPr="00A04E56">
              <w:rPr>
                <w:noProof w:val="0"/>
                <w:lang w:val="en-GB"/>
              </w:rPr>
              <w:t>set up</w:t>
            </w:r>
            <w:r w:rsidRPr="00A04E56">
              <w:rPr>
                <w:lang w:val="en-GB"/>
              </w:rPr>
              <w:t xml:space="preserve"> a voluntary cooperation platform </w:t>
            </w:r>
            <w:r w:rsidRPr="00A04E56">
              <w:rPr>
                <w:noProof w:val="0"/>
                <w:lang w:val="en-GB"/>
              </w:rPr>
              <w:t>to</w:t>
            </w:r>
            <w:r w:rsidRPr="00A04E56">
              <w:rPr>
                <w:lang w:val="en-GB"/>
              </w:rPr>
              <w:t xml:space="preserve"> </w:t>
            </w:r>
            <w:r w:rsidRPr="00A04E56">
              <w:rPr>
                <w:noProof w:val="0"/>
                <w:lang w:val="en-GB"/>
              </w:rPr>
              <w:t>strengthen</w:t>
            </w:r>
            <w:r w:rsidRPr="00A04E56">
              <w:rPr>
                <w:lang w:val="en-GB"/>
              </w:rPr>
              <w:t xml:space="preserve"> preparedness and response to </w:t>
            </w:r>
            <w:r w:rsidRPr="00A04E56">
              <w:rPr>
                <w:noProof w:val="0"/>
                <w:lang w:val="en-GB"/>
              </w:rPr>
              <w:t>cyberattacks. By doing so, the</w:t>
            </w:r>
            <w:r w:rsidRPr="00A04E56">
              <w:rPr>
                <w:lang w:val="en-GB"/>
              </w:rPr>
              <w:t xml:space="preserve"> EU is contributing to an EU-wide solution to a threat that does not respect national borders.</w:t>
            </w:r>
          </w:p>
        </w:tc>
      </w:tr>
    </w:tbl>
    <w:p w14:paraId="4B422533" w14:textId="77777777" w:rsidR="001A3D98" w:rsidRPr="001A3D98" w:rsidRDefault="001A3D98" w:rsidP="001A3D98">
      <w:pPr>
        <w:pStyle w:val="BodyText1"/>
        <w:rPr>
          <w:lang w:val="en-GB"/>
        </w:rPr>
      </w:pPr>
    </w:p>
    <w:p w14:paraId="1B0D61F1" w14:textId="77777777" w:rsidR="00311F16" w:rsidRPr="00A04E56" w:rsidRDefault="00311F16" w:rsidP="00311F16">
      <w:pPr>
        <w:pStyle w:val="BodyText1spaceafter"/>
      </w:pPr>
      <w:r w:rsidRPr="00A04E56">
        <w:rPr>
          <w:rStyle w:val="BodyText1Char"/>
          <w:lang w:val="en-GB"/>
        </w:rPr>
        <w:t xml:space="preserve">The EU has shown </w:t>
      </w:r>
      <w:r w:rsidRPr="00A04E56">
        <w:rPr>
          <w:rStyle w:val="BOLDGREENExecutiveSummary"/>
        </w:rPr>
        <w:t>solidarity</w:t>
      </w:r>
      <w:r w:rsidRPr="00A04E56">
        <w:rPr>
          <w:rStyle w:val="BodyText1Char"/>
          <w:lang w:val="en-GB"/>
        </w:rPr>
        <w:t xml:space="preserve"> within its borders by coordinating and financing disaster-relief efforts, supporting farmers affected by drought or employees affected by massive corporate restructuring.</w:t>
      </w:r>
      <w:r w:rsidRPr="00A04E56">
        <w:t xml:space="preserve"> In light of the difficulties farmers faced during</w:t>
      </w:r>
      <w:r w:rsidRPr="00A04E56">
        <w:rPr>
          <w:noProof w:val="0"/>
        </w:rPr>
        <w:t xml:space="preserve"> </w:t>
      </w:r>
      <w:r w:rsidRPr="00A04E56">
        <w:t>the summer drought, higher advanced payments were provided to help farmers feed their animals.</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311F16" w:rsidRPr="00A04E56" w14:paraId="2649A0A2" w14:textId="77777777" w:rsidTr="000B498D">
        <w:trPr>
          <w:cantSplit/>
        </w:trPr>
        <w:tc>
          <w:tcPr>
            <w:tcW w:w="4365" w:type="dxa"/>
            <w:tcBorders>
              <w:top w:val="nil"/>
              <w:left w:val="nil"/>
              <w:bottom w:val="nil"/>
              <w:right w:val="nil"/>
            </w:tcBorders>
            <w:shd w:val="clear" w:color="auto" w:fill="D7F1EA" w:themeFill="accent4" w:themeFillTint="33"/>
            <w:tcMar>
              <w:top w:w="113" w:type="dxa"/>
              <w:bottom w:w="113" w:type="dxa"/>
            </w:tcMar>
          </w:tcPr>
          <w:p w14:paraId="6B731092" w14:textId="0D2CAD68" w:rsidR="00311F16" w:rsidRPr="00A04E56" w:rsidRDefault="008C1D39" w:rsidP="000B498D">
            <w:pPr>
              <w:pStyle w:val="BOXE2GREENtabletext"/>
              <w:rPr>
                <w:lang w:val="en-GB"/>
              </w:rPr>
            </w:pPr>
            <w:r w:rsidRPr="00A04E56">
              <w:rPr>
                <w:i/>
                <w:u w:val="single"/>
                <w:lang w:val="en-GB"/>
              </w:rPr>
              <w:t>In 2018</w:t>
            </w:r>
            <w:r w:rsidR="00EE6848" w:rsidRPr="00A04E56">
              <w:rPr>
                <w:lang w:val="en-GB"/>
              </w:rPr>
              <w:t xml:space="preserve">, </w:t>
            </w:r>
            <w:r w:rsidR="00311F16" w:rsidRPr="00A04E56">
              <w:rPr>
                <w:lang w:val="en-GB"/>
              </w:rPr>
              <w:t>EUR</w:t>
            </w:r>
            <w:r w:rsidR="00311F16" w:rsidRPr="00A04E56">
              <w:rPr>
                <w:rFonts w:ascii="Arial" w:hAnsi="Arial" w:cs="Arial"/>
                <w:lang w:val="en-GB"/>
              </w:rPr>
              <w:t> </w:t>
            </w:r>
            <w:r w:rsidR="00311F16" w:rsidRPr="00A04E56">
              <w:rPr>
                <w:lang w:val="en-GB"/>
              </w:rPr>
              <w:t>4.5</w:t>
            </w:r>
            <w:r w:rsidR="00311F16" w:rsidRPr="00A04E56">
              <w:rPr>
                <w:rFonts w:ascii="Arial" w:hAnsi="Arial" w:cs="Arial"/>
                <w:lang w:val="en-GB"/>
              </w:rPr>
              <w:t> </w:t>
            </w:r>
            <w:r w:rsidR="00311F16" w:rsidRPr="00A04E56">
              <w:rPr>
                <w:lang w:val="en-GB"/>
              </w:rPr>
              <w:t>million from the European Globalisation Adjustment Fund helped 730 displaced workers in the Portugues</w:t>
            </w:r>
            <w:r w:rsidR="004740BC" w:rsidRPr="00A04E56">
              <w:rPr>
                <w:lang w:val="en-GB"/>
              </w:rPr>
              <w:t>e</w:t>
            </w:r>
            <w:r w:rsidR="00311F16" w:rsidRPr="00A04E56">
              <w:rPr>
                <w:lang w:val="en-GB"/>
              </w:rPr>
              <w:t xml:space="preserve"> clothing sector.</w:t>
            </w:r>
          </w:p>
        </w:tc>
        <w:tc>
          <w:tcPr>
            <w:tcW w:w="340" w:type="dxa"/>
            <w:tcBorders>
              <w:top w:val="nil"/>
              <w:left w:val="nil"/>
              <w:bottom w:val="nil"/>
              <w:right w:val="nil"/>
            </w:tcBorders>
            <w:shd w:val="clear" w:color="auto" w:fill="auto"/>
            <w:tcMar>
              <w:top w:w="113" w:type="dxa"/>
              <w:bottom w:w="113" w:type="dxa"/>
            </w:tcMar>
          </w:tcPr>
          <w:p w14:paraId="384FAFD2" w14:textId="77777777" w:rsidR="00311F16" w:rsidRPr="00A04E56" w:rsidRDefault="00311F16" w:rsidP="000B498D">
            <w:pPr>
              <w:pStyle w:val="BOXE2GREENtabletext"/>
              <w:rPr>
                <w:lang w:val="en-GB"/>
              </w:rPr>
            </w:pPr>
          </w:p>
        </w:tc>
        <w:tc>
          <w:tcPr>
            <w:tcW w:w="4365" w:type="dxa"/>
            <w:tcBorders>
              <w:top w:val="nil"/>
              <w:left w:val="nil"/>
              <w:bottom w:val="nil"/>
              <w:right w:val="nil"/>
            </w:tcBorders>
            <w:shd w:val="clear" w:color="auto" w:fill="D7F1EA"/>
            <w:tcMar>
              <w:top w:w="113" w:type="dxa"/>
              <w:bottom w:w="113" w:type="dxa"/>
            </w:tcMar>
          </w:tcPr>
          <w:p w14:paraId="6418CBA7" w14:textId="12E94543" w:rsidR="00311F16" w:rsidRPr="00A04E56" w:rsidRDefault="00311F16" w:rsidP="004740BC">
            <w:pPr>
              <w:pStyle w:val="BOXE2GREENtabletext"/>
              <w:rPr>
                <w:lang w:val="en-GB"/>
              </w:rPr>
            </w:pPr>
            <w:r w:rsidRPr="00277538">
              <w:rPr>
                <w:lang w:val="en-GB"/>
              </w:rPr>
              <w:t>Since 2003</w:t>
            </w:r>
            <w:r w:rsidRPr="00A04E56">
              <w:rPr>
                <w:lang w:val="en-GB"/>
              </w:rPr>
              <w:t xml:space="preserve">, the EU </w:t>
            </w:r>
            <w:r w:rsidR="001A3D98">
              <w:rPr>
                <w:lang w:val="en-GB"/>
              </w:rPr>
              <w:t>was engaged in</w:t>
            </w:r>
            <w:r w:rsidRPr="00A04E56">
              <w:rPr>
                <w:lang w:val="en-GB"/>
              </w:rPr>
              <w:t xml:space="preserve"> 163</w:t>
            </w:r>
            <w:r w:rsidRPr="00A04E56">
              <w:rPr>
                <w:rFonts w:ascii="Calibri" w:hAnsi="Calibri" w:cs="Calibri"/>
                <w:noProof w:val="0"/>
                <w:lang w:val="en-GB"/>
              </w:rPr>
              <w:t> </w:t>
            </w:r>
            <w:r w:rsidRPr="00A04E56">
              <w:rPr>
                <w:noProof w:val="0"/>
                <w:lang w:val="en-GB"/>
              </w:rPr>
              <w:t xml:space="preserve">official </w:t>
            </w:r>
            <w:r w:rsidRPr="00A04E56">
              <w:rPr>
                <w:lang w:val="en-GB"/>
              </w:rPr>
              <w:t>mission</w:t>
            </w:r>
            <w:r w:rsidRPr="00A04E56">
              <w:rPr>
                <w:noProof w:val="0"/>
                <w:lang w:val="en-GB"/>
              </w:rPr>
              <w:t>s</w:t>
            </w:r>
            <w:r w:rsidRPr="00A04E56">
              <w:rPr>
                <w:lang w:val="en-GB"/>
              </w:rPr>
              <w:t xml:space="preserve"> and</w:t>
            </w:r>
            <w:r w:rsidRPr="00A04E56">
              <w:rPr>
                <w:noProof w:val="0"/>
                <w:lang w:val="en-GB"/>
              </w:rPr>
              <w:t xml:space="preserve"> deployed </w:t>
            </w:r>
            <w:r w:rsidRPr="00A04E56">
              <w:rPr>
                <w:lang w:val="en-GB"/>
              </w:rPr>
              <w:t xml:space="preserve">560 experts to protect </w:t>
            </w:r>
            <w:r w:rsidRPr="00A04E56">
              <w:rPr>
                <w:noProof w:val="0"/>
                <w:lang w:val="en-GB"/>
              </w:rPr>
              <w:t>people</w:t>
            </w:r>
            <w:r w:rsidRPr="00A04E56">
              <w:rPr>
                <w:lang w:val="en-GB"/>
              </w:rPr>
              <w:t xml:space="preserve"> around the globe. </w:t>
            </w:r>
            <w:r w:rsidR="008C1D39" w:rsidRPr="00A04E56">
              <w:rPr>
                <w:i/>
                <w:u w:val="single"/>
                <w:lang w:val="en-GB"/>
              </w:rPr>
              <w:t>In 2018</w:t>
            </w:r>
            <w:r w:rsidRPr="00A04E56">
              <w:rPr>
                <w:lang w:val="en-GB"/>
              </w:rPr>
              <w:t>, a record EU</w:t>
            </w:r>
            <w:r w:rsidRPr="00A04E56">
              <w:rPr>
                <w:noProof w:val="0"/>
                <w:lang w:val="en-GB"/>
              </w:rPr>
              <w:t xml:space="preserve"> civil</w:t>
            </w:r>
            <w:r w:rsidR="00C6111C" w:rsidRPr="00A04E56">
              <w:rPr>
                <w:noProof w:val="0"/>
                <w:lang w:val="en-GB"/>
              </w:rPr>
              <w:t>-protection</w:t>
            </w:r>
            <w:r w:rsidRPr="00A04E56">
              <w:rPr>
                <w:noProof w:val="0"/>
                <w:lang w:val="en-GB"/>
              </w:rPr>
              <w:t xml:space="preserve"> </w:t>
            </w:r>
            <w:r w:rsidRPr="00A04E56">
              <w:rPr>
                <w:lang w:val="en-GB"/>
              </w:rPr>
              <w:t>operation helped Sweden fight forest fires: over 360 fire</w:t>
            </w:r>
            <w:r w:rsidR="00B625A6" w:rsidRPr="00A04E56">
              <w:rPr>
                <w:lang w:val="en-GB"/>
              </w:rPr>
              <w:t>fight</w:t>
            </w:r>
            <w:r w:rsidR="001A3D98">
              <w:rPr>
                <w:lang w:val="en-GB"/>
              </w:rPr>
              <w:t>ers</w:t>
            </w:r>
            <w:r w:rsidRPr="00A04E56">
              <w:rPr>
                <w:lang w:val="en-GB"/>
              </w:rPr>
              <w:t xml:space="preserve">, </w:t>
            </w:r>
            <w:r w:rsidR="004740BC" w:rsidRPr="00A04E56">
              <w:rPr>
                <w:lang w:val="en-GB"/>
              </w:rPr>
              <w:t>seven</w:t>
            </w:r>
            <w:r w:rsidRPr="00A04E56">
              <w:rPr>
                <w:lang w:val="en-GB"/>
              </w:rPr>
              <w:t xml:space="preserve"> planes, </w:t>
            </w:r>
            <w:r w:rsidR="004740BC" w:rsidRPr="00A04E56">
              <w:rPr>
                <w:lang w:val="en-GB"/>
              </w:rPr>
              <w:t>six</w:t>
            </w:r>
            <w:r w:rsidRPr="00A04E56">
              <w:rPr>
                <w:lang w:val="en-GB"/>
              </w:rPr>
              <w:t xml:space="preserve"> helicopters and 67 vehicles were mobilised.</w:t>
            </w:r>
          </w:p>
        </w:tc>
      </w:tr>
    </w:tbl>
    <w:p w14:paraId="54EC3799" w14:textId="08EE2C38" w:rsidR="004C31CA" w:rsidRPr="00A04E56" w:rsidRDefault="007D1744" w:rsidP="0049758A">
      <w:pPr>
        <w:pStyle w:val="SubtitleGreenExecutiveSummary"/>
      </w:pPr>
      <w:r w:rsidRPr="00A04E56">
        <w:t>Budget h</w:t>
      </w:r>
      <w:r w:rsidR="00311F16" w:rsidRPr="00A04E56">
        <w:t xml:space="preserve">eading 4 </w:t>
      </w:r>
      <w:r w:rsidR="004740BC" w:rsidRPr="00A04E56">
        <w:t>—</w:t>
      </w:r>
      <w:r w:rsidR="00311F16" w:rsidRPr="00A04E56">
        <w:t xml:space="preserve"> </w:t>
      </w:r>
      <w:r w:rsidR="004C31CA" w:rsidRPr="00A04E56">
        <w:t xml:space="preserve">The EU budget has </w:t>
      </w:r>
      <w:r w:rsidR="005A2AEE" w:rsidRPr="00A04E56">
        <w:t xml:space="preserve">helped </w:t>
      </w:r>
      <w:r w:rsidR="004C31CA" w:rsidRPr="00A04E56">
        <w:t>the EU become a stronger global actor</w:t>
      </w:r>
    </w:p>
    <w:p w14:paraId="178E619E" w14:textId="3D81B183" w:rsidR="006D2847" w:rsidRPr="00A04E56" w:rsidRDefault="00FA50D0" w:rsidP="00325BB1">
      <w:pPr>
        <w:pStyle w:val="BodyText1spaceafter"/>
      </w:pPr>
      <w:r>
        <w:t xml:space="preserve">The </w:t>
      </w:r>
      <w:r w:rsidR="006D2847" w:rsidRPr="00A04E56">
        <w:t xml:space="preserve">EU budget enabled </w:t>
      </w:r>
      <w:r>
        <w:t xml:space="preserve">the Union </w:t>
      </w:r>
      <w:r w:rsidR="006D2847" w:rsidRPr="00A04E56">
        <w:t xml:space="preserve">to keep </w:t>
      </w:r>
      <w:r w:rsidR="00FB08BA">
        <w:t>its</w:t>
      </w:r>
      <w:r w:rsidR="006D2847" w:rsidRPr="00A04E56">
        <w:t xml:space="preserve"> focus on investing in the sustainability and resilience of our partners, in particular through the European Neighbourhood Instrument and Instrument for Pre-Accession Assistance. </w:t>
      </w:r>
      <w:r w:rsidR="001A3D98">
        <w:t>The EU is</w:t>
      </w:r>
      <w:r w:rsidR="006D2847" w:rsidRPr="00A04E56">
        <w:t xml:space="preserve"> helping neighbouring countries </w:t>
      </w:r>
      <w:r w:rsidR="001A3D98">
        <w:t xml:space="preserve">to further </w:t>
      </w:r>
      <w:r w:rsidR="006D2847" w:rsidRPr="00A04E56">
        <w:t>develop stable democratic institutions and, at the same time, become more prosperous.</w:t>
      </w:r>
      <w:r w:rsidR="001A3D98">
        <w:t xml:space="preserve"> This helped to achieve stabitlity at Europe’s borders.</w:t>
      </w:r>
    </w:p>
    <w:p w14:paraId="5CA74977" w14:textId="68BC6A9D" w:rsidR="004C31CA" w:rsidRPr="00A04E56" w:rsidRDefault="006D2847" w:rsidP="00325BB1">
      <w:pPr>
        <w:pStyle w:val="BodyText1spaceafter"/>
      </w:pPr>
      <w:r w:rsidRPr="00A04E56">
        <w:rPr>
          <w:i/>
          <w:u w:val="single"/>
        </w:rPr>
        <w:t>In 2018</w:t>
      </w:r>
      <w:r w:rsidRPr="00A04E56">
        <w:t>, t</w:t>
      </w:r>
      <w:r w:rsidR="004C31CA" w:rsidRPr="00A04E56">
        <w:t xml:space="preserve">he EU provided </w:t>
      </w:r>
      <w:r w:rsidRPr="00A04E56">
        <w:t xml:space="preserve">also </w:t>
      </w:r>
      <w:r w:rsidR="004C31CA" w:rsidRPr="00A04E56">
        <w:t>leadership and support on the Iran nuclear deal</w:t>
      </w:r>
      <w:r w:rsidR="004C31CA" w:rsidRPr="00A04E56">
        <w:rPr>
          <w:rStyle w:val="fnRef"/>
          <w:rFonts w:ascii="Arial" w:hAnsi="Arial" w:cs="Arial"/>
        </w:rPr>
        <w:t> </w:t>
      </w:r>
      <w:r w:rsidR="004C31CA" w:rsidRPr="00A04E56">
        <w:rPr>
          <w:rStyle w:val="fnRef"/>
        </w:rPr>
        <w:t>(</w:t>
      </w:r>
      <w:r w:rsidR="004C31CA" w:rsidRPr="00A04E56">
        <w:rPr>
          <w:rStyle w:val="fnRefNo"/>
        </w:rPr>
        <w:footnoteReference w:id="17"/>
      </w:r>
      <w:r w:rsidR="004C31CA" w:rsidRPr="00A04E56">
        <w:rPr>
          <w:rStyle w:val="fnRef"/>
        </w:rPr>
        <w:t>)</w:t>
      </w:r>
      <w:r w:rsidR="004C31CA" w:rsidRPr="00A04E56">
        <w:t>, the Paris climate</w:t>
      </w:r>
      <w:r w:rsidR="00C6111C" w:rsidRPr="00A04E56">
        <w:t>-</w:t>
      </w:r>
      <w:r w:rsidR="004C31CA" w:rsidRPr="00A04E56">
        <w:t xml:space="preserve">change agreement, the </w:t>
      </w:r>
      <w:r w:rsidR="005A2AEE" w:rsidRPr="00A04E56">
        <w:t xml:space="preserve">UN </w:t>
      </w:r>
      <w:r w:rsidR="004C31CA" w:rsidRPr="00A04E56">
        <w:rPr>
          <w:noProof w:val="0"/>
        </w:rPr>
        <w:t>sustainable development go</w:t>
      </w:r>
      <w:r w:rsidR="004C31CA" w:rsidRPr="00A04E56">
        <w:t xml:space="preserve">als, new trade agreements with </w:t>
      </w:r>
      <w:r w:rsidR="00C53EFC" w:rsidRPr="00A04E56">
        <w:t>a strong sustainable development component</w:t>
      </w:r>
      <w:r w:rsidR="004740BC" w:rsidRPr="00A04E56">
        <w:t>,</w:t>
      </w:r>
      <w:r w:rsidR="004C31CA" w:rsidRPr="00A04E56">
        <w:t xml:space="preserve"> cooperation with the African Union</w:t>
      </w:r>
      <w:r w:rsidR="004C31CA" w:rsidRPr="00A04E56">
        <w:rPr>
          <w:rStyle w:val="fnRef"/>
          <w:rFonts w:ascii="Arial" w:hAnsi="Arial" w:cs="Arial"/>
        </w:rPr>
        <w:t> </w:t>
      </w:r>
      <w:r w:rsidR="004C31CA" w:rsidRPr="00A04E56">
        <w:rPr>
          <w:rStyle w:val="fnRef"/>
        </w:rPr>
        <w:t>(</w:t>
      </w:r>
      <w:r w:rsidR="004C31CA" w:rsidRPr="00A04E56">
        <w:rPr>
          <w:rStyle w:val="fnRefNo"/>
        </w:rPr>
        <w:footnoteReference w:id="18"/>
      </w:r>
      <w:r w:rsidR="004C31CA" w:rsidRPr="00A04E56">
        <w:rPr>
          <w:rStyle w:val="fnRef"/>
        </w:rPr>
        <w:t>)</w:t>
      </w:r>
      <w:r w:rsidR="004C31CA" w:rsidRPr="00A04E56">
        <w:t xml:space="preserve"> and relations with the United Nations. </w:t>
      </w:r>
    </w:p>
    <w:p w14:paraId="18BA3C17" w14:textId="1F52F648" w:rsidR="00E435DC" w:rsidRPr="00A04E56" w:rsidRDefault="004C31CA" w:rsidP="00E435DC">
      <w:pPr>
        <w:pStyle w:val="BodyText1spaceafter"/>
      </w:pPr>
      <w:r w:rsidRPr="00A04E56">
        <w:rPr>
          <w:rStyle w:val="BOLDGREENExecutiveSummary"/>
        </w:rPr>
        <w:t>Together with its Member States, the EU is the world’s biggest donor of humanitarian aid.</w:t>
      </w:r>
      <w:r w:rsidRPr="00A04E56">
        <w:rPr>
          <w:b/>
        </w:rPr>
        <w:t xml:space="preserve"> </w:t>
      </w:r>
      <w:r w:rsidRPr="00A04E56">
        <w:t xml:space="preserve">This allows the EU to provide life-saving support </w:t>
      </w:r>
      <w:r w:rsidR="005A2AEE" w:rsidRPr="00A04E56">
        <w:t xml:space="preserve">to </w:t>
      </w:r>
      <w:r w:rsidRPr="00A04E56">
        <w:t>natural disasters and man-made conflicts worldwide.</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4365"/>
        <w:gridCol w:w="340"/>
        <w:gridCol w:w="4365"/>
      </w:tblGrid>
      <w:tr w:rsidR="00E435DC" w:rsidRPr="00A04E56" w14:paraId="78ED5F22" w14:textId="77777777" w:rsidTr="000D13EF">
        <w:trPr>
          <w:cantSplit/>
        </w:trPr>
        <w:tc>
          <w:tcPr>
            <w:tcW w:w="4365" w:type="dxa"/>
            <w:tcBorders>
              <w:top w:val="nil"/>
              <w:left w:val="nil"/>
              <w:bottom w:val="nil"/>
              <w:right w:val="nil"/>
            </w:tcBorders>
            <w:shd w:val="clear" w:color="auto" w:fill="D7F1EA"/>
            <w:tcMar>
              <w:top w:w="113" w:type="dxa"/>
              <w:bottom w:w="113" w:type="dxa"/>
            </w:tcMar>
          </w:tcPr>
          <w:p w14:paraId="5D6769BE" w14:textId="75C1DF2A" w:rsidR="00E435DC" w:rsidRPr="00A04E56" w:rsidRDefault="008C1D39" w:rsidP="005A2AEE">
            <w:pPr>
              <w:pStyle w:val="BOXE2GREENtabletext"/>
              <w:rPr>
                <w:lang w:val="en-GB"/>
              </w:rPr>
            </w:pPr>
            <w:r w:rsidRPr="00A04E56">
              <w:rPr>
                <w:i/>
                <w:u w:val="single"/>
                <w:lang w:val="en-GB"/>
              </w:rPr>
              <w:t>In 2018</w:t>
            </w:r>
            <w:r w:rsidR="008D1469" w:rsidRPr="00A04E56">
              <w:rPr>
                <w:lang w:val="en-GB"/>
              </w:rPr>
              <w:t xml:space="preserve"> more than EUR</w:t>
            </w:r>
            <w:r w:rsidR="008D1469" w:rsidRPr="00A04E56">
              <w:rPr>
                <w:rFonts w:ascii="Arial" w:hAnsi="Arial" w:cs="Arial"/>
                <w:lang w:val="en-GB"/>
              </w:rPr>
              <w:t> </w:t>
            </w:r>
            <w:r w:rsidR="008D1469" w:rsidRPr="00A04E56">
              <w:rPr>
                <w:lang w:val="en-GB"/>
              </w:rPr>
              <w:t>1.</w:t>
            </w:r>
            <w:r w:rsidR="00271336">
              <w:rPr>
                <w:lang w:val="en-GB"/>
              </w:rPr>
              <w:t>4</w:t>
            </w:r>
            <w:r w:rsidR="008D1469" w:rsidRPr="00A04E56">
              <w:rPr>
                <w:rFonts w:ascii="Arial" w:hAnsi="Arial" w:cs="Arial"/>
                <w:lang w:val="en-GB"/>
              </w:rPr>
              <w:t> </w:t>
            </w:r>
            <w:r w:rsidR="008D1469" w:rsidRPr="00A04E56">
              <w:rPr>
                <w:lang w:val="en-GB"/>
              </w:rPr>
              <w:t>billion was spent on humanitarian aid in more than 90 countries</w:t>
            </w:r>
            <w:r w:rsidR="001A3D98">
              <w:rPr>
                <w:lang w:val="en-GB"/>
              </w:rPr>
              <w:t>. A</w:t>
            </w:r>
            <w:r w:rsidR="008D1469" w:rsidRPr="00A04E56">
              <w:rPr>
                <w:lang w:val="en-GB"/>
              </w:rPr>
              <w:t xml:space="preserve"> significant part was spent on supporting conflict-affected populations in Syria and refugees in neighbouring countries.</w:t>
            </w:r>
          </w:p>
        </w:tc>
        <w:tc>
          <w:tcPr>
            <w:tcW w:w="340" w:type="dxa"/>
            <w:tcBorders>
              <w:top w:val="nil"/>
              <w:left w:val="nil"/>
              <w:bottom w:val="nil"/>
              <w:right w:val="nil"/>
            </w:tcBorders>
            <w:shd w:val="clear" w:color="auto" w:fill="auto"/>
            <w:tcMar>
              <w:top w:w="113" w:type="dxa"/>
              <w:bottom w:w="113" w:type="dxa"/>
            </w:tcMar>
          </w:tcPr>
          <w:p w14:paraId="6350892B" w14:textId="77777777" w:rsidR="00E435DC" w:rsidRPr="00A04E56" w:rsidRDefault="00E435DC" w:rsidP="00E435DC">
            <w:pPr>
              <w:pStyle w:val="BOXE2GREENtabletext"/>
              <w:rPr>
                <w:lang w:val="en-GB"/>
              </w:rPr>
            </w:pPr>
          </w:p>
        </w:tc>
        <w:tc>
          <w:tcPr>
            <w:tcW w:w="4365" w:type="dxa"/>
            <w:tcBorders>
              <w:top w:val="nil"/>
              <w:left w:val="nil"/>
              <w:bottom w:val="nil"/>
              <w:right w:val="nil"/>
            </w:tcBorders>
            <w:shd w:val="clear" w:color="auto" w:fill="D7F1EA"/>
            <w:tcMar>
              <w:top w:w="113" w:type="dxa"/>
              <w:bottom w:w="113" w:type="dxa"/>
            </w:tcMar>
          </w:tcPr>
          <w:p w14:paraId="23AB2D16" w14:textId="779F981F" w:rsidR="00E435DC" w:rsidRPr="00A04E56" w:rsidRDefault="008C1D39" w:rsidP="00BA7BAA">
            <w:pPr>
              <w:pStyle w:val="BOXE2GREENtabletext"/>
              <w:rPr>
                <w:lang w:val="en-GB"/>
              </w:rPr>
            </w:pPr>
            <w:r w:rsidRPr="00A04E56">
              <w:rPr>
                <w:i/>
                <w:u w:val="single"/>
                <w:lang w:val="en-GB"/>
              </w:rPr>
              <w:t>In 2018</w:t>
            </w:r>
            <w:r w:rsidR="008D1469" w:rsidRPr="00A04E56">
              <w:rPr>
                <w:lang w:val="en-GB"/>
              </w:rPr>
              <w:t xml:space="preserve"> another </w:t>
            </w:r>
            <w:r w:rsidR="008D1469" w:rsidRPr="00A04E56" w:rsidDel="00D63039">
              <w:rPr>
                <w:lang w:val="en-GB"/>
              </w:rPr>
              <w:t>EUR</w:t>
            </w:r>
            <w:r w:rsidR="008D1469" w:rsidRPr="00A04E56">
              <w:rPr>
                <w:rFonts w:ascii="Arial" w:hAnsi="Arial" w:cs="Arial"/>
                <w:lang w:val="en-GB"/>
              </w:rPr>
              <w:t> </w:t>
            </w:r>
            <w:r w:rsidR="008D1469" w:rsidRPr="00A04E56">
              <w:rPr>
                <w:lang w:val="en-GB"/>
              </w:rPr>
              <w:t>15</w:t>
            </w:r>
            <w:r w:rsidR="008D1469" w:rsidRPr="00A04E56">
              <w:rPr>
                <w:rFonts w:ascii="Arial" w:hAnsi="Arial" w:cs="Arial"/>
                <w:lang w:val="en-GB"/>
              </w:rPr>
              <w:t> </w:t>
            </w:r>
            <w:r w:rsidR="008D1469" w:rsidRPr="00A04E56">
              <w:rPr>
                <w:lang w:val="en-GB"/>
              </w:rPr>
              <w:t xml:space="preserve">million was committed to </w:t>
            </w:r>
            <w:r w:rsidR="005A2AEE" w:rsidRPr="00A04E56">
              <w:rPr>
                <w:lang w:val="en-GB"/>
              </w:rPr>
              <w:t xml:space="preserve">help </w:t>
            </w:r>
            <w:r w:rsidR="008D1469" w:rsidRPr="00A04E56">
              <w:rPr>
                <w:lang w:val="en-GB"/>
              </w:rPr>
              <w:t>creat</w:t>
            </w:r>
            <w:r w:rsidR="005A2AEE" w:rsidRPr="00A04E56">
              <w:rPr>
                <w:lang w:val="en-GB"/>
              </w:rPr>
              <w:t>e</w:t>
            </w:r>
            <w:r w:rsidR="008D1469" w:rsidRPr="00A04E56">
              <w:rPr>
                <w:lang w:val="en-GB"/>
              </w:rPr>
              <w:t xml:space="preserve"> </w:t>
            </w:r>
            <w:r w:rsidR="00F94896" w:rsidRPr="00A04E56">
              <w:rPr>
                <w:lang w:val="en-GB"/>
              </w:rPr>
              <w:t>the</w:t>
            </w:r>
            <w:r w:rsidR="008D1469" w:rsidRPr="00A04E56">
              <w:rPr>
                <w:lang w:val="en-GB"/>
              </w:rPr>
              <w:t xml:space="preserve"> necessary conditions for the voluntary, safe and dignified return of Rohingya refugees who have fled Myanmar/Burma to Bangladesh</w:t>
            </w:r>
            <w:r w:rsidR="008D1469" w:rsidRPr="00A04E56">
              <w:rPr>
                <w:rStyle w:val="fnRef"/>
                <w:rFonts w:ascii="Arial" w:hAnsi="Arial" w:cs="Arial"/>
                <w:lang w:val="en-GB"/>
              </w:rPr>
              <w:t> </w:t>
            </w:r>
            <w:r w:rsidR="008D1469" w:rsidRPr="00A04E56">
              <w:rPr>
                <w:rStyle w:val="fnRef"/>
                <w:lang w:val="en-GB"/>
              </w:rPr>
              <w:t>(</w:t>
            </w:r>
            <w:r w:rsidR="008D1469" w:rsidRPr="00A04E56">
              <w:rPr>
                <w:rStyle w:val="fnRefNo"/>
                <w:lang w:val="en-GB"/>
              </w:rPr>
              <w:footnoteReference w:id="19"/>
            </w:r>
            <w:r w:rsidR="008D1469" w:rsidRPr="00A04E56">
              <w:rPr>
                <w:rStyle w:val="fnRef"/>
                <w:lang w:val="en-GB"/>
              </w:rPr>
              <w:t>)</w:t>
            </w:r>
            <w:r w:rsidR="008D1469" w:rsidRPr="00A04E56">
              <w:rPr>
                <w:lang w:val="en-GB"/>
              </w:rPr>
              <w:t>.</w:t>
            </w:r>
          </w:p>
        </w:tc>
      </w:tr>
    </w:tbl>
    <w:p w14:paraId="3B9FFA60" w14:textId="415A73A6" w:rsidR="004C31CA" w:rsidRPr="00A04E56" w:rsidRDefault="002D3C0F" w:rsidP="00E435DC">
      <w:pPr>
        <w:pStyle w:val="BodyText1spacebeforeandafter"/>
      </w:pPr>
      <w:r w:rsidRPr="00A04E56">
        <w:rPr>
          <w:rStyle w:val="BodyText1Char"/>
          <w:lang w:val="en-GB"/>
        </w:rPr>
        <w:t xml:space="preserve">Different </w:t>
      </w:r>
      <w:r w:rsidR="004C31CA" w:rsidRPr="00A04E56">
        <w:rPr>
          <w:noProof w:val="0"/>
        </w:rPr>
        <w:t>instruments</w:t>
      </w:r>
      <w:r w:rsidRPr="00A04E56">
        <w:rPr>
          <w:noProof w:val="0"/>
        </w:rPr>
        <w:t xml:space="preserve"> in the area of development </w:t>
      </w:r>
      <w:r w:rsidR="002A4A4C" w:rsidRPr="00A04E56">
        <w:rPr>
          <w:noProof w:val="0"/>
        </w:rPr>
        <w:t>cooperation</w:t>
      </w:r>
      <w:r w:rsidR="004C31CA" w:rsidRPr="00A04E56">
        <w:rPr>
          <w:noProof w:val="0"/>
        </w:rPr>
        <w:t xml:space="preserve"> support the EU in its commitment to deliver on</w:t>
      </w:r>
      <w:r w:rsidR="004C31CA" w:rsidRPr="00A04E56">
        <w:rPr>
          <w:rStyle w:val="BOLDGREENExecutiveSummary"/>
        </w:rPr>
        <w:t xml:space="preserve"> the 2030 </w:t>
      </w:r>
      <w:r w:rsidR="004740BC" w:rsidRPr="00A04E56">
        <w:rPr>
          <w:rStyle w:val="BOLDGREENExecutiveSummary"/>
        </w:rPr>
        <w:t>a</w:t>
      </w:r>
      <w:r w:rsidR="004C31CA" w:rsidRPr="00A04E56">
        <w:rPr>
          <w:rStyle w:val="BOLDGREENExecutiveSummary"/>
        </w:rPr>
        <w:t xml:space="preserve">genda for </w:t>
      </w:r>
      <w:r w:rsidR="004740BC" w:rsidRPr="00A04E56">
        <w:rPr>
          <w:rStyle w:val="BOLDGREENExecutiveSummary"/>
        </w:rPr>
        <w:t>s</w:t>
      </w:r>
      <w:r w:rsidR="004C31CA" w:rsidRPr="00A04E56">
        <w:rPr>
          <w:rStyle w:val="BOLDGREENExecutiveSummary"/>
        </w:rPr>
        <w:t xml:space="preserve">ustainable </w:t>
      </w:r>
      <w:r w:rsidR="004740BC" w:rsidRPr="00A04E56">
        <w:rPr>
          <w:rStyle w:val="BOLDGREENExecutiveSummary"/>
        </w:rPr>
        <w:t>d</w:t>
      </w:r>
      <w:r w:rsidR="004C31CA" w:rsidRPr="00A04E56">
        <w:rPr>
          <w:rStyle w:val="BOLDGREENExecutiveSummary"/>
        </w:rPr>
        <w:t>evelopment</w:t>
      </w:r>
      <w:r w:rsidR="004C31CA" w:rsidRPr="00A04E56">
        <w:rPr>
          <w:rStyle w:val="BodyText1Char"/>
          <w:lang w:val="en-GB"/>
        </w:rPr>
        <w:t xml:space="preserve"> </w:t>
      </w:r>
      <w:r w:rsidR="004C31CA" w:rsidRPr="00A04E56">
        <w:t xml:space="preserve">in line with the </w:t>
      </w:r>
      <w:r w:rsidR="002A4A4C" w:rsidRPr="00A04E56">
        <w:t xml:space="preserve">European </w:t>
      </w:r>
      <w:r w:rsidR="004C31CA" w:rsidRPr="00A04E56">
        <w:rPr>
          <w:noProof w:val="0"/>
        </w:rPr>
        <w:t>consensus on development</w:t>
      </w:r>
      <w:r w:rsidR="004C31CA" w:rsidRPr="00A04E56">
        <w:rPr>
          <w:rStyle w:val="fnRef"/>
          <w:rFonts w:ascii="Arial" w:hAnsi="Arial" w:cs="Arial"/>
        </w:rPr>
        <w:t> </w:t>
      </w:r>
      <w:r w:rsidR="004C31CA" w:rsidRPr="00A04E56">
        <w:rPr>
          <w:rStyle w:val="fnRef"/>
        </w:rPr>
        <w:t>(</w:t>
      </w:r>
      <w:r w:rsidR="004C31CA" w:rsidRPr="00A04E56">
        <w:rPr>
          <w:rStyle w:val="fnRefNo"/>
        </w:rPr>
        <w:footnoteReference w:id="20"/>
      </w:r>
      <w:r w:rsidR="004C31CA" w:rsidRPr="00A04E56">
        <w:rPr>
          <w:rStyle w:val="fnRef"/>
        </w:rPr>
        <w:t>)</w:t>
      </w:r>
      <w:r w:rsidR="004C31CA" w:rsidRPr="00A04E56">
        <w:t xml:space="preserve">. </w:t>
      </w:r>
      <w:r w:rsidR="002A544F" w:rsidRPr="00A04E56">
        <w:t xml:space="preserve">The </w:t>
      </w:r>
      <w:r w:rsidR="002A4A4C" w:rsidRPr="00A04E56">
        <w:t xml:space="preserve">EU seeks to target funds to countries most in </w:t>
      </w:r>
      <w:r w:rsidR="004740BC" w:rsidRPr="00A04E56">
        <w:t>n</w:t>
      </w:r>
      <w:r w:rsidR="002A4A4C" w:rsidRPr="00A04E56">
        <w:t>eed. It also</w:t>
      </w:r>
      <w:r w:rsidR="002A544F" w:rsidRPr="00A04E56">
        <w:t xml:space="preserve"> </w:t>
      </w:r>
      <w:r w:rsidR="004C31CA" w:rsidRPr="00A04E56">
        <w:t xml:space="preserve">proposed a paradigm shift in relations between </w:t>
      </w:r>
      <w:r w:rsidR="00505941" w:rsidRPr="00A04E56">
        <w:t xml:space="preserve">the </w:t>
      </w:r>
      <w:r w:rsidR="004C31CA" w:rsidRPr="00A04E56">
        <w:t>EU and Africa towards building a true and fair partnership focused on mutual economic interest and fully in line with Africa</w:t>
      </w:r>
      <w:r w:rsidR="004740BC" w:rsidRPr="00A04E56">
        <w:t>’</w:t>
      </w:r>
      <w:r w:rsidR="004C31CA" w:rsidRPr="00A04E56">
        <w:t xml:space="preserve">s </w:t>
      </w:r>
      <w:r w:rsidR="004740BC" w:rsidRPr="00A04E56">
        <w:t>a</w:t>
      </w:r>
      <w:r w:rsidR="004C31CA" w:rsidRPr="00A04E56">
        <w:t>genda</w:t>
      </w:r>
      <w:r w:rsidR="004C31CA" w:rsidRPr="00A04E56">
        <w:rPr>
          <w:rFonts w:cs="Calibri"/>
          <w:noProof w:val="0"/>
        </w:rPr>
        <w:t> </w:t>
      </w:r>
      <w:r w:rsidR="004C31CA" w:rsidRPr="00A04E56">
        <w:t>2063</w:t>
      </w:r>
      <w:r w:rsidR="004C31CA" w:rsidRPr="00A04E56">
        <w:rPr>
          <w:rStyle w:val="fnRef"/>
          <w:rFonts w:ascii="Arial" w:hAnsi="Arial" w:cs="Arial"/>
        </w:rPr>
        <w:t> </w:t>
      </w:r>
      <w:r w:rsidR="004C31CA" w:rsidRPr="00A04E56">
        <w:rPr>
          <w:rStyle w:val="fnRef"/>
        </w:rPr>
        <w:t>(</w:t>
      </w:r>
      <w:r w:rsidR="004C31CA" w:rsidRPr="00A04E56">
        <w:rPr>
          <w:rStyle w:val="fnRefNo"/>
        </w:rPr>
        <w:footnoteReference w:id="21"/>
      </w:r>
      <w:r w:rsidR="004C31CA" w:rsidRPr="00A04E56">
        <w:rPr>
          <w:rStyle w:val="fnRef"/>
        </w:rPr>
        <w:t>)</w:t>
      </w:r>
      <w:r w:rsidR="004C31CA" w:rsidRPr="00A04E56">
        <w:t xml:space="preserve"> and flagship initiatives such as the African </w:t>
      </w:r>
      <w:r w:rsidR="004C31CA" w:rsidRPr="00A04E56">
        <w:rPr>
          <w:noProof w:val="0"/>
        </w:rPr>
        <w:t>continental free trade area</w:t>
      </w:r>
      <w:r w:rsidR="004C31CA" w:rsidRPr="00A04E56">
        <w:t>.</w:t>
      </w:r>
    </w:p>
    <w:p w14:paraId="033618AB" w14:textId="1535B291" w:rsidR="004C31CA" w:rsidRPr="00A04E56" w:rsidRDefault="004C31CA" w:rsidP="00791BEC">
      <w:pPr>
        <w:pStyle w:val="BodyText1spaceafter"/>
      </w:pPr>
      <w:r w:rsidRPr="00A04E56">
        <w:t xml:space="preserve">As part of the </w:t>
      </w:r>
      <w:r w:rsidRPr="00A04E56">
        <w:rPr>
          <w:noProof w:val="0"/>
        </w:rPr>
        <w:t xml:space="preserve">external investment plan </w:t>
      </w:r>
      <w:r w:rsidRPr="00A04E56">
        <w:t xml:space="preserve">for Europe, </w:t>
      </w:r>
      <w:r w:rsidR="008C1D39" w:rsidRPr="00A04E56">
        <w:rPr>
          <w:i/>
          <w:u w:val="single"/>
        </w:rPr>
        <w:t>in 2018</w:t>
      </w:r>
      <w:r w:rsidRPr="00A04E56">
        <w:t xml:space="preserve"> the EU budget supported </w:t>
      </w:r>
      <w:r w:rsidRPr="00A04E56">
        <w:rPr>
          <w:rStyle w:val="BodyText1Char"/>
          <w:noProof w:val="0"/>
          <w:lang w:val="en-GB"/>
        </w:rPr>
        <w:t>the</w:t>
      </w:r>
      <w:r w:rsidRPr="00A04E56">
        <w:t xml:space="preserve"> </w:t>
      </w:r>
      <w:r w:rsidRPr="00A04E56">
        <w:rPr>
          <w:rStyle w:val="BOLDGREENExecutiveSummary"/>
        </w:rPr>
        <w:t>mobilisation of finance in</w:t>
      </w:r>
      <w:r w:rsidR="00505941" w:rsidRPr="00A04E56">
        <w:rPr>
          <w:rStyle w:val="BOLDGREENExecutiveSummary"/>
        </w:rPr>
        <w:t>to</w:t>
      </w:r>
      <w:r w:rsidRPr="00A04E56">
        <w:rPr>
          <w:rStyle w:val="BOLDGREENExecutiveSummary"/>
        </w:rPr>
        <w:t xml:space="preserve"> Africa and the </w:t>
      </w:r>
      <w:r w:rsidR="00505941" w:rsidRPr="00A04E56">
        <w:rPr>
          <w:rStyle w:val="BOLDGREENExecutiveSummary"/>
        </w:rPr>
        <w:t xml:space="preserve">European </w:t>
      </w:r>
      <w:r w:rsidRPr="00A04E56">
        <w:rPr>
          <w:rStyle w:val="BOLDGREENExecutiveSummary"/>
        </w:rPr>
        <w:t>Neighbourhood</w:t>
      </w:r>
      <w:r w:rsidRPr="00A04E56">
        <w:rPr>
          <w:rStyle w:val="fnRef"/>
          <w:rFonts w:ascii="Arial" w:hAnsi="Arial" w:cs="Arial"/>
        </w:rPr>
        <w:t> </w:t>
      </w:r>
      <w:r w:rsidRPr="00A04E56">
        <w:rPr>
          <w:rStyle w:val="fnRef"/>
        </w:rPr>
        <w:t>(</w:t>
      </w:r>
      <w:r w:rsidRPr="00A04E56">
        <w:rPr>
          <w:rStyle w:val="fnRefNo"/>
        </w:rPr>
        <w:footnoteReference w:id="22"/>
      </w:r>
      <w:r w:rsidRPr="00A04E56">
        <w:rPr>
          <w:rStyle w:val="fnRef"/>
        </w:rPr>
        <w:t>)</w:t>
      </w:r>
      <w:r w:rsidR="001A3D98">
        <w:rPr>
          <w:rStyle w:val="fnRef"/>
        </w:rPr>
        <w:t>.</w:t>
      </w:r>
      <w:r w:rsidRPr="00A04E56">
        <w:rPr>
          <w:b/>
          <w:noProof w:val="0"/>
        </w:rPr>
        <w:t xml:space="preserve"> </w:t>
      </w:r>
      <w:r w:rsidR="00341066" w:rsidRPr="00341066">
        <w:rPr>
          <w:noProof w:val="0"/>
        </w:rPr>
        <w:t>For that purpose,</w:t>
      </w:r>
      <w:r w:rsidRPr="00A04E56">
        <w:rPr>
          <w:noProof w:val="0"/>
        </w:rPr>
        <w:t xml:space="preserve"> the </w:t>
      </w:r>
      <w:r w:rsidRPr="00A04E56">
        <w:rPr>
          <w:rStyle w:val="BodyText1Char"/>
          <w:noProof w:val="0"/>
          <w:lang w:val="en-GB"/>
        </w:rPr>
        <w:t>European Fund for Sustainable</w:t>
      </w:r>
      <w:r w:rsidRPr="00A04E56">
        <w:rPr>
          <w:noProof w:val="0"/>
        </w:rPr>
        <w:t xml:space="preserve"> </w:t>
      </w:r>
      <w:r w:rsidRPr="00A04E56">
        <w:rPr>
          <w:rStyle w:val="BodyText1Char"/>
          <w:noProof w:val="0"/>
          <w:lang w:val="en-GB"/>
        </w:rPr>
        <w:t>Development</w:t>
      </w:r>
      <w:r w:rsidR="001A3D98">
        <w:rPr>
          <w:rStyle w:val="BodyText1Char"/>
          <w:noProof w:val="0"/>
          <w:lang w:val="en-GB"/>
        </w:rPr>
        <w:t xml:space="preserve"> is used to bring more private investments</w:t>
      </w:r>
      <w:r w:rsidRPr="00A04E56">
        <w:rPr>
          <w:rStyle w:val="BodyText1Char"/>
          <w:noProof w:val="0"/>
          <w:lang w:val="en-GB"/>
        </w:rPr>
        <w:t>.</w:t>
      </w:r>
      <w:r w:rsidRPr="00A04E56">
        <w:t xml:space="preserve"> </w:t>
      </w:r>
      <w:r w:rsidR="008C1D39" w:rsidRPr="00A04E56">
        <w:rPr>
          <w:i/>
          <w:u w:val="single"/>
        </w:rPr>
        <w:t>In 2018</w:t>
      </w:r>
      <w:r w:rsidRPr="00A04E56">
        <w:t>, the Commission signed the first guarantee agreement (</w:t>
      </w:r>
      <w:r w:rsidR="00505941" w:rsidRPr="00A04E56">
        <w:t>N</w:t>
      </w:r>
      <w:r w:rsidR="00950FF5" w:rsidRPr="00A04E56">
        <w:t>asira</w:t>
      </w:r>
      <w:r w:rsidR="00505941" w:rsidRPr="00A04E56">
        <w:t xml:space="preserve"> </w:t>
      </w:r>
      <w:r w:rsidRPr="00A04E56">
        <w:rPr>
          <w:noProof w:val="0"/>
        </w:rPr>
        <w:t>risk-sharing facility</w:t>
      </w:r>
      <w:r w:rsidRPr="00A04E56">
        <w:t xml:space="preserve">). </w:t>
      </w:r>
      <w:r w:rsidR="009365CC" w:rsidRPr="00A04E56">
        <w:rPr>
          <w:rStyle w:val="BodyText1Char"/>
          <w:lang w:val="en-GB"/>
        </w:rPr>
        <w:t>This</w:t>
      </w:r>
      <w:r w:rsidR="002A4A4C" w:rsidRPr="00A04E56">
        <w:rPr>
          <w:rStyle w:val="BodyText1Char"/>
          <w:lang w:val="en-GB"/>
        </w:rPr>
        <w:t xml:space="preserve"> EU </w:t>
      </w:r>
      <w:r w:rsidR="009365CC" w:rsidRPr="00A04E56">
        <w:rPr>
          <w:rStyle w:val="BodyText1Char"/>
          <w:lang w:val="en-GB"/>
        </w:rPr>
        <w:t>agreement</w:t>
      </w:r>
      <w:r w:rsidRPr="00A04E56">
        <w:rPr>
          <w:rStyle w:val="BodyText1Char"/>
          <w:lang w:val="en-GB"/>
        </w:rPr>
        <w:t xml:space="preserve"> </w:t>
      </w:r>
      <w:r w:rsidR="002A4A4C" w:rsidRPr="00A04E56">
        <w:rPr>
          <w:rStyle w:val="BodyText1Char"/>
          <w:lang w:val="en-GB"/>
        </w:rPr>
        <w:t xml:space="preserve">of </w:t>
      </w:r>
      <w:r w:rsidRPr="00A04E56">
        <w:rPr>
          <w:rStyle w:val="BodyText1Char"/>
          <w:lang w:val="en-GB"/>
        </w:rPr>
        <w:t>up to EUR</w:t>
      </w:r>
      <w:r w:rsidRPr="00A04E56">
        <w:rPr>
          <w:rStyle w:val="BodyText1Char"/>
          <w:rFonts w:ascii="Calibri" w:hAnsi="Calibri" w:cs="Calibri"/>
          <w:lang w:val="en-GB"/>
        </w:rPr>
        <w:t> </w:t>
      </w:r>
      <w:r w:rsidRPr="00A04E56">
        <w:rPr>
          <w:rStyle w:val="BodyText1Char"/>
          <w:lang w:val="en-GB"/>
        </w:rPr>
        <w:t>75</w:t>
      </w:r>
      <w:r w:rsidRPr="00A04E56">
        <w:rPr>
          <w:rStyle w:val="BodyText1Char"/>
          <w:rFonts w:ascii="Calibri" w:hAnsi="Calibri" w:cs="Calibri"/>
          <w:noProof w:val="0"/>
          <w:lang w:val="en-GB"/>
        </w:rPr>
        <w:t> </w:t>
      </w:r>
      <w:r w:rsidRPr="00A04E56">
        <w:rPr>
          <w:rStyle w:val="BodyText1Char"/>
          <w:noProof w:val="0"/>
          <w:lang w:val="en-GB"/>
        </w:rPr>
        <w:t>million</w:t>
      </w:r>
      <w:r w:rsidRPr="00A04E56">
        <w:rPr>
          <w:rStyle w:val="BodyText1Char"/>
          <w:lang w:val="en-GB"/>
        </w:rPr>
        <w:t xml:space="preserve"> </w:t>
      </w:r>
      <w:r w:rsidR="002A4A4C" w:rsidRPr="00A04E56">
        <w:rPr>
          <w:rStyle w:val="BodyText1Char"/>
          <w:noProof w:val="0"/>
          <w:lang w:val="en-GB"/>
        </w:rPr>
        <w:t xml:space="preserve">is expected to mobilise </w:t>
      </w:r>
      <w:r w:rsidRPr="00A04E56">
        <w:rPr>
          <w:rStyle w:val="BodyText1Char"/>
          <w:lang w:val="en-GB"/>
        </w:rPr>
        <w:t>investments for entrepreneurs in</w:t>
      </w:r>
      <w:r w:rsidRPr="00A04E56">
        <w:rPr>
          <w:rStyle w:val="BodyText1Char"/>
          <w:noProof w:val="0"/>
          <w:lang w:val="en-GB"/>
        </w:rPr>
        <w:t xml:space="preserve"> sub</w:t>
      </w:r>
      <w:r w:rsidRPr="00A04E56">
        <w:rPr>
          <w:rStyle w:val="BodyText1Char"/>
          <w:lang w:val="en-GB"/>
        </w:rPr>
        <w:t xml:space="preserve">-Saharan Africa and the </w:t>
      </w:r>
      <w:r w:rsidR="00854D04" w:rsidRPr="00A04E56">
        <w:rPr>
          <w:rStyle w:val="BodyText1Char"/>
          <w:lang w:val="en-GB"/>
        </w:rPr>
        <w:t xml:space="preserve">European </w:t>
      </w:r>
      <w:r w:rsidRPr="00A04E56">
        <w:rPr>
          <w:rStyle w:val="BodyText1Char"/>
          <w:lang w:val="en-GB"/>
        </w:rPr>
        <w:t xml:space="preserve">Neighbourhood. It is expected to </w:t>
      </w:r>
      <w:r w:rsidR="00854D04" w:rsidRPr="00A04E56">
        <w:rPr>
          <w:rStyle w:val="BodyText1Char"/>
          <w:lang w:val="en-GB"/>
        </w:rPr>
        <w:t xml:space="preserve">help create </w:t>
      </w:r>
      <w:r w:rsidRPr="00A04E56">
        <w:rPr>
          <w:rStyle w:val="BodyText1Char"/>
          <w:lang w:val="en-GB"/>
        </w:rPr>
        <w:t>up to 800</w:t>
      </w:r>
      <w:r w:rsidRPr="00A04E56" w:rsidDel="006221A4">
        <w:rPr>
          <w:rStyle w:val="BodyText1Char"/>
          <w:rFonts w:ascii="Calibri" w:hAnsi="Calibri" w:cs="Calibri"/>
          <w:lang w:val="en-GB"/>
        </w:rPr>
        <w:t> </w:t>
      </w:r>
      <w:r w:rsidRPr="00A04E56" w:rsidDel="006221A4">
        <w:rPr>
          <w:rStyle w:val="BodyText1Char"/>
          <w:rFonts w:cs="Calibri"/>
          <w:lang w:val="en-GB"/>
        </w:rPr>
        <w:t>000</w:t>
      </w:r>
      <w:r w:rsidRPr="00A04E56">
        <w:rPr>
          <w:rStyle w:val="BodyText1Char"/>
          <w:lang w:val="en-GB"/>
        </w:rPr>
        <w:t xml:space="preserve"> jobs and benefit those who struggle to access affordable loans, </w:t>
      </w:r>
      <w:r w:rsidRPr="00A04E56">
        <w:rPr>
          <w:rStyle w:val="BodyText1Char"/>
          <w:noProof w:val="0"/>
          <w:lang w:val="en-GB"/>
        </w:rPr>
        <w:t>such as</w:t>
      </w:r>
      <w:r w:rsidRPr="00A04E56">
        <w:rPr>
          <w:rStyle w:val="BodyText1Char"/>
          <w:lang w:val="en-GB"/>
        </w:rPr>
        <w:t xml:space="preserve"> internally displaced people, refugees, </w:t>
      </w:r>
      <w:r w:rsidR="002A4A4C" w:rsidRPr="00A04E56">
        <w:rPr>
          <w:rStyle w:val="BodyText1Char"/>
          <w:lang w:val="en-GB"/>
        </w:rPr>
        <w:t xml:space="preserve">returnees, </w:t>
      </w:r>
      <w:r w:rsidRPr="00A04E56">
        <w:rPr>
          <w:rStyle w:val="BodyText1Char"/>
          <w:lang w:val="en-GB"/>
        </w:rPr>
        <w:t>women and young people</w:t>
      </w:r>
      <w:r w:rsidRPr="00A04E56">
        <w:rPr>
          <w:rStyle w:val="BodyText1Char"/>
          <w:noProof w:val="0"/>
          <w:lang w:val="en-GB"/>
        </w:rPr>
        <w:t>.</w:t>
      </w:r>
    </w:p>
    <w:p w14:paraId="671E48EA" w14:textId="7AE8ACB9" w:rsidR="004C31CA" w:rsidRPr="00A04E56" w:rsidRDefault="004C31CA" w:rsidP="0049758A">
      <w:pPr>
        <w:pStyle w:val="SubtitleGreenExecutiveSummary"/>
      </w:pPr>
      <w:r w:rsidRPr="00A04E56">
        <w:t xml:space="preserve">The Commission gives the highest priority to ensuring that the EU budget is </w:t>
      </w:r>
      <w:r w:rsidR="00DB17B5" w:rsidRPr="00A04E56">
        <w:t>well</w:t>
      </w:r>
      <w:r w:rsidR="00AA4707">
        <w:t>-</w:t>
      </w:r>
      <w:r w:rsidR="00DB17B5" w:rsidRPr="00A04E56">
        <w:t>managed</w:t>
      </w:r>
      <w:r w:rsidR="00D063E7" w:rsidRPr="00A04E56">
        <w:t xml:space="preserve"> </w:t>
      </w:r>
      <w:r w:rsidRPr="00A04E56">
        <w:t>and protect</w:t>
      </w:r>
      <w:r w:rsidR="00D063E7" w:rsidRPr="00A04E56">
        <w:t>ed against</w:t>
      </w:r>
      <w:r w:rsidR="0024316E" w:rsidRPr="00A04E56">
        <w:t xml:space="preserve"> errors and fraud</w:t>
      </w:r>
    </w:p>
    <w:p w14:paraId="0FE02B47" w14:textId="15B9ACAB" w:rsidR="004C31CA" w:rsidRPr="00A04E56" w:rsidRDefault="004C31CA" w:rsidP="003C6A3E">
      <w:pPr>
        <w:pStyle w:val="BodyText1spaceafter"/>
      </w:pPr>
      <w:r w:rsidRPr="00A04E56">
        <w:t xml:space="preserve">The </w:t>
      </w:r>
      <w:r w:rsidRPr="00A04E56">
        <w:rPr>
          <w:rStyle w:val="BodyText1Char"/>
          <w:lang w:val="en-GB"/>
        </w:rPr>
        <w:t xml:space="preserve">Commission strives to achieve the highest standards in financial management in terms of </w:t>
      </w:r>
      <w:r w:rsidRPr="00A04E56">
        <w:rPr>
          <w:rStyle w:val="BOLDGREENExecutiveSummary"/>
        </w:rPr>
        <w:t>effectiveness</w:t>
      </w:r>
      <w:r w:rsidR="0075486B" w:rsidRPr="00A04E56">
        <w:rPr>
          <w:rStyle w:val="BOLDGREENExecutiveSummary"/>
        </w:rPr>
        <w:t>,</w:t>
      </w:r>
      <w:r w:rsidRPr="00A04E56">
        <w:rPr>
          <w:rStyle w:val="BodyText1Char"/>
          <w:lang w:val="en-GB"/>
        </w:rPr>
        <w:t xml:space="preserve"> </w:t>
      </w:r>
      <w:r w:rsidR="0075486B" w:rsidRPr="00A04E56">
        <w:rPr>
          <w:rStyle w:val="BOLDGREENExecutiveSummary"/>
        </w:rPr>
        <w:t>efficiency</w:t>
      </w:r>
      <w:r w:rsidRPr="00A04E56">
        <w:rPr>
          <w:rStyle w:val="BodyText1Char"/>
          <w:lang w:val="en-GB"/>
        </w:rPr>
        <w:t xml:space="preserve"> and </w:t>
      </w:r>
      <w:r w:rsidR="0075486B" w:rsidRPr="00A04E56">
        <w:rPr>
          <w:rStyle w:val="BOLDGREENExecutiveSummary"/>
        </w:rPr>
        <w:t>economy</w:t>
      </w:r>
      <w:r w:rsidR="00DB17B5" w:rsidRPr="00A04E56">
        <w:rPr>
          <w:rStyle w:val="BOLDGREENExecutiveSummary"/>
        </w:rPr>
        <w:t xml:space="preserve">. </w:t>
      </w:r>
      <w:r w:rsidR="00DB17B5" w:rsidRPr="00A04E56">
        <w:rPr>
          <w:rStyle w:val="BodyText1Char"/>
          <w:lang w:val="en-GB"/>
        </w:rPr>
        <w:t>It also</w:t>
      </w:r>
      <w:r w:rsidR="00DB17B5" w:rsidRPr="00A04E56">
        <w:rPr>
          <w:rStyle w:val="BOLDGREENExecutiveSummary"/>
        </w:rPr>
        <w:t xml:space="preserve"> </w:t>
      </w:r>
      <w:r w:rsidR="00DB17B5" w:rsidRPr="00A04E56">
        <w:rPr>
          <w:rStyle w:val="BodyText1Char"/>
          <w:lang w:val="en-GB"/>
        </w:rPr>
        <w:t xml:space="preserve">seeks to </w:t>
      </w:r>
      <w:r w:rsidR="00D063E7" w:rsidRPr="00A04E56">
        <w:rPr>
          <w:rStyle w:val="BodyText1Char"/>
          <w:lang w:val="en-GB"/>
        </w:rPr>
        <w:t>e</w:t>
      </w:r>
      <w:r w:rsidR="00427C9F" w:rsidRPr="00A04E56">
        <w:rPr>
          <w:rStyle w:val="BodyText1Char"/>
          <w:lang w:val="en-GB"/>
        </w:rPr>
        <w:t>nsur</w:t>
      </w:r>
      <w:r w:rsidR="00D063E7" w:rsidRPr="00A04E56">
        <w:rPr>
          <w:rStyle w:val="BodyText1Char"/>
          <w:lang w:val="en-GB"/>
        </w:rPr>
        <w:t>e</w:t>
      </w:r>
      <w:r w:rsidR="00427C9F" w:rsidRPr="00A04E56">
        <w:rPr>
          <w:rStyle w:val="BodyText1Char"/>
          <w:lang w:val="en-GB"/>
        </w:rPr>
        <w:t xml:space="preserve"> that</w:t>
      </w:r>
      <w:r w:rsidR="00427C9F" w:rsidRPr="00A04E56">
        <w:rPr>
          <w:rStyle w:val="BOLDGREENExecutiveSummary"/>
        </w:rPr>
        <w:t xml:space="preserve"> </w:t>
      </w:r>
      <w:r w:rsidR="00EF7A87" w:rsidRPr="00A04E56">
        <w:rPr>
          <w:rStyle w:val="BOLDGREENExecutiveSummary"/>
        </w:rPr>
        <w:t xml:space="preserve">audits and checks </w:t>
      </w:r>
      <w:r w:rsidR="008823DC" w:rsidRPr="00A04E56">
        <w:rPr>
          <w:rStyle w:val="BOLDGREENExecutiveSummary"/>
        </w:rPr>
        <w:t>(</w:t>
      </w:r>
      <w:r w:rsidR="00EF7A87" w:rsidRPr="00A04E56">
        <w:rPr>
          <w:rStyle w:val="BOLDGREENExecutiveSummary"/>
        </w:rPr>
        <w:t>‘</w:t>
      </w:r>
      <w:r w:rsidR="00427C9F" w:rsidRPr="00A04E56">
        <w:rPr>
          <w:rStyle w:val="BOLDGREENExecutiveSummary"/>
        </w:rPr>
        <w:t>controls</w:t>
      </w:r>
      <w:r w:rsidR="00EF7A87" w:rsidRPr="00A04E56">
        <w:rPr>
          <w:rStyle w:val="BOLDGREENExecutiveSummary"/>
        </w:rPr>
        <w:t>’</w:t>
      </w:r>
      <w:r w:rsidR="008823DC" w:rsidRPr="00A04E56">
        <w:rPr>
          <w:rStyle w:val="BOLDGREENExecutiveSummary"/>
        </w:rPr>
        <w:t>)</w:t>
      </w:r>
      <w:r w:rsidR="00427C9F" w:rsidRPr="00A04E56">
        <w:rPr>
          <w:rStyle w:val="BOLDGREENExecutiveSummary"/>
        </w:rPr>
        <w:t xml:space="preserve"> </w:t>
      </w:r>
      <w:r w:rsidR="00427C9F" w:rsidRPr="00A04E56">
        <w:rPr>
          <w:rStyle w:val="BodyText1Char"/>
          <w:lang w:val="en-GB"/>
        </w:rPr>
        <w:t>are</w:t>
      </w:r>
      <w:r w:rsidR="00427C9F" w:rsidRPr="00A04E56">
        <w:rPr>
          <w:rStyle w:val="BOLDGREENExecutiveSummary"/>
        </w:rPr>
        <w:t xml:space="preserve"> cost-effective</w:t>
      </w:r>
      <w:r w:rsidRPr="00A04E56">
        <w:rPr>
          <w:rStyle w:val="BOLDGREENExecutiveSummary"/>
        </w:rPr>
        <w:t>.</w:t>
      </w:r>
      <w:r w:rsidRPr="00A04E56">
        <w:t xml:space="preserve"> This is the focus of </w:t>
      </w:r>
      <w:r w:rsidRPr="00A04E56" w:rsidDel="00186163">
        <w:t>Section</w:t>
      </w:r>
      <w:r w:rsidRPr="00A04E56">
        <w:rPr>
          <w:rFonts w:cs="Calibri"/>
          <w:noProof w:val="0"/>
        </w:rPr>
        <w:t> </w:t>
      </w:r>
      <w:r w:rsidRPr="00A04E56">
        <w:t xml:space="preserve">2 of </w:t>
      </w:r>
      <w:r w:rsidRPr="00A04E56">
        <w:rPr>
          <w:noProof w:val="0"/>
        </w:rPr>
        <w:t>this</w:t>
      </w:r>
      <w:r w:rsidRPr="00A04E56">
        <w:t xml:space="preserve"> </w:t>
      </w:r>
      <w:r w:rsidR="00BA5A59" w:rsidRPr="00A04E56">
        <w:rPr>
          <w:noProof w:val="0"/>
        </w:rPr>
        <w:t>report.</w:t>
      </w:r>
    </w:p>
    <w:p w14:paraId="271CED06" w14:textId="38FBB98F" w:rsidR="00CD6FBB" w:rsidRPr="00A04E56" w:rsidRDefault="00CD6FBB" w:rsidP="00E243E2">
      <w:pPr>
        <w:pStyle w:val="BodyText1spaceafter"/>
      </w:pPr>
      <w:r w:rsidRPr="00A04E56">
        <w:t>The Commission is responsible for ensuring th</w:t>
      </w:r>
      <w:r w:rsidR="0067626B" w:rsidRPr="00A04E56">
        <w:t>at</w:t>
      </w:r>
      <w:r w:rsidRPr="00A04E56">
        <w:t xml:space="preserve"> EU funds are properly spent, regardless of whet</w:t>
      </w:r>
      <w:r w:rsidR="0067626B" w:rsidRPr="00A04E56">
        <w:t>h</w:t>
      </w:r>
      <w:r w:rsidRPr="00A04E56">
        <w:t xml:space="preserve">er these funds are implemented </w:t>
      </w:r>
      <w:r w:rsidR="00DB17B5" w:rsidRPr="00A04E56">
        <w:t xml:space="preserve">directly </w:t>
      </w:r>
      <w:r w:rsidRPr="00A04E56">
        <w:t>by the Commission departments o</w:t>
      </w:r>
      <w:r w:rsidR="0090075A" w:rsidRPr="00A04E56">
        <w:t>r</w:t>
      </w:r>
      <w:r w:rsidRPr="00A04E56">
        <w:t xml:space="preserve"> by implementing partners. </w:t>
      </w:r>
      <w:r w:rsidR="0075486B" w:rsidRPr="00A04E56">
        <w:t>71</w:t>
      </w:r>
      <w:r w:rsidR="004C31CA" w:rsidRPr="00A04E56">
        <w:t>% of expenditure is executed by Member State authorities under shared management, and 8% through entrusted entities under indirect management.</w:t>
      </w:r>
      <w:r w:rsidR="00E243E2" w:rsidRPr="00A04E56">
        <w:t xml:space="preserve"> </w:t>
      </w:r>
    </w:p>
    <w:p w14:paraId="5FBAEA08" w14:textId="517AC168" w:rsidR="00CD6FBB" w:rsidRPr="00A04E56" w:rsidRDefault="0044772B" w:rsidP="00E243E2">
      <w:pPr>
        <w:pStyle w:val="BodyText1spaceafter"/>
      </w:pPr>
      <w:r w:rsidRPr="00A04E56">
        <w:t>T</w:t>
      </w:r>
      <w:r w:rsidR="00CD6FBB" w:rsidRPr="00A04E56">
        <w:t>o fulfil its responsibilities, the Commission has</w:t>
      </w:r>
      <w:r w:rsidR="00D063E7" w:rsidRPr="00A04E56">
        <w:t xml:space="preserve"> put</w:t>
      </w:r>
      <w:r w:rsidR="00CD6FBB" w:rsidRPr="00A04E56">
        <w:t xml:space="preserve"> in place an effective assurance and accountability model as well as a robust internal control framework. Within this framework</w:t>
      </w:r>
      <w:r w:rsidR="00CB6A77" w:rsidRPr="00A04E56">
        <w:t xml:space="preserve"> — </w:t>
      </w:r>
      <w:r w:rsidR="00CD6FBB" w:rsidRPr="00A04E56">
        <w:t>where applicable in collaboration with Member States and entrusted entities</w:t>
      </w:r>
      <w:r w:rsidR="0067626B" w:rsidRPr="00A04E56">
        <w:t xml:space="preserve"> </w:t>
      </w:r>
      <w:r w:rsidR="00B922E2" w:rsidRPr="00A04E56">
        <w:t>(based on their obligations to protect the EU budget)</w:t>
      </w:r>
      <w:r w:rsidR="0067626B" w:rsidRPr="00A04E56">
        <w:t xml:space="preserve"> </w:t>
      </w:r>
      <w:r w:rsidR="00B51257" w:rsidRPr="00A04E56">
        <w:t>—</w:t>
      </w:r>
      <w:r w:rsidR="0067626B" w:rsidRPr="00A04E56">
        <w:t xml:space="preserve"> </w:t>
      </w:r>
      <w:r w:rsidR="00CD6FBB" w:rsidRPr="00A04E56">
        <w:t xml:space="preserve">the Commission </w:t>
      </w:r>
      <w:r w:rsidR="0067626B" w:rsidRPr="00A04E56">
        <w:t>departments</w:t>
      </w:r>
      <w:r w:rsidR="00CD6FBB" w:rsidRPr="00A04E56">
        <w:t xml:space="preserve"> take measures to prevent errors, irregularities and fraud</w:t>
      </w:r>
      <w:r w:rsidR="0067626B" w:rsidRPr="00A04E56">
        <w:t>;</w:t>
      </w:r>
      <w:r w:rsidR="00CD6FBB" w:rsidRPr="00A04E56">
        <w:t xml:space="preserve"> and, when these occur</w:t>
      </w:r>
      <w:r w:rsidR="0067626B" w:rsidRPr="00A04E56">
        <w:t>,</w:t>
      </w:r>
      <w:r w:rsidR="00CD6FBB" w:rsidRPr="00A04E56">
        <w:t xml:space="preserve"> they take action to remedy the situation.</w:t>
      </w:r>
      <w:r w:rsidR="009314E4" w:rsidRPr="00A04E56">
        <w:t xml:space="preserve"> In addition, the European Anti-Fraud Office is mandated to conduct independent investigations into fraud and corruption involving EU funds and to develop EU policies to counter fraud.</w:t>
      </w:r>
    </w:p>
    <w:p w14:paraId="31808CC7" w14:textId="6B74C24D" w:rsidR="00FB08BA" w:rsidRPr="00A04E56" w:rsidRDefault="00FB08BA" w:rsidP="00277538">
      <w:pPr>
        <w:pStyle w:val="BodyText"/>
        <w:jc w:val="both"/>
        <w:rPr>
          <w:lang w:eastAsia="fr-BE"/>
        </w:rPr>
      </w:pPr>
      <w:r w:rsidRPr="00A04E56">
        <w:rPr>
          <w:lang w:eastAsia="fr-BE"/>
        </w:rPr>
        <w:t xml:space="preserve">2018 also saw the adoption of the new financial regulation, which brings in particular significant simplification of financial rules for beneficiaries. </w:t>
      </w:r>
    </w:p>
    <w:p w14:paraId="1C4FFBE5" w14:textId="33716651" w:rsidR="00791BEC" w:rsidRPr="00A04E56" w:rsidRDefault="00F3213E" w:rsidP="0049758A">
      <w:pPr>
        <w:pStyle w:val="SubtitleGreenExecutiveSummary"/>
      </w:pPr>
      <w:r w:rsidRPr="00A04E56">
        <w:t>The risk to the legality and regularity of fin</w:t>
      </w:r>
      <w:r w:rsidR="00304D04">
        <w:t>ancial transactions is below 2%</w:t>
      </w:r>
    </w:p>
    <w:p w14:paraId="5FAFF836" w14:textId="0594EF9D" w:rsidR="006B2454" w:rsidRPr="00A04E56" w:rsidRDefault="006B2454" w:rsidP="00996369">
      <w:pPr>
        <w:pStyle w:val="BodyText1spaceafter"/>
      </w:pPr>
      <w:r w:rsidRPr="00A04E56">
        <w:t>The</w:t>
      </w:r>
      <w:r w:rsidR="004931C2" w:rsidRPr="00A04E56">
        <w:t xml:space="preserve"> Commission</w:t>
      </w:r>
      <w:r w:rsidR="00B51257" w:rsidRPr="00A04E56">
        <w:t>’</w:t>
      </w:r>
      <w:r w:rsidR="004931C2" w:rsidRPr="00A04E56">
        <w:t>s objective for the</w:t>
      </w:r>
      <w:r w:rsidRPr="00A04E56">
        <w:t xml:space="preserve"> </w:t>
      </w:r>
      <w:r w:rsidRPr="00A04E56">
        <w:rPr>
          <w:b/>
          <w:color w:val="08AA74" w:themeColor="accent3"/>
        </w:rPr>
        <w:t>‘</w:t>
      </w:r>
      <w:r w:rsidRPr="00A04E56">
        <w:rPr>
          <w:rStyle w:val="BOLDGREENExecutiveSummary"/>
        </w:rPr>
        <w:t>risk at payment’</w:t>
      </w:r>
      <w:r w:rsidRPr="00A04E56">
        <w:t xml:space="preserve"> </w:t>
      </w:r>
      <w:r w:rsidR="002313C3" w:rsidRPr="00A04E56">
        <w:t>affecting EU revenues and expenditure</w:t>
      </w:r>
      <w:r w:rsidR="004931C2" w:rsidRPr="00A04E56">
        <w:t>, which</w:t>
      </w:r>
      <w:r w:rsidR="002313C3" w:rsidRPr="00A04E56">
        <w:t xml:space="preserve"> </w:t>
      </w:r>
      <w:r w:rsidRPr="00A04E56">
        <w:t>is estimated after preventive controls have taken place but before corrective measures have been applied</w:t>
      </w:r>
      <w:r w:rsidR="004931C2" w:rsidRPr="00A04E56">
        <w:t xml:space="preserve">, </w:t>
      </w:r>
      <w:r w:rsidR="00E243E2" w:rsidRPr="00A04E56">
        <w:t>is to stay below 2%</w:t>
      </w:r>
      <w:r w:rsidR="00CF53DC" w:rsidRPr="00A04E56">
        <w:t xml:space="preserve"> </w:t>
      </w:r>
      <w:r w:rsidR="00B51257" w:rsidRPr="00A04E56">
        <w:t>—</w:t>
      </w:r>
      <w:r w:rsidR="00CF53DC" w:rsidRPr="00A04E56">
        <w:t xml:space="preserve"> which it </w:t>
      </w:r>
      <w:r w:rsidRPr="00A04E56">
        <w:t xml:space="preserve">achieved again </w:t>
      </w:r>
      <w:r w:rsidR="008C1D39" w:rsidRPr="00A04E56">
        <w:rPr>
          <w:i/>
          <w:u w:val="single"/>
        </w:rPr>
        <w:t>in 2018</w:t>
      </w:r>
      <w:r w:rsidRPr="00A04E56">
        <w:t xml:space="preserve">. </w:t>
      </w:r>
      <w:r w:rsidR="004931C2" w:rsidRPr="00A04E56">
        <w:t>On an overall basis, t</w:t>
      </w:r>
      <w:r w:rsidRPr="00A04E56">
        <w:t>he ‘</w:t>
      </w:r>
      <w:r w:rsidR="00E243E2" w:rsidRPr="00A04E56">
        <w:t>risk at payment’</w:t>
      </w:r>
      <w:r w:rsidRPr="00A04E56">
        <w:t xml:space="preserve"> is estimated to be </w:t>
      </w:r>
      <w:r w:rsidRPr="00A04E56">
        <w:rPr>
          <w:rStyle w:val="BOLDGREENExecutiveSummary"/>
        </w:rPr>
        <w:t xml:space="preserve">1.7% of </w:t>
      </w:r>
      <w:r w:rsidR="00B51257" w:rsidRPr="00A04E56">
        <w:rPr>
          <w:rStyle w:val="BOLDGREENExecutiveSummary"/>
        </w:rPr>
        <w:t xml:space="preserve">the </w:t>
      </w:r>
      <w:r w:rsidRPr="00A04E56">
        <w:rPr>
          <w:rStyle w:val="BOLDGREENExecutiveSummary"/>
        </w:rPr>
        <w:t xml:space="preserve">total relevant </w:t>
      </w:r>
      <w:r w:rsidR="00341066">
        <w:rPr>
          <w:rStyle w:val="BOLDGREENExecutiveSummary"/>
        </w:rPr>
        <w:t xml:space="preserve">2018 </w:t>
      </w:r>
      <w:r w:rsidRPr="00A04E56">
        <w:rPr>
          <w:rStyle w:val="BOLDGREENExecutiveSummary"/>
        </w:rPr>
        <w:t>expenditure</w:t>
      </w:r>
      <w:r w:rsidRPr="00A04E56">
        <w:t xml:space="preserve">. </w:t>
      </w:r>
      <w:r w:rsidR="00FB08BA">
        <w:t>Departments are undertaking action f</w:t>
      </w:r>
      <w:r w:rsidR="008E1471" w:rsidRPr="00A04E56">
        <w:t xml:space="preserve">or those segments </w:t>
      </w:r>
      <w:r w:rsidR="00FB08BA">
        <w:t xml:space="preserve">for </w:t>
      </w:r>
      <w:r w:rsidR="008E1471" w:rsidRPr="00A04E56">
        <w:t xml:space="preserve">which </w:t>
      </w:r>
      <w:r w:rsidR="00FB08BA">
        <w:t>the</w:t>
      </w:r>
      <w:r w:rsidR="008E1471" w:rsidRPr="00A04E56">
        <w:t xml:space="preserve"> risk at payment </w:t>
      </w:r>
      <w:r w:rsidR="00FB08BA">
        <w:t>is above 2%</w:t>
      </w:r>
      <w:r w:rsidR="008E1471" w:rsidRPr="00A04E56">
        <w:t>.</w:t>
      </w:r>
    </w:p>
    <w:p w14:paraId="305D47B4" w14:textId="29E5CCF2" w:rsidR="00996369" w:rsidRPr="00A04E56" w:rsidRDefault="00341066" w:rsidP="00996369">
      <w:pPr>
        <w:pStyle w:val="BodyText1spaceafter"/>
      </w:pPr>
      <w:r>
        <w:t>T</w:t>
      </w:r>
      <w:r w:rsidR="00C447C0" w:rsidRPr="00A04E56">
        <w:t>he multiannual nature of the EU’s financial programmes</w:t>
      </w:r>
      <w:r>
        <w:t xml:space="preserve"> make it possible to correct</w:t>
      </w:r>
      <w:r w:rsidR="00C447C0" w:rsidRPr="00A04E56">
        <w:t xml:space="preserve"> e</w:t>
      </w:r>
      <w:r w:rsidR="000E0FEA" w:rsidRPr="00A04E56">
        <w:t xml:space="preserve">rrors </w:t>
      </w:r>
      <w:r>
        <w:t>even</w:t>
      </w:r>
      <w:r w:rsidR="000E0FEA" w:rsidRPr="00A04E56">
        <w:t xml:space="preserve"> </w:t>
      </w:r>
      <w:r w:rsidR="00D063E7" w:rsidRPr="00A04E56">
        <w:t>y</w:t>
      </w:r>
      <w:r w:rsidR="000E0FEA" w:rsidRPr="00A04E56">
        <w:t xml:space="preserve">ears after the payments </w:t>
      </w:r>
      <w:r w:rsidR="0044772B" w:rsidRPr="00A04E56">
        <w:t>were</w:t>
      </w:r>
      <w:r w:rsidR="00D063E7" w:rsidRPr="00A04E56">
        <w:t xml:space="preserve"> made</w:t>
      </w:r>
      <w:r w:rsidR="000E0FEA" w:rsidRPr="00A04E56">
        <w:t>, until the closure of the programme</w:t>
      </w:r>
      <w:r w:rsidR="0067626B" w:rsidRPr="00A04E56">
        <w:t>s</w:t>
      </w:r>
      <w:r w:rsidR="000E0FEA" w:rsidRPr="00A04E56">
        <w:t xml:space="preserve">. </w:t>
      </w:r>
      <w:r w:rsidR="00996369" w:rsidRPr="00A04E56">
        <w:t>The departments have estimated the</w:t>
      </w:r>
      <w:r w:rsidR="00D063E7" w:rsidRPr="00A04E56">
        <w:t xml:space="preserve"> overall</w:t>
      </w:r>
      <w:r w:rsidR="00996369" w:rsidRPr="00A04E56">
        <w:t xml:space="preserve"> </w:t>
      </w:r>
      <w:r w:rsidR="00996369" w:rsidRPr="00A04E56">
        <w:rPr>
          <w:rStyle w:val="BOLDGREENExecutiveSummary"/>
        </w:rPr>
        <w:t xml:space="preserve">future corrections </w:t>
      </w:r>
      <w:r w:rsidR="00CF53DC" w:rsidRPr="00A04E56">
        <w:rPr>
          <w:rStyle w:val="BOLDGREENExecutiveSummary"/>
        </w:rPr>
        <w:t xml:space="preserve">to be </w:t>
      </w:r>
      <w:r w:rsidR="00996369" w:rsidRPr="00A04E56">
        <w:rPr>
          <w:rStyle w:val="BOLDGREENExecutiveSummary"/>
        </w:rPr>
        <w:t>0.</w:t>
      </w:r>
      <w:r w:rsidR="00BB3A22" w:rsidRPr="00A04E56">
        <w:rPr>
          <w:rStyle w:val="BOLDGREENExecutiveSummary"/>
        </w:rPr>
        <w:t>9</w:t>
      </w:r>
      <w:r w:rsidR="00996369" w:rsidRPr="00A04E56">
        <w:rPr>
          <w:rStyle w:val="BOLDGREENExecutiveSummary"/>
        </w:rPr>
        <w:t xml:space="preserve">% of total relevant </w:t>
      </w:r>
      <w:r>
        <w:rPr>
          <w:rStyle w:val="BOLDGREENExecutiveSummary"/>
        </w:rPr>
        <w:t xml:space="preserve">2018 </w:t>
      </w:r>
      <w:r w:rsidR="00996369" w:rsidRPr="00A04E56">
        <w:rPr>
          <w:rStyle w:val="BOLDGREENExecutiveSummary"/>
        </w:rPr>
        <w:t>expenditure</w:t>
      </w:r>
      <w:r w:rsidR="00996369" w:rsidRPr="00A04E56">
        <w:t>.</w:t>
      </w: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136"/>
      </w:tblGrid>
      <w:tr w:rsidR="00996369" w:rsidRPr="00A04E56" w14:paraId="58E8CA62" w14:textId="77777777" w:rsidTr="000D13EF">
        <w:trPr>
          <w:cantSplit/>
        </w:trPr>
        <w:tc>
          <w:tcPr>
            <w:tcW w:w="9136" w:type="dxa"/>
            <w:tcBorders>
              <w:top w:val="nil"/>
              <w:left w:val="nil"/>
              <w:bottom w:val="nil"/>
              <w:right w:val="nil"/>
            </w:tcBorders>
            <w:shd w:val="clear" w:color="auto" w:fill="D7F1EA" w:themeFill="accent4" w:themeFillTint="33"/>
            <w:tcMar>
              <w:top w:w="113" w:type="dxa"/>
              <w:bottom w:w="113" w:type="dxa"/>
            </w:tcMar>
          </w:tcPr>
          <w:p w14:paraId="345C6DB0" w14:textId="6C2119C7" w:rsidR="00996369" w:rsidRPr="00A04E56" w:rsidRDefault="00996369" w:rsidP="009A244F">
            <w:pPr>
              <w:pStyle w:val="BOXE2GREENtabletext"/>
              <w:rPr>
                <w:lang w:val="en-GB"/>
              </w:rPr>
            </w:pPr>
            <w:r w:rsidRPr="00A04E56">
              <w:rPr>
                <w:i/>
                <w:u w:val="single"/>
                <w:lang w:val="en-GB"/>
              </w:rPr>
              <w:t>During 2018</w:t>
            </w:r>
            <w:r w:rsidRPr="00A04E56">
              <w:rPr>
                <w:lang w:val="en-GB"/>
              </w:rPr>
              <w:t>, the Commission effectively cla</w:t>
            </w:r>
            <w:r w:rsidR="0044772B" w:rsidRPr="00A04E56">
              <w:rPr>
                <w:lang w:val="en-GB"/>
              </w:rPr>
              <w:t>w</w:t>
            </w:r>
            <w:r w:rsidRPr="00A04E56">
              <w:rPr>
                <w:lang w:val="en-GB"/>
              </w:rPr>
              <w:t>ed back EUR</w:t>
            </w:r>
            <w:r w:rsidRPr="00A04E56">
              <w:rPr>
                <w:rFonts w:ascii="Calibri" w:hAnsi="Calibri" w:cs="Calibri"/>
                <w:lang w:val="en-GB"/>
              </w:rPr>
              <w:t> </w:t>
            </w:r>
            <w:r w:rsidRPr="00A04E56">
              <w:rPr>
                <w:rFonts w:cs="Calibri"/>
                <w:lang w:val="en-GB"/>
              </w:rPr>
              <w:t>3.2</w:t>
            </w:r>
            <w:r w:rsidRPr="00A04E56">
              <w:rPr>
                <w:rFonts w:ascii="Calibri" w:hAnsi="Calibri" w:cs="Calibri"/>
                <w:noProof w:val="0"/>
                <w:lang w:val="en-GB"/>
              </w:rPr>
              <w:t> </w:t>
            </w:r>
            <w:r w:rsidRPr="00A04E56">
              <w:rPr>
                <w:noProof w:val="0"/>
                <w:lang w:val="en-GB"/>
              </w:rPr>
              <w:t>billion</w:t>
            </w:r>
            <w:r w:rsidRPr="00A04E56">
              <w:rPr>
                <w:lang w:val="en-GB"/>
              </w:rPr>
              <w:t xml:space="preserve">. These </w:t>
            </w:r>
            <w:r w:rsidRPr="00A04E56">
              <w:rPr>
                <w:rStyle w:val="BOLDGREENExecutiveSummary"/>
              </w:rPr>
              <w:t xml:space="preserve">financial corrections and recoveries </w:t>
            </w:r>
            <w:r w:rsidR="00341066">
              <w:t>are essential</w:t>
            </w:r>
            <w:r w:rsidRPr="00A04E56">
              <w:rPr>
                <w:lang w:val="en-GB"/>
              </w:rPr>
              <w:t xml:space="preserve"> preventive and corrective measures</w:t>
            </w:r>
            <w:r w:rsidRPr="00A04E56">
              <w:rPr>
                <w:noProof w:val="0"/>
                <w:lang w:val="en-GB" w:eastAsia="en-US"/>
              </w:rPr>
              <w:t xml:space="preserve"> protect</w:t>
            </w:r>
            <w:r w:rsidR="00341066">
              <w:rPr>
                <w:noProof w:val="0"/>
                <w:lang w:val="en-GB" w:eastAsia="en-US"/>
              </w:rPr>
              <w:t>ing</w:t>
            </w:r>
            <w:r w:rsidRPr="00A04E56">
              <w:rPr>
                <w:noProof w:val="0"/>
                <w:lang w:val="en-GB" w:eastAsia="en-US"/>
              </w:rPr>
              <w:t xml:space="preserve"> the EU budget</w:t>
            </w:r>
            <w:r w:rsidR="00C447C0" w:rsidRPr="00A04E56">
              <w:rPr>
                <w:noProof w:val="0"/>
                <w:lang w:val="en-GB" w:eastAsia="en-US"/>
              </w:rPr>
              <w:t>.</w:t>
            </w:r>
          </w:p>
        </w:tc>
      </w:tr>
    </w:tbl>
    <w:p w14:paraId="243F3427" w14:textId="3D7D56FB" w:rsidR="000E0FEA" w:rsidRPr="00A04E56" w:rsidRDefault="000E0FEA" w:rsidP="00A96EDA">
      <w:pPr>
        <w:pStyle w:val="BodyText1spacebeforeandafter"/>
      </w:pPr>
      <w:r w:rsidRPr="00A04E56">
        <w:t>The Commission</w:t>
      </w:r>
      <w:r w:rsidR="00B51257" w:rsidRPr="00A04E56">
        <w:t>’</w:t>
      </w:r>
      <w:r w:rsidRPr="00A04E56">
        <w:t>s aim</w:t>
      </w:r>
      <w:r w:rsidRPr="00A04E56" w:rsidDel="00DD5A48">
        <w:t xml:space="preserve"> </w:t>
      </w:r>
      <w:r w:rsidRPr="00A04E56">
        <w:t>in managing</w:t>
      </w:r>
      <w:r w:rsidRPr="00A04E56" w:rsidDel="002C3D79">
        <w:t xml:space="preserve"> </w:t>
      </w:r>
      <w:r w:rsidRPr="00A04E56">
        <w:t>the EU budget is to ensure that, once a programme is closed and all verifications</w:t>
      </w:r>
      <w:r w:rsidRPr="00A04E56">
        <w:rPr>
          <w:rStyle w:val="BodyText1Char"/>
          <w:lang w:val="en-GB"/>
        </w:rPr>
        <w:t xml:space="preserve"> </w:t>
      </w:r>
      <w:r w:rsidR="0067626B" w:rsidRPr="00A04E56">
        <w:rPr>
          <w:rStyle w:val="BodyText1Char"/>
          <w:lang w:val="en-GB"/>
        </w:rPr>
        <w:t>have been</w:t>
      </w:r>
      <w:r w:rsidRPr="00A04E56">
        <w:t xml:space="preserve"> carried out, the</w:t>
      </w:r>
      <w:r w:rsidR="004931C2" w:rsidRPr="00A04E56">
        <w:t xml:space="preserve"> remaining</w:t>
      </w:r>
      <w:r w:rsidRPr="00A04E56">
        <w:t xml:space="preserve"> </w:t>
      </w:r>
      <w:r w:rsidRPr="00A04E56">
        <w:rPr>
          <w:rStyle w:val="BOLDGREENExecutiveSummary"/>
        </w:rPr>
        <w:t xml:space="preserve">‘risk at closure’ </w:t>
      </w:r>
      <w:r w:rsidR="0044772B" w:rsidRPr="00A04E56">
        <w:rPr>
          <w:rStyle w:val="BOLDGREENExecutiveSummary"/>
        </w:rPr>
        <w:t>is</w:t>
      </w:r>
      <w:r w:rsidRPr="00A04E56">
        <w:rPr>
          <w:rStyle w:val="BOLDGREENExecutiveSummary"/>
        </w:rPr>
        <w:t xml:space="preserve"> very low. </w:t>
      </w:r>
      <w:r w:rsidR="00D063E7" w:rsidRPr="00A04E56">
        <w:t>Overall, t</w:t>
      </w:r>
      <w:r w:rsidR="009A244F" w:rsidRPr="00A04E56">
        <w:t xml:space="preserve">he Commission estimates </w:t>
      </w:r>
      <w:r w:rsidR="00D063E7" w:rsidRPr="00A04E56">
        <w:t>this</w:t>
      </w:r>
      <w:r w:rsidR="009A244F" w:rsidRPr="00A04E56">
        <w:t xml:space="preserve"> to be only </w:t>
      </w:r>
      <w:r w:rsidRPr="00A04E56">
        <w:rPr>
          <w:rStyle w:val="BOLDGREENExecutiveSummary"/>
        </w:rPr>
        <w:t>0.</w:t>
      </w:r>
      <w:r w:rsidR="00BB3A22" w:rsidRPr="00A04E56">
        <w:rPr>
          <w:rStyle w:val="BOLDGREENExecutiveSummary"/>
        </w:rPr>
        <w:t>8</w:t>
      </w:r>
      <w:r w:rsidRPr="00A04E56">
        <w:rPr>
          <w:rStyle w:val="BOLDGREENExecutiveSummary"/>
        </w:rPr>
        <w:t xml:space="preserve">% of </w:t>
      </w:r>
      <w:r w:rsidR="0024316E" w:rsidRPr="00A04E56">
        <w:rPr>
          <w:rStyle w:val="BOLDGREENExecutiveSummary"/>
        </w:rPr>
        <w:t xml:space="preserve">2018 </w:t>
      </w:r>
      <w:r w:rsidRPr="00A04E56">
        <w:rPr>
          <w:rStyle w:val="BOLDGREENExecutiveSummary"/>
        </w:rPr>
        <w:t>total relevant expenditure</w:t>
      </w:r>
      <w:r w:rsidR="007F6F9B" w:rsidRPr="00A04E56">
        <w:t xml:space="preserve"> </w:t>
      </w:r>
      <w:r w:rsidR="00B51257" w:rsidRPr="00A04E56">
        <w:t>—</w:t>
      </w:r>
      <w:r w:rsidR="00DB17B5" w:rsidRPr="00A04E56">
        <w:t xml:space="preserve"> </w:t>
      </w:r>
      <w:r w:rsidR="004931C2" w:rsidRPr="00A04E56">
        <w:t xml:space="preserve">i.e. </w:t>
      </w:r>
      <w:r w:rsidR="007F6F9B" w:rsidRPr="00A04E56">
        <w:t>below 1%.</w:t>
      </w:r>
      <w:r w:rsidRPr="00A04E56">
        <w:t xml:space="preserve"> </w:t>
      </w:r>
    </w:p>
    <w:p w14:paraId="5B2ED922" w14:textId="79439129" w:rsidR="00E243E2" w:rsidRPr="00A04E56" w:rsidRDefault="002A7310" w:rsidP="00996369">
      <w:pPr>
        <w:pStyle w:val="BodyText1"/>
        <w:rPr>
          <w:lang w:val="en-GB"/>
        </w:rPr>
      </w:pPr>
      <w:r w:rsidRPr="00A04E56">
        <w:rPr>
          <w:lang w:val="en-GB"/>
        </w:rPr>
        <w:t>For the second year in a row,</w:t>
      </w:r>
      <w:r w:rsidR="0024316E" w:rsidRPr="00A04E56">
        <w:rPr>
          <w:lang w:val="en-GB"/>
        </w:rPr>
        <w:t xml:space="preserve"> </w:t>
      </w:r>
      <w:r w:rsidR="008C1D39" w:rsidRPr="00A04E56">
        <w:rPr>
          <w:i/>
          <w:u w:val="single"/>
          <w:lang w:val="en-GB"/>
        </w:rPr>
        <w:t>in 2018</w:t>
      </w:r>
      <w:r w:rsidRPr="00A04E56">
        <w:rPr>
          <w:lang w:val="en-GB"/>
        </w:rPr>
        <w:t xml:space="preserve"> t</w:t>
      </w:r>
      <w:r w:rsidR="00E243E2" w:rsidRPr="00A04E56">
        <w:rPr>
          <w:lang w:val="en-GB"/>
        </w:rPr>
        <w:t xml:space="preserve">he </w:t>
      </w:r>
      <w:r w:rsidR="00E243E2" w:rsidRPr="00A04E56">
        <w:rPr>
          <w:rStyle w:val="BOLDGREENExecutiveSummary"/>
        </w:rPr>
        <w:t xml:space="preserve">European Court of </w:t>
      </w:r>
      <w:r w:rsidRPr="00A04E56">
        <w:rPr>
          <w:rStyle w:val="BOLDGREENExecutiveSummary"/>
        </w:rPr>
        <w:t>A</w:t>
      </w:r>
      <w:r w:rsidR="00E243E2" w:rsidRPr="00A04E56">
        <w:rPr>
          <w:rStyle w:val="BOLDGREENExecutiveSummary"/>
        </w:rPr>
        <w:t xml:space="preserve">uditors gave </w:t>
      </w:r>
      <w:r w:rsidRPr="00A04E56">
        <w:rPr>
          <w:rStyle w:val="BOLDGREENExecutiveSummary"/>
        </w:rPr>
        <w:t xml:space="preserve">a qualified rather than </w:t>
      </w:r>
      <w:r w:rsidR="00E243E2" w:rsidRPr="00A04E56">
        <w:rPr>
          <w:rStyle w:val="BOLDGREENExecutiveSummary"/>
        </w:rPr>
        <w:t xml:space="preserve">a negative </w:t>
      </w:r>
      <w:r w:rsidRPr="00A04E56">
        <w:rPr>
          <w:rStyle w:val="BOLDGREENExecutiveSummary"/>
        </w:rPr>
        <w:t>opinion</w:t>
      </w:r>
      <w:r w:rsidR="0024316E" w:rsidRPr="00A04E56">
        <w:rPr>
          <w:lang w:val="en-GB"/>
        </w:rPr>
        <w:t xml:space="preserve"> on the legality and regularity of payments </w:t>
      </w:r>
      <w:r w:rsidR="00D063E7" w:rsidRPr="00A04E56">
        <w:rPr>
          <w:lang w:val="en-GB"/>
        </w:rPr>
        <w:t>under</w:t>
      </w:r>
      <w:r w:rsidR="0024316E" w:rsidRPr="00A04E56">
        <w:rPr>
          <w:lang w:val="en-GB"/>
        </w:rPr>
        <w:t xml:space="preserve"> the 2017 EU budget</w:t>
      </w:r>
      <w:r w:rsidR="00341066">
        <w:rPr>
          <w:lang w:val="en-GB"/>
        </w:rPr>
        <w:t>. This</w:t>
      </w:r>
      <w:r w:rsidR="00DB17B5" w:rsidRPr="00A04E56">
        <w:rPr>
          <w:lang w:val="en-GB"/>
        </w:rPr>
        <w:t xml:space="preserve"> confirm</w:t>
      </w:r>
      <w:r w:rsidR="00341066">
        <w:rPr>
          <w:lang w:val="en-GB"/>
        </w:rPr>
        <w:t>s</w:t>
      </w:r>
      <w:r w:rsidR="00DB17B5" w:rsidRPr="00A04E56">
        <w:rPr>
          <w:lang w:val="en-GB"/>
        </w:rPr>
        <w:t xml:space="preserve"> </w:t>
      </w:r>
      <w:r w:rsidR="007125A5" w:rsidRPr="00A04E56">
        <w:rPr>
          <w:lang w:val="en-GB"/>
        </w:rPr>
        <w:t xml:space="preserve">that significant </w:t>
      </w:r>
      <w:r w:rsidR="00DB17B5" w:rsidRPr="00A04E56">
        <w:rPr>
          <w:lang w:val="en-GB"/>
        </w:rPr>
        <w:t>progress has been made</w:t>
      </w:r>
      <w:r w:rsidR="00B922E2" w:rsidRPr="00A04E56">
        <w:rPr>
          <w:lang w:val="en-GB"/>
        </w:rPr>
        <w:t xml:space="preserve"> and </w:t>
      </w:r>
      <w:r w:rsidR="00B51257" w:rsidRPr="00A04E56">
        <w:rPr>
          <w:lang w:val="en-GB"/>
        </w:rPr>
        <w:t xml:space="preserve">that is </w:t>
      </w:r>
      <w:r w:rsidR="00B922E2" w:rsidRPr="00A04E56">
        <w:rPr>
          <w:lang w:val="en-GB"/>
        </w:rPr>
        <w:t xml:space="preserve">a clean bill of health </w:t>
      </w:r>
      <w:r w:rsidR="00341066">
        <w:rPr>
          <w:lang w:val="en-GB"/>
        </w:rPr>
        <w:t>regarding</w:t>
      </w:r>
      <w:r w:rsidR="00B922E2" w:rsidRPr="00A04E56">
        <w:rPr>
          <w:lang w:val="en-GB"/>
        </w:rPr>
        <w:t xml:space="preserve"> a substantial part of the EU budget</w:t>
      </w:r>
      <w:r w:rsidR="00DB17B5" w:rsidRPr="00A04E56">
        <w:rPr>
          <w:lang w:val="en-GB"/>
        </w:rPr>
        <w:t>.</w:t>
      </w:r>
      <w:r w:rsidR="00965942" w:rsidRPr="00A04E56">
        <w:rPr>
          <w:lang w:val="en-GB"/>
        </w:rPr>
        <w:t xml:space="preserve"> </w:t>
      </w:r>
    </w:p>
    <w:p w14:paraId="4FE4F04D" w14:textId="77777777" w:rsidR="0094317B" w:rsidRDefault="0094317B">
      <w:pPr>
        <w:rPr>
          <w:b/>
          <w:color w:val="08AA74"/>
          <w:sz w:val="24"/>
          <w:lang w:eastAsia="zh-CN"/>
        </w:rPr>
      </w:pPr>
      <w:r>
        <w:br w:type="page"/>
      </w:r>
    </w:p>
    <w:p w14:paraId="6CDCADA5" w14:textId="2934210E" w:rsidR="006722F8" w:rsidRPr="00A04E56" w:rsidRDefault="00B544D2" w:rsidP="0049758A">
      <w:pPr>
        <w:pStyle w:val="SubtitleGreenExecutiveSummary"/>
      </w:pPr>
      <w:r w:rsidRPr="00A04E56">
        <w:t>Stepping up the f</w:t>
      </w:r>
      <w:r w:rsidR="006722F8" w:rsidRPr="00A04E56">
        <w:t>ight against fraud</w:t>
      </w:r>
    </w:p>
    <w:p w14:paraId="00DDB2C0" w14:textId="76D2769C" w:rsidR="00D063E7" w:rsidRPr="00A04E56" w:rsidRDefault="00B922E2" w:rsidP="00190BF0">
      <w:pPr>
        <w:pStyle w:val="BodyText1spaceafter"/>
        <w:rPr>
          <w:noProof w:val="0"/>
          <w:color w:val="auto"/>
        </w:rPr>
      </w:pPr>
      <w:r w:rsidRPr="00A04E56">
        <w:t xml:space="preserve">The Commission has a firm and </w:t>
      </w:r>
      <w:r w:rsidR="00FB08BA">
        <w:t>long-standing</w:t>
      </w:r>
      <w:r w:rsidRPr="00A04E56">
        <w:t xml:space="preserve"> line of zero tolerance to fraud. </w:t>
      </w:r>
      <w:r w:rsidR="006722F8" w:rsidRPr="00A04E56">
        <w:t>The Commission</w:t>
      </w:r>
      <w:r w:rsidR="00B51257" w:rsidRPr="00A04E56">
        <w:t>’</w:t>
      </w:r>
      <w:r w:rsidR="00D874AF" w:rsidRPr="00A04E56">
        <w:rPr>
          <w:noProof w:val="0"/>
          <w:color w:val="auto"/>
        </w:rPr>
        <w:t xml:space="preserve">s </w:t>
      </w:r>
      <w:r w:rsidRPr="00A04E56">
        <w:rPr>
          <w:noProof w:val="0"/>
          <w:color w:val="auto"/>
        </w:rPr>
        <w:t>revised</w:t>
      </w:r>
      <w:r w:rsidR="006722F8" w:rsidRPr="00A04E56">
        <w:rPr>
          <w:noProof w:val="0"/>
          <w:color w:val="auto"/>
        </w:rPr>
        <w:t xml:space="preserve"> </w:t>
      </w:r>
      <w:r w:rsidR="00B544D2" w:rsidRPr="00A04E56">
        <w:rPr>
          <w:noProof w:val="0"/>
          <w:color w:val="auto"/>
        </w:rPr>
        <w:t xml:space="preserve">and strengthened </w:t>
      </w:r>
      <w:r w:rsidR="007125A5" w:rsidRPr="00A04E56">
        <w:rPr>
          <w:noProof w:val="0"/>
          <w:color w:val="auto"/>
        </w:rPr>
        <w:t>a</w:t>
      </w:r>
      <w:r w:rsidR="00B544D2" w:rsidRPr="00A04E56">
        <w:rPr>
          <w:noProof w:val="0"/>
          <w:color w:val="auto"/>
        </w:rPr>
        <w:t>nti</w:t>
      </w:r>
      <w:r w:rsidR="006722F8" w:rsidRPr="00A04E56">
        <w:rPr>
          <w:noProof w:val="0"/>
          <w:color w:val="auto"/>
        </w:rPr>
        <w:t>-</w:t>
      </w:r>
      <w:r w:rsidR="007125A5" w:rsidRPr="00A04E56">
        <w:rPr>
          <w:noProof w:val="0"/>
          <w:color w:val="auto"/>
        </w:rPr>
        <w:t>f</w:t>
      </w:r>
      <w:r w:rsidR="00B544D2" w:rsidRPr="00A04E56">
        <w:rPr>
          <w:noProof w:val="0"/>
          <w:color w:val="auto"/>
        </w:rPr>
        <w:t xml:space="preserve">raud </w:t>
      </w:r>
      <w:r w:rsidR="007125A5" w:rsidRPr="00A04E56">
        <w:rPr>
          <w:noProof w:val="0"/>
          <w:color w:val="auto"/>
        </w:rPr>
        <w:t>s</w:t>
      </w:r>
      <w:r w:rsidR="00B544D2" w:rsidRPr="00A04E56">
        <w:rPr>
          <w:noProof w:val="0"/>
          <w:color w:val="auto"/>
        </w:rPr>
        <w:t xml:space="preserve">trategy </w:t>
      </w:r>
      <w:r w:rsidR="006722F8" w:rsidRPr="00A04E56">
        <w:rPr>
          <w:noProof w:val="0"/>
          <w:color w:val="auto"/>
        </w:rPr>
        <w:t xml:space="preserve">provides a </w:t>
      </w:r>
      <w:r w:rsidR="00D874AF" w:rsidRPr="00A04E56">
        <w:rPr>
          <w:noProof w:val="0"/>
          <w:color w:val="auto"/>
        </w:rPr>
        <w:t xml:space="preserve">robust </w:t>
      </w:r>
      <w:r w:rsidR="006722F8" w:rsidRPr="00A04E56">
        <w:rPr>
          <w:noProof w:val="0"/>
          <w:color w:val="auto"/>
        </w:rPr>
        <w:t xml:space="preserve">policy framework for the prevention, detection, investigation and </w:t>
      </w:r>
      <w:r w:rsidR="00936BB1" w:rsidRPr="00A04E56">
        <w:rPr>
          <w:noProof w:val="0"/>
          <w:color w:val="auto"/>
        </w:rPr>
        <w:t>response to</w:t>
      </w:r>
      <w:r w:rsidR="006722F8" w:rsidRPr="00A04E56">
        <w:rPr>
          <w:noProof w:val="0"/>
          <w:color w:val="auto"/>
        </w:rPr>
        <w:t xml:space="preserve"> fraud</w:t>
      </w:r>
      <w:r w:rsidR="009314E4" w:rsidRPr="00A04E56">
        <w:rPr>
          <w:noProof w:val="0"/>
          <w:color w:val="auto"/>
        </w:rPr>
        <w:t>, and</w:t>
      </w:r>
      <w:r w:rsidR="00DB17B5" w:rsidRPr="00A04E56">
        <w:rPr>
          <w:noProof w:val="0"/>
          <w:color w:val="auto"/>
        </w:rPr>
        <w:t xml:space="preserve"> contributes to </w:t>
      </w:r>
      <w:r w:rsidR="006722F8" w:rsidRPr="00A04E56">
        <w:rPr>
          <w:noProof w:val="0"/>
          <w:color w:val="auto"/>
        </w:rPr>
        <w:t xml:space="preserve">the good functioning of the Commission departments </w:t>
      </w:r>
      <w:r w:rsidR="00341066">
        <w:rPr>
          <w:noProof w:val="0"/>
          <w:color w:val="auto"/>
        </w:rPr>
        <w:t xml:space="preserve">when </w:t>
      </w:r>
      <w:r w:rsidR="007125A5" w:rsidRPr="00A04E56">
        <w:rPr>
          <w:noProof w:val="0"/>
          <w:color w:val="auto"/>
        </w:rPr>
        <w:t>protect</w:t>
      </w:r>
      <w:r w:rsidR="00341066">
        <w:rPr>
          <w:noProof w:val="0"/>
          <w:color w:val="auto"/>
        </w:rPr>
        <w:t>ing</w:t>
      </w:r>
      <w:r w:rsidR="007125A5" w:rsidRPr="00A04E56">
        <w:rPr>
          <w:noProof w:val="0"/>
          <w:color w:val="auto"/>
        </w:rPr>
        <w:t xml:space="preserve"> </w:t>
      </w:r>
      <w:r w:rsidR="006722F8" w:rsidRPr="00A04E56">
        <w:rPr>
          <w:noProof w:val="0"/>
          <w:color w:val="auto"/>
        </w:rPr>
        <w:t xml:space="preserve">the financial interests of the EU. </w:t>
      </w:r>
      <w:r w:rsidR="00B544D2" w:rsidRPr="00A04E56">
        <w:rPr>
          <w:noProof w:val="0"/>
          <w:color w:val="auto"/>
        </w:rPr>
        <w:t>Th</w:t>
      </w:r>
      <w:r w:rsidR="00DB17B5" w:rsidRPr="00A04E56">
        <w:rPr>
          <w:noProof w:val="0"/>
          <w:color w:val="auto"/>
        </w:rPr>
        <w:t xml:space="preserve">e </w:t>
      </w:r>
      <w:r w:rsidR="009314E4" w:rsidRPr="00A04E56">
        <w:rPr>
          <w:noProof w:val="0"/>
          <w:color w:val="auto"/>
        </w:rPr>
        <w:t>revised anti-fraud</w:t>
      </w:r>
      <w:r w:rsidR="00DB17B5" w:rsidRPr="00A04E56">
        <w:rPr>
          <w:noProof w:val="0"/>
          <w:color w:val="auto"/>
        </w:rPr>
        <w:t xml:space="preserve"> strategy</w:t>
      </w:r>
      <w:r w:rsidR="00B544D2" w:rsidRPr="00A04E56">
        <w:rPr>
          <w:noProof w:val="0"/>
          <w:color w:val="auto"/>
        </w:rPr>
        <w:t xml:space="preserve"> will help ensure that Commission departments are fully prepared for the implementation of the</w:t>
      </w:r>
      <w:r w:rsidR="006722F8" w:rsidRPr="00A04E56">
        <w:rPr>
          <w:noProof w:val="0"/>
          <w:color w:val="auto"/>
        </w:rPr>
        <w:t xml:space="preserve"> </w:t>
      </w:r>
      <w:r w:rsidR="007125A5" w:rsidRPr="00A04E56">
        <w:rPr>
          <w:noProof w:val="0"/>
          <w:color w:val="auto"/>
        </w:rPr>
        <w:t xml:space="preserve">2021-2027 </w:t>
      </w:r>
      <w:r w:rsidR="006722F8" w:rsidRPr="00A04E56">
        <w:rPr>
          <w:noProof w:val="0"/>
          <w:color w:val="auto"/>
        </w:rPr>
        <w:t xml:space="preserve">multiannual financial framework. </w:t>
      </w:r>
    </w:p>
    <w:p w14:paraId="51036DD8" w14:textId="6FF6E630" w:rsidR="00172314" w:rsidRPr="00A04E56" w:rsidRDefault="00172314" w:rsidP="00190BF0">
      <w:pPr>
        <w:pStyle w:val="BodyText1spaceafter"/>
        <w:rPr>
          <w:noProof w:val="0"/>
          <w:color w:val="auto"/>
        </w:rPr>
      </w:pPr>
      <w:r w:rsidRPr="00A04E56">
        <w:t xml:space="preserve">The new strategy takes into account important developments in EU anti-fraud legislation (such as the establishment of the European Public Prosecutor’s Office) as well as recent findings by the European Court of Auditors on fraud risk management in EU spending. The adoption of the </w:t>
      </w:r>
      <w:r w:rsidRPr="00A04E56">
        <w:rPr>
          <w:rStyle w:val="BOLDGREENExecutiveSummary"/>
        </w:rPr>
        <w:t xml:space="preserve">revised strategy </w:t>
      </w:r>
      <w:r w:rsidR="00DB5193">
        <w:rPr>
          <w:rStyle w:val="BOLDGREENExecutiveSummary"/>
        </w:rPr>
        <w:t>will improve further</w:t>
      </w:r>
      <w:r w:rsidRPr="00A04E56">
        <w:rPr>
          <w:rStyle w:val="BOLDGREENExecutiveSummary"/>
        </w:rPr>
        <w:t xml:space="preserve"> the fight against fraud</w:t>
      </w:r>
      <w:r w:rsidRPr="00A04E56">
        <w:rPr>
          <w:noProof w:val="0"/>
          <w:color w:val="auto"/>
        </w:rPr>
        <w:t xml:space="preserve">. </w:t>
      </w:r>
    </w:p>
    <w:p w14:paraId="315F4204" w14:textId="14EBD26B" w:rsidR="006722F8" w:rsidRPr="00A04E56" w:rsidRDefault="00172314" w:rsidP="00190BF0">
      <w:pPr>
        <w:pStyle w:val="BodyText1spaceafter"/>
        <w:rPr>
          <w:noProof w:val="0"/>
          <w:color w:val="auto"/>
        </w:rPr>
      </w:pPr>
      <w:r w:rsidRPr="00A04E56">
        <w:t>T</w:t>
      </w:r>
      <w:r w:rsidR="0024316E" w:rsidRPr="00A04E56">
        <w:rPr>
          <w:noProof w:val="0"/>
          <w:color w:val="auto"/>
        </w:rPr>
        <w:t xml:space="preserve">he </w:t>
      </w:r>
      <w:r w:rsidR="00DB17B5" w:rsidRPr="00A04E56">
        <w:rPr>
          <w:noProof w:val="0"/>
          <w:color w:val="auto"/>
        </w:rPr>
        <w:t xml:space="preserve">proposals for the </w:t>
      </w:r>
      <w:r w:rsidR="0024316E" w:rsidRPr="00A04E56">
        <w:rPr>
          <w:noProof w:val="0"/>
          <w:color w:val="auto"/>
        </w:rPr>
        <w:t xml:space="preserve">new </w:t>
      </w:r>
      <w:r w:rsidR="00DB17B5" w:rsidRPr="00A04E56">
        <w:rPr>
          <w:noProof w:val="0"/>
          <w:color w:val="auto"/>
        </w:rPr>
        <w:t xml:space="preserve">financial </w:t>
      </w:r>
      <w:r w:rsidR="0024316E" w:rsidRPr="00A04E56">
        <w:rPr>
          <w:noProof w:val="0"/>
          <w:color w:val="auto"/>
        </w:rPr>
        <w:t xml:space="preserve">programmes have </w:t>
      </w:r>
      <w:r w:rsidRPr="00A04E56">
        <w:rPr>
          <w:noProof w:val="0"/>
          <w:color w:val="auto"/>
        </w:rPr>
        <w:t xml:space="preserve">also </w:t>
      </w:r>
      <w:r w:rsidR="0024316E" w:rsidRPr="00A04E56">
        <w:rPr>
          <w:noProof w:val="0"/>
          <w:color w:val="auto"/>
        </w:rPr>
        <w:t xml:space="preserve">been </w:t>
      </w:r>
      <w:r w:rsidR="00DB17B5" w:rsidRPr="00A04E56">
        <w:rPr>
          <w:noProof w:val="0"/>
          <w:color w:val="auto"/>
        </w:rPr>
        <w:t xml:space="preserve">subject </w:t>
      </w:r>
      <w:r w:rsidR="0024316E" w:rsidRPr="00A04E56">
        <w:rPr>
          <w:noProof w:val="0"/>
          <w:color w:val="auto"/>
        </w:rPr>
        <w:t>to fraud</w:t>
      </w:r>
      <w:r w:rsidR="00AA4707">
        <w:rPr>
          <w:noProof w:val="0"/>
          <w:color w:val="auto"/>
        </w:rPr>
        <w:t xml:space="preserve"> </w:t>
      </w:r>
      <w:r w:rsidR="0024316E" w:rsidRPr="00A04E56">
        <w:rPr>
          <w:noProof w:val="0"/>
          <w:color w:val="auto"/>
        </w:rPr>
        <w:t>proofing by the European Anti-Fraud Office.</w:t>
      </w:r>
      <w:r w:rsidR="00430A31" w:rsidRPr="00A04E56">
        <w:rPr>
          <w:noProof w:val="0"/>
          <w:color w:val="auto"/>
        </w:rPr>
        <w:t xml:space="preserve"> </w:t>
      </w:r>
      <w:r w:rsidRPr="00A04E56">
        <w:rPr>
          <w:noProof w:val="0"/>
          <w:color w:val="auto"/>
        </w:rPr>
        <w:t>T</w:t>
      </w:r>
      <w:r w:rsidR="00430A31" w:rsidRPr="00A04E56">
        <w:rPr>
          <w:noProof w:val="0"/>
          <w:color w:val="auto"/>
        </w:rPr>
        <w:t xml:space="preserve">he new 2018 </w:t>
      </w:r>
      <w:r w:rsidR="00AE4B2D" w:rsidRPr="00A04E56">
        <w:rPr>
          <w:noProof w:val="0"/>
          <w:color w:val="auto"/>
        </w:rPr>
        <w:t>f</w:t>
      </w:r>
      <w:r w:rsidR="00430A31" w:rsidRPr="00A04E56">
        <w:rPr>
          <w:noProof w:val="0"/>
          <w:color w:val="auto"/>
        </w:rPr>
        <w:t xml:space="preserve">inancial </w:t>
      </w:r>
      <w:r w:rsidR="00AE4B2D" w:rsidRPr="00A04E56">
        <w:rPr>
          <w:noProof w:val="0"/>
          <w:color w:val="auto"/>
        </w:rPr>
        <w:t>r</w:t>
      </w:r>
      <w:r w:rsidR="00430A31" w:rsidRPr="00A04E56">
        <w:rPr>
          <w:noProof w:val="0"/>
          <w:color w:val="auto"/>
        </w:rPr>
        <w:t>egulation has strengthened the treatment of conflicts of interest</w:t>
      </w:r>
      <w:r w:rsidRPr="00A04E56">
        <w:rPr>
          <w:noProof w:val="0"/>
          <w:color w:val="auto"/>
        </w:rPr>
        <w:t>, and the Commission has made important proposals to protect the EU budget from generalised deficiencies in the rule of law in the Member States</w:t>
      </w:r>
      <w:r w:rsidR="00B922E2" w:rsidRPr="00A04E56">
        <w:rPr>
          <w:noProof w:val="0"/>
          <w:color w:val="auto"/>
        </w:rPr>
        <w:t>,</w:t>
      </w:r>
      <w:r w:rsidR="00B922E2" w:rsidRPr="00A04E56">
        <w:t xml:space="preserve"> </w:t>
      </w:r>
      <w:r w:rsidR="00B922E2" w:rsidRPr="00A04E56">
        <w:rPr>
          <w:noProof w:val="0"/>
          <w:color w:val="auto"/>
        </w:rPr>
        <w:t>including conditioning the continuation of EU payments to the respect of the rule of law principles</w:t>
      </w:r>
      <w:r w:rsidRPr="00A04E56">
        <w:rPr>
          <w:noProof w:val="0"/>
          <w:color w:val="auto"/>
        </w:rPr>
        <w:t>. T</w:t>
      </w:r>
      <w:r w:rsidR="00D063E7" w:rsidRPr="00A04E56">
        <w:rPr>
          <w:noProof w:val="0"/>
          <w:color w:val="auto"/>
        </w:rPr>
        <w:t xml:space="preserve">he </w:t>
      </w:r>
      <w:r w:rsidR="003D55F2" w:rsidRPr="00A04E56">
        <w:rPr>
          <w:noProof w:val="0"/>
          <w:color w:val="auto"/>
        </w:rPr>
        <w:t>e</w:t>
      </w:r>
      <w:r w:rsidR="00D063E7" w:rsidRPr="00A04E56">
        <w:rPr>
          <w:noProof w:val="0"/>
          <w:color w:val="auto"/>
        </w:rPr>
        <w:t xml:space="preserve">arly </w:t>
      </w:r>
      <w:r w:rsidR="003D55F2" w:rsidRPr="00A04E56">
        <w:rPr>
          <w:noProof w:val="0"/>
          <w:color w:val="auto"/>
        </w:rPr>
        <w:t>d</w:t>
      </w:r>
      <w:r w:rsidR="00D063E7" w:rsidRPr="00A04E56">
        <w:rPr>
          <w:noProof w:val="0"/>
          <w:color w:val="auto"/>
        </w:rPr>
        <w:t xml:space="preserve">etection and </w:t>
      </w:r>
      <w:r w:rsidR="003D55F2" w:rsidRPr="00A04E56">
        <w:rPr>
          <w:noProof w:val="0"/>
          <w:color w:val="auto"/>
        </w:rPr>
        <w:t>e</w:t>
      </w:r>
      <w:r w:rsidR="00D063E7" w:rsidRPr="00A04E56">
        <w:rPr>
          <w:noProof w:val="0"/>
          <w:color w:val="auto"/>
        </w:rPr>
        <w:t xml:space="preserve">xclusion </w:t>
      </w:r>
      <w:r w:rsidR="003D55F2" w:rsidRPr="00A04E56">
        <w:rPr>
          <w:noProof w:val="0"/>
          <w:color w:val="auto"/>
        </w:rPr>
        <w:t>s</w:t>
      </w:r>
      <w:r w:rsidR="00D063E7" w:rsidRPr="00A04E56">
        <w:rPr>
          <w:noProof w:val="0"/>
          <w:color w:val="auto"/>
        </w:rPr>
        <w:t>ystem has been further enhanced. These measures</w:t>
      </w:r>
      <w:r w:rsidR="00430A31" w:rsidRPr="00A04E56">
        <w:rPr>
          <w:noProof w:val="0"/>
          <w:color w:val="auto"/>
        </w:rPr>
        <w:t xml:space="preserve"> </w:t>
      </w:r>
      <w:r w:rsidR="00D063E7" w:rsidRPr="00A04E56">
        <w:rPr>
          <w:noProof w:val="0"/>
          <w:color w:val="auto"/>
        </w:rPr>
        <w:t xml:space="preserve">will protect </w:t>
      </w:r>
      <w:r w:rsidR="00430A31" w:rsidRPr="00A04E56">
        <w:rPr>
          <w:noProof w:val="0"/>
          <w:color w:val="auto"/>
        </w:rPr>
        <w:t xml:space="preserve">the EU budget even </w:t>
      </w:r>
      <w:r w:rsidR="00FB08BA">
        <w:rPr>
          <w:noProof w:val="0"/>
          <w:color w:val="auto"/>
        </w:rPr>
        <w:t>more effectively</w:t>
      </w:r>
      <w:r w:rsidR="00430A31" w:rsidRPr="00A04E56">
        <w:rPr>
          <w:noProof w:val="0"/>
          <w:color w:val="auto"/>
        </w:rPr>
        <w:t xml:space="preserve"> </w:t>
      </w:r>
      <w:r w:rsidR="00D063E7" w:rsidRPr="00A04E56">
        <w:rPr>
          <w:noProof w:val="0"/>
          <w:color w:val="auto"/>
        </w:rPr>
        <w:t>in the coming years</w:t>
      </w:r>
      <w:r w:rsidR="00430A31" w:rsidRPr="00A04E56">
        <w:rPr>
          <w:noProof w:val="0"/>
          <w:color w:val="auto"/>
        </w:rPr>
        <w:t xml:space="preserve">. </w:t>
      </w:r>
    </w:p>
    <w:p w14:paraId="639486F4" w14:textId="430FC55B" w:rsidR="00190BF0" w:rsidRPr="00A04E56" w:rsidRDefault="00383D12" w:rsidP="0049758A">
      <w:pPr>
        <w:pStyle w:val="SubtitleGreenExecutiveSummary"/>
      </w:pPr>
      <w:r w:rsidRPr="00A04E56">
        <w:t>Management provides reasonable assurance and the Commission takes political responsibility for the management of the EU budget</w:t>
      </w:r>
    </w:p>
    <w:p w14:paraId="1538554B" w14:textId="79E77C1A" w:rsidR="007F6F9B" w:rsidRPr="00A04E56" w:rsidRDefault="00430A31" w:rsidP="009A244F">
      <w:pPr>
        <w:pStyle w:val="BodyText1spaceafter"/>
      </w:pPr>
      <w:r w:rsidRPr="00A04E56">
        <w:t>Based on the assurance</w:t>
      </w:r>
      <w:r w:rsidR="00C6111C" w:rsidRPr="00A04E56">
        <w:t>-</w:t>
      </w:r>
      <w:r w:rsidRPr="00A04E56">
        <w:t xml:space="preserve">building blocks that support their declaration, </w:t>
      </w:r>
      <w:r w:rsidR="0044772B" w:rsidRPr="00A04E56">
        <w:rPr>
          <w:rStyle w:val="BOLDGREENExecutiveSummary"/>
        </w:rPr>
        <w:t>every</w:t>
      </w:r>
      <w:r w:rsidR="009A244F" w:rsidRPr="00A04E56">
        <w:rPr>
          <w:rStyle w:val="BOLDGREENExecutiveSummary"/>
        </w:rPr>
        <w:t xml:space="preserve"> </w:t>
      </w:r>
      <w:r w:rsidR="007125A5" w:rsidRPr="00A04E56">
        <w:rPr>
          <w:rStyle w:val="BOLDGREENExecutiveSummary"/>
        </w:rPr>
        <w:t>a</w:t>
      </w:r>
      <w:r w:rsidR="009A244F" w:rsidRPr="00A04E56">
        <w:rPr>
          <w:rStyle w:val="BOLDGREENExecutiveSummary"/>
        </w:rPr>
        <w:t xml:space="preserve">uthorising </w:t>
      </w:r>
      <w:r w:rsidR="007125A5" w:rsidRPr="00A04E56">
        <w:rPr>
          <w:rStyle w:val="BOLDGREENExecutiveSummary"/>
        </w:rPr>
        <w:t>o</w:t>
      </w:r>
      <w:r w:rsidR="009A244F" w:rsidRPr="00A04E56">
        <w:rPr>
          <w:rStyle w:val="BOLDGREENExecutiveSummary"/>
        </w:rPr>
        <w:t xml:space="preserve">fficer by </w:t>
      </w:r>
      <w:r w:rsidR="007125A5" w:rsidRPr="00A04E56">
        <w:rPr>
          <w:rStyle w:val="BOLDGREENExecutiveSummary"/>
        </w:rPr>
        <w:t>d</w:t>
      </w:r>
      <w:r w:rsidR="009A244F" w:rsidRPr="00A04E56">
        <w:rPr>
          <w:rStyle w:val="BOLDGREENExecutiveSummary"/>
        </w:rPr>
        <w:t>elegation provided reasonable assurance</w:t>
      </w:r>
      <w:r w:rsidR="009A244F" w:rsidRPr="00A04E56">
        <w:t xml:space="preserve"> that (1) the information contained in their </w:t>
      </w:r>
      <w:r w:rsidR="005B6849" w:rsidRPr="00A04E56">
        <w:t xml:space="preserve">annual activity </w:t>
      </w:r>
      <w:r w:rsidR="009A244F" w:rsidRPr="00A04E56">
        <w:t>report gives a true and fair view; (2) the resources assigned to the</w:t>
      </w:r>
      <w:r w:rsidRPr="00A04E56">
        <w:t>ir</w:t>
      </w:r>
      <w:r w:rsidR="009A244F" w:rsidRPr="00A04E56">
        <w:t xml:space="preserve"> activities have been used for their intended purpose and (3) the control procedures in place give the necessary guarantees concerning the legality and regularity of the underlying transactions</w:t>
      </w:r>
      <w:r w:rsidR="007F6F9B" w:rsidRPr="00A04E56">
        <w:t xml:space="preserve"> </w:t>
      </w:r>
      <w:r w:rsidR="00B51257" w:rsidRPr="00A04E56">
        <w:t>—</w:t>
      </w:r>
      <w:r w:rsidR="007F6F9B" w:rsidRPr="00A04E56">
        <w:t xml:space="preserve"> if needed qualified by (a) reservation(s)</w:t>
      </w:r>
      <w:r w:rsidRPr="00A04E56">
        <w:t xml:space="preserve"> for full transparency and further action</w:t>
      </w:r>
      <w:r w:rsidR="009A244F" w:rsidRPr="00A04E56">
        <w:t>.</w:t>
      </w:r>
    </w:p>
    <w:p w14:paraId="7B84E445" w14:textId="3AABBC3D" w:rsidR="00383D12" w:rsidRPr="00A04E56" w:rsidRDefault="003D15DE" w:rsidP="009A244F">
      <w:pPr>
        <w:pStyle w:val="BodyText1spaceafter"/>
      </w:pPr>
      <w:r w:rsidRPr="00A04E56">
        <w:t xml:space="preserve">40 </w:t>
      </w:r>
      <w:r w:rsidR="009A244F" w:rsidRPr="00A04E56">
        <w:t xml:space="preserve">reservations </w:t>
      </w:r>
      <w:r w:rsidRPr="00A04E56">
        <w:t xml:space="preserve">were </w:t>
      </w:r>
      <w:r w:rsidR="009A244F" w:rsidRPr="00A04E56">
        <w:t>made</w:t>
      </w:r>
      <w:r w:rsidR="00430A31" w:rsidRPr="00A04E56">
        <w:t xml:space="preserve"> </w:t>
      </w:r>
      <w:r w:rsidR="00B51257" w:rsidRPr="00A04E56">
        <w:t>—</w:t>
      </w:r>
      <w:r w:rsidR="00430A31" w:rsidRPr="00A04E56">
        <w:t xml:space="preserve"> </w:t>
      </w:r>
      <w:r w:rsidR="009A244F" w:rsidRPr="00A04E56">
        <w:t xml:space="preserve">two more than last year. </w:t>
      </w:r>
      <w:r w:rsidR="009A244F" w:rsidRPr="00A04E56">
        <w:rPr>
          <w:rStyle w:val="BOLDGREENExecutiveSummary"/>
        </w:rPr>
        <w:t xml:space="preserve">For </w:t>
      </w:r>
      <w:r w:rsidR="0044772B" w:rsidRPr="00A04E56">
        <w:rPr>
          <w:rStyle w:val="BOLDGREENExecutiveSummary"/>
        </w:rPr>
        <w:t>every</w:t>
      </w:r>
      <w:r w:rsidR="009A244F" w:rsidRPr="00A04E56">
        <w:rPr>
          <w:rStyle w:val="BOLDGREENExecutiveSummary"/>
        </w:rPr>
        <w:t xml:space="preserve"> reservation, </w:t>
      </w:r>
      <w:r w:rsidR="0044772B" w:rsidRPr="00A04E56">
        <w:rPr>
          <w:rStyle w:val="BOLDGREENExecutiveSummary"/>
        </w:rPr>
        <w:t xml:space="preserve">an </w:t>
      </w:r>
      <w:r w:rsidR="00383D12" w:rsidRPr="00A04E56">
        <w:rPr>
          <w:rStyle w:val="BOLDGREENExecutiveSummary"/>
        </w:rPr>
        <w:t>action plan</w:t>
      </w:r>
      <w:r w:rsidR="0044772B" w:rsidRPr="00A04E56">
        <w:rPr>
          <w:rStyle w:val="BOLDGREENExecutiveSummary"/>
        </w:rPr>
        <w:t xml:space="preserve"> i</w:t>
      </w:r>
      <w:r w:rsidR="00383D12" w:rsidRPr="00A04E56">
        <w:rPr>
          <w:rStyle w:val="BOLDGREENExecutiveSummary"/>
        </w:rPr>
        <w:t>s in place</w:t>
      </w:r>
      <w:r w:rsidR="00383D12" w:rsidRPr="00A04E56">
        <w:t xml:space="preserve"> </w:t>
      </w:r>
      <w:r w:rsidR="00AA351F" w:rsidRPr="00A04E56">
        <w:t>to</w:t>
      </w:r>
      <w:r w:rsidR="00383D12" w:rsidRPr="00A04E56">
        <w:t xml:space="preserve"> address the underlying weaknesses and mitigat</w:t>
      </w:r>
      <w:r w:rsidR="00AA351F" w:rsidRPr="00A04E56">
        <w:t>e</w:t>
      </w:r>
      <w:r w:rsidR="00383D12" w:rsidRPr="00A04E56">
        <w:t xml:space="preserve"> the re</w:t>
      </w:r>
      <w:r w:rsidR="00AA351F" w:rsidRPr="00A04E56">
        <w:t>lated</w:t>
      </w:r>
      <w:r w:rsidR="00383D12" w:rsidRPr="00A04E56">
        <w:t xml:space="preserve"> risks. </w:t>
      </w:r>
      <w:r w:rsidR="009A244F" w:rsidRPr="00A04E56">
        <w:rPr>
          <w:rStyle w:val="BOLDGREENExecutiveSummary"/>
        </w:rPr>
        <w:t xml:space="preserve">Half </w:t>
      </w:r>
      <w:r w:rsidRPr="00A04E56">
        <w:rPr>
          <w:rStyle w:val="BOLDGREENExecutiveSummary"/>
        </w:rPr>
        <w:t xml:space="preserve">of </w:t>
      </w:r>
      <w:r w:rsidR="009A244F" w:rsidRPr="00A04E56">
        <w:rPr>
          <w:rStyle w:val="BOLDGREENExecutiveSummary"/>
        </w:rPr>
        <w:t>the reservations concern legacy programmes</w:t>
      </w:r>
      <w:r w:rsidR="009A244F" w:rsidRPr="00A04E56">
        <w:t xml:space="preserve"> </w:t>
      </w:r>
      <w:r w:rsidRPr="00A04E56">
        <w:t xml:space="preserve">for </w:t>
      </w:r>
      <w:r w:rsidR="009A244F" w:rsidRPr="00A04E56">
        <w:t xml:space="preserve">2007-2013 and have very </w:t>
      </w:r>
      <w:r w:rsidR="005B6849" w:rsidRPr="00A04E56">
        <w:t xml:space="preserve">limited </w:t>
      </w:r>
      <w:r w:rsidR="009A244F" w:rsidRPr="00A04E56">
        <w:t>financial impact.</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F1EA" w:themeFill="accent4" w:themeFillTint="33"/>
        <w:tblCellMar>
          <w:top w:w="113" w:type="dxa"/>
          <w:left w:w="0" w:type="dxa"/>
          <w:bottom w:w="113" w:type="dxa"/>
          <w:right w:w="0" w:type="dxa"/>
        </w:tblCellMar>
        <w:tblLook w:val="0000" w:firstRow="0" w:lastRow="0" w:firstColumn="0" w:lastColumn="0" w:noHBand="0" w:noVBand="0"/>
      </w:tblPr>
      <w:tblGrid>
        <w:gridCol w:w="9070"/>
      </w:tblGrid>
      <w:tr w:rsidR="00996369" w:rsidRPr="00A04E56" w14:paraId="0C720298" w14:textId="77777777" w:rsidTr="000D13EF">
        <w:trPr>
          <w:cantSplit/>
        </w:trPr>
        <w:tc>
          <w:tcPr>
            <w:tcW w:w="9070" w:type="dxa"/>
            <w:tcBorders>
              <w:top w:val="nil"/>
              <w:left w:val="nil"/>
              <w:bottom w:val="nil"/>
              <w:right w:val="nil"/>
            </w:tcBorders>
            <w:shd w:val="clear" w:color="auto" w:fill="D7F1EA" w:themeFill="accent4" w:themeFillTint="33"/>
            <w:tcMar>
              <w:top w:w="113" w:type="dxa"/>
              <w:bottom w:w="113" w:type="dxa"/>
            </w:tcMar>
          </w:tcPr>
          <w:p w14:paraId="067D354A" w14:textId="45FA5421" w:rsidR="00996369" w:rsidRPr="00A04E56" w:rsidRDefault="00996369" w:rsidP="00B51257">
            <w:pPr>
              <w:pStyle w:val="BOXE2GREENtabletext"/>
              <w:rPr>
                <w:lang w:val="en-GB"/>
              </w:rPr>
            </w:pPr>
            <w:r w:rsidRPr="00A04E56">
              <w:rPr>
                <w:lang w:val="en-GB"/>
              </w:rPr>
              <w:t xml:space="preserve">On the basis of the </w:t>
            </w:r>
            <w:r w:rsidR="003D15DE" w:rsidRPr="00A04E56">
              <w:rPr>
                <w:lang w:val="en-GB"/>
              </w:rPr>
              <w:t>d</w:t>
            </w:r>
            <w:r w:rsidRPr="00A04E56">
              <w:rPr>
                <w:lang w:val="en-GB"/>
              </w:rPr>
              <w:t xml:space="preserve">eclarations of </w:t>
            </w:r>
            <w:r w:rsidR="003D15DE" w:rsidRPr="00A04E56">
              <w:rPr>
                <w:lang w:val="en-GB"/>
              </w:rPr>
              <w:t>a</w:t>
            </w:r>
            <w:r w:rsidRPr="00A04E56">
              <w:rPr>
                <w:lang w:val="en-GB"/>
              </w:rPr>
              <w:t>ssurance by the Commission</w:t>
            </w:r>
            <w:r w:rsidR="00B51257" w:rsidRPr="00A04E56">
              <w:rPr>
                <w:lang w:val="en-GB"/>
              </w:rPr>
              <w:t>’</w:t>
            </w:r>
            <w:r w:rsidRPr="00A04E56">
              <w:rPr>
                <w:lang w:val="en-GB"/>
              </w:rPr>
              <w:t xml:space="preserve">s </w:t>
            </w:r>
            <w:r w:rsidR="003D15DE" w:rsidRPr="00A04E56">
              <w:rPr>
                <w:lang w:val="en-GB"/>
              </w:rPr>
              <w:t>a</w:t>
            </w:r>
            <w:r w:rsidRPr="00A04E56">
              <w:rPr>
                <w:lang w:val="en-GB"/>
              </w:rPr>
              <w:t xml:space="preserve">uthorising </w:t>
            </w:r>
            <w:r w:rsidR="003D15DE" w:rsidRPr="00A04E56">
              <w:rPr>
                <w:lang w:val="en-GB"/>
              </w:rPr>
              <w:t>o</w:t>
            </w:r>
            <w:r w:rsidRPr="00A04E56">
              <w:rPr>
                <w:lang w:val="en-GB"/>
              </w:rPr>
              <w:t xml:space="preserve">fficers by </w:t>
            </w:r>
            <w:r w:rsidR="003D15DE" w:rsidRPr="00A04E56">
              <w:rPr>
                <w:lang w:val="en-GB"/>
              </w:rPr>
              <w:t>d</w:t>
            </w:r>
            <w:r w:rsidRPr="00A04E56">
              <w:rPr>
                <w:lang w:val="en-GB"/>
              </w:rPr>
              <w:t xml:space="preserve">elegation, the College </w:t>
            </w:r>
            <w:r w:rsidR="003D15DE" w:rsidRPr="00A04E56">
              <w:rPr>
                <w:lang w:val="en-GB"/>
              </w:rPr>
              <w:t xml:space="preserve">of Commissioners </w:t>
            </w:r>
            <w:r w:rsidRPr="00A04E56">
              <w:rPr>
                <w:lang w:val="en-GB"/>
              </w:rPr>
              <w:t xml:space="preserve">takes political responsibility for the management </w:t>
            </w:r>
            <w:r w:rsidR="009648A2" w:rsidRPr="00A04E56">
              <w:rPr>
                <w:lang w:val="en-GB"/>
              </w:rPr>
              <w:t xml:space="preserve">of the </w:t>
            </w:r>
            <w:r w:rsidRPr="00A04E56">
              <w:rPr>
                <w:lang w:val="en-GB"/>
              </w:rPr>
              <w:t>EU budget.</w:t>
            </w:r>
          </w:p>
        </w:tc>
      </w:tr>
    </w:tbl>
    <w:p w14:paraId="31550B07" w14:textId="44B76D82" w:rsidR="003D30C2" w:rsidRPr="00A04E56" w:rsidRDefault="003D30C2" w:rsidP="0049758A">
      <w:pPr>
        <w:pStyle w:val="SubtitleGreenExecutiveSummary"/>
      </w:pPr>
      <w:r w:rsidRPr="00A04E56">
        <w:t>A new long-term budget for an EU that</w:t>
      </w:r>
      <w:r w:rsidR="00D762D1">
        <w:t xml:space="preserve"> protects, empowers and defends</w:t>
      </w:r>
    </w:p>
    <w:p w14:paraId="721F49CF" w14:textId="77777777" w:rsidR="00FB0200" w:rsidRDefault="003D30C2" w:rsidP="003D30C2">
      <w:pPr>
        <w:pStyle w:val="BodyText1spaceafter"/>
      </w:pPr>
      <w:r w:rsidRPr="00A04E56">
        <w:t>In parallel to the budget implementation work</w:t>
      </w:r>
      <w:r w:rsidR="00FB08BA">
        <w:t>,</w:t>
      </w:r>
      <w:r w:rsidRPr="00A04E56">
        <w:t xml:space="preserve"> 2018 was also the year to kick-start the pocess towards a new multiannual financial framework for the European Union.</w:t>
      </w:r>
      <w:r w:rsidR="009E0C88" w:rsidRPr="00A04E56">
        <w:t xml:space="preserve"> </w:t>
      </w:r>
      <w:r w:rsidRPr="0005798F">
        <w:rPr>
          <w:i/>
          <w:u w:val="single"/>
        </w:rPr>
        <w:t>In May 2018</w:t>
      </w:r>
      <w:r w:rsidRPr="00A04E56">
        <w:t>, the Commission presented its proposals for</w:t>
      </w:r>
      <w:r w:rsidRPr="00A04E56">
        <w:rPr>
          <w:rStyle w:val="BOLDGREENExecutiveSummary"/>
        </w:rPr>
        <w:t xml:space="preserve"> a new, modern long-term budget for the EU, covering the period 2021-2027.</w:t>
      </w:r>
      <w:r w:rsidRPr="00A04E56">
        <w:t xml:space="preserve"> </w:t>
      </w:r>
    </w:p>
    <w:p w14:paraId="2694CB16" w14:textId="59D66C59" w:rsidR="003D30C2" w:rsidRPr="00A04E56" w:rsidRDefault="003D30C2" w:rsidP="003D30C2">
      <w:pPr>
        <w:pStyle w:val="BodyText1spaceafter"/>
      </w:pPr>
      <w:r w:rsidRPr="00A04E56">
        <w:t>The proposals are designed to deliver on the political priorities agreed by leaders in Bratislava and Rome. Under these proposals, funding would be stepped up in a range of areas vital to Europe</w:t>
      </w:r>
      <w:r w:rsidR="00B51257" w:rsidRPr="00A04E56">
        <w:t>’</w:t>
      </w:r>
      <w:r w:rsidRPr="00A04E56">
        <w:t>s future, including the coordinated European response to the challenges of migration,</w:t>
      </w:r>
      <w:r w:rsidRPr="00A04E56" w:rsidDel="003509F3">
        <w:t xml:space="preserve"> </w:t>
      </w:r>
      <w:r w:rsidRPr="00A04E56">
        <w:t>the fight against terrorism and organised crime, digital transformation, climate action, programmes for young people</w:t>
      </w:r>
      <w:r w:rsidR="00091924" w:rsidRPr="00A04E56">
        <w:t xml:space="preserve"> and</w:t>
      </w:r>
      <w:r w:rsidRPr="00A04E56">
        <w:t xml:space="preserve"> research and innovation</w:t>
      </w:r>
      <w:r w:rsidR="006F4CA8" w:rsidRPr="00A04E56">
        <w:t xml:space="preserve">, while making sure that traditional policies supporting the key </w:t>
      </w:r>
      <w:r w:rsidR="00835302" w:rsidRPr="00A04E56">
        <w:t>union</w:t>
      </w:r>
      <w:r w:rsidR="006F4CA8" w:rsidRPr="00A04E56">
        <w:t xml:space="preserve"> objective of </w:t>
      </w:r>
      <w:r w:rsidR="00FB08BA">
        <w:t>solidarity</w:t>
      </w:r>
      <w:r w:rsidR="006F4CA8" w:rsidRPr="00A04E56">
        <w:t xml:space="preserve"> are modernised and retain a mean</w:t>
      </w:r>
      <w:r w:rsidR="00B51257" w:rsidRPr="00A04E56">
        <w:t>ing</w:t>
      </w:r>
      <w:r w:rsidR="006F4CA8" w:rsidRPr="00A04E56">
        <w:t>ful level of funding, for a</w:t>
      </w:r>
      <w:r w:rsidR="00B51257" w:rsidRPr="00A04E56">
        <w:t>l</w:t>
      </w:r>
      <w:r w:rsidR="006F4CA8" w:rsidRPr="00A04E56">
        <w:t>l Member States and regions when it comes to cohesion policy.</w:t>
      </w:r>
    </w:p>
    <w:p w14:paraId="3DE47176" w14:textId="6DE9ACAE" w:rsidR="00FB0200" w:rsidRDefault="003D30C2" w:rsidP="003D30C2">
      <w:pPr>
        <w:pStyle w:val="BodyText1spaceafter"/>
      </w:pPr>
      <w:r w:rsidRPr="00A04E56">
        <w:t>The Commission</w:t>
      </w:r>
      <w:r w:rsidR="00B51257" w:rsidRPr="00A04E56">
        <w:t>’</w:t>
      </w:r>
      <w:r w:rsidRPr="00A04E56">
        <w:t>s proposals are</w:t>
      </w:r>
      <w:r w:rsidRPr="00A04E56">
        <w:rPr>
          <w:rStyle w:val="BOLDGREENExecutiveSummary"/>
        </w:rPr>
        <w:t xml:space="preserve"> </w:t>
      </w:r>
      <w:r w:rsidRPr="0005798F">
        <w:rPr>
          <w:rStyle w:val="BOLDGREENExecutiveSummary"/>
          <w:b w:val="0"/>
        </w:rPr>
        <w:t xml:space="preserve">based on a </w:t>
      </w:r>
      <w:r w:rsidR="00FB0200" w:rsidRPr="0005798F">
        <w:rPr>
          <w:rStyle w:val="BOLDGREENExecutiveSummary"/>
          <w:b w:val="0"/>
        </w:rPr>
        <w:t xml:space="preserve">spending review, </w:t>
      </w:r>
      <w:r w:rsidR="00FB0200">
        <w:rPr>
          <w:rStyle w:val="BOLDGREENExecutiveSummary"/>
        </w:rPr>
        <w:t xml:space="preserve">a </w:t>
      </w:r>
      <w:r w:rsidRPr="00A04E56">
        <w:rPr>
          <w:rStyle w:val="BOLDGREENExecutiveSummary"/>
        </w:rPr>
        <w:t>comprehensive assessment of the lessons learned</w:t>
      </w:r>
      <w:r w:rsidRPr="00A04E56">
        <w:t xml:space="preserve"> from current and previous programmes. </w:t>
      </w:r>
      <w:r w:rsidR="00FB0200">
        <w:t>This made it possible for the Commission to propose essential modernisation features</w:t>
      </w:r>
      <w:r w:rsidR="00CA2B92">
        <w:t>:</w:t>
      </w:r>
    </w:p>
    <w:p w14:paraId="4E9A1E32" w14:textId="77777777" w:rsidR="00FB0200" w:rsidRDefault="00FB0200" w:rsidP="0005798F">
      <w:pPr>
        <w:pStyle w:val="BodyText1"/>
        <w:numPr>
          <w:ilvl w:val="0"/>
          <w:numId w:val="98"/>
        </w:numPr>
      </w:pPr>
      <w:r>
        <w:t xml:space="preserve">the strong focus on European added value and the need to provide adequate support for new and pressing priorities such as research and innovation, the digital economy, young people, migration and border management, security, defence and external action; and a strengthened emphasis on sustainability including a more ambitious goal for climate mainstreaming; </w:t>
      </w:r>
    </w:p>
    <w:p w14:paraId="44C12D13" w14:textId="77777777" w:rsidR="00FB0200" w:rsidRDefault="00FB0200" w:rsidP="0005798F">
      <w:pPr>
        <w:pStyle w:val="BodyText1"/>
        <w:numPr>
          <w:ilvl w:val="0"/>
          <w:numId w:val="98"/>
        </w:numPr>
      </w:pPr>
      <w:r>
        <w:t xml:space="preserve">the streamlined and more transparent structure of the future budget; </w:t>
      </w:r>
    </w:p>
    <w:p w14:paraId="6743927C" w14:textId="77777777" w:rsidR="00FB0200" w:rsidRDefault="00FB0200" w:rsidP="0005798F">
      <w:pPr>
        <w:pStyle w:val="BodyText1"/>
        <w:numPr>
          <w:ilvl w:val="0"/>
          <w:numId w:val="98"/>
        </w:numPr>
      </w:pPr>
      <w:r>
        <w:t xml:space="preserve">the radical reduction in the number of programmes and the creation of new integrated programmes in areas like investing in people, the single market, strategic investments, rights and values and external actions, and the increased focus on synergies between instruments; </w:t>
      </w:r>
    </w:p>
    <w:p w14:paraId="5221BDC8" w14:textId="77777777" w:rsidR="00FB0200" w:rsidRDefault="00FB0200" w:rsidP="0005798F">
      <w:pPr>
        <w:pStyle w:val="BodyText1"/>
        <w:numPr>
          <w:ilvl w:val="0"/>
          <w:numId w:val="98"/>
        </w:numPr>
      </w:pPr>
      <w:r>
        <w:t xml:space="preserve">the simplification of funding rules to reduce red tape for beneficiaries and managing authorities, and a greater focus on performance and results; and </w:t>
      </w:r>
    </w:p>
    <w:p w14:paraId="62175AF7" w14:textId="77777777" w:rsidR="00FB0200" w:rsidRDefault="00FB0200" w:rsidP="0005798F">
      <w:pPr>
        <w:pStyle w:val="BodyText1"/>
        <w:numPr>
          <w:ilvl w:val="0"/>
          <w:numId w:val="98"/>
        </w:numPr>
      </w:pPr>
      <w:r>
        <w:t xml:space="preserve">a more flexible budget to be able react rapidly in a fast-changing world. </w:t>
      </w:r>
    </w:p>
    <w:p w14:paraId="69A8D132" w14:textId="02C529E9" w:rsidR="003D30C2" w:rsidRPr="00A04E56" w:rsidRDefault="00FF7C6B" w:rsidP="005E416F">
      <w:pPr>
        <w:pStyle w:val="BodyText1spacebeforeandafter"/>
      </w:pPr>
      <w:r>
        <w:t>Agreement was reached</w:t>
      </w:r>
      <w:r w:rsidR="00FB0200">
        <w:t xml:space="preserve"> </w:t>
      </w:r>
      <w:r w:rsidR="00034EF1">
        <w:t xml:space="preserve">by the Eurogroup </w:t>
      </w:r>
      <w:r w:rsidR="00FB0200">
        <w:t xml:space="preserve">on the features of a budgetary instrument for convergence and competitiveness for the euro area. This will promote cohesion within the Union by strengthening the resilience of the Economic and Monetary Union. It is also widely accepted that the new mechanism to ensure that generalised deficiencies as regards the rule of law do not put the budget at risk will be an essential feature of an agreement on the future multiannual financial framework. </w:t>
      </w:r>
      <w:r w:rsidR="001F2FD1">
        <w:t>Work has also progressed on the Commission’s proposals to modernise the revenue side of the EU budget.</w:t>
      </w:r>
      <w:r w:rsidR="003D30C2" w:rsidRPr="00A04E56">
        <w:t>Securing an agreement on the future framework is a high priority for the months ahead, while continuing to work on maximising the contribution of the current financial programmes to the EU</w:t>
      </w:r>
      <w:r w:rsidR="00835567" w:rsidRPr="00A04E56">
        <w:t>’</w:t>
      </w:r>
      <w:r w:rsidR="003D30C2" w:rsidRPr="00A04E56">
        <w:t>s prosperity and security.</w:t>
      </w:r>
    </w:p>
    <w:p w14:paraId="1284EFDB" w14:textId="58636521" w:rsidR="009E0C88" w:rsidRPr="00304D04" w:rsidRDefault="009E0C88" w:rsidP="0049758A">
      <w:pPr>
        <w:pStyle w:val="SubtitleGreenExecutiveSummary"/>
      </w:pPr>
      <w:r w:rsidRPr="00A04E56">
        <w:t>Strengthening the Commission</w:t>
      </w:r>
      <w:r w:rsidR="00835567" w:rsidRPr="00A04E56">
        <w:t>’</w:t>
      </w:r>
      <w:r w:rsidR="00D762D1">
        <w:t>s corporate governance</w:t>
      </w:r>
    </w:p>
    <w:p w14:paraId="10F26620" w14:textId="1CC30FAE" w:rsidR="009E0C88" w:rsidRPr="00A04E56" w:rsidRDefault="009E0C88" w:rsidP="009E0C88">
      <w:pPr>
        <w:pStyle w:val="BodyText1spaceafter"/>
      </w:pPr>
      <w:r w:rsidRPr="00A04E56">
        <w:t>In November 2018, the Commission adopted a set of targeted measures to strengthen corporate governance. This reform strengthens the Commission</w:t>
      </w:r>
      <w:r w:rsidR="00835567" w:rsidRPr="00A04E56">
        <w:t>’</w:t>
      </w:r>
      <w:r w:rsidRPr="00A04E56">
        <w:t>s well-established and effective model of financial accountability, based on a clear division of responsibility between the political, corporate and departmental levels. The centrepiece of this reform is a</w:t>
      </w:r>
      <w:r w:rsidRPr="00A04E56">
        <w:rPr>
          <w:rStyle w:val="BOLDGREENExecutiveSummary"/>
        </w:rPr>
        <w:t xml:space="preserve"> rationalisation of corporate governance bodies</w:t>
      </w:r>
      <w:r w:rsidRPr="00A04E56">
        <w:t xml:space="preserve"> under the overall authority of the senior-level Corporate Management Board, chaired by the Secretary-General. The Corporate Management Board will provide oversight and strategic guidance in areas including human resource allocation, risk management, strategic planning and programming, data protection, security and business continuity, corporate communication and anti-fraud policy.</w:t>
      </w:r>
      <w:r w:rsidRPr="00A04E56">
        <w:rPr>
          <w:rStyle w:val="BOLDGREENExecutiveSummary"/>
        </w:rPr>
        <w:t xml:space="preserve"> </w:t>
      </w:r>
      <w:r w:rsidRPr="00A04E56">
        <w:t>Th</w:t>
      </w:r>
      <w:r w:rsidR="00855162" w:rsidRPr="00A04E56">
        <w:t>i</w:t>
      </w:r>
      <w:r w:rsidRPr="00A04E56">
        <w:t xml:space="preserve">s reform also </w:t>
      </w:r>
      <w:r w:rsidRPr="00A04E56">
        <w:rPr>
          <w:rStyle w:val="BOLDGREENExecutiveSummary"/>
        </w:rPr>
        <w:t>simplif</w:t>
      </w:r>
      <w:r w:rsidR="00855162" w:rsidRPr="00A04E56">
        <w:rPr>
          <w:rStyle w:val="BOLDGREENExecutiveSummary"/>
        </w:rPr>
        <w:t>ies</w:t>
      </w:r>
      <w:r w:rsidRPr="00A04E56">
        <w:rPr>
          <w:rStyle w:val="BOLDGREENExecutiveSummary"/>
        </w:rPr>
        <w:t xml:space="preserve"> the information</w:t>
      </w:r>
      <w:r w:rsidR="002B5F47" w:rsidRPr="00A04E56">
        <w:rPr>
          <w:rStyle w:val="BOLDGREENExecutiveSummary"/>
        </w:rPr>
        <w:t>-technology</w:t>
      </w:r>
      <w:r w:rsidRPr="00A04E56">
        <w:rPr>
          <w:rStyle w:val="BOLDGREENExecutiveSummary"/>
          <w:rFonts w:ascii="Calibri" w:hAnsi="Calibri" w:cs="Calibri"/>
        </w:rPr>
        <w:t> </w:t>
      </w:r>
      <w:r w:rsidRPr="00A04E56">
        <w:rPr>
          <w:rStyle w:val="BOLDGREENExecutiveSummary"/>
        </w:rPr>
        <w:t>governance</w:t>
      </w:r>
      <w:r w:rsidRPr="00A04E56">
        <w:t xml:space="preserve"> </w:t>
      </w:r>
      <w:r w:rsidRPr="00A04E56">
        <w:rPr>
          <w:rStyle w:val="BOLDGREENExecutiveSummary"/>
        </w:rPr>
        <w:t>and security</w:t>
      </w:r>
      <w:r w:rsidRPr="00A04E56">
        <w:t xml:space="preserve"> landscape, </w:t>
      </w:r>
      <w:r w:rsidRPr="00A04E56">
        <w:rPr>
          <w:rStyle w:val="BOLDGREENExecutiveSummary"/>
        </w:rPr>
        <w:t>strengthen</w:t>
      </w:r>
      <w:r w:rsidR="00FB08BA">
        <w:rPr>
          <w:rStyle w:val="BOLDGREENExecutiveSummary"/>
        </w:rPr>
        <w:t>s</w:t>
      </w:r>
      <w:r w:rsidRPr="00A04E56">
        <w:rPr>
          <w:rStyle w:val="BOLDGREENExecutiveSummary"/>
        </w:rPr>
        <w:t xml:space="preserve"> corporate risk management</w:t>
      </w:r>
      <w:r w:rsidRPr="00A04E56">
        <w:t xml:space="preserve"> and </w:t>
      </w:r>
      <w:r w:rsidRPr="00A04E56">
        <w:rPr>
          <w:rStyle w:val="BOLDGREENExecutiveSummary"/>
        </w:rPr>
        <w:t>clarif</w:t>
      </w:r>
      <w:r w:rsidR="00FB08BA">
        <w:rPr>
          <w:rStyle w:val="BOLDGREENExecutiveSummary"/>
        </w:rPr>
        <w:t>ies</w:t>
      </w:r>
      <w:r w:rsidRPr="00A04E56">
        <w:rPr>
          <w:rStyle w:val="BOLDGREENExecutiveSummary"/>
        </w:rPr>
        <w:t xml:space="preserve"> the role of the Audit Progress Committee</w:t>
      </w:r>
      <w:r w:rsidRPr="00A04E56">
        <w:t xml:space="preserve">. </w:t>
      </w:r>
    </w:p>
    <w:p w14:paraId="4F5BE356" w14:textId="14C19ED3" w:rsidR="008F70D2" w:rsidRPr="00E92C56" w:rsidRDefault="008F70D2" w:rsidP="00E92C56">
      <w:pPr>
        <w:pStyle w:val="BodyText1"/>
        <w:rPr>
          <w:rFonts w:eastAsia="Calibri"/>
        </w:rPr>
        <w:sectPr w:rsidR="008F70D2" w:rsidRPr="00E92C56" w:rsidSect="0079562D">
          <w:headerReference w:type="even" r:id="rId69"/>
          <w:headerReference w:type="default" r:id="rId70"/>
          <w:footerReference w:type="even" r:id="rId71"/>
          <w:footerReference w:type="default" r:id="rId72"/>
          <w:headerReference w:type="first" r:id="rId73"/>
          <w:footerReference w:type="first" r:id="rId74"/>
          <w:pgSz w:w="11907" w:h="16839"/>
          <w:pgMar w:top="1418" w:right="1418" w:bottom="1418" w:left="1418" w:header="635" w:footer="635" w:gutter="0"/>
          <w:cols w:space="720"/>
          <w:docGrid w:linePitch="360"/>
        </w:sectPr>
      </w:pPr>
    </w:p>
    <w:p w14:paraId="4C078353" w14:textId="77777777" w:rsidR="00E92C56" w:rsidRDefault="00E92C56" w:rsidP="00311F8F">
      <w:pPr>
        <w:pStyle w:val="Forewordbodytext"/>
        <w:sectPr w:rsidR="00E92C56" w:rsidSect="00C87FCC">
          <w:headerReference w:type="even" r:id="rId75"/>
          <w:headerReference w:type="default" r:id="rId76"/>
          <w:footerReference w:type="even" r:id="rId77"/>
          <w:footerReference w:type="default" r:id="rId78"/>
          <w:headerReference w:type="first" r:id="rId79"/>
          <w:footerReference w:type="first" r:id="rId80"/>
          <w:pgSz w:w="11907" w:h="16839"/>
          <w:pgMar w:top="1134" w:right="1417" w:bottom="1134" w:left="1417" w:header="635" w:footer="635" w:gutter="0"/>
          <w:cols w:space="720"/>
          <w:docGrid w:linePitch="360"/>
        </w:sectPr>
      </w:pPr>
    </w:p>
    <w:p w14:paraId="1FC26772" w14:textId="76523D53" w:rsidR="00311F8F" w:rsidRPr="00A04E56" w:rsidRDefault="00311F8F" w:rsidP="00311F8F">
      <w:pPr>
        <w:pStyle w:val="Forewordbodytext"/>
        <w:sectPr w:rsidR="00311F8F" w:rsidRPr="00A04E56" w:rsidSect="00C87FCC">
          <w:headerReference w:type="even" r:id="rId81"/>
          <w:headerReference w:type="default" r:id="rId82"/>
          <w:footerReference w:type="even" r:id="rId83"/>
          <w:footerReference w:type="default" r:id="rId84"/>
          <w:headerReference w:type="first" r:id="rId85"/>
          <w:footerReference w:type="first" r:id="rId86"/>
          <w:pgSz w:w="11907" w:h="16839"/>
          <w:pgMar w:top="1134" w:right="1417" w:bottom="1134" w:left="1417" w:header="635" w:footer="635" w:gutter="0"/>
          <w:cols w:space="720"/>
          <w:docGrid w:linePitch="360"/>
        </w:sectPr>
      </w:pPr>
      <w:r w:rsidRPr="00A04E56">
        <w:rPr>
          <w:b/>
          <w:i/>
          <w:szCs w:val="20"/>
          <w:lang w:val="fr-BE"/>
        </w:rPr>
        <mc:AlternateContent>
          <mc:Choice Requires="wps">
            <w:drawing>
              <wp:anchor distT="45720" distB="45720" distL="114300" distR="114300" simplePos="0" relativeHeight="251633664" behindDoc="0" locked="0" layoutInCell="1" allowOverlap="1" wp14:anchorId="143D4C2C" wp14:editId="0A6037B8">
                <wp:simplePos x="0" y="0"/>
                <wp:positionH relativeFrom="column">
                  <wp:posOffset>0</wp:posOffset>
                </wp:positionH>
                <wp:positionV relativeFrom="paragraph">
                  <wp:posOffset>2827213</wp:posOffset>
                </wp:positionV>
                <wp:extent cx="3315970" cy="1404620"/>
                <wp:effectExtent l="0" t="0" r="0" b="31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70" cy="1404620"/>
                        </a:xfrm>
                        <a:prstGeom prst="rect">
                          <a:avLst/>
                        </a:prstGeom>
                        <a:noFill/>
                        <a:ln w="9525">
                          <a:noFill/>
                          <a:miter lim="800000"/>
                          <a:headEnd/>
                          <a:tailEnd/>
                        </a:ln>
                      </wps:spPr>
                      <wps:txbx>
                        <w:txbxContent>
                          <w:p w14:paraId="272DCA39" w14:textId="77777777" w:rsidR="003C0461" w:rsidRPr="002B79A7" w:rsidRDefault="003C0461" w:rsidP="00311F8F">
                            <w:pPr>
                              <w:pStyle w:val="TitleforSectionpagebreak"/>
                            </w:pPr>
                            <w:r w:rsidRPr="002B79A7">
                              <w:t xml:space="preserve">2018 ANNUAL </w:t>
                            </w:r>
                          </w:p>
                          <w:p w14:paraId="22B3AC79" w14:textId="77777777" w:rsidR="003C0461" w:rsidRPr="002B79A7" w:rsidRDefault="003C0461" w:rsidP="00311F8F">
                            <w:pPr>
                              <w:pStyle w:val="TitleforSectionpagebreak"/>
                            </w:pPr>
                            <w:r w:rsidRPr="002B79A7">
                              <w:t xml:space="preserve">MANAGEMENT AND </w:t>
                            </w:r>
                          </w:p>
                          <w:p w14:paraId="61EC6789" w14:textId="77777777" w:rsidR="003C0461" w:rsidRPr="002B79A7" w:rsidRDefault="003C0461" w:rsidP="00311F8F">
                            <w:pPr>
                              <w:pStyle w:val="TitleforSectionpagebreak"/>
                            </w:pPr>
                            <w:r w:rsidRPr="002B79A7">
                              <w:t>PERFORMANCE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3D4C2C" id="_x0000_s1027" type="#_x0000_t202" style="position:absolute;left:0;text-align:left;margin-left:0;margin-top:222.6pt;width:261.1pt;height:110.6pt;z-index:25163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" filled="f" stroked="f">
                <v:textbox style="mso-fit-shape-to-text:t">
                  <w:txbxContent>
                    <w:p w14:paraId="272DCA39" w14:textId="77777777" w:rsidR="003C0461" w:rsidRPr="002B79A7" w:rsidRDefault="003C0461" w:rsidP="00311F8F">
                      <w:pPr>
                        <w:pStyle w:val="TitleforSectionpagebreak"/>
                      </w:pPr>
                      <w:r w:rsidRPr="002B79A7">
                        <w:t xml:space="preserve">2018 ANNUAL </w:t>
                      </w:r>
                    </w:p>
                    <w:p w14:paraId="22B3AC79" w14:textId="77777777" w:rsidR="003C0461" w:rsidRPr="002B79A7" w:rsidRDefault="003C0461" w:rsidP="00311F8F">
                      <w:pPr>
                        <w:pStyle w:val="TitleforSectionpagebreak"/>
                      </w:pPr>
                      <w:r w:rsidRPr="002B79A7">
                        <w:t xml:space="preserve">MANAGEMENT AND </w:t>
                      </w:r>
                    </w:p>
                    <w:p w14:paraId="61EC6789" w14:textId="77777777" w:rsidR="003C0461" w:rsidRPr="002B79A7" w:rsidRDefault="003C0461" w:rsidP="00311F8F">
                      <w:pPr>
                        <w:pStyle w:val="TitleforSectionpagebreak"/>
                      </w:pPr>
                      <w:r w:rsidRPr="002B79A7">
                        <w:t>PERFORMANCE REPORT</w:t>
                      </w:r>
                    </w:p>
                  </w:txbxContent>
                </v:textbox>
                <w10:wrap type="square"/>
              </v:shape>
            </w:pict>
          </mc:Fallback>
        </mc:AlternateContent>
      </w:r>
    </w:p>
    <w:p w14:paraId="5177AB09" w14:textId="77777777" w:rsidR="007E417B" w:rsidRPr="00A04E56" w:rsidRDefault="007E417B" w:rsidP="00A23CEF">
      <w:pPr>
        <w:pStyle w:val="BodyText1spaceafter"/>
        <w:sectPr w:rsidR="007E417B" w:rsidRPr="00A04E56" w:rsidSect="00C87FCC">
          <w:headerReference w:type="even" r:id="rId87"/>
          <w:headerReference w:type="default" r:id="rId88"/>
          <w:footerReference w:type="even" r:id="rId89"/>
          <w:footerReference w:type="default" r:id="rId90"/>
          <w:headerReference w:type="first" r:id="rId91"/>
          <w:footerReference w:type="first" r:id="rId92"/>
          <w:pgSz w:w="11906" w:h="16838"/>
          <w:pgMar w:top="1417" w:right="1417" w:bottom="1135" w:left="1417" w:header="635" w:footer="635" w:gutter="0"/>
          <w:cols w:space="720"/>
          <w:docGrid w:linePitch="360"/>
        </w:sectPr>
      </w:pPr>
      <w:bookmarkStart w:id="13" w:name="_Toc535249356"/>
      <w:bookmarkStart w:id="14" w:name="_Toc4680687"/>
      <w:bookmarkStart w:id="15" w:name="_Toc4682961"/>
      <w:bookmarkStart w:id="16" w:name="Introduction"/>
    </w:p>
    <w:p w14:paraId="00073611" w14:textId="5955F3D2" w:rsidR="00311F8F" w:rsidRPr="00A04E56" w:rsidRDefault="00311F8F" w:rsidP="00311F8F">
      <w:pPr>
        <w:pStyle w:val="TITLE1Report"/>
      </w:pPr>
      <w:r w:rsidRPr="00A04E56">
        <w:t>Introduction</w:t>
      </w:r>
      <w:bookmarkEnd w:id="13"/>
      <w:bookmarkEnd w:id="14"/>
      <w:bookmarkEnd w:id="15"/>
      <w:bookmarkEnd w:id="16"/>
    </w:p>
    <w:p w14:paraId="2C29135A" w14:textId="1C45B7AE" w:rsidR="004B3335" w:rsidRPr="00A04E56" w:rsidRDefault="004B3335" w:rsidP="004B3335">
      <w:pPr>
        <w:pStyle w:val="BodyText1spacebeforeandafter"/>
      </w:pPr>
      <w:r w:rsidRPr="00A04E56">
        <w:rPr>
          <w:rFonts w:eastAsia="Times New Roman"/>
          <w:szCs w:val="20"/>
          <w:lang w:eastAsia="en-GB"/>
        </w:rPr>
        <w:t xml:space="preserve">The </w:t>
      </w:r>
      <w:r w:rsidRPr="00A04E56">
        <w:rPr>
          <w:rStyle w:val="BodyText1Char"/>
          <w:i/>
          <w:lang w:val="en-GB"/>
        </w:rPr>
        <w:t>2018 Annual Management and Performance Report for the EU Budget</w:t>
      </w:r>
      <w:r w:rsidRPr="00A04E56">
        <w:rPr>
          <w:rFonts w:eastAsia="Times New Roman"/>
          <w:szCs w:val="20"/>
          <w:lang w:eastAsia="en-GB"/>
        </w:rPr>
        <w:t xml:space="preserve"> is the Commission’s main input to the annual discharge</w:t>
      </w:r>
      <w:r w:rsidR="00B36C54">
        <w:rPr>
          <w:rFonts w:ascii="Calibri" w:eastAsia="Times New Roman" w:hAnsi="Calibri" w:cs="Calibri"/>
          <w:szCs w:val="20"/>
          <w:lang w:eastAsia="en-GB"/>
        </w:rPr>
        <w:t> </w:t>
      </w:r>
      <w:r w:rsidR="00FB08BA" w:rsidRPr="00A04E56">
        <w:rPr>
          <w:rStyle w:val="fnRef"/>
        </w:rPr>
        <w:t>(</w:t>
      </w:r>
      <w:r w:rsidR="00FB08BA" w:rsidRPr="00A04E56">
        <w:rPr>
          <w:rStyle w:val="fnRefNo"/>
        </w:rPr>
        <w:footnoteReference w:id="23"/>
      </w:r>
      <w:r w:rsidR="00FB08BA" w:rsidRPr="00A04E56">
        <w:rPr>
          <w:rStyle w:val="fnRef"/>
        </w:rPr>
        <w:t>)</w:t>
      </w:r>
      <w:r w:rsidRPr="00A04E56">
        <w:rPr>
          <w:rFonts w:eastAsia="Times New Roman"/>
          <w:szCs w:val="20"/>
          <w:lang w:eastAsia="en-GB"/>
        </w:rPr>
        <w:t xml:space="preserve"> procedure by which the European Parliament and the Council scrutinise the implementation of the EU budget. The Commission attaches great importance to ensuring that the </w:t>
      </w:r>
      <w:r w:rsidR="0046362A" w:rsidRPr="00A04E56">
        <w:t xml:space="preserve">EU budget is managed responsibly </w:t>
      </w:r>
      <w:r w:rsidRPr="00A04E56">
        <w:t>and correctly, and to working with all parties involved to make sure that it delivers tangible results on the ground.</w:t>
      </w:r>
    </w:p>
    <w:p w14:paraId="55FAD911" w14:textId="5BBCEBA5" w:rsidR="001A7083" w:rsidRPr="00A04E56" w:rsidRDefault="004B5FE8" w:rsidP="001A760F">
      <w:pPr>
        <w:pStyle w:val="BodyText1spaceafter"/>
        <w:rPr>
          <w:rFonts w:eastAsia="EC Square Sans Pro"/>
          <w:color w:val="000000"/>
          <w:szCs w:val="20"/>
        </w:rPr>
      </w:pPr>
      <w:r w:rsidRPr="00A04E56">
        <w:t xml:space="preserve">The report </w:t>
      </w:r>
      <w:r w:rsidR="00CB216C" w:rsidRPr="00A04E56">
        <w:t>presents an</w:t>
      </w:r>
      <w:r w:rsidR="00CB216C" w:rsidRPr="00A04E56" w:rsidDel="00B9291E">
        <w:t xml:space="preserve"> </w:t>
      </w:r>
      <w:r w:rsidR="00CB216C" w:rsidRPr="00A04E56">
        <w:t>overview of the latest information on the performance of the budget</w:t>
      </w:r>
      <w:r w:rsidR="000E134B" w:rsidRPr="00A04E56">
        <w:t>. It</w:t>
      </w:r>
      <w:r w:rsidR="00CB216C" w:rsidRPr="00A04E56">
        <w:t xml:space="preserve"> </w:t>
      </w:r>
      <w:r w:rsidR="004B3335" w:rsidRPr="00A04E56">
        <w:t xml:space="preserve">also </w:t>
      </w:r>
      <w:r w:rsidR="00CB216C" w:rsidRPr="00A04E56">
        <w:t xml:space="preserve">contains detailed reporting on issues </w:t>
      </w:r>
      <w:r w:rsidR="002E5A5D" w:rsidRPr="00A04E56">
        <w:t xml:space="preserve">related </w:t>
      </w:r>
      <w:r w:rsidR="00CB216C" w:rsidRPr="00A04E56">
        <w:t>to the management and protection of the EU budget. This</w:t>
      </w:r>
      <w:r w:rsidR="00CB216C" w:rsidRPr="00A04E56" w:rsidDel="00B9291E">
        <w:t xml:space="preserve"> report</w:t>
      </w:r>
      <w:r w:rsidR="00CB216C" w:rsidRPr="00A04E56">
        <w:rPr>
          <w:rFonts w:eastAsia="EC Square Sans Pro"/>
          <w:color w:val="000000"/>
        </w:rPr>
        <w:t xml:space="preserve"> has </w:t>
      </w:r>
      <w:r w:rsidR="008D5DFD" w:rsidRPr="00A04E56">
        <w:rPr>
          <w:rFonts w:eastAsia="EC Square Sans Pro"/>
          <w:color w:val="000000"/>
        </w:rPr>
        <w:t xml:space="preserve">the following </w:t>
      </w:r>
      <w:r w:rsidR="00CB216C" w:rsidRPr="00A04E56">
        <w:rPr>
          <w:rFonts w:eastAsia="EC Square Sans Pro"/>
          <w:color w:val="000000"/>
        </w:rPr>
        <w:t>two main sections</w:t>
      </w:r>
      <w:r w:rsidR="008D5DFD" w:rsidRPr="00A04E56">
        <w:rPr>
          <w:rFonts w:eastAsia="EC Square Sans Pro"/>
          <w:color w:val="000000"/>
        </w:rPr>
        <w:t>.</w:t>
      </w:r>
    </w:p>
    <w:p w14:paraId="52D3670F" w14:textId="57574C3E" w:rsidR="001A7083" w:rsidRPr="00A04E56" w:rsidRDefault="00186163" w:rsidP="008F70D2">
      <w:pPr>
        <w:pStyle w:val="BOX2Blue"/>
        <w:spacing w:after="240"/>
      </w:pPr>
      <w:r w:rsidRPr="00A04E56">
        <w:rPr>
          <w:rStyle w:val="BOLDLIGHTBLUEReport"/>
          <w:rFonts w:eastAsiaTheme="minorHAnsi"/>
        </w:rPr>
        <w:t>Section</w:t>
      </w:r>
      <w:r w:rsidRPr="00A04E56">
        <w:rPr>
          <w:rStyle w:val="BOLDLIGHTBLUEReport"/>
          <w:rFonts w:ascii="Arial" w:eastAsiaTheme="minorHAnsi" w:hAnsi="Arial" w:cs="Arial"/>
        </w:rPr>
        <w:t> </w:t>
      </w:r>
      <w:r w:rsidR="001A7083" w:rsidRPr="00A04E56">
        <w:rPr>
          <w:rStyle w:val="BOLDLIGHTBLUEReport"/>
          <w:rFonts w:eastAsiaTheme="minorHAnsi"/>
        </w:rPr>
        <w:t>1</w:t>
      </w:r>
      <w:r w:rsidR="001A7083" w:rsidRPr="00A04E56">
        <w:rPr>
          <w:rStyle w:val="BodyText1Char"/>
          <w:lang w:val="en-GB"/>
        </w:rPr>
        <w:t xml:space="preserve"> </w:t>
      </w:r>
      <w:r w:rsidR="001A7083" w:rsidRPr="00A04E56">
        <w:t xml:space="preserve">describes, with examples, how the EU budget supports the </w:t>
      </w:r>
      <w:r w:rsidR="009A0795" w:rsidRPr="00A04E56">
        <w:rPr>
          <w:noProof w:val="0"/>
        </w:rPr>
        <w:t>EU</w:t>
      </w:r>
      <w:r w:rsidR="008D5DFD" w:rsidRPr="00A04E56">
        <w:rPr>
          <w:noProof w:val="0"/>
        </w:rPr>
        <w:t>’</w:t>
      </w:r>
      <w:r w:rsidR="001A7083" w:rsidRPr="00A04E56">
        <w:rPr>
          <w:noProof w:val="0"/>
        </w:rPr>
        <w:t>s</w:t>
      </w:r>
      <w:r w:rsidR="001A7083" w:rsidRPr="00A04E56">
        <w:t xml:space="preserve"> political priorities</w:t>
      </w:r>
      <w:r w:rsidR="000E134B" w:rsidRPr="00A04E56">
        <w:t>. It</w:t>
      </w:r>
      <w:r w:rsidR="001A7083" w:rsidRPr="00A04E56">
        <w:t xml:space="preserve"> provides the latest available data on results achieved up to the end of 2018. This reporting draws on information from</w:t>
      </w:r>
      <w:r w:rsidR="00CB216C" w:rsidRPr="00A04E56">
        <w:t xml:space="preserve"> </w:t>
      </w:r>
      <w:r w:rsidR="001A7083" w:rsidRPr="00A04E56">
        <w:t xml:space="preserve">the 2018 </w:t>
      </w:r>
      <w:r w:rsidR="00DD0618" w:rsidRPr="00A04E56">
        <w:t xml:space="preserve">annual activity reports </w:t>
      </w:r>
      <w:r w:rsidR="001A7083" w:rsidRPr="00A04E56">
        <w:t xml:space="preserve">produced by all Commission departments, and other sources such as </w:t>
      </w:r>
      <w:r w:rsidR="009E0C88" w:rsidRPr="00A04E56">
        <w:t xml:space="preserve">programme statements, </w:t>
      </w:r>
      <w:r w:rsidR="001A7083" w:rsidRPr="00A04E56">
        <w:t>evaluation report</w:t>
      </w:r>
      <w:r w:rsidR="000E134B" w:rsidRPr="00A04E56">
        <w:t>s</w:t>
      </w:r>
      <w:r w:rsidR="001A7083" w:rsidRPr="00A04E56">
        <w:t xml:space="preserve">, studies and implementation reports on EU programmes. </w:t>
      </w:r>
      <w:r w:rsidR="00CB216C" w:rsidRPr="00A04E56">
        <w:t>The central question of this section is whether</w:t>
      </w:r>
      <w:r w:rsidR="00B35EB1" w:rsidRPr="00A04E56">
        <w:t xml:space="preserve"> the EU budget </w:t>
      </w:r>
      <w:r w:rsidR="00CB216C" w:rsidRPr="00A04E56">
        <w:t xml:space="preserve">is </w:t>
      </w:r>
      <w:r w:rsidR="00B35EB1" w:rsidRPr="00A04E56">
        <w:t>being put to the best possible use to deliver tangible results for all Europeans</w:t>
      </w:r>
      <w:r w:rsidR="00FC4057" w:rsidRPr="00A04E56">
        <w:t>.</w:t>
      </w:r>
      <w:r w:rsidR="00B35EB1" w:rsidRPr="00A04E56">
        <w:t xml:space="preserve"> The Commission cannot ensure this on its own </w:t>
      </w:r>
      <w:r w:rsidR="00EC0B83" w:rsidRPr="00A04E56">
        <w:rPr>
          <w:noProof w:val="0"/>
        </w:rPr>
        <w:t>—</w:t>
      </w:r>
      <w:r w:rsidR="00B35EB1" w:rsidRPr="00A04E56">
        <w:t xml:space="preserve"> it is a joint responsibility with the Member States, regions, non-governmental organisations, </w:t>
      </w:r>
      <w:r w:rsidR="008B4D10" w:rsidRPr="00A04E56">
        <w:t>beneficiaries</w:t>
      </w:r>
      <w:r w:rsidR="00B35EB1" w:rsidRPr="00A04E56">
        <w:t xml:space="preserve"> and all those involved in implementing the EU budget. </w:t>
      </w:r>
      <w:r w:rsidR="00CB216C" w:rsidRPr="00A04E56">
        <w:t xml:space="preserve">This </w:t>
      </w:r>
      <w:r w:rsidR="004B5FE8" w:rsidRPr="00A04E56">
        <w:t xml:space="preserve">section </w:t>
      </w:r>
      <w:r w:rsidR="00CB216C" w:rsidRPr="00A04E56">
        <w:t>incorporates the evaluation</w:t>
      </w:r>
      <w:r w:rsidR="005128AA" w:rsidRPr="00A04E56">
        <w:rPr>
          <w:rStyle w:val="fnRef"/>
          <w:rFonts w:ascii="Arial" w:hAnsi="Arial" w:cs="Arial"/>
        </w:rPr>
        <w:t> </w:t>
      </w:r>
      <w:r w:rsidR="0035678A" w:rsidRPr="00A04E56">
        <w:rPr>
          <w:rStyle w:val="fnRef"/>
        </w:rPr>
        <w:t>(</w:t>
      </w:r>
      <w:r w:rsidR="0035678A" w:rsidRPr="00A04E56">
        <w:rPr>
          <w:rStyle w:val="fnRefNo"/>
        </w:rPr>
        <w:footnoteReference w:id="24"/>
      </w:r>
      <w:r w:rsidR="0035678A" w:rsidRPr="00A04E56">
        <w:rPr>
          <w:rStyle w:val="fnRef"/>
        </w:rPr>
        <w:t>)</w:t>
      </w:r>
      <w:r w:rsidR="00CB216C" w:rsidRPr="00A04E56">
        <w:t xml:space="preserve"> o</w:t>
      </w:r>
      <w:r w:rsidR="00C90CDF" w:rsidRPr="00A04E56">
        <w:t>f</w:t>
      </w:r>
      <w:r w:rsidR="00CB216C" w:rsidRPr="00A04E56">
        <w:t xml:space="preserve"> the </w:t>
      </w:r>
      <w:r w:rsidR="009A0795" w:rsidRPr="00A04E56">
        <w:rPr>
          <w:noProof w:val="0"/>
        </w:rPr>
        <w:t>EU</w:t>
      </w:r>
      <w:r w:rsidR="00CB216C" w:rsidRPr="00A04E56">
        <w:rPr>
          <w:noProof w:val="0"/>
        </w:rPr>
        <w:t>’s</w:t>
      </w:r>
      <w:r w:rsidR="00CB216C" w:rsidRPr="00A04E56">
        <w:t xml:space="preserve"> finances based on the results achieved.</w:t>
      </w:r>
      <w:r w:rsidR="008B4D10" w:rsidRPr="00A04E56">
        <w:t xml:space="preserve"> </w:t>
      </w:r>
      <w:r w:rsidR="000E134B" w:rsidRPr="00A04E56">
        <w:t>F</w:t>
      </w:r>
      <w:r w:rsidR="008B4D10" w:rsidRPr="00A04E56">
        <w:t xml:space="preserve">urther </w:t>
      </w:r>
      <w:r w:rsidR="00FC4057" w:rsidRPr="00A04E56">
        <w:t xml:space="preserve">performance information </w:t>
      </w:r>
      <w:r w:rsidR="008B4D10" w:rsidRPr="00A04E56">
        <w:t>is available in the</w:t>
      </w:r>
      <w:r w:rsidR="008B4D10" w:rsidRPr="00A04E56" w:rsidDel="00655667">
        <w:t xml:space="preserve"> </w:t>
      </w:r>
      <w:r w:rsidR="008D5DFD" w:rsidRPr="00A04E56">
        <w:t>p</w:t>
      </w:r>
      <w:r w:rsidR="009E0C88" w:rsidRPr="00A04E56">
        <w:t xml:space="preserve">rogramme </w:t>
      </w:r>
      <w:r w:rsidR="008D5DFD" w:rsidRPr="00A04E56">
        <w:t>s</w:t>
      </w:r>
      <w:r w:rsidR="009E0C88" w:rsidRPr="00A04E56">
        <w:t xml:space="preserve">tatements and the </w:t>
      </w:r>
      <w:r w:rsidR="008D5DFD" w:rsidRPr="00A04E56">
        <w:t>p</w:t>
      </w:r>
      <w:r w:rsidR="00FC4057" w:rsidRPr="00A04E56">
        <w:t xml:space="preserve">rogramme </w:t>
      </w:r>
      <w:r w:rsidR="008D5DFD" w:rsidRPr="00A04E56">
        <w:t>p</w:t>
      </w:r>
      <w:r w:rsidR="00FC4057" w:rsidRPr="00A04E56">
        <w:t xml:space="preserve">erformance </w:t>
      </w:r>
      <w:r w:rsidR="008D5DFD" w:rsidRPr="00A04E56">
        <w:t>o</w:t>
      </w:r>
      <w:r w:rsidR="00FC4057" w:rsidRPr="00A04E56">
        <w:t xml:space="preserve">verview published by the Commission </w:t>
      </w:r>
      <w:r w:rsidR="00C90CDF" w:rsidRPr="00A04E56">
        <w:t xml:space="preserve">together </w:t>
      </w:r>
      <w:r w:rsidR="00FC4057" w:rsidRPr="00A04E56">
        <w:t>with t</w:t>
      </w:r>
      <w:r w:rsidR="008B4D10" w:rsidRPr="00A04E56">
        <w:t>h</w:t>
      </w:r>
      <w:r w:rsidR="00FC4057" w:rsidRPr="00A04E56">
        <w:t xml:space="preserve">e draft annual </w:t>
      </w:r>
      <w:r w:rsidR="008B4D10" w:rsidRPr="00A04E56">
        <w:t>b</w:t>
      </w:r>
      <w:r w:rsidR="00FC4057" w:rsidRPr="00A04E56">
        <w:t>udget.</w:t>
      </w:r>
    </w:p>
    <w:p w14:paraId="60DD9365" w14:textId="34235AC7" w:rsidR="003A4987" w:rsidRPr="00A04E56" w:rsidRDefault="00186163" w:rsidP="001A760F">
      <w:pPr>
        <w:pStyle w:val="BOX2Blue"/>
      </w:pPr>
      <w:r w:rsidRPr="00A04E56">
        <w:rPr>
          <w:rStyle w:val="BOLDLIGHTBLUEReport"/>
          <w:rFonts w:eastAsiaTheme="minorHAnsi"/>
        </w:rPr>
        <w:t>Section</w:t>
      </w:r>
      <w:r w:rsidRPr="00A04E56">
        <w:rPr>
          <w:rStyle w:val="BOLDLIGHTBLUEReport"/>
          <w:rFonts w:ascii="Arial" w:eastAsiaTheme="minorHAnsi" w:hAnsi="Arial" w:cs="Arial"/>
        </w:rPr>
        <w:t> </w:t>
      </w:r>
      <w:r w:rsidR="001A7083" w:rsidRPr="00A04E56">
        <w:rPr>
          <w:rStyle w:val="BOLDLIGHTBLUEReport"/>
          <w:rFonts w:eastAsiaTheme="minorHAnsi"/>
        </w:rPr>
        <w:t>2</w:t>
      </w:r>
      <w:r w:rsidR="001A7083" w:rsidRPr="00A04E56">
        <w:t xml:space="preserve"> reports on developments in relation to internal control, financial management and the protection of the EU budget. This</w:t>
      </w:r>
      <w:r w:rsidR="000E134B" w:rsidRPr="00A04E56">
        <w:t xml:space="preserve"> section</w:t>
      </w:r>
      <w:r w:rsidR="001A7083" w:rsidRPr="00A04E56">
        <w:t xml:space="preserve"> is</w:t>
      </w:r>
      <w:r w:rsidR="000E134B" w:rsidRPr="00A04E56">
        <w:t xml:space="preserve"> also</w:t>
      </w:r>
      <w:r w:rsidR="001A7083" w:rsidRPr="00A04E56">
        <w:t xml:space="preserve"> based on the </w:t>
      </w:r>
      <w:r w:rsidR="00DD0618" w:rsidRPr="00A04E56">
        <w:t xml:space="preserve">annual activity reports </w:t>
      </w:r>
      <w:r w:rsidR="001A7083" w:rsidRPr="00A04E56">
        <w:t>produced by each Commission department</w:t>
      </w:r>
      <w:r w:rsidR="002E5A5D" w:rsidRPr="00A04E56">
        <w:t>,</w:t>
      </w:r>
      <w:r w:rsidR="000E134B" w:rsidRPr="00A04E56">
        <w:t xml:space="preserve"> </w:t>
      </w:r>
      <w:r w:rsidR="001A7083" w:rsidRPr="00A04E56">
        <w:t>in which the internal control environment and related issues are described in detail. Where issues were encountered in the course of the year</w:t>
      </w:r>
      <w:r w:rsidR="000E134B" w:rsidRPr="00A04E56">
        <w:t>,</w:t>
      </w:r>
      <w:r w:rsidR="001A7083" w:rsidRPr="00A04E56">
        <w:t xml:space="preserve"> the report describes how Commission departments have tackled the</w:t>
      </w:r>
      <w:r w:rsidR="00055B94" w:rsidRPr="00A04E56">
        <w:t>m</w:t>
      </w:r>
      <w:r w:rsidR="001A7083" w:rsidRPr="00A04E56">
        <w:t xml:space="preserve">. This section summarises information on: </w:t>
      </w:r>
    </w:p>
    <w:p w14:paraId="4E52CCBB" w14:textId="77777777" w:rsidR="00FE7FBB" w:rsidRPr="00A04E56" w:rsidRDefault="001A7083" w:rsidP="008F70D2">
      <w:pPr>
        <w:pStyle w:val="BOX2BlueBullet"/>
        <w:framePr w:wrap="around"/>
      </w:pPr>
      <w:r w:rsidRPr="00A04E56">
        <w:t xml:space="preserve">managing legality and regularity risks; </w:t>
      </w:r>
    </w:p>
    <w:p w14:paraId="69C80446" w14:textId="246C1CE6" w:rsidR="007D2C6E" w:rsidRPr="00A04E56" w:rsidRDefault="00FE7FBB" w:rsidP="008F70D2">
      <w:pPr>
        <w:pStyle w:val="BOX2BlueBullet"/>
        <w:framePr w:wrap="around"/>
      </w:pPr>
      <w:r w:rsidRPr="00A04E56">
        <w:t xml:space="preserve">managing </w:t>
      </w:r>
      <w:r w:rsidR="001A7083" w:rsidRPr="00A04E56">
        <w:t>the cost</w:t>
      </w:r>
      <w:r w:rsidR="0019228F" w:rsidRPr="00A04E56">
        <w:t>-effectiveness</w:t>
      </w:r>
      <w:r w:rsidR="001A7083" w:rsidRPr="00A04E56" w:rsidDel="0019228F">
        <w:t xml:space="preserve"> </w:t>
      </w:r>
      <w:r w:rsidR="001A7083" w:rsidRPr="00A04E56">
        <w:t xml:space="preserve">of </w:t>
      </w:r>
      <w:r w:rsidR="00521797" w:rsidRPr="00A04E56">
        <w:t xml:space="preserve">controls </w:t>
      </w:r>
      <w:r w:rsidR="007D2C6E" w:rsidRPr="00A04E56">
        <w:t xml:space="preserve">and </w:t>
      </w:r>
      <w:r w:rsidR="00FE55CF" w:rsidRPr="00A04E56">
        <w:t xml:space="preserve">revising </w:t>
      </w:r>
      <w:r w:rsidR="007D2C6E" w:rsidRPr="00A04E56">
        <w:t>anti-fraud strategies</w:t>
      </w:r>
      <w:r w:rsidRPr="00A04E56">
        <w:t>;</w:t>
      </w:r>
    </w:p>
    <w:p w14:paraId="4434F810" w14:textId="49A2E2F9" w:rsidR="001A7083" w:rsidRPr="00A04E56" w:rsidRDefault="001A7083" w:rsidP="008F70D2">
      <w:pPr>
        <w:pStyle w:val="BOX2BlueBullet"/>
        <w:framePr w:wrap="around"/>
      </w:pPr>
      <w:r w:rsidRPr="00A04E56">
        <w:t>the protection of the EU budget</w:t>
      </w:r>
      <w:r w:rsidR="00FE7FBB" w:rsidRPr="00A04E56">
        <w:t>;</w:t>
      </w:r>
      <w:r w:rsidRPr="00A04E56">
        <w:t xml:space="preserve"> and</w:t>
      </w:r>
    </w:p>
    <w:p w14:paraId="65BAFC30" w14:textId="7572F8AC" w:rsidR="001A7083" w:rsidRPr="00A04E56" w:rsidRDefault="001A7083" w:rsidP="008F70D2">
      <w:pPr>
        <w:pStyle w:val="BOX2BlueBullet"/>
        <w:framePr w:wrap="around"/>
      </w:pPr>
      <w:r w:rsidRPr="00A04E56">
        <w:t xml:space="preserve">the management assurance provided to the College of Commissioners. </w:t>
      </w:r>
    </w:p>
    <w:p w14:paraId="23DAD058" w14:textId="5B303867" w:rsidR="001A7083" w:rsidRPr="00A04E56" w:rsidRDefault="001A7083" w:rsidP="003A4987">
      <w:pPr>
        <w:pStyle w:val="BodyText1spacebeforeandafter"/>
        <w:rPr>
          <w:rFonts w:eastAsia="EC Square Sans Pro"/>
          <w:color w:val="000000"/>
          <w:szCs w:val="20"/>
        </w:rPr>
      </w:pPr>
      <w:r w:rsidRPr="00A04E56">
        <w:t>The management assurance received from all departments and the assurance obtained through internal</w:t>
      </w:r>
      <w:r w:rsidR="00FB08BA">
        <w:t xml:space="preserve"> </w:t>
      </w:r>
      <w:r w:rsidRPr="00A04E56">
        <w:t xml:space="preserve">audit work form the basis for </w:t>
      </w:r>
      <w:r w:rsidR="000E134B" w:rsidRPr="00A04E56">
        <w:t xml:space="preserve">the </w:t>
      </w:r>
      <w:r w:rsidRPr="00A04E56">
        <w:t>report’s overall conclusion. This conclusion enables the Commission, by adopting the report, to take overall political responsibility for the management of the 2018 EU budget.</w:t>
      </w:r>
    </w:p>
    <w:p w14:paraId="21D13018" w14:textId="33113040" w:rsidR="001A7083" w:rsidRPr="00B06C21" w:rsidRDefault="007D0387" w:rsidP="000A33BD">
      <w:pPr>
        <w:pStyle w:val="BodyText1spaceafter"/>
      </w:pPr>
      <w:r w:rsidRPr="00A04E56">
        <w:rPr>
          <w:rStyle w:val="BodyText1Char"/>
          <w:noProof w:val="0"/>
          <w:lang w:val="en-GB"/>
        </w:rPr>
        <w:t xml:space="preserve">The </w:t>
      </w:r>
      <w:r w:rsidR="00B35EB1" w:rsidRPr="00A04E56">
        <w:rPr>
          <w:rStyle w:val="BodyText1Char"/>
          <w:i/>
          <w:lang w:val="en-GB"/>
        </w:rPr>
        <w:t xml:space="preserve">2018 Annual </w:t>
      </w:r>
      <w:r w:rsidR="00FB08BA">
        <w:rPr>
          <w:rStyle w:val="BodyText1Char"/>
          <w:i/>
          <w:lang w:val="en-GB"/>
        </w:rPr>
        <w:t>M</w:t>
      </w:r>
      <w:r w:rsidR="001045AB" w:rsidRPr="00A04E56">
        <w:rPr>
          <w:rStyle w:val="BodyText1Char"/>
          <w:i/>
          <w:lang w:val="en-GB"/>
        </w:rPr>
        <w:t xml:space="preserve">anagement and </w:t>
      </w:r>
      <w:r w:rsidR="00FB08BA">
        <w:rPr>
          <w:rStyle w:val="BodyText1Char"/>
          <w:i/>
          <w:lang w:val="en-GB"/>
        </w:rPr>
        <w:t>Performance R</w:t>
      </w:r>
      <w:r w:rsidR="001045AB" w:rsidRPr="00A04E56">
        <w:rPr>
          <w:rStyle w:val="BodyText1Char"/>
          <w:i/>
          <w:lang w:val="en-GB"/>
        </w:rPr>
        <w:t>eport for the EU</w:t>
      </w:r>
      <w:r w:rsidR="00B35EB1" w:rsidRPr="00A04E56">
        <w:rPr>
          <w:rStyle w:val="BodyText1Char"/>
          <w:i/>
          <w:lang w:val="en-GB"/>
        </w:rPr>
        <w:t xml:space="preserve"> </w:t>
      </w:r>
      <w:r w:rsidR="000A5553" w:rsidRPr="00A04E56">
        <w:rPr>
          <w:rStyle w:val="BodyText1Char"/>
          <w:i/>
          <w:lang w:val="en-GB"/>
        </w:rPr>
        <w:t>budget</w:t>
      </w:r>
      <w:r w:rsidR="001A7083" w:rsidRPr="00A04E56">
        <w:rPr>
          <w:rFonts w:eastAsia="Times New Roman"/>
          <w:szCs w:val="20"/>
          <w:lang w:eastAsia="en-GB"/>
        </w:rPr>
        <w:t xml:space="preserve"> is part of</w:t>
      </w:r>
      <w:r w:rsidR="00FD6358" w:rsidRPr="00A04E56">
        <w:rPr>
          <w:rFonts w:eastAsia="Times New Roman"/>
          <w:szCs w:val="20"/>
          <w:lang w:eastAsia="en-GB"/>
        </w:rPr>
        <w:t xml:space="preserve"> the broader </w:t>
      </w:r>
      <w:r w:rsidR="00FD6358" w:rsidRPr="00A04E56">
        <w:rPr>
          <w:rFonts w:eastAsia="Times New Roman"/>
          <w:noProof w:val="0"/>
          <w:szCs w:val="20"/>
          <w:lang w:eastAsia="en-GB"/>
        </w:rPr>
        <w:t>package</w:t>
      </w:r>
      <w:r w:rsidR="00FD6358" w:rsidRPr="00A04E56">
        <w:rPr>
          <w:rFonts w:eastAsia="Times New Roman"/>
          <w:szCs w:val="20"/>
          <w:lang w:eastAsia="en-GB"/>
        </w:rPr>
        <w:t xml:space="preserve"> of </w:t>
      </w:r>
      <w:r w:rsidR="00FD6358" w:rsidRPr="00A04E56">
        <w:rPr>
          <w:rStyle w:val="BodyText1Char"/>
          <w:noProof w:val="0"/>
          <w:lang w:val="en-GB"/>
        </w:rPr>
        <w:t>integrated financial and accountability reporting</w:t>
      </w:r>
      <w:r w:rsidR="005128AA" w:rsidRPr="00A04E56">
        <w:rPr>
          <w:rStyle w:val="fnRef"/>
          <w:rFonts w:ascii="Arial" w:hAnsi="Arial" w:cs="Arial"/>
        </w:rPr>
        <w:t> </w:t>
      </w:r>
      <w:r w:rsidR="0035678A" w:rsidRPr="00A04E56">
        <w:rPr>
          <w:rStyle w:val="fnRef"/>
        </w:rPr>
        <w:t>(</w:t>
      </w:r>
      <w:r w:rsidR="0035678A" w:rsidRPr="00A04E56">
        <w:rPr>
          <w:rStyle w:val="fnRefNo"/>
        </w:rPr>
        <w:footnoteReference w:id="25"/>
      </w:r>
      <w:r w:rsidR="0035678A" w:rsidRPr="00A04E56">
        <w:rPr>
          <w:rStyle w:val="fnRef"/>
        </w:rPr>
        <w:t>)</w:t>
      </w:r>
      <w:r w:rsidR="00055B94" w:rsidRPr="00A04E56">
        <w:t>. This</w:t>
      </w:r>
      <w:r w:rsidR="00055B94" w:rsidRPr="00A04E56">
        <w:rPr>
          <w:rFonts w:eastAsia="Times New Roman"/>
          <w:szCs w:val="20"/>
          <w:lang w:eastAsia="en-GB"/>
        </w:rPr>
        <w:t xml:space="preserve"> </w:t>
      </w:r>
      <w:r w:rsidR="001A7083" w:rsidRPr="00A04E56">
        <w:rPr>
          <w:rFonts w:eastAsia="Times New Roman"/>
          <w:szCs w:val="20"/>
          <w:lang w:eastAsia="en-GB"/>
        </w:rPr>
        <w:t xml:space="preserve">also includes the </w:t>
      </w:r>
      <w:r w:rsidR="001A7083" w:rsidRPr="00A04E56">
        <w:rPr>
          <w:rStyle w:val="BodyText1Char"/>
          <w:lang w:val="en-GB"/>
        </w:rPr>
        <w:t>annual accounts</w:t>
      </w:r>
      <w:r w:rsidR="005128AA" w:rsidRPr="00A04E56">
        <w:rPr>
          <w:rStyle w:val="fnRef"/>
          <w:rFonts w:ascii="Arial" w:hAnsi="Arial" w:cs="Arial"/>
        </w:rPr>
        <w:t> </w:t>
      </w:r>
      <w:r w:rsidR="0035678A" w:rsidRPr="00A04E56">
        <w:rPr>
          <w:rStyle w:val="fnRef"/>
        </w:rPr>
        <w:t>(</w:t>
      </w:r>
      <w:r w:rsidR="0035678A" w:rsidRPr="00A04E56">
        <w:rPr>
          <w:rStyle w:val="fnRefNo"/>
        </w:rPr>
        <w:footnoteReference w:id="26"/>
      </w:r>
      <w:r w:rsidR="0035678A" w:rsidRPr="00A04E56">
        <w:rPr>
          <w:rStyle w:val="fnRef"/>
        </w:rPr>
        <w:t>)</w:t>
      </w:r>
      <w:r w:rsidR="001A7083" w:rsidRPr="00A04E56">
        <w:rPr>
          <w:rFonts w:eastAsia="Times New Roman"/>
          <w:szCs w:val="20"/>
          <w:lang w:eastAsia="en-GB"/>
        </w:rPr>
        <w:t xml:space="preserve">, a </w:t>
      </w:r>
      <w:r w:rsidR="001A7083" w:rsidRPr="00A04E56">
        <w:rPr>
          <w:rStyle w:val="BodyText1Char"/>
          <w:lang w:val="en-GB"/>
        </w:rPr>
        <w:t>long</w:t>
      </w:r>
      <w:r w:rsidR="0019228F" w:rsidRPr="00A04E56">
        <w:rPr>
          <w:rStyle w:val="BodyText1Char"/>
          <w:noProof w:val="0"/>
          <w:lang w:val="en-GB"/>
        </w:rPr>
        <w:t>-term</w:t>
      </w:r>
      <w:r w:rsidR="001A7083" w:rsidRPr="00A04E56" w:rsidDel="0019228F">
        <w:rPr>
          <w:rStyle w:val="BodyText1Char"/>
          <w:lang w:val="en-GB"/>
        </w:rPr>
        <w:t xml:space="preserve"> </w:t>
      </w:r>
      <w:r w:rsidR="001A7083" w:rsidRPr="00A04E56">
        <w:rPr>
          <w:rStyle w:val="BodyText1Char"/>
          <w:lang w:val="en-GB"/>
        </w:rPr>
        <w:t>forecast of future inflows and outflows</w:t>
      </w:r>
      <w:r w:rsidR="005128AA" w:rsidRPr="00A04E56">
        <w:rPr>
          <w:rStyle w:val="fnRef"/>
          <w:rFonts w:ascii="Arial" w:hAnsi="Arial" w:cs="Arial"/>
        </w:rPr>
        <w:t> </w:t>
      </w:r>
      <w:r w:rsidR="0035678A" w:rsidRPr="00A04E56">
        <w:rPr>
          <w:rStyle w:val="fnRef"/>
        </w:rPr>
        <w:t>(</w:t>
      </w:r>
      <w:r w:rsidR="0035678A" w:rsidRPr="00A04E56">
        <w:rPr>
          <w:rStyle w:val="fnRefNo"/>
        </w:rPr>
        <w:footnoteReference w:id="27"/>
      </w:r>
      <w:r w:rsidR="0035678A" w:rsidRPr="00A04E56">
        <w:rPr>
          <w:rStyle w:val="fnRef"/>
        </w:rPr>
        <w:t>)</w:t>
      </w:r>
      <w:r w:rsidR="001A7083" w:rsidRPr="00A04E56">
        <w:rPr>
          <w:rFonts w:eastAsia="Times New Roman"/>
          <w:szCs w:val="20"/>
          <w:lang w:eastAsia="en-GB"/>
        </w:rPr>
        <w:t xml:space="preserve"> covering the next 5</w:t>
      </w:r>
      <w:r w:rsidR="004361A7" w:rsidRPr="00A04E56">
        <w:rPr>
          <w:rFonts w:ascii="Calibri" w:eastAsia="Times New Roman" w:hAnsi="Calibri" w:cs="Calibri"/>
          <w:noProof w:val="0"/>
          <w:szCs w:val="20"/>
          <w:lang w:eastAsia="en-GB"/>
        </w:rPr>
        <w:t> </w:t>
      </w:r>
      <w:r w:rsidR="001A7083" w:rsidRPr="00A04E56">
        <w:rPr>
          <w:rFonts w:eastAsia="Times New Roman"/>
          <w:szCs w:val="20"/>
          <w:lang w:eastAsia="en-GB"/>
        </w:rPr>
        <w:t xml:space="preserve">years, the </w:t>
      </w:r>
      <w:r w:rsidR="001A7083" w:rsidRPr="00A04E56">
        <w:rPr>
          <w:rStyle w:val="BodyText1Char"/>
          <w:lang w:val="en-GB"/>
        </w:rPr>
        <w:t>report on internal audits</w:t>
      </w:r>
      <w:r w:rsidR="005128AA" w:rsidRPr="00A04E56">
        <w:rPr>
          <w:rStyle w:val="fnRef"/>
          <w:rFonts w:ascii="Arial" w:hAnsi="Arial" w:cs="Arial"/>
        </w:rPr>
        <w:t> </w:t>
      </w:r>
      <w:r w:rsidR="0035678A" w:rsidRPr="00A04E56">
        <w:rPr>
          <w:rStyle w:val="fnRef"/>
        </w:rPr>
        <w:t>(</w:t>
      </w:r>
      <w:r w:rsidR="0035678A" w:rsidRPr="00A04E56">
        <w:rPr>
          <w:rStyle w:val="fnRefNo"/>
        </w:rPr>
        <w:footnoteReference w:id="28"/>
      </w:r>
      <w:r w:rsidR="0035678A" w:rsidRPr="00A04E56">
        <w:rPr>
          <w:rStyle w:val="fnRef"/>
        </w:rPr>
        <w:t>)</w:t>
      </w:r>
      <w:r w:rsidR="001A7083" w:rsidRPr="00A04E56">
        <w:rPr>
          <w:rFonts w:eastAsia="Times New Roman"/>
          <w:szCs w:val="20"/>
          <w:lang w:eastAsia="en-GB"/>
        </w:rPr>
        <w:t xml:space="preserve"> and the </w:t>
      </w:r>
      <w:r w:rsidR="001A7083" w:rsidRPr="00A04E56">
        <w:rPr>
          <w:rStyle w:val="BodyText1Char"/>
          <w:lang w:val="en-GB"/>
        </w:rPr>
        <w:t>report on the follow-up</w:t>
      </w:r>
      <w:r w:rsidR="00C66D12" w:rsidRPr="00A04E56">
        <w:rPr>
          <w:rStyle w:val="BodyText1Char"/>
          <w:rFonts w:ascii="Arial" w:hAnsi="Arial" w:cs="Arial"/>
          <w:lang w:val="en-GB"/>
        </w:rPr>
        <w:t> </w:t>
      </w:r>
      <w:r w:rsidR="004B721B" w:rsidRPr="00A04E56">
        <w:rPr>
          <w:rStyle w:val="fnRef"/>
        </w:rPr>
        <w:t>(</w:t>
      </w:r>
      <w:r w:rsidR="004B721B" w:rsidRPr="00A04E56">
        <w:rPr>
          <w:rStyle w:val="fnRefNo"/>
        </w:rPr>
        <w:footnoteReference w:id="29"/>
      </w:r>
      <w:r w:rsidR="004B721B" w:rsidRPr="00A04E56">
        <w:rPr>
          <w:rStyle w:val="fnRef"/>
        </w:rPr>
        <w:t xml:space="preserve">) </w:t>
      </w:r>
      <w:r w:rsidR="001A7083" w:rsidRPr="00A04E56">
        <w:rPr>
          <w:rStyle w:val="BodyText1Char"/>
          <w:lang w:val="en-GB"/>
        </w:rPr>
        <w:t>to the discharge</w:t>
      </w:r>
      <w:r w:rsidR="001A7083" w:rsidRPr="00A04E56">
        <w:rPr>
          <w:rFonts w:eastAsia="Times New Roman"/>
          <w:szCs w:val="20"/>
          <w:lang w:eastAsia="en-GB"/>
        </w:rPr>
        <w:t>.</w:t>
      </w:r>
      <w:bookmarkStart w:id="17" w:name="_Toc535249357"/>
      <w:bookmarkStart w:id="18" w:name="_Toc4680688"/>
      <w:bookmarkStart w:id="19" w:name="_Toc4682962"/>
    </w:p>
    <w:p w14:paraId="374BF4E2" w14:textId="6B6C85A5" w:rsidR="00311F8F" w:rsidRPr="00A04E56" w:rsidRDefault="00186163" w:rsidP="00311F8F">
      <w:pPr>
        <w:pStyle w:val="TITLE1Report"/>
      </w:pPr>
      <w:bookmarkStart w:id="20" w:name="Section1"/>
      <w:r w:rsidRPr="00A04E56">
        <w:t>Section</w:t>
      </w:r>
      <w:r w:rsidRPr="00A04E56">
        <w:rPr>
          <w:rFonts w:cs="Calibri"/>
        </w:rPr>
        <w:t> </w:t>
      </w:r>
      <w:r w:rsidR="00311F8F" w:rsidRPr="00A04E56">
        <w:t>1</w:t>
      </w:r>
      <w:bookmarkEnd w:id="20"/>
      <w:r w:rsidR="00311F8F" w:rsidRPr="00A04E56">
        <w:br/>
        <w:t>Performance and result</w:t>
      </w:r>
      <w:bookmarkEnd w:id="17"/>
      <w:r w:rsidR="001B412E" w:rsidRPr="00A04E56">
        <w:t>s</w:t>
      </w:r>
      <w:bookmarkEnd w:id="18"/>
      <w:bookmarkEnd w:id="19"/>
    </w:p>
    <w:p w14:paraId="70059D59" w14:textId="5B300F72" w:rsidR="00540473" w:rsidRPr="00A04E56" w:rsidRDefault="00540473" w:rsidP="008619A2">
      <w:pPr>
        <w:pStyle w:val="BodyText1spaceafter"/>
      </w:pPr>
      <w:bookmarkStart w:id="21" w:name="_Toc3206052"/>
      <w:bookmarkStart w:id="22" w:name="_Toc4603941"/>
      <w:bookmarkStart w:id="23" w:name="_Toc4603962"/>
      <w:bookmarkStart w:id="24" w:name="_Toc4680689"/>
      <w:bookmarkStart w:id="25" w:name="_Toc4682963"/>
      <w:bookmarkStart w:id="26" w:name="_Toc4683087"/>
      <w:r w:rsidRPr="00A04E56">
        <w:t xml:space="preserve">Generating added value </w:t>
      </w:r>
      <w:r w:rsidR="00572798" w:rsidRPr="00A04E56">
        <w:t>from</w:t>
      </w:r>
      <w:r w:rsidRPr="00A04E56">
        <w:t xml:space="preserve"> every euro spent </w:t>
      </w:r>
      <w:r w:rsidR="00C90CDF" w:rsidRPr="00A04E56">
        <w:t>is</w:t>
      </w:r>
      <w:r w:rsidRPr="00A04E56">
        <w:t xml:space="preserve"> of key importance to the Commission</w:t>
      </w:r>
      <w:r w:rsidR="007D2C6E" w:rsidRPr="00A04E56">
        <w:t>.</w:t>
      </w:r>
      <w:r w:rsidRPr="00A04E56">
        <w:t xml:space="preserve"> President Juncker set</w:t>
      </w:r>
      <w:r w:rsidR="005128AA" w:rsidRPr="00A04E56">
        <w:rPr>
          <w:rStyle w:val="fnRef"/>
          <w:rFonts w:ascii="Arial" w:hAnsi="Arial" w:cs="Arial"/>
        </w:rPr>
        <w:t> </w:t>
      </w:r>
      <w:r w:rsidRPr="00A04E56">
        <w:t xml:space="preserve"> the tone at the beginning of his mandate: ‘It is not enough to allocate money wisely. We will have to do more, with less. We need to get the best out of the budget and spend money smartly. […] People want us to achieve results. They also want to know how we spend the tax payer’s money.</w:t>
      </w:r>
      <w:r w:rsidR="007A7706" w:rsidRPr="00A04E56">
        <w:t>’</w:t>
      </w:r>
      <w:r w:rsidR="007A7706">
        <w:rPr>
          <w:rStyle w:val="fnRef"/>
          <w:rFonts w:ascii="Calibri" w:hAnsi="Calibri" w:cs="Calibri"/>
        </w:rPr>
        <w:t> </w:t>
      </w:r>
      <w:r w:rsidR="00E575FA" w:rsidRPr="00A04E56">
        <w:rPr>
          <w:rStyle w:val="fnRef"/>
        </w:rPr>
        <w:t>(</w:t>
      </w:r>
      <w:r w:rsidR="00E575FA" w:rsidRPr="00A04E56">
        <w:rPr>
          <w:rStyle w:val="fnRefNo"/>
        </w:rPr>
        <w:footnoteReference w:id="30"/>
      </w:r>
      <w:r w:rsidR="00E575FA" w:rsidRPr="00A04E56">
        <w:rPr>
          <w:rStyle w:val="fnRef"/>
        </w:rPr>
        <w:t>)</w:t>
      </w:r>
    </w:p>
    <w:p w14:paraId="22725F63" w14:textId="5DCD7F2D" w:rsidR="00540473" w:rsidRPr="00A04E56" w:rsidRDefault="007D2C6E" w:rsidP="00E84C4A">
      <w:pPr>
        <w:pStyle w:val="BodyText1spaceafter"/>
      </w:pPr>
      <w:r w:rsidRPr="00A04E56">
        <w:t xml:space="preserve">The EU budget </w:t>
      </w:r>
      <w:r w:rsidRPr="00A04E56">
        <w:rPr>
          <w:rStyle w:val="BOLDLIGHTBLUEReport"/>
          <w:rFonts w:eastAsia="Calibri"/>
        </w:rPr>
        <w:t xml:space="preserve">focuses on areas where pooling resources to tackle common challenges </w:t>
      </w:r>
      <w:r w:rsidR="006B55E1" w:rsidRPr="00A04E56">
        <w:rPr>
          <w:rStyle w:val="BOLDLIGHTBLUEReport"/>
          <w:rFonts w:eastAsia="Calibri"/>
        </w:rPr>
        <w:t xml:space="preserve">for all Europeans </w:t>
      </w:r>
      <w:r w:rsidRPr="00A04E56">
        <w:rPr>
          <w:rStyle w:val="BOLDLIGHTBLUEReport"/>
          <w:rFonts w:eastAsia="Calibri"/>
        </w:rPr>
        <w:t>can deliver results</w:t>
      </w:r>
      <w:r w:rsidRPr="00A04E56" w:rsidDel="006B55E1">
        <w:rPr>
          <w:rStyle w:val="BOLDLIGHTBLUEReport"/>
          <w:rFonts w:eastAsia="Calibri"/>
        </w:rPr>
        <w:t xml:space="preserve"> </w:t>
      </w:r>
      <w:r w:rsidRPr="00A04E56">
        <w:rPr>
          <w:rStyle w:val="BOLDLIGHTBLUEReport"/>
          <w:rFonts w:eastAsia="Calibri"/>
        </w:rPr>
        <w:t>that could not be achieved as effectively or efficiently by Member States acting alone</w:t>
      </w:r>
      <w:r w:rsidRPr="00A04E56">
        <w:t>. This applies in areas as diverse as cross-border infrastructure, external</w:t>
      </w:r>
      <w:r w:rsidR="00373CFC">
        <w:t xml:space="preserve"> </w:t>
      </w:r>
      <w:r w:rsidRPr="00A04E56">
        <w:t xml:space="preserve">border management, large-scale space projects and pan-European research. </w:t>
      </w:r>
      <w:r w:rsidR="00540473" w:rsidRPr="00A04E56">
        <w:t>The focus on EU added value is at the heart of the Commission's proposal</w:t>
      </w:r>
      <w:r w:rsidR="00C90CDF" w:rsidRPr="00A04E56">
        <w:t>s</w:t>
      </w:r>
      <w:r w:rsidR="00540473" w:rsidRPr="00A04E56">
        <w:t xml:space="preserve"> for the </w:t>
      </w:r>
      <w:r w:rsidR="00055B94" w:rsidRPr="00A04E56">
        <w:t xml:space="preserve">2021-2027 </w:t>
      </w:r>
      <w:r w:rsidR="002E711C" w:rsidRPr="00A04E56">
        <w:t>multiannual financial framework</w:t>
      </w:r>
      <w:r w:rsidR="00540473" w:rsidRPr="00A04E56">
        <w:t>.</w:t>
      </w:r>
      <w:r w:rsidR="00C90CDF" w:rsidRPr="00A04E56">
        <w:t xml:space="preserve"> </w:t>
      </w:r>
    </w:p>
    <w:p w14:paraId="20E45BA9" w14:textId="6E1D7B3E" w:rsidR="00B444DA" w:rsidRPr="00A04E56" w:rsidRDefault="00540473" w:rsidP="008619A2">
      <w:pPr>
        <w:pStyle w:val="BodyText1spaceafter"/>
      </w:pPr>
      <w:r w:rsidRPr="00A04E56">
        <w:t xml:space="preserve">This section begins with </w:t>
      </w:r>
      <w:r w:rsidR="00B444DA" w:rsidRPr="00A04E56">
        <w:t xml:space="preserve">an </w:t>
      </w:r>
      <w:r w:rsidR="003844B4" w:rsidRPr="00A04E56">
        <w:t>overview</w:t>
      </w:r>
      <w:r w:rsidR="00B444DA" w:rsidRPr="00A04E56">
        <w:t xml:space="preserve"> of the EU </w:t>
      </w:r>
      <w:r w:rsidR="000A5553" w:rsidRPr="00A04E56">
        <w:t>budget</w:t>
      </w:r>
      <w:r w:rsidR="00A85DDA" w:rsidRPr="00A04E56">
        <w:t xml:space="preserve"> and</w:t>
      </w:r>
      <w:r w:rsidR="00E84E7D" w:rsidRPr="00A04E56" w:rsidDel="00A85DDA">
        <w:t xml:space="preserve"> </w:t>
      </w:r>
      <w:r w:rsidR="00E84E7D" w:rsidRPr="00A04E56">
        <w:t>its performance framework</w:t>
      </w:r>
      <w:r w:rsidR="00A85DDA" w:rsidRPr="00A04E56">
        <w:t xml:space="preserve">. </w:t>
      </w:r>
      <w:r w:rsidR="0011375F" w:rsidRPr="00A04E56">
        <w:t>This is f</w:t>
      </w:r>
      <w:r w:rsidR="00A85DDA" w:rsidRPr="00A04E56">
        <w:t>ollowed by</w:t>
      </w:r>
      <w:r w:rsidR="00B444DA" w:rsidRPr="00A04E56">
        <w:t xml:space="preserve"> </w:t>
      </w:r>
      <w:r w:rsidRPr="00A04E56">
        <w:t xml:space="preserve">a summary </w:t>
      </w:r>
      <w:r w:rsidR="00B444DA" w:rsidRPr="00A04E56">
        <w:t>o</w:t>
      </w:r>
      <w:r w:rsidR="0082601B" w:rsidRPr="00A04E56">
        <w:t>f</w:t>
      </w:r>
      <w:r w:rsidR="00B444DA" w:rsidRPr="00A04E56">
        <w:t xml:space="preserve"> how the </w:t>
      </w:r>
      <w:r w:rsidR="00E84E7D" w:rsidRPr="00A04E56">
        <w:t>current and future long</w:t>
      </w:r>
      <w:r w:rsidR="0011375F" w:rsidRPr="00A04E56">
        <w:t>-</w:t>
      </w:r>
      <w:r w:rsidR="00E84E7D" w:rsidRPr="00A04E56">
        <w:t>term bu</w:t>
      </w:r>
      <w:r w:rsidR="00514745" w:rsidRPr="00A04E56">
        <w:t>d</w:t>
      </w:r>
      <w:r w:rsidR="00E84E7D" w:rsidRPr="00A04E56">
        <w:t xml:space="preserve">get </w:t>
      </w:r>
      <w:r w:rsidR="00B444DA" w:rsidRPr="00A04E56">
        <w:t xml:space="preserve">contributes to </w:t>
      </w:r>
      <w:r w:rsidR="0011375F" w:rsidRPr="00A04E56">
        <w:t>t</w:t>
      </w:r>
      <w:r w:rsidR="00E84E7D" w:rsidRPr="00A04E56">
        <w:rPr>
          <w:noProof w:val="0"/>
        </w:rPr>
        <w:t xml:space="preserve">he </w:t>
      </w:r>
      <w:r w:rsidR="00E84E7D" w:rsidRPr="00A04E56">
        <w:t xml:space="preserve">political agenda </w:t>
      </w:r>
      <w:r w:rsidR="0011375F" w:rsidRPr="00A04E56">
        <w:t xml:space="preserve">for the </w:t>
      </w:r>
      <w:r w:rsidR="00DE7F7B" w:rsidRPr="00A04E56">
        <w:t xml:space="preserve">EU </w:t>
      </w:r>
      <w:r w:rsidR="00E84E7D" w:rsidRPr="00A04E56">
        <w:t>set out by leaders in Bratislava, Rome and Sibiu</w:t>
      </w:r>
      <w:r w:rsidR="0011375F" w:rsidRPr="00A04E56">
        <w:t xml:space="preserve">, as well as to international priorities such as climate targets and the </w:t>
      </w:r>
      <w:r w:rsidR="00DE7F7B" w:rsidRPr="00A04E56">
        <w:t xml:space="preserve">UN </w:t>
      </w:r>
      <w:r w:rsidR="00E84E7D" w:rsidRPr="00A04E56">
        <w:t>sustainable development goals.</w:t>
      </w:r>
      <w:r w:rsidR="00490817" w:rsidRPr="00A04E56">
        <w:t xml:space="preserve"> </w:t>
      </w:r>
    </w:p>
    <w:p w14:paraId="21D3765A" w14:textId="489CFD7A" w:rsidR="00540473" w:rsidRPr="00A04E56" w:rsidRDefault="00A85DDA" w:rsidP="008619A2">
      <w:pPr>
        <w:pStyle w:val="BodyText1spaceafter"/>
      </w:pPr>
      <w:r w:rsidRPr="00A04E56">
        <w:t>The section</w:t>
      </w:r>
      <w:r w:rsidR="00540473" w:rsidRPr="00A04E56">
        <w:t xml:space="preserve"> then presents the latest information on results achieved with the EU budget up until the end of 2018. </w:t>
      </w:r>
      <w:r w:rsidR="00B444DA" w:rsidRPr="00A04E56">
        <w:t xml:space="preserve">This information is structured around the headings </w:t>
      </w:r>
      <w:r w:rsidR="00D45A76" w:rsidRPr="00A04E56">
        <w:t>i</w:t>
      </w:r>
      <w:r w:rsidR="00B444DA" w:rsidRPr="00A04E56">
        <w:t xml:space="preserve">n the current </w:t>
      </w:r>
      <w:r w:rsidR="00363152" w:rsidRPr="00A04E56">
        <w:t>multiannual financial framework</w:t>
      </w:r>
      <w:r w:rsidR="00B444DA" w:rsidRPr="00A04E56">
        <w:t xml:space="preserve">. </w:t>
      </w:r>
      <w:r w:rsidR="00490817" w:rsidRPr="00A04E56">
        <w:t xml:space="preserve">The report also describes how these programmes contribute to the political priorities of the Juncker Commission. </w:t>
      </w:r>
      <w:r w:rsidR="00540473" w:rsidRPr="00A04E56">
        <w:t xml:space="preserve">The type of data reported depends on the level of maturity of the programmes, ranging from input data to the results of spending from the early part of this period. Final evaluations on the impact of the programmes are not </w:t>
      </w:r>
      <w:r w:rsidR="0011375F" w:rsidRPr="00A04E56">
        <w:t xml:space="preserve">yet </w:t>
      </w:r>
      <w:r w:rsidR="00540473" w:rsidRPr="00A04E56">
        <w:t xml:space="preserve">available, </w:t>
      </w:r>
      <w:r w:rsidR="00373CFC">
        <w:t xml:space="preserve">hence </w:t>
      </w:r>
      <w:r w:rsidR="00540473" w:rsidRPr="00A04E56">
        <w:t xml:space="preserve">definitive reporting </w:t>
      </w:r>
      <w:r w:rsidR="0011375F" w:rsidRPr="00A04E56">
        <w:t xml:space="preserve">on performance </w:t>
      </w:r>
      <w:r w:rsidR="00540473" w:rsidRPr="00A04E56">
        <w:t xml:space="preserve">will not be possible until later </w:t>
      </w:r>
      <w:r w:rsidR="00DE7F7B" w:rsidRPr="00A04E56">
        <w:t>on</w:t>
      </w:r>
      <w:r w:rsidR="00540473" w:rsidRPr="00A04E56">
        <w:t>.</w:t>
      </w:r>
      <w:r w:rsidR="00490817" w:rsidRPr="00A04E56">
        <w:t xml:space="preserve"> The </w:t>
      </w:r>
      <w:r w:rsidR="0011375F" w:rsidRPr="00A04E56">
        <w:t>report covers</w:t>
      </w:r>
      <w:r w:rsidR="00540473" w:rsidRPr="00A04E56">
        <w:t xml:space="preserve"> areas where performance has fallen short of expectations or </w:t>
      </w:r>
      <w:r w:rsidR="00DE7F7B" w:rsidRPr="00A04E56">
        <w:t xml:space="preserve">where </w:t>
      </w:r>
      <w:r w:rsidR="00540473" w:rsidRPr="00A04E56">
        <w:t xml:space="preserve">shortcomings have been identified in programme design by evaluations and audit work. This information is used to inform implementation decisions on the current financial programmes </w:t>
      </w:r>
      <w:r w:rsidR="002B3A3A" w:rsidRPr="00A04E56">
        <w:t>and</w:t>
      </w:r>
      <w:r w:rsidR="00540473" w:rsidRPr="00A04E56">
        <w:t xml:space="preserve"> to inform the legislators shaping the future </w:t>
      </w:r>
      <w:r w:rsidR="00D20A66" w:rsidRPr="00A04E56">
        <w:t>long</w:t>
      </w:r>
      <w:r w:rsidR="006406DB" w:rsidRPr="00A04E56">
        <w:t>-</w:t>
      </w:r>
      <w:r w:rsidR="00D20A66" w:rsidRPr="00A04E56">
        <w:t>term budget</w:t>
      </w:r>
      <w:r w:rsidR="00540473" w:rsidRPr="00A04E56">
        <w:t>.</w:t>
      </w:r>
    </w:p>
    <w:p w14:paraId="18873142" w14:textId="3A214165" w:rsidR="00961976" w:rsidRPr="00A04E56" w:rsidRDefault="0022017F" w:rsidP="0032611A">
      <w:pPr>
        <w:pStyle w:val="TITLE1Report"/>
      </w:pPr>
      <w:bookmarkStart w:id="27" w:name="AresultorientedEUbudget"/>
      <w:r w:rsidRPr="00A04E56">
        <w:t xml:space="preserve">A result-oriented </w:t>
      </w:r>
      <w:r w:rsidR="00961976" w:rsidRPr="00A04E56">
        <w:t>EU budget</w:t>
      </w:r>
      <w:bookmarkEnd w:id="27"/>
      <w:r w:rsidRPr="00A04E56">
        <w:t xml:space="preserve"> </w:t>
      </w:r>
    </w:p>
    <w:p w14:paraId="5C848892" w14:textId="77777777" w:rsidR="008E7B2F" w:rsidRPr="00A04E56" w:rsidRDefault="008E7B2F" w:rsidP="00AA0340">
      <w:pPr>
        <w:pStyle w:val="Title3NumberedReport"/>
      </w:pPr>
      <w:r w:rsidRPr="00A04E56">
        <w:t>The EU budget</w:t>
      </w:r>
    </w:p>
    <w:p w14:paraId="490FA941" w14:textId="508FFE72" w:rsidR="003D5F2F" w:rsidRPr="00A04E56" w:rsidRDefault="008E7B2F" w:rsidP="003D5F2F">
      <w:pPr>
        <w:pStyle w:val="BodyText1spaceafter"/>
      </w:pPr>
      <w:r w:rsidRPr="00A04E56">
        <w:t xml:space="preserve">The EU budget is a key instrument </w:t>
      </w:r>
      <w:r w:rsidR="005348F6" w:rsidRPr="00A04E56">
        <w:t xml:space="preserve">in the implementation of </w:t>
      </w:r>
      <w:r w:rsidRPr="00A04E56">
        <w:t xml:space="preserve">European policies and priorities. Unlike national budgets, the EU budget is </w:t>
      </w:r>
      <w:r w:rsidR="00DE7F7B" w:rsidRPr="00A04E56">
        <w:t xml:space="preserve">mainly </w:t>
      </w:r>
      <w:r w:rsidRPr="00A04E56">
        <w:t xml:space="preserve">focused on supporting strategic investments over the medium to longer term and on using its leverage </w:t>
      </w:r>
      <w:r w:rsidR="003844B4" w:rsidRPr="00A04E56">
        <w:t>to catalyse</w:t>
      </w:r>
      <w:r w:rsidRPr="00A04E56">
        <w:t xml:space="preserve"> investment from other public and private sources. It complements</w:t>
      </w:r>
      <w:r w:rsidR="003844B4" w:rsidRPr="00A04E56">
        <w:t xml:space="preserve"> </w:t>
      </w:r>
      <w:r w:rsidRPr="00A04E56">
        <w:t>national budgets to address common challenges faced by the Member States and creat</w:t>
      </w:r>
      <w:r w:rsidR="00DE7F7B" w:rsidRPr="00A04E56">
        <w:t>ing</w:t>
      </w:r>
      <w:r w:rsidRPr="00A04E56">
        <w:t xml:space="preserve"> opportunities for the </w:t>
      </w:r>
      <w:r w:rsidR="00DE7F7B" w:rsidRPr="00A04E56">
        <w:t>EU</w:t>
      </w:r>
      <w:r w:rsidR="00DE7F7B" w:rsidRPr="00A04E56">
        <w:rPr>
          <w:noProof w:val="0"/>
        </w:rPr>
        <w:t xml:space="preserve"> </w:t>
      </w:r>
      <w:r w:rsidRPr="00A04E56">
        <w:rPr>
          <w:noProof w:val="0"/>
        </w:rPr>
        <w:t>as a whole</w:t>
      </w:r>
      <w:r w:rsidRPr="00A04E56">
        <w:t>.</w:t>
      </w:r>
      <w:r w:rsidR="003844B4" w:rsidRPr="00A04E56">
        <w:t xml:space="preserve"> </w:t>
      </w:r>
      <w:r w:rsidR="003D5F2F" w:rsidRPr="00A04E56">
        <w:t xml:space="preserve">The </w:t>
      </w:r>
      <w:r w:rsidR="00DE7F7B" w:rsidRPr="00A04E56">
        <w:t>EU</w:t>
      </w:r>
      <w:r w:rsidR="003D5F2F" w:rsidRPr="00A04E56">
        <w:t>'s financial programmes are managed in some cases directly by the Commission for example in the area of research or together with the Member States</w:t>
      </w:r>
      <w:r w:rsidR="0071045B" w:rsidRPr="00A04E56">
        <w:t xml:space="preserve"> (shared management)</w:t>
      </w:r>
      <w:r w:rsidR="003D5F2F" w:rsidRPr="00A04E56">
        <w:t xml:space="preserve">, such as in </w:t>
      </w:r>
      <w:r w:rsidR="00413F1D" w:rsidRPr="00A04E56">
        <w:t>c</w:t>
      </w:r>
      <w:r w:rsidR="003D5F2F" w:rsidRPr="00A04E56">
        <w:t xml:space="preserve">ohesion </w:t>
      </w:r>
      <w:r w:rsidR="00413F1D" w:rsidRPr="00A04E56">
        <w:t>p</w:t>
      </w:r>
      <w:r w:rsidR="003D5F2F" w:rsidRPr="00A04E56">
        <w:t xml:space="preserve">olicy. </w:t>
      </w:r>
      <w:r w:rsidR="00413F1D" w:rsidRPr="00A04E56">
        <w:t xml:space="preserve">Some </w:t>
      </w:r>
      <w:r w:rsidR="003D5F2F" w:rsidRPr="00A04E56">
        <w:t>two thirds of the EU budget is managed through shared management.</w:t>
      </w:r>
    </w:p>
    <w:p w14:paraId="7916744A" w14:textId="48B3497C" w:rsidR="00CA2D63" w:rsidRPr="00A04E56" w:rsidRDefault="00CA2D63" w:rsidP="006C2941">
      <w:pPr>
        <w:pStyle w:val="BodyText1spaceafter"/>
        <w:rPr>
          <w:lang w:eastAsia="zh-CN"/>
        </w:rPr>
      </w:pPr>
      <w:r w:rsidRPr="00A04E56">
        <w:rPr>
          <w:lang w:eastAsia="zh-CN"/>
        </w:rPr>
        <w:t>The EU us</w:t>
      </w:r>
      <w:r w:rsidR="00413F1D" w:rsidRPr="00A04E56">
        <w:rPr>
          <w:lang w:eastAsia="zh-CN"/>
        </w:rPr>
        <w:t>es</w:t>
      </w:r>
      <w:r w:rsidRPr="00A04E56">
        <w:rPr>
          <w:lang w:eastAsia="zh-CN"/>
        </w:rPr>
        <w:t xml:space="preserve"> </w:t>
      </w:r>
      <w:r w:rsidR="00413F1D" w:rsidRPr="00A04E56">
        <w:rPr>
          <w:lang w:eastAsia="zh-CN"/>
        </w:rPr>
        <w:t>i</w:t>
      </w:r>
      <w:r w:rsidRPr="00A04E56">
        <w:rPr>
          <w:lang w:eastAsia="zh-CN"/>
        </w:rPr>
        <w:t xml:space="preserve">nnovative financial instruments as a smart way to deploy EU budgetary resources. </w:t>
      </w:r>
      <w:r w:rsidRPr="00A04E56">
        <w:t xml:space="preserve">Innovative financial instruments attract funding from other public or private investors </w:t>
      </w:r>
      <w:r w:rsidR="002B3A3A" w:rsidRPr="00A04E56">
        <w:t>for</w:t>
      </w:r>
      <w:r w:rsidRPr="00A04E56">
        <w:t xml:space="preserve"> economically viable projects in areas where there are market failures or investment gaps. Examples include sectors with high economic growth or innovative business activities. The fact that the EU invests risk capital in a certain fund or covers part of the risk associated with a certain type of projects can reassure other investors and encourage them to invest alongside the EU.</w:t>
      </w:r>
      <w:r w:rsidRPr="00A04E56">
        <w:rPr>
          <w:lang w:eastAsia="zh-CN"/>
        </w:rPr>
        <w:t xml:space="preserve"> The </w:t>
      </w:r>
      <w:r w:rsidR="002B5F47" w:rsidRPr="00A04E56">
        <w:rPr>
          <w:lang w:eastAsia="zh-CN"/>
        </w:rPr>
        <w:t xml:space="preserve">loan-guarantee facility </w:t>
      </w:r>
      <w:r w:rsidRPr="00A04E56">
        <w:rPr>
          <w:lang w:eastAsia="zh-CN"/>
        </w:rPr>
        <w:t xml:space="preserve">and the </w:t>
      </w:r>
      <w:r w:rsidR="003D55F2" w:rsidRPr="00A04E56">
        <w:rPr>
          <w:lang w:eastAsia="zh-CN"/>
        </w:rPr>
        <w:t>e</w:t>
      </w:r>
      <w:r w:rsidRPr="00A04E56">
        <w:rPr>
          <w:lang w:eastAsia="zh-CN"/>
        </w:rPr>
        <w:t xml:space="preserve">quity </w:t>
      </w:r>
      <w:r w:rsidR="003D55F2" w:rsidRPr="00A04E56">
        <w:rPr>
          <w:lang w:eastAsia="zh-CN"/>
        </w:rPr>
        <w:t>f</w:t>
      </w:r>
      <w:r w:rsidRPr="00A04E56">
        <w:rPr>
          <w:lang w:eastAsia="zh-CN"/>
        </w:rPr>
        <w:t xml:space="preserve">acility for </w:t>
      </w:r>
      <w:r w:rsidR="003D55F2" w:rsidRPr="00A04E56">
        <w:rPr>
          <w:lang w:eastAsia="zh-CN"/>
        </w:rPr>
        <w:t>g</w:t>
      </w:r>
      <w:r w:rsidRPr="00A04E56">
        <w:rPr>
          <w:lang w:eastAsia="zh-CN"/>
        </w:rPr>
        <w:t xml:space="preserve">rowth under the programme for the </w:t>
      </w:r>
      <w:r w:rsidR="00413F1D" w:rsidRPr="00A04E56">
        <w:rPr>
          <w:lang w:eastAsia="zh-CN"/>
        </w:rPr>
        <w:t>c</w:t>
      </w:r>
      <w:r w:rsidRPr="00A04E56">
        <w:rPr>
          <w:lang w:eastAsia="zh-CN"/>
        </w:rPr>
        <w:t xml:space="preserve">ompetitiveness of </w:t>
      </w:r>
      <w:r w:rsidR="00413F1D" w:rsidRPr="00A04E56">
        <w:rPr>
          <w:lang w:eastAsia="zh-CN"/>
        </w:rPr>
        <w:t>e</w:t>
      </w:r>
      <w:r w:rsidRPr="00A04E56">
        <w:rPr>
          <w:lang w:eastAsia="zh-CN"/>
        </w:rPr>
        <w:t xml:space="preserve">nterprises and small and medium-sized enterprises are </w:t>
      </w:r>
      <w:r w:rsidR="00413F1D" w:rsidRPr="00A04E56">
        <w:rPr>
          <w:lang w:eastAsia="zh-CN"/>
        </w:rPr>
        <w:t xml:space="preserve">prime </w:t>
      </w:r>
      <w:r w:rsidRPr="00A04E56">
        <w:rPr>
          <w:lang w:eastAsia="zh-CN"/>
        </w:rPr>
        <w:t>examples of such financial instruments. Financial instruments are also used under other EU programmes, such as Horizon</w:t>
      </w:r>
      <w:r w:rsidR="00533D09" w:rsidRPr="00A04E56">
        <w:rPr>
          <w:rFonts w:ascii="Calibri" w:hAnsi="Calibri" w:cs="Calibri"/>
          <w:lang w:eastAsia="zh-CN"/>
        </w:rPr>
        <w:t> </w:t>
      </w:r>
      <w:r w:rsidRPr="00A04E56">
        <w:rPr>
          <w:lang w:eastAsia="zh-CN"/>
        </w:rPr>
        <w:t xml:space="preserve">2020, the EU programme for employment and social innovation, the Creative Europe </w:t>
      </w:r>
      <w:r w:rsidR="00F504A4" w:rsidRPr="00A04E56">
        <w:rPr>
          <w:lang w:eastAsia="zh-CN"/>
        </w:rPr>
        <w:t>p</w:t>
      </w:r>
      <w:r w:rsidRPr="00A04E56">
        <w:rPr>
          <w:lang w:eastAsia="zh-CN"/>
        </w:rPr>
        <w:t>rogramme, the Connecting Europe Facility and under the EU’s external policy programmes.</w:t>
      </w:r>
    </w:p>
    <w:p w14:paraId="3538FF37" w14:textId="4CED83F1" w:rsidR="00C0773D" w:rsidRPr="00A04E56" w:rsidRDefault="0022017F" w:rsidP="00AA0340">
      <w:pPr>
        <w:pStyle w:val="Title3NumberedReport"/>
      </w:pPr>
      <w:r w:rsidRPr="00A04E56">
        <w:t>The</w:t>
      </w:r>
      <w:r w:rsidR="00764820" w:rsidRPr="00A04E56">
        <w:t xml:space="preserve"> performance framework</w:t>
      </w:r>
      <w:r w:rsidR="005348F6" w:rsidRPr="00A04E56">
        <w:t xml:space="preserve"> for the EU budget</w:t>
      </w:r>
    </w:p>
    <w:p w14:paraId="4B35A78A" w14:textId="0B969A9C" w:rsidR="00B140AF" w:rsidRPr="00A04E56" w:rsidRDefault="00C0773D" w:rsidP="00912F09">
      <w:pPr>
        <w:pStyle w:val="BodyText1spaceafter"/>
      </w:pPr>
      <w:r w:rsidRPr="00A04E56">
        <w:t xml:space="preserve">A robust performance framework for the EU budget is a prerequisite for result-oriented and well-managed EU programmes. For the 2014-2020 </w:t>
      </w:r>
      <w:r w:rsidR="00C107C1" w:rsidRPr="00A04E56">
        <w:t xml:space="preserve">multiannual financial framework, </w:t>
      </w:r>
      <w:r w:rsidRPr="00A04E56">
        <w:t>performance frameworks have been included as a new</w:t>
      </w:r>
      <w:r w:rsidR="005C18C2" w:rsidRPr="00A04E56">
        <w:t>,</w:t>
      </w:r>
      <w:r w:rsidRPr="00A04E56">
        <w:t xml:space="preserve"> compulsory feature in the legal basis of all financial programmes. This has</w:t>
      </w:r>
      <w:r w:rsidRPr="00A04E56" w:rsidDel="00AC25A9">
        <w:t xml:space="preserve"> </w:t>
      </w:r>
      <w:r w:rsidR="00DD6572" w:rsidRPr="00A04E56">
        <w:t xml:space="preserve">resulted in </w:t>
      </w:r>
      <w:r w:rsidRPr="00A04E56">
        <w:t>a stronger focus on results across the budget. These frameworks entail the</w:t>
      </w:r>
      <w:r w:rsidRPr="00A04E56" w:rsidDel="00276B51">
        <w:t xml:space="preserve"> </w:t>
      </w:r>
      <w:r w:rsidR="00276B51" w:rsidRPr="00A04E56">
        <w:t xml:space="preserve">setting </w:t>
      </w:r>
      <w:r w:rsidRPr="00A04E56">
        <w:t xml:space="preserve">of clear and measurable objectives and indicators as well as the necessary monitoring, reporting and evaluation arrangements. </w:t>
      </w:r>
    </w:p>
    <w:p w14:paraId="75D0FA8B" w14:textId="2BB611EA" w:rsidR="00C071F7" w:rsidRPr="00A04E56" w:rsidRDefault="00C071F7" w:rsidP="00C071F7">
      <w:pPr>
        <w:pStyle w:val="BodyText1spaceafter"/>
      </w:pPr>
      <w:r w:rsidRPr="00A04E56">
        <w:t>T</w:t>
      </w:r>
      <w:r w:rsidR="00C0773D" w:rsidRPr="00A04E56">
        <w:t>he indicators</w:t>
      </w:r>
      <w:r w:rsidR="00A85DDA" w:rsidRPr="00A04E56">
        <w:t xml:space="preserve"> in these frameworks</w:t>
      </w:r>
      <w:r w:rsidR="00C0773D" w:rsidRPr="00A04E56">
        <w:t xml:space="preserve">, together with other sources of </w:t>
      </w:r>
      <w:r w:rsidR="0017405D" w:rsidRPr="00A04E56">
        <w:t xml:space="preserve">qualitative and quantitative </w:t>
      </w:r>
      <w:r w:rsidR="00C0773D" w:rsidRPr="00A04E56">
        <w:t xml:space="preserve">performance information such as evaluations, provide a sound basis for </w:t>
      </w:r>
      <w:r w:rsidR="005C18C2" w:rsidRPr="00A04E56">
        <w:t xml:space="preserve">assessing programme performance and with it </w:t>
      </w:r>
      <w:r w:rsidR="00C0773D" w:rsidRPr="00A04E56">
        <w:t xml:space="preserve">progress towards </w:t>
      </w:r>
      <w:r w:rsidR="005C18C2" w:rsidRPr="00A04E56">
        <w:t>the agreed</w:t>
      </w:r>
      <w:r w:rsidR="00C0773D" w:rsidRPr="00A04E56">
        <w:t xml:space="preserve"> objectives. They also help anticipate and resolve problems in programme implementation when they arise</w:t>
      </w:r>
      <w:r w:rsidR="005348F6" w:rsidRPr="00A04E56">
        <w:t>.</w:t>
      </w:r>
    </w:p>
    <w:p w14:paraId="13D318F4" w14:textId="77777777" w:rsidR="000D13EF" w:rsidRPr="00A04E56" w:rsidRDefault="00C0773D" w:rsidP="000D13EF">
      <w:pPr>
        <w:pStyle w:val="BodyText1spaceafter"/>
      </w:pPr>
      <w:r w:rsidRPr="00A04E56">
        <w:t xml:space="preserve">During the early years of </w:t>
      </w:r>
      <w:r w:rsidR="00EA5542" w:rsidRPr="00A04E56">
        <w:t xml:space="preserve">a </w:t>
      </w:r>
      <w:r w:rsidRPr="00A04E56">
        <w:t>programme</w:t>
      </w:r>
      <w:r w:rsidR="00EA5542" w:rsidRPr="00A04E56">
        <w:t>’s</w:t>
      </w:r>
      <w:r w:rsidRPr="00A04E56">
        <w:t xml:space="preserve"> implementation, performance information is based on inputs</w:t>
      </w:r>
      <w:r w:rsidRPr="00A04E56" w:rsidDel="00EC0B83">
        <w:t xml:space="preserve"> </w:t>
      </w:r>
      <w:r w:rsidR="00EA5542" w:rsidRPr="00A04E56">
        <w:t>(</w:t>
      </w:r>
      <w:r w:rsidRPr="00A04E56">
        <w:t>i.e. the financial allocation to a particular programme</w:t>
      </w:r>
      <w:r w:rsidR="00EA5542" w:rsidRPr="00A04E56">
        <w:t>)</w:t>
      </w:r>
      <w:r w:rsidRPr="00A04E56" w:rsidDel="00EC0B83">
        <w:t xml:space="preserve"> </w:t>
      </w:r>
      <w:r w:rsidRPr="00A04E56">
        <w:t xml:space="preserve">and, </w:t>
      </w:r>
      <w:r w:rsidR="00084AC9" w:rsidRPr="00A04E56">
        <w:t>gradually</w:t>
      </w:r>
      <w:r w:rsidRPr="00A04E56">
        <w:t xml:space="preserve">, </w:t>
      </w:r>
      <w:r w:rsidR="00A85DDA" w:rsidRPr="00A04E56">
        <w:t xml:space="preserve">on </w:t>
      </w:r>
      <w:r w:rsidRPr="00A04E56">
        <w:t>outputs</w:t>
      </w:r>
      <w:r w:rsidR="00490817" w:rsidRPr="00A04E56">
        <w:t xml:space="preserve"> </w:t>
      </w:r>
      <w:r w:rsidR="00A85DDA" w:rsidRPr="00A04E56">
        <w:t>(i.e.</w:t>
      </w:r>
      <w:r w:rsidR="0017405D" w:rsidRPr="00A04E56">
        <w:t xml:space="preserve"> </w:t>
      </w:r>
      <w:r w:rsidR="00084AC9" w:rsidRPr="00A04E56">
        <w:t xml:space="preserve">the direct deliverables </w:t>
      </w:r>
      <w:r w:rsidR="0017405D" w:rsidRPr="00A04E56">
        <w:t>from a given</w:t>
      </w:r>
      <w:r w:rsidR="00084AC9" w:rsidRPr="00A04E56">
        <w:t xml:space="preserve"> project</w:t>
      </w:r>
      <w:r w:rsidRPr="00A04E56">
        <w:t>.</w:t>
      </w:r>
      <w:r w:rsidR="00A85DDA" w:rsidRPr="00A04E56">
        <w:t>)</w:t>
      </w:r>
      <w:r w:rsidRPr="00A04E56">
        <w:t xml:space="preserve"> This type of information gives a good initial indication of how </w:t>
      </w:r>
      <w:r w:rsidR="00084AC9" w:rsidRPr="00A04E56">
        <w:t xml:space="preserve">and where </w:t>
      </w:r>
      <w:r w:rsidRPr="00A04E56">
        <w:t xml:space="preserve">the EU budget is being spent. </w:t>
      </w:r>
      <w:r w:rsidR="000D13EF" w:rsidRPr="00A04E56">
        <w:t xml:space="preserve">As a programme is implemented, information on the results and to a lesser extent the longer-term impact of spending will become available. </w:t>
      </w:r>
    </w:p>
    <w:p w14:paraId="79DC879A" w14:textId="36A65713" w:rsidR="006F4CA8" w:rsidRPr="00A04E56" w:rsidRDefault="001E6EC4" w:rsidP="00912F09">
      <w:pPr>
        <w:pStyle w:val="BodyText1spaceafter"/>
      </w:pPr>
      <w:r>
        <w:t xml:space="preserve">To make the </w:t>
      </w:r>
      <w:r w:rsidR="006F4CA8" w:rsidRPr="00A04E56">
        <w:t xml:space="preserve">European structural </w:t>
      </w:r>
      <w:r w:rsidR="009B51A7">
        <w:t xml:space="preserve">and </w:t>
      </w:r>
      <w:r w:rsidR="006F4CA8" w:rsidRPr="00A04E56">
        <w:t>inve</w:t>
      </w:r>
      <w:r w:rsidR="00212533">
        <w:t>stment</w:t>
      </w:r>
      <w:r w:rsidR="006F4CA8" w:rsidRPr="00A04E56">
        <w:t xml:space="preserve"> </w:t>
      </w:r>
      <w:r w:rsidR="00212533">
        <w:t>funds</w:t>
      </w:r>
      <w:r w:rsidR="006F4CA8" w:rsidRPr="00A04E56">
        <w:t xml:space="preserve"> </w:t>
      </w:r>
      <w:r w:rsidR="00015933" w:rsidRPr="00A04E56">
        <w:t xml:space="preserve">(ESIF) </w:t>
      </w:r>
      <w:r>
        <w:t>more</w:t>
      </w:r>
      <w:r w:rsidR="006F4CA8" w:rsidRPr="00A04E56">
        <w:t xml:space="preserve"> performance </w:t>
      </w:r>
      <w:r>
        <w:t xml:space="preserve">oriented, </w:t>
      </w:r>
      <w:r w:rsidR="009E0C7E">
        <w:t>a mechanism with</w:t>
      </w:r>
      <w:r w:rsidR="00CB6A77" w:rsidRPr="00A04E56">
        <w:t xml:space="preserve"> </w:t>
      </w:r>
      <w:r w:rsidR="006F4CA8" w:rsidRPr="00A04E56">
        <w:t>a performance reserve</w:t>
      </w:r>
      <w:r w:rsidR="009E0C7E">
        <w:t xml:space="preserve"> has been foreseen. This reserve</w:t>
      </w:r>
      <w:r w:rsidR="006F4CA8" w:rsidRPr="00A04E56">
        <w:t xml:space="preserve"> will </w:t>
      </w:r>
      <w:r w:rsidR="00015933" w:rsidRPr="00A04E56">
        <w:t>b</w:t>
      </w:r>
      <w:r w:rsidR="006F4CA8" w:rsidRPr="00A04E56">
        <w:t>e released in 2019 to programmes that ha</w:t>
      </w:r>
      <w:r w:rsidR="009E0C7E">
        <w:t>d</w:t>
      </w:r>
      <w:r w:rsidR="006F4CA8" w:rsidRPr="00A04E56">
        <w:t xml:space="preserve"> achieved their predefined milestones by the end of 2018. </w:t>
      </w:r>
      <w:r w:rsidR="00621753" w:rsidRPr="00A04E56">
        <w:t>In the case of</w:t>
      </w:r>
      <w:r w:rsidR="006F4CA8" w:rsidRPr="00A04E56">
        <w:t xml:space="preserve"> programmes and priorities that ha</w:t>
      </w:r>
      <w:r w:rsidR="009E0C7E">
        <w:t>d</w:t>
      </w:r>
      <w:r w:rsidR="006F4CA8" w:rsidRPr="00A04E56">
        <w:t xml:space="preserve"> not achi</w:t>
      </w:r>
      <w:r w:rsidR="00373CFC">
        <w:t>e</w:t>
      </w:r>
      <w:r w:rsidR="006F4CA8" w:rsidRPr="00A04E56">
        <w:t xml:space="preserve">ved their milestones, resources will be reallocated to other priorities. </w:t>
      </w:r>
    </w:p>
    <w:p w14:paraId="4F8FA4CA" w14:textId="305E3387" w:rsidR="00707B42" w:rsidRPr="00A04E56" w:rsidRDefault="00866C01" w:rsidP="00B140AF">
      <w:pPr>
        <w:pStyle w:val="BodyText1spaceafter"/>
      </w:pPr>
      <w:r w:rsidRPr="00A04E56">
        <w:t>In addition to the performance framework, a</w:t>
      </w:r>
      <w:r w:rsidR="00C0773D" w:rsidRPr="00A04E56">
        <w:t xml:space="preserve">udits </w:t>
      </w:r>
      <w:r w:rsidR="004357D6" w:rsidRPr="00A04E56">
        <w:t xml:space="preserve">conducted by </w:t>
      </w:r>
      <w:r w:rsidR="00C071F7" w:rsidRPr="00A04E56">
        <w:t>internal and external auditors</w:t>
      </w:r>
      <w:r w:rsidR="00C0773D" w:rsidRPr="00A04E56">
        <w:t xml:space="preserve"> also help improve the performance of programmes, as well as the efficiency and effectiveness of the operations, management systems and procedures of the bodies and institutions that manage EU funds.</w:t>
      </w:r>
      <w:r w:rsidR="00592976" w:rsidRPr="00A04E56">
        <w:t xml:space="preserve"> Audit work has also helped the Commission to improve the quality of its performance reporting. Recent recommendations from the European Court of Auditors have led to more balanced reporting</w:t>
      </w:r>
      <w:r w:rsidR="009E0C7E">
        <w:t xml:space="preserve"> in the annual activity reports</w:t>
      </w:r>
      <w:r w:rsidR="004357D6" w:rsidRPr="00A04E56">
        <w:t>,</w:t>
      </w:r>
      <w:r w:rsidR="00592976" w:rsidRPr="00A04E56">
        <w:t xml:space="preserve"> with </w:t>
      </w:r>
      <w:r w:rsidR="004357D6" w:rsidRPr="00A04E56">
        <w:t xml:space="preserve">more </w:t>
      </w:r>
      <w:r w:rsidR="00592976" w:rsidRPr="00A04E56">
        <w:t xml:space="preserve">attention given to challenges encountered, to a stronger focus on the reliability and quality of data, and clearer explanations of how </w:t>
      </w:r>
      <w:r w:rsidR="006A4EC0" w:rsidRPr="00A04E56">
        <w:t xml:space="preserve">data on </w:t>
      </w:r>
      <w:r w:rsidR="00592976" w:rsidRPr="00A04E56">
        <w:t>performance has been used to improve performance.</w:t>
      </w:r>
    </w:p>
    <w:p w14:paraId="604977F8" w14:textId="7354A5B6" w:rsidR="004912D7" w:rsidRPr="00A04E56" w:rsidRDefault="004912D7" w:rsidP="004912D7">
      <w:pPr>
        <w:pStyle w:val="Title3NumberedReport"/>
      </w:pPr>
      <w:r w:rsidRPr="00A04E56">
        <w:t xml:space="preserve">Proposals for a new, modern and focused long-term budget, tightly geared to the political priorities </w:t>
      </w:r>
    </w:p>
    <w:p w14:paraId="4564CE52" w14:textId="56AE6958" w:rsidR="004912D7" w:rsidRPr="00A04E56" w:rsidRDefault="004912D7" w:rsidP="004912D7">
      <w:pPr>
        <w:pStyle w:val="BodyText1spaceafter"/>
      </w:pPr>
      <w:r w:rsidRPr="00A04E56">
        <w:t xml:space="preserve">The Commission services conducted a comprehensive spending review of the EU budget in 2017 and 2018 setting out the evidence and the analytical underpinning for the Commission’s proposals for the </w:t>
      </w:r>
      <w:r w:rsidR="00373CFC">
        <w:t>future multiannual financial framework and the accompanying sectorial programmes</w:t>
      </w:r>
      <w:r w:rsidRPr="00A04E56">
        <w:t xml:space="preserve">. The review was designed to identify the features of current programmes that have proven their worth and should be replicated or amplified in the future financial programmes. It also identified the areas where reform was needed to make full use of the potential of the EU budget. These were: i) focus on EU added value; ii) streamlining the budget and exploiting synergies between programmes; iii) simplification and sound financial management; iv) flexibility and the ability to respond to crises; v) focus on performance; and vi) coherence with main political objectives and values. </w:t>
      </w:r>
    </w:p>
    <w:p w14:paraId="3DCA5C5F" w14:textId="1AE4B946" w:rsidR="004912D7" w:rsidRPr="00A04E56" w:rsidRDefault="004912D7" w:rsidP="004912D7">
      <w:pPr>
        <w:pStyle w:val="BodyText1spaceafter"/>
      </w:pPr>
      <w:r w:rsidRPr="00A04E56">
        <w:t>In these proposals, the Commission increasinlgy focused on the European added value of EU spending. The proposals also include measures to improve the overall performance framework, for example by streamlining the number of programmes and improving how they work together, creating more flexibility and using a smaller number of higher quality indicators to monitor and report on programme performance.</w:t>
      </w:r>
    </w:p>
    <w:p w14:paraId="7D8C5362" w14:textId="77777777" w:rsidR="004912D7" w:rsidRPr="00A04E56" w:rsidRDefault="004912D7" w:rsidP="004912D7">
      <w:pPr>
        <w:pStyle w:val="BodyText1spaceafter"/>
      </w:pPr>
      <w:r w:rsidRPr="00A04E56">
        <w:t xml:space="preserve">The EU budget reflects the EU’s commonly agreed priorities and shows how they can be delivered. The political agenda set out by leaders in </w:t>
      </w:r>
      <w:r w:rsidRPr="00A04E56">
        <w:rPr>
          <w:rStyle w:val="BOLDLIGHTBLUEReport"/>
          <w:rFonts w:eastAsia="Calibri"/>
        </w:rPr>
        <w:t>Bratislava</w:t>
      </w:r>
      <w:r w:rsidRPr="00A04E56">
        <w:t xml:space="preserve"> and </w:t>
      </w:r>
      <w:r w:rsidRPr="00A04E56">
        <w:rPr>
          <w:rStyle w:val="BOLDLIGHTBLUEReport"/>
          <w:rFonts w:eastAsia="Calibri"/>
        </w:rPr>
        <w:t>Rome</w:t>
      </w:r>
      <w:r w:rsidRPr="00A04E56">
        <w:t xml:space="preserve"> is the roadmap for the future long-term budget, which the Commission proposed</w:t>
      </w:r>
      <w:r w:rsidRPr="00A04E56">
        <w:rPr>
          <w:rFonts w:ascii="Arial" w:hAnsi="Arial" w:cs="Arial"/>
        </w:rPr>
        <w:t> </w:t>
      </w:r>
      <w:r w:rsidRPr="00A04E56">
        <w:t>(</w:t>
      </w:r>
      <w:r w:rsidRPr="00A04E56">
        <w:rPr>
          <w:vertAlign w:val="superscript"/>
        </w:rPr>
        <w:footnoteReference w:id="31"/>
      </w:r>
      <w:r w:rsidRPr="00A04E56">
        <w:t xml:space="preserve">) in May 2018 and which covers the period 2021-2027. </w:t>
      </w:r>
    </w:p>
    <w:p w14:paraId="2BD055C1" w14:textId="77777777" w:rsidR="004912D7" w:rsidRPr="00A04E56" w:rsidRDefault="004912D7" w:rsidP="004912D7">
      <w:pPr>
        <w:pStyle w:val="BodyText1spaceafter"/>
      </w:pPr>
      <w:r w:rsidRPr="00A04E56">
        <w:t>The proposals modernise the budget by providing a significant boost to funding in several key strategic areas. From innovation to the digital economy, from training and employment for young people to climate action and the environment, from migration and border management to security, defence and external action, the budget will invest where it really counts.</w:t>
      </w:r>
    </w:p>
    <w:p w14:paraId="7276957E" w14:textId="77777777" w:rsidR="004912D7" w:rsidRPr="00A04E56" w:rsidRDefault="004912D7" w:rsidP="004912D7">
      <w:pPr>
        <w:pStyle w:val="BodyText1spaceafter"/>
      </w:pPr>
      <w:r w:rsidRPr="00A04E56">
        <w:t>The next long-term budget should also be simpler and more transparent so that stakeholders can make the most out of it. The European Parliament and the Council as well as beneficiaries, large and small, have asked for this and the Commission has been listening and proposed a radically simplified budget.</w:t>
      </w:r>
    </w:p>
    <w:p w14:paraId="4A51EE72" w14:textId="77777777" w:rsidR="004912D7" w:rsidRPr="00A04E56" w:rsidRDefault="004912D7" w:rsidP="004912D7">
      <w:pPr>
        <w:pStyle w:val="BodyText1spaceafter"/>
        <w:keepNext/>
      </w:pPr>
      <w:r w:rsidRPr="00A04E56">
        <w:t>The key features of the next EU budget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857"/>
        <w:gridCol w:w="1857"/>
        <w:gridCol w:w="1857"/>
        <w:gridCol w:w="1858"/>
      </w:tblGrid>
      <w:tr w:rsidR="004912D7" w:rsidRPr="00A04E56" w14:paraId="6058CAFC" w14:textId="77777777" w:rsidTr="00725789">
        <w:tc>
          <w:tcPr>
            <w:tcW w:w="1857" w:type="dxa"/>
            <w:vAlign w:val="center"/>
          </w:tcPr>
          <w:p w14:paraId="44356601" w14:textId="5FCE7360" w:rsidR="004912D7" w:rsidRPr="00A04E56" w:rsidRDefault="00725789" w:rsidP="00017E1D">
            <w:pPr>
              <w:pStyle w:val="BodyText"/>
              <w:keepNext/>
              <w:jc w:val="center"/>
              <w:rPr>
                <w:sz w:val="18"/>
                <w:lang w:eastAsia="fr-BE"/>
              </w:rPr>
            </w:pPr>
            <w:r>
              <w:rPr>
                <w:noProof/>
                <w:sz w:val="18"/>
                <w:lang w:val="fr-BE" w:eastAsia="fr-BE"/>
              </w:rPr>
              <w:drawing>
                <wp:inline distT="0" distB="0" distL="0" distR="0" wp14:anchorId="0E2D20DD" wp14:editId="28464106">
                  <wp:extent cx="466358" cy="54378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 EUBudget_AddedValue_funding.emf"/>
                          <pic:cNvPicPr/>
                        </pic:nvPicPr>
                        <pic:blipFill>
                          <a:blip r:embed="rId93">
                            <a:extLst>
                              <a:ext uri="{28A0092B-C50C-407E-A947-70E740481C1C}">
                                <a14:useLocalDpi xmlns:a14="http://schemas.microsoft.com/office/drawing/2010/main"/>
                              </a:ext>
                            </a:extLst>
                          </a:blip>
                          <a:stretch>
                            <a:fillRect/>
                          </a:stretch>
                        </pic:blipFill>
                        <pic:spPr>
                          <a:xfrm>
                            <a:off x="0" y="0"/>
                            <a:ext cx="466358" cy="543780"/>
                          </a:xfrm>
                          <a:prstGeom prst="rect">
                            <a:avLst/>
                          </a:prstGeom>
                        </pic:spPr>
                      </pic:pic>
                    </a:graphicData>
                  </a:graphic>
                </wp:inline>
              </w:drawing>
            </w:r>
          </w:p>
        </w:tc>
        <w:tc>
          <w:tcPr>
            <w:tcW w:w="1857" w:type="dxa"/>
            <w:vAlign w:val="center"/>
          </w:tcPr>
          <w:p w14:paraId="4F96FEFE" w14:textId="488D8013" w:rsidR="004912D7" w:rsidRPr="00A04E56" w:rsidRDefault="00725789" w:rsidP="00017E1D">
            <w:pPr>
              <w:pStyle w:val="BodyText"/>
              <w:keepNext/>
              <w:jc w:val="center"/>
              <w:rPr>
                <w:sz w:val="18"/>
                <w:lang w:eastAsia="fr-BE"/>
              </w:rPr>
            </w:pPr>
            <w:r>
              <w:rPr>
                <w:noProof/>
                <w:sz w:val="18"/>
                <w:lang w:val="fr-BE" w:eastAsia="fr-BE"/>
              </w:rPr>
              <w:drawing>
                <wp:inline distT="0" distB="0" distL="0" distR="0" wp14:anchorId="77772FD1" wp14:editId="2A3938FB">
                  <wp:extent cx="542498" cy="505620"/>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 EUBudget_AddedValue_protect.emf"/>
                          <pic:cNvPicPr/>
                        </pic:nvPicPr>
                        <pic:blipFill>
                          <a:blip r:embed="rId94">
                            <a:extLst>
                              <a:ext uri="{28A0092B-C50C-407E-A947-70E740481C1C}">
                                <a14:useLocalDpi xmlns:a14="http://schemas.microsoft.com/office/drawing/2010/main"/>
                              </a:ext>
                            </a:extLst>
                          </a:blip>
                          <a:stretch>
                            <a:fillRect/>
                          </a:stretch>
                        </pic:blipFill>
                        <pic:spPr>
                          <a:xfrm>
                            <a:off x="0" y="0"/>
                            <a:ext cx="542498" cy="505620"/>
                          </a:xfrm>
                          <a:prstGeom prst="rect">
                            <a:avLst/>
                          </a:prstGeom>
                        </pic:spPr>
                      </pic:pic>
                    </a:graphicData>
                  </a:graphic>
                </wp:inline>
              </w:drawing>
            </w:r>
          </w:p>
        </w:tc>
        <w:tc>
          <w:tcPr>
            <w:tcW w:w="1857" w:type="dxa"/>
            <w:vAlign w:val="center"/>
          </w:tcPr>
          <w:p w14:paraId="6EC12CD0" w14:textId="0E2C0CDD" w:rsidR="004912D7" w:rsidRPr="00A04E56" w:rsidRDefault="00725789" w:rsidP="00017E1D">
            <w:pPr>
              <w:pStyle w:val="BodyText"/>
              <w:keepNext/>
              <w:jc w:val="center"/>
              <w:rPr>
                <w:sz w:val="18"/>
                <w:lang w:eastAsia="fr-BE"/>
              </w:rPr>
            </w:pPr>
            <w:r>
              <w:rPr>
                <w:noProof/>
                <w:sz w:val="18"/>
                <w:lang w:val="fr-BE" w:eastAsia="fr-BE"/>
              </w:rPr>
              <w:drawing>
                <wp:inline distT="0" distB="0" distL="0" distR="0" wp14:anchorId="4AF63661" wp14:editId="704BB8B1">
                  <wp:extent cx="571050" cy="228960"/>
                  <wp:effectExtent l="0" t="0" r="63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2 EUBudget_AddedValue_strong_focus.emf"/>
                          <pic:cNvPicPr/>
                        </pic:nvPicPr>
                        <pic:blipFill>
                          <a:blip r:embed="rId95">
                            <a:extLst>
                              <a:ext uri="{28A0092B-C50C-407E-A947-70E740481C1C}">
                                <a14:useLocalDpi xmlns:a14="http://schemas.microsoft.com/office/drawing/2010/main"/>
                              </a:ext>
                            </a:extLst>
                          </a:blip>
                          <a:stretch>
                            <a:fillRect/>
                          </a:stretch>
                        </pic:blipFill>
                        <pic:spPr>
                          <a:xfrm>
                            <a:off x="0" y="0"/>
                            <a:ext cx="571050" cy="228960"/>
                          </a:xfrm>
                          <a:prstGeom prst="rect">
                            <a:avLst/>
                          </a:prstGeom>
                        </pic:spPr>
                      </pic:pic>
                    </a:graphicData>
                  </a:graphic>
                </wp:inline>
              </w:drawing>
            </w:r>
          </w:p>
        </w:tc>
        <w:tc>
          <w:tcPr>
            <w:tcW w:w="1857" w:type="dxa"/>
            <w:vAlign w:val="center"/>
          </w:tcPr>
          <w:p w14:paraId="03E11FE7" w14:textId="37CAA49A" w:rsidR="004912D7" w:rsidRPr="00A04E56" w:rsidRDefault="00725789" w:rsidP="00017E1D">
            <w:pPr>
              <w:pStyle w:val="BodyText"/>
              <w:keepNext/>
              <w:jc w:val="center"/>
              <w:rPr>
                <w:sz w:val="18"/>
                <w:lang w:eastAsia="fr-BE"/>
              </w:rPr>
            </w:pPr>
            <w:r>
              <w:rPr>
                <w:noProof/>
                <w:sz w:val="18"/>
                <w:lang w:val="fr-BE" w:eastAsia="fr-BE"/>
              </w:rPr>
              <w:drawing>
                <wp:inline distT="0" distB="0" distL="0" distR="0" wp14:anchorId="74196802" wp14:editId="23F95165">
                  <wp:extent cx="647190" cy="381600"/>
                  <wp:effectExtent l="0" t="0" r="63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2 EUBudget_AddedValue_tape.emf"/>
                          <pic:cNvPicPr/>
                        </pic:nvPicPr>
                        <pic:blipFill>
                          <a:blip r:embed="rId96">
                            <a:extLst>
                              <a:ext uri="{28A0092B-C50C-407E-A947-70E740481C1C}">
                                <a14:useLocalDpi xmlns:a14="http://schemas.microsoft.com/office/drawing/2010/main"/>
                              </a:ext>
                            </a:extLst>
                          </a:blip>
                          <a:stretch>
                            <a:fillRect/>
                          </a:stretch>
                        </pic:blipFill>
                        <pic:spPr>
                          <a:xfrm>
                            <a:off x="0" y="0"/>
                            <a:ext cx="647190" cy="381600"/>
                          </a:xfrm>
                          <a:prstGeom prst="rect">
                            <a:avLst/>
                          </a:prstGeom>
                        </pic:spPr>
                      </pic:pic>
                    </a:graphicData>
                  </a:graphic>
                </wp:inline>
              </w:drawing>
            </w:r>
          </w:p>
        </w:tc>
        <w:tc>
          <w:tcPr>
            <w:tcW w:w="1858" w:type="dxa"/>
            <w:vAlign w:val="center"/>
          </w:tcPr>
          <w:p w14:paraId="6E91899A" w14:textId="5852C50C" w:rsidR="004912D7" w:rsidRPr="00A04E56" w:rsidRDefault="00725789" w:rsidP="00017E1D">
            <w:pPr>
              <w:pStyle w:val="BodyText"/>
              <w:keepNext/>
              <w:jc w:val="center"/>
              <w:rPr>
                <w:sz w:val="18"/>
                <w:lang w:eastAsia="fr-BE"/>
              </w:rPr>
            </w:pPr>
            <w:r>
              <w:rPr>
                <w:noProof/>
                <w:sz w:val="18"/>
                <w:lang w:val="fr-BE" w:eastAsia="fr-BE"/>
              </w:rPr>
              <w:drawing>
                <wp:inline distT="0" distB="0" distL="0" distR="0" wp14:anchorId="7A5E49B4" wp14:editId="2EB4432B">
                  <wp:extent cx="390218" cy="5342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2 EUBudget_AddedValue_flexible.emf"/>
                          <pic:cNvPicPr/>
                        </pic:nvPicPr>
                        <pic:blipFill>
                          <a:blip r:embed="rId97">
                            <a:extLst>
                              <a:ext uri="{28A0092B-C50C-407E-A947-70E740481C1C}">
                                <a14:useLocalDpi xmlns:a14="http://schemas.microsoft.com/office/drawing/2010/main"/>
                              </a:ext>
                            </a:extLst>
                          </a:blip>
                          <a:stretch>
                            <a:fillRect/>
                          </a:stretch>
                        </pic:blipFill>
                        <pic:spPr>
                          <a:xfrm>
                            <a:off x="0" y="0"/>
                            <a:ext cx="390218" cy="534240"/>
                          </a:xfrm>
                          <a:prstGeom prst="rect">
                            <a:avLst/>
                          </a:prstGeom>
                        </pic:spPr>
                      </pic:pic>
                    </a:graphicData>
                  </a:graphic>
                </wp:inline>
              </w:drawing>
            </w:r>
          </w:p>
        </w:tc>
      </w:tr>
      <w:tr w:rsidR="004912D7" w:rsidRPr="00A04E56" w14:paraId="7E6E2F77" w14:textId="77777777" w:rsidTr="00017E1D">
        <w:tc>
          <w:tcPr>
            <w:tcW w:w="1857" w:type="dxa"/>
          </w:tcPr>
          <w:p w14:paraId="49701112" w14:textId="77777777" w:rsidR="004912D7" w:rsidRPr="00A04E56" w:rsidRDefault="004912D7" w:rsidP="00017E1D">
            <w:pPr>
              <w:pStyle w:val="BodyText"/>
              <w:jc w:val="center"/>
              <w:rPr>
                <w:i/>
                <w:sz w:val="18"/>
                <w:lang w:eastAsia="fr-BE"/>
              </w:rPr>
            </w:pPr>
            <w:r w:rsidRPr="00A04E56">
              <w:rPr>
                <w:i/>
                <w:sz w:val="18"/>
              </w:rPr>
              <w:t>More funding for priority areas</w:t>
            </w:r>
          </w:p>
        </w:tc>
        <w:tc>
          <w:tcPr>
            <w:tcW w:w="1857" w:type="dxa"/>
          </w:tcPr>
          <w:p w14:paraId="6B4BAC1D" w14:textId="77777777" w:rsidR="004912D7" w:rsidRPr="00A04E56" w:rsidRDefault="004912D7" w:rsidP="00017E1D">
            <w:pPr>
              <w:pStyle w:val="BodyText"/>
              <w:jc w:val="center"/>
              <w:rPr>
                <w:i/>
                <w:sz w:val="18"/>
                <w:lang w:eastAsia="fr-BE"/>
              </w:rPr>
            </w:pPr>
            <w:r w:rsidRPr="00A04E56">
              <w:rPr>
                <w:i/>
                <w:sz w:val="18"/>
              </w:rPr>
              <w:t>A new mechanism to protect the EU budget from financial risks linked to the rule of law</w:t>
            </w:r>
          </w:p>
        </w:tc>
        <w:tc>
          <w:tcPr>
            <w:tcW w:w="1857" w:type="dxa"/>
          </w:tcPr>
          <w:p w14:paraId="5116C6CD" w14:textId="77777777" w:rsidR="004912D7" w:rsidRPr="00A04E56" w:rsidRDefault="004912D7" w:rsidP="00017E1D">
            <w:pPr>
              <w:pStyle w:val="BodyText"/>
              <w:jc w:val="center"/>
              <w:rPr>
                <w:i/>
                <w:sz w:val="18"/>
                <w:lang w:eastAsia="fr-BE"/>
              </w:rPr>
            </w:pPr>
            <w:r w:rsidRPr="00A04E56">
              <w:rPr>
                <w:i/>
                <w:sz w:val="18"/>
              </w:rPr>
              <w:t>A strong focus on European added value and on performance</w:t>
            </w:r>
          </w:p>
        </w:tc>
        <w:tc>
          <w:tcPr>
            <w:tcW w:w="1857" w:type="dxa"/>
          </w:tcPr>
          <w:p w14:paraId="71D58075" w14:textId="77777777" w:rsidR="004912D7" w:rsidRPr="00A04E56" w:rsidRDefault="004912D7" w:rsidP="00017E1D">
            <w:pPr>
              <w:pStyle w:val="BodyText"/>
              <w:jc w:val="center"/>
              <w:rPr>
                <w:i/>
                <w:sz w:val="18"/>
                <w:lang w:eastAsia="fr-BE"/>
              </w:rPr>
            </w:pPr>
            <w:r w:rsidRPr="00A04E56">
              <w:rPr>
                <w:i/>
                <w:sz w:val="18"/>
              </w:rPr>
              <w:t>Less red tape for beneficiaries</w:t>
            </w:r>
          </w:p>
        </w:tc>
        <w:tc>
          <w:tcPr>
            <w:tcW w:w="1858" w:type="dxa"/>
          </w:tcPr>
          <w:p w14:paraId="26AE0E7A" w14:textId="77777777" w:rsidR="004912D7" w:rsidRPr="00A04E56" w:rsidRDefault="004912D7" w:rsidP="00017E1D">
            <w:pPr>
              <w:pStyle w:val="BodyText"/>
              <w:jc w:val="center"/>
              <w:rPr>
                <w:i/>
                <w:sz w:val="18"/>
                <w:lang w:eastAsia="fr-BE"/>
              </w:rPr>
            </w:pPr>
            <w:r w:rsidRPr="00A04E56">
              <w:rPr>
                <w:i/>
                <w:sz w:val="18"/>
              </w:rPr>
              <w:t>A more flexible and agile budget with a clearer and leaner architecture</w:t>
            </w:r>
          </w:p>
        </w:tc>
      </w:tr>
    </w:tbl>
    <w:p w14:paraId="1200A86B" w14:textId="4212E25E" w:rsidR="009B74AB" w:rsidRPr="00A04E56" w:rsidRDefault="009B74AB" w:rsidP="00AA0340">
      <w:pPr>
        <w:pStyle w:val="Title3NumberedReport"/>
      </w:pPr>
      <w:r w:rsidRPr="00A04E56">
        <w:t xml:space="preserve">The EU budget and the Europe 2020 strategy </w:t>
      </w:r>
    </w:p>
    <w:p w14:paraId="3E49C4F2" w14:textId="189B4C59" w:rsidR="009B74AB" w:rsidRPr="00A04E56" w:rsidRDefault="009B74AB" w:rsidP="00CB0E20">
      <w:pPr>
        <w:pStyle w:val="BodyText1spaceafter"/>
      </w:pPr>
      <w:r w:rsidRPr="00A04E56">
        <w:t>The current long</w:t>
      </w:r>
      <w:r w:rsidR="0019228F" w:rsidRPr="00A04E56">
        <w:rPr>
          <w:noProof w:val="0"/>
        </w:rPr>
        <w:t>-term</w:t>
      </w:r>
      <w:r w:rsidRPr="00A04E56" w:rsidDel="0019228F">
        <w:t xml:space="preserve"> </w:t>
      </w:r>
      <w:r w:rsidRPr="00A04E56">
        <w:t>budget contribut</w:t>
      </w:r>
      <w:r w:rsidR="00865B7F" w:rsidRPr="00A04E56">
        <w:t>es</w:t>
      </w:r>
      <w:r w:rsidRPr="00A04E56">
        <w:t xml:space="preserve"> to the </w:t>
      </w:r>
      <w:r w:rsidRPr="00A04E56">
        <w:rPr>
          <w:rStyle w:val="BOLDLIGHTBLUEReport"/>
          <w:rFonts w:eastAsia="Calibri"/>
        </w:rPr>
        <w:t>Europe 2020 strategy for smart, sustainable and inclusive growth</w:t>
      </w:r>
      <w:r w:rsidRPr="00A04E56">
        <w:t xml:space="preserve">. The targets are a shared responsibility of the </w:t>
      </w:r>
      <w:r w:rsidR="009A0795" w:rsidRPr="00A04E56">
        <w:rPr>
          <w:noProof w:val="0"/>
        </w:rPr>
        <w:t>EU</w:t>
      </w:r>
      <w:r w:rsidRPr="00A04E56">
        <w:t xml:space="preserve"> and its Member States</w:t>
      </w:r>
      <w:r w:rsidR="00465F02" w:rsidRPr="00A04E56">
        <w:t>,</w:t>
      </w:r>
      <w:r w:rsidRPr="00A04E56">
        <w:t xml:space="preserve"> and their achievement requires the combination of multiple policy tools, including the EU and national budgets.</w:t>
      </w:r>
    </w:p>
    <w:p w14:paraId="2F155AF8" w14:textId="165A1983" w:rsidR="009B74AB" w:rsidRPr="00A04E56" w:rsidRDefault="009B74AB" w:rsidP="00CB0E20">
      <w:pPr>
        <w:pStyle w:val="BodyText1spaceafter"/>
      </w:pPr>
      <w:r w:rsidRPr="00A04E56">
        <w:t xml:space="preserve">The </w:t>
      </w:r>
      <w:r w:rsidR="00465F02" w:rsidRPr="00A04E56">
        <w:t xml:space="preserve">Commission uses nine indicators to monitor the </w:t>
      </w:r>
      <w:r w:rsidRPr="00A04E56">
        <w:t>Europe 2020 headline targets</w:t>
      </w:r>
      <w:r w:rsidR="005128AA" w:rsidRPr="00A04E56">
        <w:rPr>
          <w:rStyle w:val="fnRef"/>
          <w:rFonts w:ascii="Arial" w:hAnsi="Arial" w:cs="Arial"/>
        </w:rPr>
        <w:t> </w:t>
      </w:r>
      <w:r w:rsidR="0035678A" w:rsidRPr="00A04E56">
        <w:rPr>
          <w:rStyle w:val="fnRef"/>
        </w:rPr>
        <w:t>(</w:t>
      </w:r>
      <w:r w:rsidR="0035678A" w:rsidRPr="00A04E56">
        <w:rPr>
          <w:rStyle w:val="fnRefNo"/>
        </w:rPr>
        <w:footnoteReference w:id="32"/>
      </w:r>
      <w:r w:rsidR="0035678A" w:rsidRPr="00A04E56">
        <w:rPr>
          <w:rStyle w:val="fnRef"/>
        </w:rPr>
        <w:t>)</w:t>
      </w:r>
      <w:r w:rsidRPr="00A04E56">
        <w:t xml:space="preserve">. Information on progress is updated </w:t>
      </w:r>
      <w:r w:rsidR="00465F02" w:rsidRPr="00A04E56">
        <w:t xml:space="preserve">regularly </w:t>
      </w:r>
      <w:r w:rsidRPr="00A04E56">
        <w:t xml:space="preserve">and published on Eurostat’s website. The table below presents the latest available data for these indicators. </w:t>
      </w:r>
    </w:p>
    <w:p w14:paraId="614FBAE0" w14:textId="23B0A482" w:rsidR="009B74AB" w:rsidRPr="00A04E56" w:rsidRDefault="009B74AB" w:rsidP="00CB0E20">
      <w:pPr>
        <w:pStyle w:val="BodyText1spaceafter"/>
      </w:pPr>
      <w:r w:rsidRPr="00A04E56">
        <w:t xml:space="preserve">Member States are making progress towards the goals they set </w:t>
      </w:r>
      <w:r w:rsidR="004361A7" w:rsidRPr="00A04E56">
        <w:rPr>
          <w:noProof w:val="0"/>
        </w:rPr>
        <w:t>9 </w:t>
      </w:r>
      <w:r w:rsidRPr="00A04E56">
        <w:t xml:space="preserve">years ago in the Europe 2020 strategy. Overall, the EU is </w:t>
      </w:r>
      <w:r w:rsidR="00465F02" w:rsidRPr="00A04E56">
        <w:t xml:space="preserve">nearing </w:t>
      </w:r>
      <w:r w:rsidRPr="00A04E56">
        <w:t xml:space="preserve">its targets on education, energy, climate and employment. 14 Member States have already achieved their national targets </w:t>
      </w:r>
      <w:r w:rsidR="00465F02" w:rsidRPr="00A04E56">
        <w:t xml:space="preserve">of </w:t>
      </w:r>
      <w:r w:rsidRPr="00A04E56">
        <w:t>reducing early</w:t>
      </w:r>
      <w:r w:rsidR="00750093" w:rsidRPr="00A04E56">
        <w:t>-</w:t>
      </w:r>
      <w:r w:rsidRPr="00A04E56">
        <w:t xml:space="preserve">school leaving and in increasing the share of </w:t>
      </w:r>
      <w:r w:rsidR="00465F02" w:rsidRPr="00A04E56">
        <w:t xml:space="preserve">the population with </w:t>
      </w:r>
      <w:r w:rsidRPr="00A04E56">
        <w:t>tertiary</w:t>
      </w:r>
      <w:r w:rsidR="00465F02" w:rsidRPr="00A04E56">
        <w:t xml:space="preserve"> </w:t>
      </w:r>
      <w:r w:rsidRPr="00A04E56">
        <w:t>educat</w:t>
      </w:r>
      <w:r w:rsidR="00E73C09" w:rsidRPr="00A04E56">
        <w:t>ion</w:t>
      </w:r>
      <w:r w:rsidRPr="00A04E56">
        <w:t xml:space="preserve">. 11 Member States have </w:t>
      </w:r>
      <w:r w:rsidR="00AC617A" w:rsidRPr="00A04E56">
        <w:t>already achieved a share of</w:t>
      </w:r>
      <w:r w:rsidRPr="00A04E56">
        <w:t xml:space="preserve"> renewable</w:t>
      </w:r>
      <w:r w:rsidR="006709D4" w:rsidRPr="00A04E56">
        <w:t xml:space="preserve"> </w:t>
      </w:r>
      <w:r w:rsidRPr="00A04E56">
        <w:t xml:space="preserve">energy </w:t>
      </w:r>
      <w:r w:rsidR="00AC617A" w:rsidRPr="00A04E56">
        <w:t>that corresponds to their national target for 2020.</w:t>
      </w:r>
      <w:r w:rsidRPr="00A04E56">
        <w:t xml:space="preserve"> The EU target of 75% employment </w:t>
      </w:r>
      <w:r w:rsidR="00E73C09" w:rsidRPr="00A04E56">
        <w:t xml:space="preserve">by </w:t>
      </w:r>
      <w:r w:rsidRPr="00A04E56">
        <w:t>2020 is on track</w:t>
      </w:r>
      <w:r w:rsidR="00750093" w:rsidRPr="00A04E56">
        <w:t>,</w:t>
      </w:r>
      <w:r w:rsidRPr="00A04E56">
        <w:t xml:space="preserve"> assuming the current trend continues</w:t>
      </w:r>
      <w:r w:rsidR="00750093" w:rsidRPr="00A04E56">
        <w:t>,</w:t>
      </w:r>
      <w:r w:rsidRPr="00A04E56">
        <w:t xml:space="preserve"> and seven Member States have already </w:t>
      </w:r>
      <w:r w:rsidR="00E73C09" w:rsidRPr="00A04E56">
        <w:t xml:space="preserve">achieved </w:t>
      </w:r>
      <w:r w:rsidRPr="00A04E56">
        <w:t xml:space="preserve">their national goals. This is a remarkable achievement given the severe impact of the crisis on employment. However, the number of people at risk of poverty or social exclusion peaked in 2012 </w:t>
      </w:r>
      <w:r w:rsidR="006709D4" w:rsidRPr="00A04E56">
        <w:t xml:space="preserve">but </w:t>
      </w:r>
      <w:r w:rsidRPr="00A04E56">
        <w:t xml:space="preserve">has since </w:t>
      </w:r>
      <w:r w:rsidR="00E73C09" w:rsidRPr="00A04E56">
        <w:t>fallen</w:t>
      </w:r>
      <w:r w:rsidRPr="00A04E56">
        <w:t xml:space="preserve"> to around pre-crisis levels. As a result, the target is unlikely to be met in 2020. Likewise, the goal of 3% of </w:t>
      </w:r>
      <w:r w:rsidR="00CA36C2" w:rsidRPr="00A04E56">
        <w:t>gross domestic product value as</w:t>
      </w:r>
      <w:r w:rsidR="00E73C09" w:rsidRPr="00A04E56">
        <w:t xml:space="preserve"> </w:t>
      </w:r>
      <w:r w:rsidRPr="00A04E56">
        <w:t xml:space="preserve">investment in </w:t>
      </w:r>
      <w:r w:rsidR="00750093" w:rsidRPr="00A04E56">
        <w:t>r</w:t>
      </w:r>
      <w:r w:rsidRPr="00A04E56">
        <w:t xml:space="preserve">esearch and </w:t>
      </w:r>
      <w:r w:rsidR="00750093" w:rsidRPr="00A04E56">
        <w:t>d</w:t>
      </w:r>
      <w:r w:rsidRPr="00A04E56">
        <w:t xml:space="preserve">evelopment is far </w:t>
      </w:r>
      <w:r w:rsidR="006704CA" w:rsidRPr="00A04E56">
        <w:t>off</w:t>
      </w:r>
      <w:r w:rsidRPr="00A04E56">
        <w:t xml:space="preserve"> and will require major efforts </w:t>
      </w:r>
      <w:r w:rsidR="00373CFC">
        <w:t>if</w:t>
      </w:r>
      <w:r w:rsidR="00373CFC" w:rsidRPr="00A04E56">
        <w:t xml:space="preserve"> </w:t>
      </w:r>
      <w:r w:rsidR="00E73C09" w:rsidRPr="00A04E56">
        <w:t xml:space="preserve">it is to </w:t>
      </w:r>
      <w:r w:rsidRPr="00A04E56">
        <w:t>be met.</w:t>
      </w:r>
    </w:p>
    <w:p w14:paraId="5B4EE057" w14:textId="2F417CB5" w:rsidR="002F125C" w:rsidRPr="002E428C" w:rsidRDefault="009B74AB" w:rsidP="002F125C">
      <w:pPr>
        <w:rPr>
          <w:b/>
        </w:rPr>
      </w:pPr>
      <w:r w:rsidRPr="00A04E56">
        <w:t xml:space="preserve">The contribution to Europe 2020 should not be confined within the limits </w:t>
      </w:r>
      <w:r w:rsidR="00E73C09" w:rsidRPr="00A04E56">
        <w:t xml:space="preserve">to </w:t>
      </w:r>
      <w:r w:rsidRPr="00A04E56">
        <w:t>a single programme</w:t>
      </w:r>
      <w:r w:rsidR="00E73C09" w:rsidRPr="00A04E56">
        <w:t xml:space="preserve">. It should </w:t>
      </w:r>
      <w:r w:rsidRPr="00A04E56">
        <w:t xml:space="preserve">be seen as </w:t>
      </w:r>
      <w:r w:rsidR="00E73C09" w:rsidRPr="00A04E56">
        <w:t xml:space="preserve">a </w:t>
      </w:r>
      <w:r w:rsidRPr="00A04E56">
        <w:t xml:space="preserve">mutually reinforced contribution of the EU budget as a whole. </w:t>
      </w:r>
      <w:r w:rsidR="00865B7F" w:rsidRPr="00A04E56">
        <w:t>Overall, it</w:t>
      </w:r>
      <w:r w:rsidRPr="00A04E56">
        <w:t xml:space="preserve"> is estimated that 59% of the EU budget commitments </w:t>
      </w:r>
      <w:r w:rsidR="008C1D39" w:rsidRPr="00A04E56">
        <w:rPr>
          <w:i/>
          <w:u w:val="single"/>
        </w:rPr>
        <w:t>in 2018</w:t>
      </w:r>
      <w:r w:rsidRPr="00A04E56">
        <w:t xml:space="preserve"> </w:t>
      </w:r>
      <w:r w:rsidR="00F37A04" w:rsidRPr="00A04E56">
        <w:t>were</w:t>
      </w:r>
      <w:r w:rsidRPr="00A04E56">
        <w:t xml:space="preserve"> linked to the Europe 2020 strategy.</w:t>
      </w:r>
    </w:p>
    <w:p w14:paraId="49F12C66" w14:textId="77777777" w:rsidR="002F125C" w:rsidRPr="005F07DE" w:rsidRDefault="002F125C" w:rsidP="0005798F">
      <w:pPr>
        <w:pStyle w:val="BodyText1"/>
      </w:pPr>
    </w:p>
    <w:tbl>
      <w:tblPr>
        <w:tblStyle w:val="GridTable1Light-Accent11"/>
        <w:tblW w:w="9072" w:type="dxa"/>
        <w:tblInd w:w="108" w:type="dxa"/>
        <w:tblBorders>
          <w:top w:val="none" w:sz="0" w:space="0" w:color="auto"/>
          <w:left w:val="none" w:sz="0" w:space="0" w:color="auto"/>
          <w:bottom w:val="single" w:sz="8" w:space="0" w:color="65BBC8"/>
          <w:right w:val="none" w:sz="0" w:space="0" w:color="auto"/>
          <w:insideH w:val="single" w:sz="4" w:space="0" w:color="FFFFFF" w:themeColor="background1"/>
          <w:insideV w:val="single" w:sz="4" w:space="0" w:color="FFFFFF" w:themeColor="background1"/>
        </w:tblBorders>
        <w:tblLayout w:type="fixed"/>
        <w:tblLook w:val="0000" w:firstRow="0" w:lastRow="0" w:firstColumn="0" w:lastColumn="0" w:noHBand="0" w:noVBand="0"/>
      </w:tblPr>
      <w:tblGrid>
        <w:gridCol w:w="4395"/>
        <w:gridCol w:w="1559"/>
        <w:gridCol w:w="1559"/>
        <w:gridCol w:w="1559"/>
      </w:tblGrid>
      <w:tr w:rsidR="009D539E" w:rsidRPr="00A04E56" w14:paraId="6480B60F" w14:textId="77777777" w:rsidTr="0005798F">
        <w:trPr>
          <w:trHeight w:val="204"/>
        </w:trPr>
        <w:tc>
          <w:tcPr>
            <w:tcW w:w="4395" w:type="dxa"/>
            <w:shd w:val="clear" w:color="auto" w:fill="65BBC8"/>
          </w:tcPr>
          <w:p w14:paraId="4339FD69" w14:textId="429550A1" w:rsidR="009D539E" w:rsidRPr="00277538" w:rsidRDefault="009D539E" w:rsidP="009D539E">
            <w:pPr>
              <w:keepNext/>
              <w:autoSpaceDE w:val="0"/>
              <w:autoSpaceDN w:val="0"/>
              <w:adjustRightInd w:val="0"/>
              <w:spacing w:before="240" w:after="240"/>
              <w:jc w:val="center"/>
              <w:rPr>
                <w:b/>
                <w:color w:val="FFFFFF" w:themeColor="background1"/>
                <w:sz w:val="18"/>
              </w:rPr>
            </w:pPr>
            <w:r w:rsidRPr="00277538">
              <w:rPr>
                <w:b/>
                <w:color w:val="FFFFFF" w:themeColor="background1"/>
                <w:sz w:val="18"/>
              </w:rPr>
              <w:t>Europe 2020 targets for the EU</w:t>
            </w:r>
          </w:p>
        </w:tc>
        <w:tc>
          <w:tcPr>
            <w:tcW w:w="1559" w:type="dxa"/>
            <w:shd w:val="clear" w:color="auto" w:fill="65BBC8"/>
          </w:tcPr>
          <w:p w14:paraId="22BB6D14" w14:textId="4AA4A207" w:rsidR="009D539E" w:rsidRPr="00277538" w:rsidRDefault="009D539E" w:rsidP="009D539E">
            <w:pPr>
              <w:keepNext/>
              <w:autoSpaceDE w:val="0"/>
              <w:autoSpaceDN w:val="0"/>
              <w:adjustRightInd w:val="0"/>
              <w:spacing w:before="240" w:after="240"/>
              <w:jc w:val="center"/>
              <w:rPr>
                <w:b/>
                <w:color w:val="FFFFFF" w:themeColor="background1"/>
                <w:sz w:val="18"/>
              </w:rPr>
            </w:pPr>
            <w:r w:rsidRPr="00277538">
              <w:rPr>
                <w:b/>
                <w:color w:val="FFFFFF" w:themeColor="background1"/>
                <w:sz w:val="18"/>
              </w:rPr>
              <w:t>2010 data</w:t>
            </w:r>
          </w:p>
        </w:tc>
        <w:tc>
          <w:tcPr>
            <w:tcW w:w="1559" w:type="dxa"/>
            <w:shd w:val="clear" w:color="auto" w:fill="65BBC8"/>
          </w:tcPr>
          <w:p w14:paraId="69FD6FAC" w14:textId="4238CBDB" w:rsidR="009D539E" w:rsidRPr="00277538" w:rsidRDefault="009D539E" w:rsidP="009D539E">
            <w:pPr>
              <w:keepNext/>
              <w:autoSpaceDE w:val="0"/>
              <w:autoSpaceDN w:val="0"/>
              <w:adjustRightInd w:val="0"/>
              <w:spacing w:before="240" w:after="240"/>
              <w:jc w:val="center"/>
              <w:rPr>
                <w:b/>
                <w:color w:val="FFFFFF" w:themeColor="background1"/>
                <w:sz w:val="18"/>
              </w:rPr>
            </w:pPr>
            <w:r w:rsidRPr="00277538">
              <w:rPr>
                <w:b/>
                <w:color w:val="FFFFFF" w:themeColor="background1"/>
                <w:sz w:val="18"/>
              </w:rPr>
              <w:t>Latest available data</w:t>
            </w:r>
          </w:p>
        </w:tc>
        <w:tc>
          <w:tcPr>
            <w:tcW w:w="1559" w:type="dxa"/>
            <w:shd w:val="clear" w:color="auto" w:fill="65BBC8"/>
          </w:tcPr>
          <w:p w14:paraId="0B545A22" w14:textId="290714B2" w:rsidR="009D539E" w:rsidRPr="00277538" w:rsidRDefault="009D539E" w:rsidP="009D539E">
            <w:pPr>
              <w:keepNext/>
              <w:autoSpaceDE w:val="0"/>
              <w:autoSpaceDN w:val="0"/>
              <w:adjustRightInd w:val="0"/>
              <w:spacing w:before="240" w:after="240"/>
              <w:jc w:val="center"/>
              <w:rPr>
                <w:b/>
                <w:color w:val="FFFFFF" w:themeColor="background1"/>
                <w:sz w:val="18"/>
              </w:rPr>
            </w:pPr>
            <w:r>
              <w:rPr>
                <w:b/>
                <w:color w:val="FFFFFF" w:themeColor="background1"/>
                <w:sz w:val="18"/>
              </w:rPr>
              <w:t>In 2020, based on recent trends</w:t>
            </w:r>
          </w:p>
        </w:tc>
      </w:tr>
      <w:tr w:rsidR="009D539E" w:rsidRPr="00A04E56" w14:paraId="63FBB73A" w14:textId="77777777" w:rsidTr="0005798F">
        <w:trPr>
          <w:trHeight w:val="320"/>
        </w:trPr>
        <w:tc>
          <w:tcPr>
            <w:tcW w:w="4395" w:type="dxa"/>
            <w:shd w:val="clear" w:color="auto" w:fill="CBE8ED"/>
            <w:tcMar>
              <w:top w:w="108" w:type="dxa"/>
            </w:tcMar>
          </w:tcPr>
          <w:p w14:paraId="38D54D3E" w14:textId="4773789E" w:rsidR="009D539E" w:rsidRPr="00A04E56" w:rsidRDefault="009D539E" w:rsidP="009D539E">
            <w:pPr>
              <w:keepNext/>
              <w:autoSpaceDE w:val="0"/>
              <w:autoSpaceDN w:val="0"/>
              <w:adjustRightInd w:val="0"/>
              <w:spacing w:before="60" w:after="60"/>
              <w:rPr>
                <w:color w:val="000000"/>
                <w:sz w:val="18"/>
              </w:rPr>
            </w:pPr>
            <w:r w:rsidRPr="00A04E56">
              <w:rPr>
                <w:color w:val="000000"/>
                <w:sz w:val="18"/>
              </w:rPr>
              <w:t xml:space="preserve">1. Increasing the employment rate of the population aged 20-64 to at least 75% </w:t>
            </w:r>
          </w:p>
        </w:tc>
        <w:tc>
          <w:tcPr>
            <w:tcW w:w="1559" w:type="dxa"/>
            <w:shd w:val="clear" w:color="auto" w:fill="CBE8ED"/>
            <w:tcMar>
              <w:top w:w="108" w:type="dxa"/>
            </w:tcMar>
          </w:tcPr>
          <w:p w14:paraId="6A011DA9" w14:textId="6CF3CFBD"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68.6%</w:t>
            </w:r>
          </w:p>
        </w:tc>
        <w:tc>
          <w:tcPr>
            <w:tcW w:w="1559" w:type="dxa"/>
            <w:shd w:val="clear" w:color="auto" w:fill="CBE8ED"/>
          </w:tcPr>
          <w:p w14:paraId="4A29694F" w14:textId="17F1745E"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73.5% (Q3 2018)</w:t>
            </w:r>
          </w:p>
        </w:tc>
        <w:tc>
          <w:tcPr>
            <w:tcW w:w="1559" w:type="dxa"/>
            <w:shd w:val="clear" w:color="auto" w:fill="CBE8ED"/>
            <w:tcMar>
              <w:top w:w="108" w:type="dxa"/>
            </w:tcMar>
          </w:tcPr>
          <w:p w14:paraId="47DBC9F1" w14:textId="6E4F01FE" w:rsidR="009D539E" w:rsidRPr="00A04E56" w:rsidRDefault="009D539E" w:rsidP="009D539E">
            <w:pPr>
              <w:keepNext/>
              <w:autoSpaceDE w:val="0"/>
              <w:autoSpaceDN w:val="0"/>
              <w:adjustRightInd w:val="0"/>
              <w:spacing w:before="60" w:after="60"/>
              <w:jc w:val="center"/>
              <w:rPr>
                <w:color w:val="000000"/>
                <w:sz w:val="18"/>
              </w:rPr>
            </w:pPr>
            <w:r>
              <w:rPr>
                <w:color w:val="000000"/>
                <w:sz w:val="18"/>
              </w:rPr>
              <w:t>Target likely to be met</w:t>
            </w:r>
          </w:p>
        </w:tc>
      </w:tr>
      <w:tr w:rsidR="009D539E" w:rsidRPr="00A04E56" w14:paraId="634D4B1A" w14:textId="77777777" w:rsidTr="0005798F">
        <w:trPr>
          <w:trHeight w:val="320"/>
        </w:trPr>
        <w:tc>
          <w:tcPr>
            <w:tcW w:w="4395" w:type="dxa"/>
            <w:shd w:val="clear" w:color="auto" w:fill="CBE8ED"/>
          </w:tcPr>
          <w:p w14:paraId="4AB11019" w14:textId="15758E6A" w:rsidR="009D539E" w:rsidRPr="00A04E56" w:rsidRDefault="009D539E" w:rsidP="009D539E">
            <w:pPr>
              <w:keepNext/>
              <w:autoSpaceDE w:val="0"/>
              <w:autoSpaceDN w:val="0"/>
              <w:adjustRightInd w:val="0"/>
              <w:spacing w:before="60" w:after="60"/>
              <w:rPr>
                <w:color w:val="000000"/>
                <w:sz w:val="18"/>
              </w:rPr>
            </w:pPr>
            <w:r w:rsidRPr="00A04E56">
              <w:rPr>
                <w:color w:val="000000"/>
                <w:sz w:val="18"/>
              </w:rPr>
              <w:t xml:space="preserve">2. Increasing combined public and private investment in research and development to 3% of gross domestic product </w:t>
            </w:r>
          </w:p>
        </w:tc>
        <w:tc>
          <w:tcPr>
            <w:tcW w:w="1559" w:type="dxa"/>
            <w:shd w:val="clear" w:color="auto" w:fill="CBE8ED"/>
          </w:tcPr>
          <w:p w14:paraId="05C37BBB" w14:textId="2E53DED3"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1.93%</w:t>
            </w:r>
          </w:p>
        </w:tc>
        <w:tc>
          <w:tcPr>
            <w:tcW w:w="1559" w:type="dxa"/>
            <w:shd w:val="clear" w:color="auto" w:fill="CBE8ED"/>
          </w:tcPr>
          <w:p w14:paraId="077E0039" w14:textId="2509EB87"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2.07% (2017)</w:t>
            </w:r>
          </w:p>
        </w:tc>
        <w:tc>
          <w:tcPr>
            <w:tcW w:w="1559" w:type="dxa"/>
            <w:shd w:val="clear" w:color="auto" w:fill="CBE8ED"/>
          </w:tcPr>
          <w:p w14:paraId="376E76F2" w14:textId="40E4E92A" w:rsidR="009D539E" w:rsidRPr="00A04E56" w:rsidRDefault="009D539E" w:rsidP="009D539E">
            <w:pPr>
              <w:keepNext/>
              <w:autoSpaceDE w:val="0"/>
              <w:autoSpaceDN w:val="0"/>
              <w:adjustRightInd w:val="0"/>
              <w:spacing w:before="60" w:after="60"/>
              <w:jc w:val="center"/>
              <w:rPr>
                <w:color w:val="000000"/>
                <w:sz w:val="18"/>
              </w:rPr>
            </w:pPr>
            <w:r>
              <w:rPr>
                <w:color w:val="000000"/>
                <w:sz w:val="18"/>
              </w:rPr>
              <w:t xml:space="preserve">Target </w:t>
            </w:r>
            <w:r w:rsidR="00034EF1">
              <w:rPr>
                <w:color w:val="000000"/>
                <w:sz w:val="18"/>
              </w:rPr>
              <w:t>un</w:t>
            </w:r>
            <w:r>
              <w:rPr>
                <w:color w:val="000000"/>
                <w:sz w:val="18"/>
              </w:rPr>
              <w:t>likely to be met</w:t>
            </w:r>
          </w:p>
        </w:tc>
      </w:tr>
      <w:tr w:rsidR="009D539E" w:rsidRPr="00A04E56" w14:paraId="5F983019" w14:textId="77777777" w:rsidTr="0005798F">
        <w:trPr>
          <w:trHeight w:val="319"/>
        </w:trPr>
        <w:tc>
          <w:tcPr>
            <w:tcW w:w="4395" w:type="dxa"/>
            <w:shd w:val="clear" w:color="auto" w:fill="CBE8ED"/>
          </w:tcPr>
          <w:p w14:paraId="274714FD" w14:textId="01F53DA3" w:rsidR="009D539E" w:rsidRPr="00A04E56" w:rsidRDefault="009D539E" w:rsidP="009D539E">
            <w:pPr>
              <w:keepNext/>
              <w:autoSpaceDE w:val="0"/>
              <w:autoSpaceDN w:val="0"/>
              <w:adjustRightInd w:val="0"/>
              <w:spacing w:before="60" w:after="60"/>
              <w:rPr>
                <w:color w:val="000000"/>
                <w:sz w:val="18"/>
              </w:rPr>
            </w:pPr>
            <w:r w:rsidRPr="00A04E56">
              <w:rPr>
                <w:color w:val="000000"/>
                <w:sz w:val="18"/>
              </w:rPr>
              <w:t xml:space="preserve">3a. Reducing greenhouse gas emissions by at least 20% compared to 1990 levels </w:t>
            </w:r>
          </w:p>
        </w:tc>
        <w:tc>
          <w:tcPr>
            <w:tcW w:w="1559" w:type="dxa"/>
            <w:shd w:val="clear" w:color="auto" w:fill="CBE8ED"/>
          </w:tcPr>
          <w:p w14:paraId="6CFD0101" w14:textId="1F3390C8"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14.2% reduction</w:t>
            </w:r>
          </w:p>
        </w:tc>
        <w:tc>
          <w:tcPr>
            <w:tcW w:w="1559" w:type="dxa"/>
            <w:shd w:val="clear" w:color="auto" w:fill="CBE8ED"/>
          </w:tcPr>
          <w:p w14:paraId="0CC6006C" w14:textId="089D686C"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22% reduction</w:t>
            </w:r>
          </w:p>
        </w:tc>
        <w:tc>
          <w:tcPr>
            <w:tcW w:w="1559" w:type="dxa"/>
            <w:shd w:val="clear" w:color="auto" w:fill="CBE8ED"/>
          </w:tcPr>
          <w:p w14:paraId="411C6E10" w14:textId="2EF2752A" w:rsidR="009D539E" w:rsidRPr="00A04E56" w:rsidRDefault="009D539E" w:rsidP="009D539E">
            <w:pPr>
              <w:keepNext/>
              <w:autoSpaceDE w:val="0"/>
              <w:autoSpaceDN w:val="0"/>
              <w:adjustRightInd w:val="0"/>
              <w:spacing w:before="60" w:after="60"/>
              <w:jc w:val="center"/>
              <w:rPr>
                <w:color w:val="000000"/>
                <w:sz w:val="18"/>
              </w:rPr>
            </w:pPr>
            <w:r>
              <w:rPr>
                <w:color w:val="000000"/>
                <w:sz w:val="18"/>
              </w:rPr>
              <w:t>Target likely to be met</w:t>
            </w:r>
          </w:p>
        </w:tc>
      </w:tr>
      <w:tr w:rsidR="009D539E" w:rsidRPr="00A04E56" w14:paraId="429C5CE4" w14:textId="77777777" w:rsidTr="0005798F">
        <w:trPr>
          <w:trHeight w:val="320"/>
        </w:trPr>
        <w:tc>
          <w:tcPr>
            <w:tcW w:w="4395" w:type="dxa"/>
            <w:shd w:val="clear" w:color="auto" w:fill="CBE8ED"/>
          </w:tcPr>
          <w:p w14:paraId="6C7A2B63" w14:textId="79EFDC35" w:rsidR="009D539E" w:rsidRPr="00A04E56" w:rsidRDefault="009D539E" w:rsidP="009D539E">
            <w:pPr>
              <w:keepNext/>
              <w:autoSpaceDE w:val="0"/>
              <w:autoSpaceDN w:val="0"/>
              <w:adjustRightInd w:val="0"/>
              <w:spacing w:before="60" w:after="60"/>
              <w:rPr>
                <w:color w:val="000000"/>
                <w:sz w:val="18"/>
              </w:rPr>
            </w:pPr>
            <w:r w:rsidRPr="00A04E56">
              <w:rPr>
                <w:color w:val="000000"/>
                <w:sz w:val="18"/>
              </w:rPr>
              <w:t xml:space="preserve">3b. Increasing the share of renewable energy in final energy consumption to 20% </w:t>
            </w:r>
          </w:p>
        </w:tc>
        <w:tc>
          <w:tcPr>
            <w:tcW w:w="1559" w:type="dxa"/>
            <w:shd w:val="clear" w:color="auto" w:fill="CBE8ED"/>
          </w:tcPr>
          <w:p w14:paraId="25DF5BEB" w14:textId="23814236"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12.5%</w:t>
            </w:r>
          </w:p>
        </w:tc>
        <w:tc>
          <w:tcPr>
            <w:tcW w:w="1559" w:type="dxa"/>
            <w:shd w:val="clear" w:color="auto" w:fill="CBE8ED"/>
          </w:tcPr>
          <w:p w14:paraId="4F811FC6" w14:textId="19BBAA90"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17.5% (2017)</w:t>
            </w:r>
          </w:p>
        </w:tc>
        <w:tc>
          <w:tcPr>
            <w:tcW w:w="1559" w:type="dxa"/>
            <w:shd w:val="clear" w:color="auto" w:fill="CBE8ED"/>
          </w:tcPr>
          <w:p w14:paraId="04D61008" w14:textId="5AA16F94" w:rsidR="009D539E" w:rsidRPr="00A04E56" w:rsidRDefault="009D539E" w:rsidP="009D539E">
            <w:pPr>
              <w:keepNext/>
              <w:autoSpaceDE w:val="0"/>
              <w:autoSpaceDN w:val="0"/>
              <w:adjustRightInd w:val="0"/>
              <w:spacing w:before="60" w:after="60"/>
              <w:jc w:val="center"/>
              <w:rPr>
                <w:color w:val="000000"/>
                <w:sz w:val="18"/>
              </w:rPr>
            </w:pPr>
            <w:r>
              <w:rPr>
                <w:color w:val="000000"/>
                <w:sz w:val="18"/>
              </w:rPr>
              <w:t>Target likely to be met</w:t>
            </w:r>
          </w:p>
        </w:tc>
      </w:tr>
      <w:tr w:rsidR="009D539E" w:rsidRPr="00A04E56" w14:paraId="3F379472" w14:textId="77777777" w:rsidTr="0005798F">
        <w:trPr>
          <w:trHeight w:val="434"/>
        </w:trPr>
        <w:tc>
          <w:tcPr>
            <w:tcW w:w="4395" w:type="dxa"/>
            <w:shd w:val="clear" w:color="auto" w:fill="CBE8ED"/>
          </w:tcPr>
          <w:p w14:paraId="03A460DC" w14:textId="7E59F5DB" w:rsidR="009D539E" w:rsidRPr="00A04E56" w:rsidRDefault="009D539E" w:rsidP="009F74D2">
            <w:pPr>
              <w:keepNext/>
              <w:autoSpaceDE w:val="0"/>
              <w:autoSpaceDN w:val="0"/>
              <w:adjustRightInd w:val="0"/>
              <w:spacing w:before="60" w:after="60"/>
              <w:rPr>
                <w:color w:val="000000"/>
                <w:sz w:val="18"/>
              </w:rPr>
            </w:pPr>
            <w:r w:rsidRPr="00A04E56">
              <w:rPr>
                <w:color w:val="000000"/>
                <w:sz w:val="18"/>
              </w:rPr>
              <w:t>3c. Moving towards a 20% target in energy efficiency</w:t>
            </w:r>
            <w:r w:rsidR="009F74D2">
              <w:rPr>
                <w:rFonts w:ascii="Calibri" w:hAnsi="Calibri" w:cs="Calibri"/>
                <w:color w:val="000000"/>
                <w:sz w:val="18"/>
              </w:rPr>
              <w:t> (</w:t>
            </w:r>
            <w:r>
              <w:rPr>
                <w:rStyle w:val="FootnoteReference"/>
                <w:color w:val="000000"/>
              </w:rPr>
              <w:footnoteReference w:id="33"/>
            </w:r>
            <w:r w:rsidR="009F74D2">
              <w:rPr>
                <w:color w:val="000000"/>
                <w:sz w:val="18"/>
              </w:rPr>
              <w:t>)</w:t>
            </w:r>
          </w:p>
        </w:tc>
        <w:tc>
          <w:tcPr>
            <w:tcW w:w="1559" w:type="dxa"/>
            <w:shd w:val="clear" w:color="auto" w:fill="CBE8ED"/>
          </w:tcPr>
          <w:p w14:paraId="54249D14" w14:textId="2FF9C8FF"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11.8% (distance to 2020 target for primary energy consumption)</w:t>
            </w:r>
          </w:p>
        </w:tc>
        <w:tc>
          <w:tcPr>
            <w:tcW w:w="1559" w:type="dxa"/>
            <w:shd w:val="clear" w:color="auto" w:fill="CBE8ED"/>
          </w:tcPr>
          <w:p w14:paraId="5C2BDFB0" w14:textId="4A69A5DE" w:rsidR="009D539E" w:rsidRPr="00A04E56" w:rsidRDefault="009D539E" w:rsidP="009D539E">
            <w:pPr>
              <w:keepNext/>
              <w:autoSpaceDE w:val="0"/>
              <w:autoSpaceDN w:val="0"/>
              <w:adjustRightInd w:val="0"/>
              <w:spacing w:before="60" w:after="60"/>
              <w:jc w:val="center"/>
              <w:rPr>
                <w:color w:val="000000"/>
                <w:sz w:val="18"/>
              </w:rPr>
            </w:pPr>
            <w:r>
              <w:rPr>
                <w:color w:val="000000"/>
                <w:sz w:val="18"/>
              </w:rPr>
              <w:t>5.3</w:t>
            </w:r>
            <w:r w:rsidRPr="00A04E56">
              <w:rPr>
                <w:color w:val="000000"/>
                <w:sz w:val="18"/>
              </w:rPr>
              <w:t>% (2017)</w:t>
            </w:r>
          </w:p>
        </w:tc>
        <w:tc>
          <w:tcPr>
            <w:tcW w:w="1559" w:type="dxa"/>
            <w:shd w:val="clear" w:color="auto" w:fill="CBE8ED"/>
          </w:tcPr>
          <w:p w14:paraId="1BAAFB35" w14:textId="61DA6B21" w:rsidR="009D539E" w:rsidRPr="00A04E56" w:rsidRDefault="009D539E" w:rsidP="009D539E">
            <w:pPr>
              <w:keepNext/>
              <w:autoSpaceDE w:val="0"/>
              <w:autoSpaceDN w:val="0"/>
              <w:adjustRightInd w:val="0"/>
              <w:spacing w:before="60" w:after="60"/>
              <w:jc w:val="center"/>
              <w:rPr>
                <w:color w:val="000000"/>
                <w:sz w:val="18"/>
              </w:rPr>
            </w:pPr>
            <w:r>
              <w:rPr>
                <w:color w:val="000000"/>
                <w:sz w:val="18"/>
              </w:rPr>
              <w:t>Target likely to be met</w:t>
            </w:r>
          </w:p>
        </w:tc>
      </w:tr>
      <w:tr w:rsidR="009D539E" w:rsidRPr="00A04E56" w14:paraId="74C137BA" w14:textId="77777777" w:rsidTr="0005798F">
        <w:trPr>
          <w:trHeight w:val="436"/>
        </w:trPr>
        <w:tc>
          <w:tcPr>
            <w:tcW w:w="4395" w:type="dxa"/>
            <w:shd w:val="clear" w:color="auto" w:fill="CBE8ED"/>
          </w:tcPr>
          <w:p w14:paraId="5246B20E" w14:textId="6CE176F7" w:rsidR="009D539E" w:rsidRPr="00A04E56" w:rsidRDefault="009D539E" w:rsidP="009D539E">
            <w:pPr>
              <w:keepNext/>
              <w:autoSpaceDE w:val="0"/>
              <w:autoSpaceDN w:val="0"/>
              <w:adjustRightInd w:val="0"/>
              <w:spacing w:before="60" w:after="60"/>
              <w:rPr>
                <w:color w:val="000000"/>
                <w:sz w:val="18"/>
              </w:rPr>
            </w:pPr>
            <w:r w:rsidRPr="00A04E56">
              <w:rPr>
                <w:color w:val="000000"/>
                <w:sz w:val="18"/>
              </w:rPr>
              <w:t xml:space="preserve">4a. Reducing the rate of early leavers from education and training (ages 18-24) to less than 10% </w:t>
            </w:r>
          </w:p>
        </w:tc>
        <w:tc>
          <w:tcPr>
            <w:tcW w:w="1559" w:type="dxa"/>
            <w:shd w:val="clear" w:color="auto" w:fill="CBE8ED"/>
          </w:tcPr>
          <w:p w14:paraId="7D29985A" w14:textId="51B0AECA"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13.9%</w:t>
            </w:r>
          </w:p>
        </w:tc>
        <w:tc>
          <w:tcPr>
            <w:tcW w:w="1559" w:type="dxa"/>
            <w:shd w:val="clear" w:color="auto" w:fill="CBE8ED"/>
          </w:tcPr>
          <w:p w14:paraId="7B4DD756" w14:textId="26731FFE"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10.6% (2017)</w:t>
            </w:r>
          </w:p>
        </w:tc>
        <w:tc>
          <w:tcPr>
            <w:tcW w:w="1559" w:type="dxa"/>
            <w:shd w:val="clear" w:color="auto" w:fill="CBE8ED"/>
          </w:tcPr>
          <w:p w14:paraId="3FC6A9A9" w14:textId="445A64A0" w:rsidR="009D539E" w:rsidRPr="00A04E56" w:rsidRDefault="009D539E" w:rsidP="009D539E">
            <w:pPr>
              <w:keepNext/>
              <w:autoSpaceDE w:val="0"/>
              <w:autoSpaceDN w:val="0"/>
              <w:adjustRightInd w:val="0"/>
              <w:spacing w:before="60" w:after="60"/>
              <w:jc w:val="center"/>
              <w:rPr>
                <w:color w:val="000000"/>
                <w:sz w:val="18"/>
              </w:rPr>
            </w:pPr>
            <w:r>
              <w:rPr>
                <w:color w:val="000000"/>
                <w:sz w:val="18"/>
              </w:rPr>
              <w:t>Target likely to be met</w:t>
            </w:r>
          </w:p>
        </w:tc>
      </w:tr>
      <w:tr w:rsidR="009D539E" w:rsidRPr="00A04E56" w14:paraId="3341BC2A" w14:textId="77777777" w:rsidTr="0005798F">
        <w:trPr>
          <w:trHeight w:val="435"/>
        </w:trPr>
        <w:tc>
          <w:tcPr>
            <w:tcW w:w="4395" w:type="dxa"/>
            <w:tcBorders>
              <w:bottom w:val="single" w:sz="4" w:space="0" w:color="FFFFFF" w:themeColor="background1"/>
            </w:tcBorders>
            <w:shd w:val="clear" w:color="auto" w:fill="CBE8ED"/>
          </w:tcPr>
          <w:p w14:paraId="3383DF92" w14:textId="5A9F94FD" w:rsidR="009D539E" w:rsidRPr="00A04E56" w:rsidRDefault="009D539E" w:rsidP="009D539E">
            <w:pPr>
              <w:keepNext/>
              <w:autoSpaceDE w:val="0"/>
              <w:autoSpaceDN w:val="0"/>
              <w:adjustRightInd w:val="0"/>
              <w:spacing w:before="60" w:after="60"/>
              <w:rPr>
                <w:color w:val="000000"/>
                <w:sz w:val="18"/>
              </w:rPr>
            </w:pPr>
            <w:r w:rsidRPr="00A04E56">
              <w:rPr>
                <w:color w:val="000000"/>
                <w:sz w:val="18"/>
              </w:rPr>
              <w:t xml:space="preserve">4b. Increasing the share of the population aged 30-34 having completed tertiary education to at least 40% </w:t>
            </w:r>
          </w:p>
        </w:tc>
        <w:tc>
          <w:tcPr>
            <w:tcW w:w="1559" w:type="dxa"/>
            <w:tcBorders>
              <w:bottom w:val="single" w:sz="4" w:space="0" w:color="FFFFFF" w:themeColor="background1"/>
            </w:tcBorders>
            <w:shd w:val="clear" w:color="auto" w:fill="CBE8ED"/>
          </w:tcPr>
          <w:p w14:paraId="6524A766" w14:textId="601C0FBF"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33.8%</w:t>
            </w:r>
          </w:p>
        </w:tc>
        <w:tc>
          <w:tcPr>
            <w:tcW w:w="1559" w:type="dxa"/>
            <w:tcBorders>
              <w:bottom w:val="single" w:sz="4" w:space="0" w:color="FFFFFF" w:themeColor="background1"/>
            </w:tcBorders>
            <w:shd w:val="clear" w:color="auto" w:fill="CBE8ED"/>
          </w:tcPr>
          <w:p w14:paraId="62F51BFE" w14:textId="299F20C0"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39.9% (2017)</w:t>
            </w:r>
          </w:p>
        </w:tc>
        <w:tc>
          <w:tcPr>
            <w:tcW w:w="1559" w:type="dxa"/>
            <w:tcBorders>
              <w:bottom w:val="single" w:sz="4" w:space="0" w:color="FFFFFF" w:themeColor="background1"/>
            </w:tcBorders>
            <w:shd w:val="clear" w:color="auto" w:fill="CBE8ED"/>
          </w:tcPr>
          <w:p w14:paraId="4A36D935" w14:textId="7FD542BC" w:rsidR="009D539E" w:rsidRPr="00A04E56" w:rsidRDefault="009D539E" w:rsidP="009D539E">
            <w:pPr>
              <w:keepNext/>
              <w:autoSpaceDE w:val="0"/>
              <w:autoSpaceDN w:val="0"/>
              <w:adjustRightInd w:val="0"/>
              <w:spacing w:before="60" w:after="60"/>
              <w:jc w:val="center"/>
              <w:rPr>
                <w:color w:val="000000"/>
                <w:sz w:val="18"/>
              </w:rPr>
            </w:pPr>
            <w:r>
              <w:rPr>
                <w:color w:val="000000"/>
                <w:sz w:val="18"/>
              </w:rPr>
              <w:t>Target likely to be met</w:t>
            </w:r>
          </w:p>
        </w:tc>
      </w:tr>
      <w:tr w:rsidR="009D539E" w:rsidRPr="00A04E56" w14:paraId="1C448F5D" w14:textId="77777777" w:rsidTr="0005798F">
        <w:trPr>
          <w:trHeight w:val="436"/>
        </w:trPr>
        <w:tc>
          <w:tcPr>
            <w:tcW w:w="4395" w:type="dxa"/>
            <w:tcBorders>
              <w:top w:val="single" w:sz="4" w:space="0" w:color="FFFFFF" w:themeColor="background1"/>
              <w:bottom w:val="nil"/>
            </w:tcBorders>
            <w:shd w:val="clear" w:color="auto" w:fill="CBE8ED"/>
          </w:tcPr>
          <w:p w14:paraId="7BDC77B0" w14:textId="1453E37C" w:rsidR="009D539E" w:rsidRPr="00A04E56" w:rsidRDefault="009D539E" w:rsidP="009D539E">
            <w:pPr>
              <w:keepNext/>
              <w:autoSpaceDE w:val="0"/>
              <w:autoSpaceDN w:val="0"/>
              <w:adjustRightInd w:val="0"/>
              <w:spacing w:before="60" w:after="60"/>
              <w:rPr>
                <w:color w:val="000000"/>
                <w:sz w:val="18"/>
              </w:rPr>
            </w:pPr>
            <w:r w:rsidRPr="00A04E56">
              <w:rPr>
                <w:color w:val="000000"/>
                <w:sz w:val="18"/>
              </w:rPr>
              <w:t>5. Lifting at least 20</w:t>
            </w:r>
            <w:r w:rsidRPr="00A04E56">
              <w:rPr>
                <w:rFonts w:cs="Calibri"/>
                <w:color w:val="000000"/>
                <w:sz w:val="18"/>
              </w:rPr>
              <w:t> </w:t>
            </w:r>
            <w:r w:rsidRPr="00A04E56">
              <w:rPr>
                <w:color w:val="000000"/>
                <w:sz w:val="18"/>
              </w:rPr>
              <w:t xml:space="preserve">million people out of the risk of poverty and social exclusion </w:t>
            </w:r>
          </w:p>
        </w:tc>
        <w:tc>
          <w:tcPr>
            <w:tcW w:w="1559" w:type="dxa"/>
            <w:tcBorders>
              <w:top w:val="single" w:sz="4" w:space="0" w:color="FFFFFF" w:themeColor="background1"/>
              <w:bottom w:val="nil"/>
            </w:tcBorders>
            <w:shd w:val="clear" w:color="auto" w:fill="CBE8ED"/>
          </w:tcPr>
          <w:p w14:paraId="53E8925F" w14:textId="589E066C"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1.4</w:t>
            </w:r>
            <w:r w:rsidRPr="00A04E56">
              <w:rPr>
                <w:rFonts w:cs="Calibri"/>
                <w:color w:val="000000"/>
                <w:sz w:val="18"/>
              </w:rPr>
              <w:t> </w:t>
            </w:r>
            <w:r w:rsidRPr="00A04E56">
              <w:rPr>
                <w:color w:val="000000"/>
                <w:sz w:val="18"/>
              </w:rPr>
              <w:t>million increase (compared to the 2008 base year)</w:t>
            </w:r>
          </w:p>
        </w:tc>
        <w:tc>
          <w:tcPr>
            <w:tcW w:w="1559" w:type="dxa"/>
            <w:tcBorders>
              <w:top w:val="single" w:sz="4" w:space="0" w:color="FFFFFF" w:themeColor="background1"/>
              <w:bottom w:val="nil"/>
            </w:tcBorders>
            <w:shd w:val="clear" w:color="auto" w:fill="CBE8ED"/>
          </w:tcPr>
          <w:p w14:paraId="12523499" w14:textId="58B8388B" w:rsidR="009D539E" w:rsidRPr="00A04E56" w:rsidRDefault="009D539E" w:rsidP="009D539E">
            <w:pPr>
              <w:keepNext/>
              <w:autoSpaceDE w:val="0"/>
              <w:autoSpaceDN w:val="0"/>
              <w:adjustRightInd w:val="0"/>
              <w:spacing w:before="60" w:after="60"/>
              <w:jc w:val="center"/>
              <w:rPr>
                <w:color w:val="000000"/>
                <w:sz w:val="18"/>
              </w:rPr>
            </w:pPr>
            <w:r w:rsidRPr="00A04E56">
              <w:rPr>
                <w:color w:val="000000"/>
                <w:sz w:val="18"/>
              </w:rPr>
              <w:t>5.2</w:t>
            </w:r>
            <w:r w:rsidRPr="00A04E56">
              <w:rPr>
                <w:rFonts w:ascii="Calibri" w:hAnsi="Calibri" w:cs="Calibri"/>
                <w:color w:val="000000"/>
                <w:sz w:val="18"/>
              </w:rPr>
              <w:t> </w:t>
            </w:r>
            <w:r w:rsidRPr="00A04E56">
              <w:rPr>
                <w:color w:val="000000"/>
                <w:sz w:val="18"/>
              </w:rPr>
              <w:t xml:space="preserve">million decrease (compared to the 2008 base year) </w:t>
            </w:r>
            <w:r w:rsidRPr="00277538">
              <w:rPr>
                <w:color w:val="000000"/>
                <w:sz w:val="18"/>
              </w:rPr>
              <w:t>in</w:t>
            </w:r>
            <w:r w:rsidRPr="00277538">
              <w:rPr>
                <w:rFonts w:ascii="Calibri" w:hAnsi="Calibri" w:cs="Calibri"/>
                <w:color w:val="000000"/>
                <w:sz w:val="18"/>
              </w:rPr>
              <w:t> </w:t>
            </w:r>
            <w:r w:rsidRPr="00277538">
              <w:rPr>
                <w:color w:val="000000"/>
                <w:sz w:val="18"/>
              </w:rPr>
              <w:t>2017</w:t>
            </w:r>
          </w:p>
        </w:tc>
        <w:tc>
          <w:tcPr>
            <w:tcW w:w="1559" w:type="dxa"/>
            <w:tcBorders>
              <w:top w:val="single" w:sz="4" w:space="0" w:color="FFFFFF" w:themeColor="background1"/>
              <w:bottom w:val="nil"/>
            </w:tcBorders>
            <w:shd w:val="clear" w:color="auto" w:fill="CBE8ED"/>
          </w:tcPr>
          <w:p w14:paraId="1C443509" w14:textId="06E577AB" w:rsidR="009D539E" w:rsidRPr="00A04E56" w:rsidRDefault="009D539E" w:rsidP="009D539E">
            <w:pPr>
              <w:keepNext/>
              <w:autoSpaceDE w:val="0"/>
              <w:autoSpaceDN w:val="0"/>
              <w:adjustRightInd w:val="0"/>
              <w:spacing w:before="60" w:after="60"/>
              <w:jc w:val="center"/>
              <w:rPr>
                <w:color w:val="000000"/>
                <w:sz w:val="18"/>
              </w:rPr>
            </w:pPr>
            <w:r>
              <w:rPr>
                <w:color w:val="000000"/>
                <w:sz w:val="18"/>
              </w:rPr>
              <w:t xml:space="preserve">Target </w:t>
            </w:r>
            <w:r w:rsidR="00034EF1">
              <w:rPr>
                <w:color w:val="000000"/>
                <w:sz w:val="18"/>
              </w:rPr>
              <w:t>un</w:t>
            </w:r>
            <w:r>
              <w:rPr>
                <w:color w:val="000000"/>
                <w:sz w:val="18"/>
              </w:rPr>
              <w:t>likely to be met</w:t>
            </w:r>
          </w:p>
        </w:tc>
      </w:tr>
    </w:tbl>
    <w:p w14:paraId="2C4CCFD0" w14:textId="3BF4EFE8" w:rsidR="00750716" w:rsidRPr="00A04E56" w:rsidRDefault="009B74AB">
      <w:pPr>
        <w:pStyle w:val="Source-Table-Chart-PhotoCaption"/>
      </w:pPr>
      <w:r w:rsidRPr="00A04E56">
        <w:rPr>
          <w:rStyle w:val="italics"/>
        </w:rPr>
        <w:t>Table:</w:t>
      </w:r>
      <w:r w:rsidR="005B45CE" w:rsidRPr="00A04E56">
        <w:t xml:space="preserve"> P</w:t>
      </w:r>
      <w:r w:rsidRPr="00A04E56">
        <w:t>rogress towards E</w:t>
      </w:r>
      <w:r w:rsidR="00F37A04" w:rsidRPr="00A04E56">
        <w:t>urope</w:t>
      </w:r>
      <w:r w:rsidR="00750093" w:rsidRPr="00A04E56">
        <w:t xml:space="preserve"> </w:t>
      </w:r>
      <w:r w:rsidRPr="00A04E56">
        <w:t xml:space="preserve">2020 targets. </w:t>
      </w:r>
    </w:p>
    <w:p w14:paraId="5BE9D54F" w14:textId="383714F5" w:rsidR="009B74AB" w:rsidRPr="00A04E56" w:rsidRDefault="009B74AB">
      <w:pPr>
        <w:pStyle w:val="Source-Table-Chart-PhotoCaption"/>
      </w:pPr>
      <w:r w:rsidRPr="00A04E56">
        <w:rPr>
          <w:rStyle w:val="italics"/>
        </w:rPr>
        <w:t>Source:</w:t>
      </w:r>
      <w:r w:rsidRPr="00A04E56">
        <w:t xml:space="preserve"> COM(2019) 150 final</w:t>
      </w:r>
      <w:r w:rsidR="0072691F" w:rsidRPr="00A04E56">
        <w:t>,</w:t>
      </w:r>
      <w:r w:rsidRPr="00A04E56">
        <w:t xml:space="preserve"> </w:t>
      </w:r>
      <w:r w:rsidR="00E307C6">
        <w:t>2</w:t>
      </w:r>
      <w:r w:rsidRPr="00A04E56">
        <w:t>7</w:t>
      </w:r>
      <w:r w:rsidR="00DA20EC" w:rsidRPr="00A04E56">
        <w:rPr>
          <w:rFonts w:ascii="Calibri" w:hAnsi="Calibri" w:cs="Calibri"/>
        </w:rPr>
        <w:t> </w:t>
      </w:r>
      <w:r w:rsidR="00010502" w:rsidRPr="00A04E56">
        <w:t>February</w:t>
      </w:r>
      <w:r w:rsidR="00DA20EC" w:rsidRPr="00A04E56">
        <w:rPr>
          <w:rFonts w:ascii="Calibri" w:hAnsi="Calibri" w:cs="Calibri"/>
        </w:rPr>
        <w:t> </w:t>
      </w:r>
      <w:r w:rsidRPr="00A04E56">
        <w:t>2019</w:t>
      </w:r>
      <w:r w:rsidR="00750093" w:rsidRPr="00A04E56">
        <w:t>.</w:t>
      </w:r>
    </w:p>
    <w:p w14:paraId="64F77E16" w14:textId="35F41C27" w:rsidR="00BF1779" w:rsidRPr="00A04E56" w:rsidRDefault="00F37A04" w:rsidP="00AA0340">
      <w:pPr>
        <w:pStyle w:val="Title3NumberedReport"/>
      </w:pPr>
      <w:r w:rsidRPr="00A04E56">
        <w:t>Crosscutting</w:t>
      </w:r>
      <w:r w:rsidR="00A235A2" w:rsidRPr="00A04E56">
        <w:t xml:space="preserve"> spending </w:t>
      </w:r>
      <w:r w:rsidR="009B74AB" w:rsidRPr="00A04E56">
        <w:t>o</w:t>
      </w:r>
      <w:r w:rsidR="00A235A2" w:rsidRPr="00A04E56">
        <w:t>n</w:t>
      </w:r>
      <w:r w:rsidR="009B74AB" w:rsidRPr="00A04E56">
        <w:t xml:space="preserve"> climate action and biodiversity</w:t>
      </w:r>
    </w:p>
    <w:p w14:paraId="29B863CE" w14:textId="2A405B0F" w:rsidR="009B74AB" w:rsidRPr="00A04E56" w:rsidRDefault="009B74AB" w:rsidP="004A58DD">
      <w:pPr>
        <w:pStyle w:val="BodyText1spaceafter"/>
      </w:pPr>
      <w:r w:rsidRPr="00A04E56">
        <w:t xml:space="preserve">The EU budget is also an important tool </w:t>
      </w:r>
      <w:r w:rsidR="005E3AAF" w:rsidRPr="00A04E56">
        <w:t xml:space="preserve">for achieving </w:t>
      </w:r>
      <w:r w:rsidRPr="00A04E56">
        <w:t xml:space="preserve">crosscutting policy objectives such as climate action and biodiversity. To respond to challenges and investment needs related to climate change, the EU has decided that at least 20% of its budget for 2014-2020 </w:t>
      </w:r>
      <w:r w:rsidR="00EC0B83" w:rsidRPr="00A04E56">
        <w:rPr>
          <w:noProof w:val="0"/>
        </w:rPr>
        <w:t>—</w:t>
      </w:r>
      <w:r w:rsidRPr="00A04E56">
        <w:t xml:space="preserve"> </w:t>
      </w:r>
      <w:r w:rsidRPr="00A04E56">
        <w:rPr>
          <w:rStyle w:val="BOLDLIGHTBLUEReport"/>
          <w:rFonts w:eastAsia="Calibri"/>
        </w:rPr>
        <w:t>as much as EUR</w:t>
      </w:r>
      <w:r w:rsidR="006B7032" w:rsidRPr="00A04E56">
        <w:rPr>
          <w:rStyle w:val="BOLDLIGHTBLUEReport"/>
          <w:rFonts w:ascii="Arial" w:eastAsia="Calibri" w:hAnsi="Arial" w:cs="Arial"/>
        </w:rPr>
        <w:t> </w:t>
      </w:r>
      <w:r w:rsidRPr="00A04E56">
        <w:rPr>
          <w:rStyle w:val="BOLDLIGHTBLUEReport"/>
          <w:rFonts w:eastAsia="Calibri"/>
        </w:rPr>
        <w:t>200</w:t>
      </w:r>
      <w:r w:rsidR="006B7032" w:rsidRPr="00A04E56">
        <w:rPr>
          <w:rStyle w:val="BOLDLIGHTBLUEReport"/>
          <w:rFonts w:ascii="Arial" w:eastAsia="Calibri" w:hAnsi="Arial" w:cs="Arial"/>
        </w:rPr>
        <w:t> </w:t>
      </w:r>
      <w:r w:rsidRPr="00A04E56">
        <w:rPr>
          <w:rStyle w:val="BOLDLIGHTBLUEReport"/>
          <w:rFonts w:eastAsia="Calibri"/>
        </w:rPr>
        <w:t xml:space="preserve">billion over the whole period </w:t>
      </w:r>
      <w:r w:rsidR="00750093" w:rsidRPr="00A04E56">
        <w:rPr>
          <w:rStyle w:val="BOLDLIGHTBLUEReport"/>
          <w:rFonts w:eastAsia="Calibri"/>
        </w:rPr>
        <w:t>—</w:t>
      </w:r>
      <w:r w:rsidRPr="00A04E56">
        <w:rPr>
          <w:rStyle w:val="BOLDLIGHTBLUEReport"/>
          <w:rFonts w:eastAsia="Calibri"/>
        </w:rPr>
        <w:t xml:space="preserve"> should be spent on climate change-related action</w:t>
      </w:r>
      <w:r w:rsidRPr="00A04E56">
        <w:t xml:space="preserve">. </w:t>
      </w:r>
      <w:r w:rsidR="00240366" w:rsidRPr="00A04E56">
        <w:t xml:space="preserve">This </w:t>
      </w:r>
      <w:r w:rsidR="00655667" w:rsidRPr="00A04E56">
        <w:rPr>
          <w:noProof w:val="0"/>
        </w:rPr>
        <w:t>approach</w:t>
      </w:r>
      <w:r w:rsidR="00240366" w:rsidRPr="00A04E56">
        <w:t xml:space="preserve"> is called ‘climate mainstreaming’. </w:t>
      </w:r>
      <w:r w:rsidRPr="00A04E56">
        <w:t xml:space="preserve">To achieve this result, mitigation and adaptation actions are being integrated into all major EU spending programmes, in particular regional development and the Cohesion Fund, energy, transport, research and innovation, the </w:t>
      </w:r>
      <w:r w:rsidR="00D241A2" w:rsidRPr="00A04E56">
        <w:t>c</w:t>
      </w:r>
      <w:r w:rsidRPr="00A04E56">
        <w:t xml:space="preserve">ommon </w:t>
      </w:r>
      <w:r w:rsidR="00D241A2" w:rsidRPr="00A04E56">
        <w:t>a</w:t>
      </w:r>
      <w:r w:rsidRPr="00A04E56">
        <w:t xml:space="preserve">gricultural </w:t>
      </w:r>
      <w:r w:rsidR="00D241A2" w:rsidRPr="00A04E56">
        <w:t>p</w:t>
      </w:r>
      <w:r w:rsidRPr="00A04E56">
        <w:t xml:space="preserve">olicy </w:t>
      </w:r>
      <w:r w:rsidR="00295692" w:rsidRPr="00A04E56">
        <w:t>and</w:t>
      </w:r>
      <w:r w:rsidRPr="00A04E56">
        <w:t xml:space="preserve"> the EU’s development policy. </w:t>
      </w:r>
      <w:r w:rsidR="00010502" w:rsidRPr="00A04E56">
        <w:t>T</w:t>
      </w:r>
      <w:r w:rsidRPr="00A04E56">
        <w:t>he estimates for climate</w:t>
      </w:r>
      <w:r w:rsidR="00D241A2" w:rsidRPr="00A04E56">
        <w:t>-</w:t>
      </w:r>
      <w:r w:rsidRPr="00A04E56">
        <w:t xml:space="preserve">related expenditures </w:t>
      </w:r>
      <w:r w:rsidR="00010502" w:rsidRPr="00A04E56">
        <w:t>are</w:t>
      </w:r>
      <w:r w:rsidRPr="00A04E56">
        <w:t xml:space="preserve"> monitored on an annual basis with </w:t>
      </w:r>
      <w:r w:rsidR="00010502" w:rsidRPr="00A04E56">
        <w:t>‘</w:t>
      </w:r>
      <w:r w:rsidRPr="00A04E56">
        <w:t>EU climate markers</w:t>
      </w:r>
      <w:r w:rsidR="00010502" w:rsidRPr="00A04E56">
        <w:t>’</w:t>
      </w:r>
      <w:r w:rsidRPr="00A04E56">
        <w:t xml:space="preserve"> adapted from the</w:t>
      </w:r>
      <w:r w:rsidR="00FC16EB" w:rsidRPr="00A04E56">
        <w:t xml:space="preserve"> Organisation for Economic Co-operation and Development</w:t>
      </w:r>
      <w:r w:rsidR="005E3AAF" w:rsidRPr="00A04E56">
        <w:t xml:space="preserve">’s </w:t>
      </w:r>
      <w:r w:rsidR="004042F0" w:rsidRPr="00A04E56">
        <w:t>‘</w:t>
      </w:r>
      <w:r w:rsidRPr="00A04E56">
        <w:t>Rio markers</w:t>
      </w:r>
      <w:r w:rsidR="004042F0" w:rsidRPr="00A04E56">
        <w:t>’</w:t>
      </w:r>
      <w:r w:rsidRPr="00A04E56">
        <w:t xml:space="preserve">. </w:t>
      </w:r>
      <w:r w:rsidR="008C1D39" w:rsidRPr="00A04E56">
        <w:rPr>
          <w:i/>
          <w:u w:val="single"/>
        </w:rPr>
        <w:t>In 2018</w:t>
      </w:r>
      <w:r w:rsidR="006709D4" w:rsidRPr="00A04E56">
        <w:rPr>
          <w:i/>
          <w:u w:val="single"/>
        </w:rPr>
        <w:t>,</w:t>
      </w:r>
      <w:r w:rsidRPr="00A04E56">
        <w:t xml:space="preserve"> the amount was more than EUR</w:t>
      </w:r>
      <w:r w:rsidR="001C6576" w:rsidRPr="00A04E56">
        <w:rPr>
          <w:rFonts w:ascii="Calibri" w:hAnsi="Calibri" w:cs="Calibri"/>
        </w:rPr>
        <w:t> </w:t>
      </w:r>
      <w:r w:rsidR="005F57CC" w:rsidRPr="00A04E56">
        <w:t>32</w:t>
      </w:r>
      <w:r w:rsidR="006B7032" w:rsidRPr="00A04E56">
        <w:rPr>
          <w:rFonts w:ascii="Calibri" w:hAnsi="Calibri" w:cs="Calibri"/>
        </w:rPr>
        <w:t> </w:t>
      </w:r>
      <w:r w:rsidR="006B7032" w:rsidRPr="00A04E56">
        <w:t>billion</w:t>
      </w:r>
      <w:r w:rsidRPr="00A04E56">
        <w:t xml:space="preserve">, </w:t>
      </w:r>
      <w:r w:rsidR="00CB1F3E" w:rsidRPr="00A04E56">
        <w:t>20</w:t>
      </w:r>
      <w:r w:rsidR="005F2106">
        <w:t>.7</w:t>
      </w:r>
      <w:r w:rsidRPr="00A04E56">
        <w:t>%</w:t>
      </w:r>
      <w:r w:rsidR="00B36C54">
        <w:rPr>
          <w:rFonts w:ascii="Calibri" w:hAnsi="Calibri" w:cs="Calibri"/>
        </w:rPr>
        <w:t> </w:t>
      </w:r>
      <w:r w:rsidR="00F55844">
        <w:t>(</w:t>
      </w:r>
      <w:r w:rsidR="00F55844">
        <w:rPr>
          <w:rStyle w:val="FootnoteReference"/>
        </w:rPr>
        <w:footnoteReference w:id="34"/>
      </w:r>
      <w:r w:rsidR="00F55844">
        <w:t>)</w:t>
      </w:r>
      <w:r w:rsidRPr="00A04E56">
        <w:t xml:space="preserve"> of the </w:t>
      </w:r>
      <w:r w:rsidR="005A3310">
        <w:t>2018</w:t>
      </w:r>
      <w:r w:rsidRPr="00A04E56">
        <w:t xml:space="preserve"> budget. </w:t>
      </w:r>
      <w:r w:rsidR="005E3AAF" w:rsidRPr="00A04E56">
        <w:t>T</w:t>
      </w:r>
      <w:r w:rsidRPr="00A04E56">
        <w:t xml:space="preserve">he total cumulative amount for climate </w:t>
      </w:r>
      <w:r w:rsidR="00F4436C" w:rsidRPr="00A04E56">
        <w:t xml:space="preserve">mainstreaming </w:t>
      </w:r>
      <w:r w:rsidR="005E3AAF" w:rsidRPr="00A04E56">
        <w:t xml:space="preserve">was </w:t>
      </w:r>
      <w:r w:rsidRPr="00A04E56">
        <w:t>more than EUR</w:t>
      </w:r>
      <w:r w:rsidR="001C6576" w:rsidRPr="00A04E56">
        <w:rPr>
          <w:rFonts w:ascii="Calibri" w:hAnsi="Calibri" w:cs="Calibri"/>
        </w:rPr>
        <w:t> </w:t>
      </w:r>
      <w:r w:rsidR="005F57CC" w:rsidRPr="00A04E56">
        <w:t>141</w:t>
      </w:r>
      <w:r w:rsidR="006B7032" w:rsidRPr="00A04E56">
        <w:rPr>
          <w:rFonts w:ascii="Calibri" w:hAnsi="Calibri" w:cs="Calibri"/>
        </w:rPr>
        <w:t> </w:t>
      </w:r>
      <w:r w:rsidR="006B7032" w:rsidRPr="00A04E56">
        <w:t>billion</w:t>
      </w:r>
      <w:r w:rsidR="00851354" w:rsidRPr="00A04E56">
        <w:t xml:space="preserve"> by the end of 2018</w:t>
      </w:r>
      <w:r w:rsidRPr="00A04E56">
        <w:t xml:space="preserve">. </w:t>
      </w:r>
      <w:r w:rsidR="005A3310">
        <w:t>The latest estimate</w:t>
      </w:r>
      <w:r w:rsidR="00B36C54">
        <w:rPr>
          <w:rFonts w:ascii="Calibri" w:hAnsi="Calibri" w:cs="Calibri"/>
        </w:rPr>
        <w:t> </w:t>
      </w:r>
      <w:r w:rsidR="005A3310">
        <w:t>(</w:t>
      </w:r>
      <w:r w:rsidR="005A3310">
        <w:rPr>
          <w:rStyle w:val="FootnoteReference"/>
        </w:rPr>
        <w:footnoteReference w:id="35"/>
      </w:r>
      <w:r w:rsidR="005A3310">
        <w:t>) is that it will be EUR 210 billion (19.7%) for the entire programming period.</w:t>
      </w:r>
    </w:p>
    <w:p w14:paraId="2B47C58A" w14:textId="4FE0A18D" w:rsidR="00FB4B1E" w:rsidRPr="00A04E56" w:rsidRDefault="00064C43" w:rsidP="00264CCA">
      <w:pPr>
        <w:pStyle w:val="BodyText"/>
        <w:keepNext/>
        <w:spacing w:after="0"/>
        <w:rPr>
          <w:lang w:eastAsia="en-GB"/>
        </w:rPr>
      </w:pPr>
      <w:r w:rsidRPr="00064C43">
        <w:rPr>
          <w:noProof/>
          <w:lang w:val="fr-BE" w:eastAsia="fr-BE"/>
        </w:rPr>
        <w:drawing>
          <wp:inline distT="0" distB="0" distL="0" distR="0" wp14:anchorId="57FF377C" wp14:editId="6ADD8914">
            <wp:extent cx="5753100" cy="36074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5753100" cy="3607435"/>
                    </a:xfrm>
                    <a:prstGeom prst="rect">
                      <a:avLst/>
                    </a:prstGeom>
                    <a:noFill/>
                    <a:ln>
                      <a:noFill/>
                    </a:ln>
                  </pic:spPr>
                </pic:pic>
              </a:graphicData>
            </a:graphic>
          </wp:inline>
        </w:drawing>
      </w:r>
    </w:p>
    <w:p w14:paraId="1D183B7F" w14:textId="36EE8B2E" w:rsidR="009B74AB" w:rsidRPr="00A04E56" w:rsidRDefault="009B74AB" w:rsidP="00264CCA">
      <w:pPr>
        <w:pStyle w:val="Source-Table-Chart-PhotoCaption"/>
      </w:pPr>
      <w:r w:rsidRPr="00A04E56">
        <w:rPr>
          <w:rStyle w:val="italics"/>
        </w:rPr>
        <w:t>Chart:</w:t>
      </w:r>
      <w:r w:rsidRPr="00A04E56">
        <w:t xml:space="preserve"> Mainstreaming of climate action </w:t>
      </w:r>
      <w:r w:rsidR="00F8651E">
        <w:t>in 2018</w:t>
      </w:r>
      <w:r w:rsidRPr="00A04E56">
        <w:t>. All amounts in the chart are in EUR</w:t>
      </w:r>
      <w:r w:rsidR="00217A6F" w:rsidRPr="00A04E56">
        <w:rPr>
          <w:rFonts w:ascii="Calibri" w:hAnsi="Calibri" w:cs="Calibri"/>
        </w:rPr>
        <w:t> </w:t>
      </w:r>
      <w:r w:rsidRPr="00A04E56" w:rsidDel="00217A6F">
        <w:t>million</w:t>
      </w:r>
      <w:r w:rsidR="00F8651E">
        <w:t>.</w:t>
      </w:r>
      <w:r w:rsidR="00603676" w:rsidRPr="00A04E56">
        <w:t xml:space="preserve"> </w:t>
      </w:r>
    </w:p>
    <w:p w14:paraId="6EA1300D" w14:textId="177220F8" w:rsidR="00AB63C7" w:rsidRPr="00A04E56" w:rsidRDefault="00AB63C7" w:rsidP="004A58DD">
      <w:pPr>
        <w:pStyle w:val="Source-Table-Chart-PhotoCaption"/>
      </w:pPr>
      <w:r w:rsidRPr="00A04E56">
        <w:rPr>
          <w:rStyle w:val="italics"/>
        </w:rPr>
        <w:t>Source:</w:t>
      </w:r>
      <w:r w:rsidRPr="00A04E56">
        <w:t xml:space="preserve"> European Commission.</w:t>
      </w:r>
    </w:p>
    <w:p w14:paraId="7E61053E" w14:textId="14A4F8AD" w:rsidR="005F57CC" w:rsidRPr="00A04E56" w:rsidRDefault="005F57CC" w:rsidP="0032611A">
      <w:pPr>
        <w:pStyle w:val="BodyText1spacebeforeandafter"/>
      </w:pPr>
      <w:r w:rsidRPr="00A04E56">
        <w:t xml:space="preserve">The </w:t>
      </w:r>
      <w:r w:rsidR="00851354" w:rsidRPr="00A04E56">
        <w:t xml:space="preserve">EU </w:t>
      </w:r>
      <w:r w:rsidRPr="00A04E56">
        <w:t xml:space="preserve">is also </w:t>
      </w:r>
      <w:r w:rsidR="00F37A04" w:rsidRPr="00A04E56">
        <w:t xml:space="preserve">making </w:t>
      </w:r>
      <w:r w:rsidR="00851354" w:rsidRPr="00A04E56">
        <w:t xml:space="preserve">a concerted </w:t>
      </w:r>
      <w:r w:rsidRPr="00A04E56">
        <w:t xml:space="preserve">effort to support </w:t>
      </w:r>
      <w:r w:rsidRPr="006A04C8">
        <w:rPr>
          <w:rStyle w:val="BOLDLIGHTBLUEReport"/>
          <w:rFonts w:eastAsia="Calibri"/>
        </w:rPr>
        <w:t>biodiversity</w:t>
      </w:r>
      <w:r w:rsidRPr="00A04E56">
        <w:t xml:space="preserve">. The related expenditure was </w:t>
      </w:r>
      <w:r w:rsidR="00CB1F3E" w:rsidRPr="00A04E56">
        <w:t>more than EUR 13 billion, 8</w:t>
      </w:r>
      <w:r w:rsidRPr="00A04E56">
        <w:t>.</w:t>
      </w:r>
      <w:r w:rsidR="00CB1F3E" w:rsidRPr="00A04E56">
        <w:t>5</w:t>
      </w:r>
      <w:r w:rsidRPr="00A04E56">
        <w:t>%</w:t>
      </w:r>
      <w:r w:rsidR="00B36C54">
        <w:rPr>
          <w:rFonts w:ascii="Calibri" w:hAnsi="Calibri" w:cs="Calibri"/>
        </w:rPr>
        <w:t> </w:t>
      </w:r>
      <w:r w:rsidR="006A04C8">
        <w:t>(</w:t>
      </w:r>
      <w:r w:rsidR="006A04C8" w:rsidRPr="009E0C7E">
        <w:rPr>
          <w:rStyle w:val="fnRefNo"/>
        </w:rPr>
        <w:footnoteReference w:id="36"/>
      </w:r>
      <w:r w:rsidR="006A04C8">
        <w:t>)</w:t>
      </w:r>
      <w:r w:rsidRPr="00A04E56">
        <w:t xml:space="preserve"> of the 2018 budget. These funds </w:t>
      </w:r>
      <w:r w:rsidR="00851354" w:rsidRPr="00A04E56">
        <w:t xml:space="preserve">aim to limit and reverse </w:t>
      </w:r>
      <w:r w:rsidRPr="00A04E56">
        <w:t xml:space="preserve">the decline of biodiversity in the EU, making an important </w:t>
      </w:r>
      <w:r w:rsidRPr="00A04E56">
        <w:rPr>
          <w:noProof w:val="0"/>
        </w:rPr>
        <w:t>contribution to</w:t>
      </w:r>
      <w:r w:rsidRPr="00A04E56">
        <w:t xml:space="preserve"> the Europe 2020 sustainable growth objectives.</w:t>
      </w:r>
    </w:p>
    <w:p w14:paraId="45AF2990" w14:textId="5042289B" w:rsidR="009B74AB" w:rsidRPr="00A04E56" w:rsidRDefault="009B74AB" w:rsidP="00AA0340">
      <w:pPr>
        <w:pStyle w:val="Title3NumberedReport"/>
      </w:pPr>
      <w:r w:rsidRPr="00A04E56">
        <w:t xml:space="preserve">The EU budget and </w:t>
      </w:r>
      <w:r w:rsidR="00F37A04" w:rsidRPr="00A04E56">
        <w:t xml:space="preserve">the </w:t>
      </w:r>
      <w:r w:rsidR="00851354" w:rsidRPr="00A04E56">
        <w:t xml:space="preserve">UN </w:t>
      </w:r>
      <w:r w:rsidR="001C6576" w:rsidRPr="00A04E56">
        <w:t>s</w:t>
      </w:r>
      <w:r w:rsidRPr="00A04E56">
        <w:t xml:space="preserve">ustainable </w:t>
      </w:r>
      <w:r w:rsidR="001C6576" w:rsidRPr="00A04E56">
        <w:t>d</w:t>
      </w:r>
      <w:r w:rsidRPr="00A04E56">
        <w:t>evelopment goals</w:t>
      </w:r>
    </w:p>
    <w:p w14:paraId="461C4928" w14:textId="57517D81" w:rsidR="00375898" w:rsidRPr="00A04E56" w:rsidRDefault="00240366" w:rsidP="00375898">
      <w:pPr>
        <w:pStyle w:val="BodyText1spaceafter"/>
      </w:pPr>
      <w:r w:rsidRPr="00A04E56">
        <w:t xml:space="preserve">The </w:t>
      </w:r>
      <w:r w:rsidR="001C6576" w:rsidRPr="00A04E56">
        <w:rPr>
          <w:noProof w:val="0"/>
        </w:rPr>
        <w:t>s</w:t>
      </w:r>
      <w:r w:rsidRPr="00A04E56">
        <w:rPr>
          <w:noProof w:val="0"/>
        </w:rPr>
        <w:t xml:space="preserve">ustainable </w:t>
      </w:r>
      <w:r w:rsidR="001C6576" w:rsidRPr="00A04E56">
        <w:rPr>
          <w:noProof w:val="0"/>
        </w:rPr>
        <w:t>d</w:t>
      </w:r>
      <w:r w:rsidRPr="00A04E56">
        <w:rPr>
          <w:noProof w:val="0"/>
        </w:rPr>
        <w:t xml:space="preserve">evelopment </w:t>
      </w:r>
      <w:r w:rsidR="001C6576" w:rsidRPr="00A04E56">
        <w:rPr>
          <w:noProof w:val="0"/>
        </w:rPr>
        <w:t>g</w:t>
      </w:r>
      <w:r w:rsidRPr="00A04E56">
        <w:rPr>
          <w:noProof w:val="0"/>
        </w:rPr>
        <w:t>oals</w:t>
      </w:r>
      <w:r w:rsidRPr="00A04E56">
        <w:t xml:space="preserve"> are the blueprint to achieve a better and more sustainable future for all. They address the global challenges we face, including those related to </w:t>
      </w:r>
      <w:r w:rsidRPr="00A04E56">
        <w:rPr>
          <w:rStyle w:val="BOLDLIGHTBLUEReport"/>
          <w:rFonts w:eastAsia="Calibri"/>
        </w:rPr>
        <w:t>poverty, inequality, climate, environmental degradation, prosperity, peace and justice</w:t>
      </w:r>
      <w:r w:rsidRPr="00A04E56">
        <w:t xml:space="preserve">. </w:t>
      </w:r>
      <w:r w:rsidR="00851354" w:rsidRPr="00A04E56">
        <w:t>The UN adopted t</w:t>
      </w:r>
      <w:r w:rsidR="00375898" w:rsidRPr="00A04E56">
        <w:t xml:space="preserve">hese </w:t>
      </w:r>
      <w:r w:rsidR="001C6576" w:rsidRPr="00A04E56">
        <w:t>g</w:t>
      </w:r>
      <w:r w:rsidR="00375898" w:rsidRPr="00A04E56">
        <w:t xml:space="preserve">oals in September 2015 </w:t>
      </w:r>
      <w:r w:rsidR="00851354" w:rsidRPr="00A04E56">
        <w:t xml:space="preserve">as part of its </w:t>
      </w:r>
      <w:r w:rsidR="009B74AB" w:rsidRPr="00A04E56">
        <w:rPr>
          <w:rStyle w:val="BOLDLIGHTBLUEReport"/>
          <w:rFonts w:eastAsia="Calibri"/>
        </w:rPr>
        <w:t xml:space="preserve">2030 </w:t>
      </w:r>
      <w:r w:rsidR="001C6576" w:rsidRPr="00A04E56">
        <w:rPr>
          <w:rStyle w:val="BOLDLIGHTBLUEReport"/>
          <w:rFonts w:eastAsia="Calibri"/>
        </w:rPr>
        <w:t>a</w:t>
      </w:r>
      <w:r w:rsidR="009B74AB" w:rsidRPr="00A04E56">
        <w:rPr>
          <w:rStyle w:val="BOLDLIGHTBLUEReport"/>
          <w:rFonts w:eastAsia="Calibri"/>
        </w:rPr>
        <w:t xml:space="preserve">genda for </w:t>
      </w:r>
      <w:r w:rsidR="001C6576" w:rsidRPr="00A04E56">
        <w:rPr>
          <w:rStyle w:val="BOLDLIGHTBLUEReport"/>
          <w:rFonts w:eastAsia="Calibri"/>
        </w:rPr>
        <w:t>s</w:t>
      </w:r>
      <w:r w:rsidR="009B74AB" w:rsidRPr="00A04E56">
        <w:rPr>
          <w:rStyle w:val="BOLDLIGHTBLUEReport"/>
          <w:rFonts w:eastAsia="Calibri"/>
        </w:rPr>
        <w:t xml:space="preserve">ustainable </w:t>
      </w:r>
      <w:r w:rsidR="001C6576" w:rsidRPr="00A04E56">
        <w:rPr>
          <w:rStyle w:val="BOLDLIGHTBLUEReport"/>
          <w:rFonts w:eastAsia="Calibri"/>
        </w:rPr>
        <w:t>d</w:t>
      </w:r>
      <w:r w:rsidR="009B74AB" w:rsidRPr="00A04E56">
        <w:rPr>
          <w:rStyle w:val="BOLDLIGHTBLUEReport"/>
          <w:rFonts w:eastAsia="Calibri"/>
        </w:rPr>
        <w:t>evelopment</w:t>
      </w:r>
      <w:r w:rsidR="00375898" w:rsidRPr="00A04E56">
        <w:rPr>
          <w:noProof w:val="0"/>
        </w:rPr>
        <w:t>.</w:t>
      </w:r>
      <w:r w:rsidR="00375898" w:rsidRPr="00A04E56">
        <w:t xml:space="preserve"> This a</w:t>
      </w:r>
      <w:r w:rsidR="00CD1A4E" w:rsidRPr="00A04E56">
        <w:t>ge</w:t>
      </w:r>
      <w:r w:rsidR="00375898" w:rsidRPr="00A04E56">
        <w:t>nda gave</w:t>
      </w:r>
      <w:r w:rsidR="009B74AB" w:rsidRPr="00A04E56">
        <w:t xml:space="preserve"> a new impetus to global efforts to achieve sustainable development. </w:t>
      </w:r>
    </w:p>
    <w:p w14:paraId="331C20AD" w14:textId="09B7EBA7" w:rsidR="009B74AB" w:rsidRPr="00A04E56" w:rsidRDefault="009B74AB" w:rsidP="00375898">
      <w:pPr>
        <w:pStyle w:val="BodyText1spaceafter"/>
      </w:pPr>
      <w:r w:rsidRPr="00A04E56">
        <w:t xml:space="preserve">The EU has played an important role in shaping the 2030 </w:t>
      </w:r>
      <w:r w:rsidR="00D80CAA" w:rsidRPr="00A04E56">
        <w:t>ag</w:t>
      </w:r>
      <w:r w:rsidRPr="00A04E56">
        <w:t xml:space="preserve">enda through public consultations, dialogue with its partners and in-depth research. The EU is committed to playing an active role </w:t>
      </w:r>
      <w:r w:rsidR="001C6576" w:rsidRPr="00A04E56">
        <w:t>in</w:t>
      </w:r>
      <w:r w:rsidRPr="00A04E56">
        <w:t xml:space="preserve"> maximis</w:t>
      </w:r>
      <w:r w:rsidR="001C6576" w:rsidRPr="00A04E56">
        <w:t>ing</w:t>
      </w:r>
      <w:r w:rsidRPr="00A04E56">
        <w:t xml:space="preserve"> progress towards the </w:t>
      </w:r>
      <w:r w:rsidR="00B97E23" w:rsidRPr="00A04E56">
        <w:rPr>
          <w:noProof w:val="0"/>
        </w:rPr>
        <w:t>sustainable development goals</w:t>
      </w:r>
      <w:r w:rsidRPr="00A04E56">
        <w:t xml:space="preserve">, as outlined in its </w:t>
      </w:r>
      <w:r w:rsidR="001C6576" w:rsidRPr="00A04E56">
        <w:t>c</w:t>
      </w:r>
      <w:r w:rsidRPr="00A04E56">
        <w:t>ommunication</w:t>
      </w:r>
      <w:r w:rsidR="005128AA" w:rsidRPr="00A04E56">
        <w:rPr>
          <w:rStyle w:val="fnRef"/>
          <w:rFonts w:ascii="Arial" w:hAnsi="Arial" w:cs="Arial"/>
        </w:rPr>
        <w:t> </w:t>
      </w:r>
      <w:r w:rsidR="0035678A" w:rsidRPr="00A04E56">
        <w:rPr>
          <w:rStyle w:val="fnRef"/>
        </w:rPr>
        <w:t>(</w:t>
      </w:r>
      <w:r w:rsidR="0035678A" w:rsidRPr="00A04E56">
        <w:rPr>
          <w:rStyle w:val="fnRefNo"/>
        </w:rPr>
        <w:footnoteReference w:id="37"/>
      </w:r>
      <w:r w:rsidR="0035678A" w:rsidRPr="00A04E56">
        <w:rPr>
          <w:rStyle w:val="fnRef"/>
        </w:rPr>
        <w:t>)</w:t>
      </w:r>
      <w:r w:rsidRPr="00A04E56">
        <w:t xml:space="preserve"> </w:t>
      </w:r>
      <w:r w:rsidR="005B45CE" w:rsidRPr="00A04E56">
        <w:t>on the</w:t>
      </w:r>
      <w:r w:rsidR="00655667" w:rsidRPr="00A04E56">
        <w:rPr>
          <w:noProof w:val="0"/>
        </w:rPr>
        <w:t xml:space="preserve"> </w:t>
      </w:r>
      <w:r w:rsidR="001C6576" w:rsidRPr="00A04E56">
        <w:t>‘</w:t>
      </w:r>
      <w:r w:rsidRPr="00A04E56">
        <w:t xml:space="preserve">Next steps for a sustainable European future’. </w:t>
      </w:r>
      <w:r w:rsidRPr="00A04E56">
        <w:rPr>
          <w:rStyle w:val="Emphasis"/>
          <w:i w:val="0"/>
        </w:rPr>
        <w:t xml:space="preserve">The </w:t>
      </w:r>
      <w:r w:rsidR="00B97E23" w:rsidRPr="00A04E56">
        <w:rPr>
          <w:noProof w:val="0"/>
        </w:rPr>
        <w:t>sustainable development goals</w:t>
      </w:r>
      <w:r w:rsidRPr="00A04E56">
        <w:t xml:space="preserve"> </w:t>
      </w:r>
      <w:r w:rsidRPr="00A04E56">
        <w:rPr>
          <w:rStyle w:val="Emphasis"/>
          <w:i w:val="0"/>
        </w:rPr>
        <w:t xml:space="preserve">are firmly anchored in the European </w:t>
      </w:r>
      <w:r w:rsidR="001C6576" w:rsidRPr="00A04E56">
        <w:rPr>
          <w:rStyle w:val="Emphasis"/>
          <w:i w:val="0"/>
          <w:noProof w:val="0"/>
        </w:rPr>
        <w:t>t</w:t>
      </w:r>
      <w:r w:rsidRPr="00A04E56">
        <w:rPr>
          <w:rStyle w:val="Emphasis"/>
          <w:i w:val="0"/>
          <w:noProof w:val="0"/>
        </w:rPr>
        <w:t>reaties</w:t>
      </w:r>
      <w:r w:rsidRPr="00A04E56">
        <w:rPr>
          <w:rStyle w:val="Emphasis"/>
          <w:i w:val="0"/>
        </w:rPr>
        <w:t xml:space="preserve"> and mainstreamed in all its programmes, sectoral policies and initiatives.</w:t>
      </w:r>
    </w:p>
    <w:p w14:paraId="591E55E7" w14:textId="71FF5925" w:rsidR="009B74AB" w:rsidRPr="00A04E56" w:rsidRDefault="009B74AB" w:rsidP="00731C62">
      <w:pPr>
        <w:pStyle w:val="BodyText1spaceafter"/>
      </w:pPr>
      <w:r w:rsidRPr="00A04E56">
        <w:t xml:space="preserve">Each year the EU continues its efforts via its policy and regulatory instruments to pursue </w:t>
      </w:r>
      <w:r w:rsidR="00373CFC">
        <w:t>the</w:t>
      </w:r>
      <w:r w:rsidRPr="00A04E56">
        <w:t xml:space="preserve"> </w:t>
      </w:r>
      <w:r w:rsidR="00B97E23" w:rsidRPr="00A04E56">
        <w:rPr>
          <w:noProof w:val="0"/>
        </w:rPr>
        <w:t>sustainable development goals</w:t>
      </w:r>
      <w:r w:rsidR="00B97E23" w:rsidRPr="00A04E56">
        <w:t xml:space="preserve"> </w:t>
      </w:r>
      <w:r w:rsidRPr="00A04E56">
        <w:t>and plays a key role in supporting, coordinating and complementing Member States</w:t>
      </w:r>
      <w:r w:rsidR="001C6576" w:rsidRPr="00A04E56">
        <w:t>’</w:t>
      </w:r>
      <w:r w:rsidRPr="00A04E56">
        <w:t xml:space="preserve"> policies</w:t>
      </w:r>
      <w:r w:rsidR="001C6576" w:rsidRPr="00A04E56">
        <w:t>,</w:t>
      </w:r>
      <w:r w:rsidRPr="00A04E56">
        <w:t xml:space="preserve"> also in financial terms</w:t>
      </w:r>
      <w:r w:rsidR="001C6576" w:rsidRPr="00A04E56">
        <w:t>,</w:t>
      </w:r>
      <w:r w:rsidRPr="00A04E56">
        <w:t xml:space="preserve"> via the EU budget</w:t>
      </w:r>
      <w:r w:rsidR="00214705" w:rsidRPr="00A04E56">
        <w:rPr>
          <w:noProof w:val="0"/>
        </w:rPr>
        <w:t>.</w:t>
      </w:r>
      <w:r w:rsidRPr="00A04E56">
        <w:t xml:space="preserve"> </w:t>
      </w:r>
    </w:p>
    <w:p w14:paraId="7BD25C93" w14:textId="11CDA7FC" w:rsidR="009B74AB" w:rsidRPr="00A04E56" w:rsidRDefault="009B74AB" w:rsidP="00731C62">
      <w:pPr>
        <w:pStyle w:val="BodyText1spaceafter"/>
      </w:pPr>
      <w:r w:rsidRPr="00A04E56">
        <w:t xml:space="preserve">The 2018 </w:t>
      </w:r>
      <w:r w:rsidR="001C6576" w:rsidRPr="00A04E56">
        <w:t>p</w:t>
      </w:r>
      <w:r w:rsidRPr="00A04E56">
        <w:t xml:space="preserve">rogramme </w:t>
      </w:r>
      <w:r w:rsidR="001C6576" w:rsidRPr="00A04E56">
        <w:t>s</w:t>
      </w:r>
      <w:r w:rsidRPr="00A04E56">
        <w:t xml:space="preserve">tatements highlighted in particular the most recent and relevant initiatives contributing to </w:t>
      </w:r>
      <w:r w:rsidR="001C6576" w:rsidRPr="00A04E56">
        <w:t xml:space="preserve">the </w:t>
      </w:r>
      <w:r w:rsidR="00B97E23" w:rsidRPr="00A04E56">
        <w:rPr>
          <w:noProof w:val="0"/>
        </w:rPr>
        <w:t>sustainable development goals</w:t>
      </w:r>
      <w:r w:rsidRPr="00A04E56">
        <w:t>, although often in an indirect and no</w:t>
      </w:r>
      <w:r w:rsidR="001C6576" w:rsidRPr="00A04E56">
        <w:t>n-</w:t>
      </w:r>
      <w:r w:rsidRPr="00A04E56">
        <w:t xml:space="preserve">quantifiable way. These elements are provided for information purposes and do not constitute the official reporting on the EU budget contribution towards </w:t>
      </w:r>
      <w:r w:rsidR="0045385A" w:rsidRPr="00A04E56">
        <w:t xml:space="preserve">the </w:t>
      </w:r>
      <w:r w:rsidR="00B97E23" w:rsidRPr="00A04E56">
        <w:rPr>
          <w:noProof w:val="0"/>
        </w:rPr>
        <w:t>sustainable development goals</w:t>
      </w:r>
      <w:r w:rsidRPr="00A04E56">
        <w:t xml:space="preserve">. As the </w:t>
      </w:r>
      <w:r w:rsidR="0045385A" w:rsidRPr="00A04E56">
        <w:t>g</w:t>
      </w:r>
      <w:r w:rsidRPr="00A04E56">
        <w:t xml:space="preserve">oals are interlinked, many EU actions can contribute to several </w:t>
      </w:r>
      <w:r w:rsidR="0045385A" w:rsidRPr="00A04E56">
        <w:t>of them</w:t>
      </w:r>
      <w:r w:rsidRPr="00A04E56">
        <w:t xml:space="preserve">. </w:t>
      </w:r>
    </w:p>
    <w:p w14:paraId="791F3F07" w14:textId="07E0EE48" w:rsidR="00FA2897" w:rsidRPr="00A04E56" w:rsidRDefault="00FA2897">
      <w:pPr>
        <w:pStyle w:val="Title3NumberedReport"/>
      </w:pPr>
      <w:r w:rsidRPr="00A04E56">
        <w:t xml:space="preserve">The 2018 </w:t>
      </w:r>
      <w:r w:rsidR="00B74018" w:rsidRPr="00A04E56">
        <w:t xml:space="preserve">EU </w:t>
      </w:r>
      <w:r w:rsidRPr="00A04E56">
        <w:t>budget</w:t>
      </w:r>
    </w:p>
    <w:p w14:paraId="3EC1F0DF" w14:textId="5F65403D" w:rsidR="00FA2897" w:rsidRDefault="00FA2897">
      <w:pPr>
        <w:pStyle w:val="BodyText1spaceafter"/>
      </w:pPr>
      <w:r w:rsidRPr="00A04E56">
        <w:t xml:space="preserve">2018 was the fifth year of implementation of the multiannual financial framework </w:t>
      </w:r>
      <w:r w:rsidR="006709D4" w:rsidRPr="00A04E56">
        <w:t>2014-2020</w:t>
      </w:r>
      <w:r w:rsidRPr="00A04E56">
        <w:t xml:space="preserve">. </w:t>
      </w:r>
      <w:r w:rsidR="001711FD" w:rsidRPr="00A04E56">
        <w:t>Two specific priorities were formulated for the 2018 budget</w:t>
      </w:r>
      <w:r w:rsidR="002C6539" w:rsidRPr="00A04E56">
        <w:t>.</w:t>
      </w:r>
      <w:r w:rsidR="001711FD" w:rsidRPr="00A04E56">
        <w:t xml:space="preserve"> </w:t>
      </w:r>
      <w:r w:rsidR="002C6539" w:rsidRPr="00A04E56">
        <w:t xml:space="preserve">One was </w:t>
      </w:r>
      <w:r w:rsidR="001711FD" w:rsidRPr="00A04E56">
        <w:t xml:space="preserve">a European response to the new challenges deriving from the complex geopolitical environment, from migration management to the protection of the EU's external borders and the security of its citizens. The other </w:t>
      </w:r>
      <w:r w:rsidR="002C6539" w:rsidRPr="00A04E56">
        <w:t>wa</w:t>
      </w:r>
      <w:r w:rsidR="001711FD" w:rsidRPr="00A04E56">
        <w:t>s strategic investment and sustainable growth, to support economic cohesion, and create jobs, in particular for young people’</w:t>
      </w:r>
      <w:r w:rsidR="007A7706" w:rsidRPr="00A04E56">
        <w:t>.</w:t>
      </w:r>
      <w:r w:rsidR="007A7706">
        <w:rPr>
          <w:rFonts w:ascii="Calibri" w:hAnsi="Calibri" w:cs="Calibri"/>
        </w:rPr>
        <w:t> </w:t>
      </w:r>
      <w:r w:rsidR="00387D58" w:rsidRPr="00A04E56">
        <w:t>(</w:t>
      </w:r>
      <w:r w:rsidR="002C6539" w:rsidRPr="00C91D3B">
        <w:rPr>
          <w:rStyle w:val="fnRefNo"/>
        </w:rPr>
        <w:footnoteReference w:id="38"/>
      </w:r>
      <w:r w:rsidR="00387D58" w:rsidRPr="00A04E56">
        <w:t>)</w:t>
      </w:r>
      <w:r w:rsidR="001711FD" w:rsidRPr="00A04E56">
        <w:t xml:space="preserve"> </w:t>
      </w:r>
      <w:r w:rsidRPr="00A04E56">
        <w:t xml:space="preserve">More detailed information on the progress </w:t>
      </w:r>
      <w:r w:rsidR="006539D5" w:rsidRPr="00A04E56">
        <w:t xml:space="preserve">made by </w:t>
      </w:r>
      <w:r w:rsidRPr="00A04E56">
        <w:t xml:space="preserve">programmes on specific indicators and objectives can be found in the </w:t>
      </w:r>
      <w:r w:rsidRPr="00A04E56">
        <w:rPr>
          <w:rStyle w:val="BOLDLIGHTBLUEReport"/>
          <w:rFonts w:eastAsia="Calibri"/>
        </w:rPr>
        <w:t>programmes’ performance overview</w:t>
      </w:r>
      <w:r w:rsidRPr="00A04E56">
        <w:rPr>
          <w:rStyle w:val="fnRef"/>
        </w:rPr>
        <w:t> (</w:t>
      </w:r>
      <w:r w:rsidRPr="00A04E56">
        <w:rPr>
          <w:rStyle w:val="fnRefNo"/>
        </w:rPr>
        <w:footnoteReference w:id="39"/>
      </w:r>
      <w:r w:rsidRPr="00A04E56">
        <w:rPr>
          <w:rStyle w:val="fnRef"/>
        </w:rPr>
        <w:t>)</w:t>
      </w:r>
      <w:r w:rsidRPr="00A04E56">
        <w:t xml:space="preserve">, which is an extract of the </w:t>
      </w:r>
      <w:r w:rsidRPr="00A04E56">
        <w:rPr>
          <w:rStyle w:val="BOLDLIGHTBLUEReport"/>
          <w:rFonts w:eastAsia="Calibri"/>
        </w:rPr>
        <w:t>programme statements</w:t>
      </w:r>
      <w:r w:rsidR="001F27AF">
        <w:t xml:space="preserve"> attached to the draft budget.</w:t>
      </w:r>
    </w:p>
    <w:p w14:paraId="1AB62F32" w14:textId="520DA04C" w:rsidR="00B74018" w:rsidRPr="00A04E56" w:rsidRDefault="00064C43" w:rsidP="00264CCA">
      <w:pPr>
        <w:pStyle w:val="Source-Table-Chart-PhotoCaption"/>
      </w:pPr>
      <w:r w:rsidRPr="00064C43">
        <w:rPr>
          <w:rStyle w:val="italics"/>
          <w:i w:val="0"/>
          <w:noProof/>
          <w:lang w:val="fr-BE"/>
        </w:rPr>
        <w:drawing>
          <wp:inline distT="0" distB="0" distL="0" distR="0" wp14:anchorId="650FEB24" wp14:editId="7DB2DE78">
            <wp:extent cx="5753100" cy="3592830"/>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5753100" cy="3592830"/>
                    </a:xfrm>
                    <a:prstGeom prst="rect">
                      <a:avLst/>
                    </a:prstGeom>
                    <a:noFill/>
                    <a:ln>
                      <a:noFill/>
                    </a:ln>
                  </pic:spPr>
                </pic:pic>
              </a:graphicData>
            </a:graphic>
          </wp:inline>
        </w:drawing>
      </w:r>
      <w:r w:rsidR="00B74018" w:rsidRPr="00A04E56">
        <w:rPr>
          <w:rStyle w:val="italics"/>
        </w:rPr>
        <w:t>Chart:</w:t>
      </w:r>
      <w:r w:rsidR="00B74018" w:rsidRPr="00A04E56">
        <w:t xml:space="preserve"> The 2018 EU budget</w:t>
      </w:r>
      <w:r w:rsidR="0015064F" w:rsidRPr="00A04E56">
        <w:t>, commitment appropriations,</w:t>
      </w:r>
      <w:r w:rsidR="004912D7" w:rsidRPr="00A04E56">
        <w:t xml:space="preserve"> per budget heading. All amounts in EUR million</w:t>
      </w:r>
      <w:r w:rsidR="00CE6CD0" w:rsidRPr="00A04E56">
        <w:t>.</w:t>
      </w:r>
    </w:p>
    <w:p w14:paraId="12B2C10D" w14:textId="4B7D230B" w:rsidR="00AB63C7" w:rsidRPr="00A04E56" w:rsidRDefault="00AB63C7" w:rsidP="00107DA0">
      <w:pPr>
        <w:pStyle w:val="Source-Table-Chart-PhotoCaption"/>
      </w:pPr>
      <w:r w:rsidRPr="00A04E56">
        <w:rPr>
          <w:rStyle w:val="italics"/>
        </w:rPr>
        <w:t>Source:</w:t>
      </w:r>
      <w:r w:rsidRPr="00A04E56">
        <w:t xml:space="preserve"> European Commission.</w:t>
      </w:r>
    </w:p>
    <w:p w14:paraId="73544A18" w14:textId="7949A826" w:rsidR="00CA2D63" w:rsidRPr="00A04E56" w:rsidRDefault="00007E68">
      <w:pPr>
        <w:pStyle w:val="BodyText1spacebeforeandafter"/>
      </w:pPr>
      <w:r w:rsidRPr="00007E68">
        <w:t>In 2018</w:t>
      </w:r>
      <w:r w:rsidR="009E0C7E">
        <w:t>,</w:t>
      </w:r>
      <w:r w:rsidRPr="00007E68">
        <w:t xml:space="preserve"> the total amount of commitments implemented from the</w:t>
      </w:r>
      <w:r w:rsidR="00CA2D63" w:rsidRPr="00A04E56">
        <w:t xml:space="preserve"> EU budget, including amending budgets, amounted to EUR</w:t>
      </w:r>
      <w:r w:rsidR="002740A8" w:rsidRPr="00A04E56">
        <w:rPr>
          <w:rFonts w:ascii="Calibri" w:hAnsi="Calibri" w:cs="Calibri"/>
        </w:rPr>
        <w:t> </w:t>
      </w:r>
      <w:r w:rsidR="00CA2D63" w:rsidRPr="00007E68">
        <w:rPr>
          <w:noProof w:val="0"/>
        </w:rPr>
        <w:t>1</w:t>
      </w:r>
      <w:r w:rsidRPr="00007E68">
        <w:rPr>
          <w:noProof w:val="0"/>
        </w:rPr>
        <w:t>60</w:t>
      </w:r>
      <w:r w:rsidR="002740A8" w:rsidRPr="00A04E56">
        <w:rPr>
          <w:rFonts w:ascii="Calibri" w:hAnsi="Calibri" w:cs="Calibri"/>
          <w:noProof w:val="0"/>
        </w:rPr>
        <w:t> </w:t>
      </w:r>
      <w:r w:rsidR="00CA2D63" w:rsidRPr="00A04E56" w:rsidDel="00D32944">
        <w:rPr>
          <w:noProof w:val="0"/>
        </w:rPr>
        <w:t>b</w:t>
      </w:r>
      <w:r w:rsidR="00CA2D63" w:rsidRPr="00A04E56">
        <w:rPr>
          <w:noProof w:val="0"/>
        </w:rPr>
        <w:t>illion</w:t>
      </w:r>
      <w:r w:rsidR="00B36C54">
        <w:rPr>
          <w:rFonts w:ascii="Calibri" w:hAnsi="Calibri" w:cs="Calibri"/>
          <w:noProof w:val="0"/>
        </w:rPr>
        <w:t> </w:t>
      </w:r>
      <w:r w:rsidR="00CA2D63" w:rsidRPr="00007E68">
        <w:rPr>
          <w:rStyle w:val="fnRef"/>
        </w:rPr>
        <w:t>(</w:t>
      </w:r>
      <w:r w:rsidR="00CA2D63" w:rsidRPr="00007E68">
        <w:rPr>
          <w:rStyle w:val="fnRefNo"/>
        </w:rPr>
        <w:footnoteReference w:id="40"/>
      </w:r>
      <w:r w:rsidR="00CA2D63" w:rsidRPr="00007E68">
        <w:rPr>
          <w:rStyle w:val="fnRef"/>
        </w:rPr>
        <w:t>)</w:t>
      </w:r>
      <w:r w:rsidR="00CA2D63" w:rsidRPr="00007E68">
        <w:t>.</w:t>
      </w:r>
      <w:r w:rsidR="00CA2D63" w:rsidRPr="00A04E56">
        <w:t xml:space="preserve"> </w:t>
      </w:r>
      <w:r w:rsidR="006539D5" w:rsidRPr="00A04E56">
        <w:t xml:space="preserve">Around </w:t>
      </w:r>
      <w:r w:rsidR="00CA2D63" w:rsidRPr="00A04E56">
        <w:t>half of this (</w:t>
      </w:r>
      <w:r w:rsidR="00CA2D63" w:rsidRPr="00007E68">
        <w:rPr>
          <w:rFonts w:cs="Calibri"/>
          <w:noProof w:val="0"/>
        </w:rPr>
        <w:t>5</w:t>
      </w:r>
      <w:r w:rsidR="00D872A2" w:rsidRPr="00007E68">
        <w:rPr>
          <w:rFonts w:cs="Calibri"/>
          <w:noProof w:val="0"/>
        </w:rPr>
        <w:t>0</w:t>
      </w:r>
      <w:r w:rsidR="00CA2D63" w:rsidRPr="00A04E56">
        <w:rPr>
          <w:rFonts w:cs="Calibri"/>
          <w:noProof w:val="0"/>
        </w:rPr>
        <w:t>%</w:t>
      </w:r>
      <w:r w:rsidR="00CA2D63" w:rsidRPr="00A04E56">
        <w:t xml:space="preserve"> or EUR </w:t>
      </w:r>
      <w:r w:rsidR="00D872A2" w:rsidRPr="00007E68">
        <w:t>77</w:t>
      </w:r>
      <w:r w:rsidR="00CA2D63" w:rsidRPr="00007E68">
        <w:t>.</w:t>
      </w:r>
      <w:r w:rsidR="00D872A2" w:rsidRPr="00007E68">
        <w:t>5</w:t>
      </w:r>
      <w:r w:rsidR="00CA2D63" w:rsidRPr="00A04E56">
        <w:t xml:space="preserve"> </w:t>
      </w:r>
      <w:r w:rsidR="00CA2D63" w:rsidRPr="00A04E56" w:rsidDel="00D32944">
        <w:t>b</w:t>
      </w:r>
      <w:r w:rsidR="00CA2D63" w:rsidRPr="00A04E56">
        <w:t xml:space="preserve">illion) was allocated to </w:t>
      </w:r>
      <w:r w:rsidR="00CA2D63" w:rsidRPr="00A04E56">
        <w:rPr>
          <w:noProof w:val="0"/>
        </w:rPr>
        <w:t>heading</w:t>
      </w:r>
      <w:r w:rsidR="00CA2D63" w:rsidRPr="00A04E56">
        <w:t xml:space="preserve"> 1 ‘Smart and inclusive growth’ split between </w:t>
      </w:r>
      <w:r w:rsidR="00CA2D63" w:rsidRPr="00A04E56">
        <w:rPr>
          <w:noProof w:val="0"/>
        </w:rPr>
        <w:t>heading</w:t>
      </w:r>
      <w:r w:rsidR="00CA2D63" w:rsidRPr="00A04E56">
        <w:t xml:space="preserve"> 1A ‘Competitiveness for growth and jobs’ (</w:t>
      </w:r>
      <w:r w:rsidR="00CA2D63" w:rsidRPr="00007E68">
        <w:rPr>
          <w:rFonts w:cs="Calibri"/>
        </w:rPr>
        <w:t>2</w:t>
      </w:r>
      <w:r w:rsidR="00D872A2" w:rsidRPr="00007E68">
        <w:rPr>
          <w:rFonts w:cs="Calibri"/>
        </w:rPr>
        <w:t>8</w:t>
      </w:r>
      <w:r w:rsidR="00CA2D63" w:rsidRPr="00A04E56">
        <w:t xml:space="preserve">%) and </w:t>
      </w:r>
      <w:r w:rsidR="00CA2D63" w:rsidRPr="00A04E56">
        <w:rPr>
          <w:noProof w:val="0"/>
        </w:rPr>
        <w:t>heading</w:t>
      </w:r>
      <w:r w:rsidR="00CA2D63" w:rsidRPr="00A04E56">
        <w:t xml:space="preserve"> 1B </w:t>
      </w:r>
      <w:r w:rsidR="00CA2D63" w:rsidRPr="00A04E56">
        <w:rPr>
          <w:rFonts w:cs="EC Square Sans Pro"/>
        </w:rPr>
        <w:t>‘</w:t>
      </w:r>
      <w:r w:rsidR="00CA2D63" w:rsidRPr="00A04E56">
        <w:t>Economic, social and territorial cohesion’ (</w:t>
      </w:r>
      <w:r w:rsidR="00CA2D63" w:rsidRPr="00007E68">
        <w:t>7</w:t>
      </w:r>
      <w:r w:rsidR="00D872A2" w:rsidRPr="00007E68">
        <w:t>2</w:t>
      </w:r>
      <w:r w:rsidR="00CA2D63" w:rsidRPr="00A04E56">
        <w:rPr>
          <w:rFonts w:cs="Calibri"/>
        </w:rPr>
        <w:t>%</w:t>
      </w:r>
      <w:r w:rsidR="00CA2D63" w:rsidRPr="00A04E56">
        <w:t xml:space="preserve">). </w:t>
      </w:r>
      <w:r w:rsidR="00CA2D63" w:rsidRPr="00A04E56">
        <w:rPr>
          <w:noProof w:val="0"/>
        </w:rPr>
        <w:t>heading</w:t>
      </w:r>
      <w:r w:rsidR="00CA2D63" w:rsidRPr="00A04E56">
        <w:t xml:space="preserve"> 2 ‘Sustainable growth: natural resources’ was the second largest area of the budget</w:t>
      </w:r>
      <w:r w:rsidR="00702816" w:rsidRPr="00A04E56">
        <w:t xml:space="preserve"> with EUR</w:t>
      </w:r>
      <w:r w:rsidR="00702816" w:rsidRPr="00A04E56">
        <w:rPr>
          <w:rFonts w:ascii="Calibri" w:hAnsi="Calibri" w:cs="Calibri"/>
        </w:rPr>
        <w:t> </w:t>
      </w:r>
      <w:r w:rsidR="00D872A2" w:rsidRPr="00007E68">
        <w:t>58</w:t>
      </w:r>
      <w:r w:rsidR="00702816" w:rsidRPr="00007E68">
        <w:t>.</w:t>
      </w:r>
      <w:r w:rsidR="00D872A2" w:rsidRPr="00007E68">
        <w:t>8</w:t>
      </w:r>
      <w:r w:rsidR="00702816" w:rsidRPr="00A04E56">
        <w:rPr>
          <w:rFonts w:ascii="Calibri" w:hAnsi="Calibri" w:cs="Calibri"/>
        </w:rPr>
        <w:t> </w:t>
      </w:r>
      <w:r w:rsidR="00702816" w:rsidRPr="00A04E56">
        <w:t>billion</w:t>
      </w:r>
      <w:r w:rsidR="00CA2D63" w:rsidRPr="00A04E56">
        <w:t xml:space="preserve">, accounting for </w:t>
      </w:r>
      <w:r w:rsidR="004D6BD2" w:rsidRPr="00007E68">
        <w:t>3</w:t>
      </w:r>
      <w:r w:rsidR="004D6BD2">
        <w:t>7</w:t>
      </w:r>
      <w:r w:rsidR="00CA2D63" w:rsidRPr="00A04E56">
        <w:rPr>
          <w:rFonts w:cs="Calibri"/>
        </w:rPr>
        <w:t>%</w:t>
      </w:r>
      <w:r w:rsidR="00CA2D63" w:rsidRPr="00A04E56">
        <w:t xml:space="preserve">. </w:t>
      </w:r>
      <w:r w:rsidR="00CA2D63" w:rsidRPr="00A04E56">
        <w:rPr>
          <w:noProof w:val="0"/>
        </w:rPr>
        <w:t>EUR</w:t>
      </w:r>
      <w:r w:rsidR="00702816" w:rsidRPr="00A04E56">
        <w:rPr>
          <w:rFonts w:ascii="Calibri" w:hAnsi="Calibri" w:cs="Calibri"/>
          <w:noProof w:val="0"/>
        </w:rPr>
        <w:t> </w:t>
      </w:r>
      <w:r w:rsidR="00CA2D63" w:rsidRPr="00A04E56">
        <w:rPr>
          <w:noProof w:val="0"/>
        </w:rPr>
        <w:t>3.</w:t>
      </w:r>
      <w:r w:rsidR="00D872A2" w:rsidRPr="00007E68">
        <w:rPr>
          <w:noProof w:val="0"/>
        </w:rPr>
        <w:t>5</w:t>
      </w:r>
      <w:r w:rsidR="00702816" w:rsidRPr="00A04E56">
        <w:rPr>
          <w:rFonts w:ascii="Calibri" w:hAnsi="Calibri" w:cs="Calibri"/>
          <w:noProof w:val="0"/>
        </w:rPr>
        <w:t> </w:t>
      </w:r>
      <w:r w:rsidR="00CA2D63" w:rsidRPr="00A04E56">
        <w:rPr>
          <w:noProof w:val="0"/>
        </w:rPr>
        <w:t xml:space="preserve">billion was </w:t>
      </w:r>
      <w:r w:rsidR="00C24BBB" w:rsidRPr="00A04E56">
        <w:rPr>
          <w:noProof w:val="0"/>
        </w:rPr>
        <w:t>allocated</w:t>
      </w:r>
      <w:r w:rsidR="00CA2D63" w:rsidRPr="00A04E56">
        <w:rPr>
          <w:noProof w:val="0"/>
        </w:rPr>
        <w:t xml:space="preserve"> </w:t>
      </w:r>
      <w:r w:rsidR="00373CFC">
        <w:rPr>
          <w:noProof w:val="0"/>
        </w:rPr>
        <w:t>to</w:t>
      </w:r>
      <w:r w:rsidR="00CA2D63" w:rsidRPr="00A04E56">
        <w:rPr>
          <w:noProof w:val="0"/>
        </w:rPr>
        <w:t xml:space="preserve"> </w:t>
      </w:r>
      <w:r w:rsidR="00C24BBB" w:rsidRPr="00A04E56">
        <w:rPr>
          <w:noProof w:val="0"/>
        </w:rPr>
        <w:t>budget heading 3 ‘security and citizenship’, including on reinforcing</w:t>
      </w:r>
      <w:r w:rsidR="00702816" w:rsidRPr="00A04E56">
        <w:rPr>
          <w:noProof w:val="0"/>
        </w:rPr>
        <w:t xml:space="preserve"> </w:t>
      </w:r>
      <w:r w:rsidR="00CA2D63" w:rsidRPr="00A04E56">
        <w:rPr>
          <w:noProof w:val="0"/>
        </w:rPr>
        <w:t>the external borders of the EU and addressing the refugee crisis and irregular migration. EUR</w:t>
      </w:r>
      <w:r w:rsidR="00702816" w:rsidRPr="00A04E56">
        <w:rPr>
          <w:rFonts w:ascii="Calibri" w:hAnsi="Calibri" w:cs="Calibri"/>
          <w:noProof w:val="0"/>
        </w:rPr>
        <w:t> </w:t>
      </w:r>
      <w:r w:rsidR="00CA2D63" w:rsidRPr="00007E68">
        <w:rPr>
          <w:noProof w:val="0"/>
        </w:rPr>
        <w:t>1</w:t>
      </w:r>
      <w:r w:rsidR="00D872A2" w:rsidRPr="00007E68">
        <w:rPr>
          <w:noProof w:val="0"/>
        </w:rPr>
        <w:t>0.4</w:t>
      </w:r>
      <w:r w:rsidR="00702816" w:rsidRPr="00A04E56">
        <w:rPr>
          <w:rFonts w:ascii="Calibri" w:hAnsi="Calibri" w:cs="Calibri"/>
          <w:noProof w:val="0"/>
        </w:rPr>
        <w:t> </w:t>
      </w:r>
      <w:r w:rsidR="00CA2D63" w:rsidRPr="00A04E56">
        <w:rPr>
          <w:noProof w:val="0"/>
        </w:rPr>
        <w:t>billion was allocated to actions outside the EU and EUR</w:t>
      </w:r>
      <w:r w:rsidR="00702816" w:rsidRPr="00A04E56">
        <w:rPr>
          <w:rFonts w:ascii="Calibri" w:hAnsi="Calibri" w:cs="Calibri"/>
          <w:noProof w:val="0"/>
        </w:rPr>
        <w:t> </w:t>
      </w:r>
      <w:r w:rsidR="00B914AC" w:rsidRPr="00007E68">
        <w:rPr>
          <w:noProof w:val="0"/>
        </w:rPr>
        <w:t>9</w:t>
      </w:r>
      <w:r w:rsidR="00CA2D63" w:rsidRPr="00007E68">
        <w:rPr>
          <w:noProof w:val="0"/>
        </w:rPr>
        <w:t>.</w:t>
      </w:r>
      <w:r w:rsidR="00B914AC" w:rsidRPr="00007E68">
        <w:rPr>
          <w:noProof w:val="0"/>
        </w:rPr>
        <w:t>5</w:t>
      </w:r>
      <w:r w:rsidR="00702816" w:rsidRPr="00A04E56">
        <w:rPr>
          <w:rFonts w:ascii="Calibri" w:hAnsi="Calibri" w:cs="Calibri"/>
          <w:noProof w:val="0"/>
        </w:rPr>
        <w:t> </w:t>
      </w:r>
      <w:r w:rsidR="00CA2D63" w:rsidRPr="00A04E56">
        <w:rPr>
          <w:noProof w:val="0"/>
        </w:rPr>
        <w:t>billion was spent on the administration of the EU institutions.</w:t>
      </w:r>
    </w:p>
    <w:p w14:paraId="4BF02FEE" w14:textId="677F275A" w:rsidR="00CA2D63" w:rsidRPr="00A04E56" w:rsidRDefault="008C1D39" w:rsidP="00840A3D">
      <w:pPr>
        <w:pStyle w:val="BodyText1spaceafter"/>
      </w:pPr>
      <w:r w:rsidRPr="00107DA0">
        <w:t>In 2018</w:t>
      </w:r>
      <w:r w:rsidR="006709D4" w:rsidRPr="00107DA0">
        <w:t>,</w:t>
      </w:r>
      <w:r w:rsidR="00CA2D63" w:rsidRPr="00A04E56">
        <w:t xml:space="preserve"> six draft amending budgets were adopted. Apart from the standard adjustments on the revenue side, two draft amending budgets were adopted for the mobilisation of the European Solidarity Fund. </w:t>
      </w:r>
      <w:r w:rsidR="00A71FB1" w:rsidRPr="00A04E56">
        <w:t>T</w:t>
      </w:r>
      <w:r w:rsidR="00CA2D63" w:rsidRPr="00A04E56">
        <w:t xml:space="preserve">his report describes the many instances where this fund supports EU </w:t>
      </w:r>
      <w:r w:rsidR="00702816" w:rsidRPr="00A04E56">
        <w:t>countries</w:t>
      </w:r>
      <w:r w:rsidR="00CA2D63" w:rsidRPr="00A04E56">
        <w:t xml:space="preserve"> struck by natural disasters</w:t>
      </w:r>
      <w:r w:rsidR="00A71FB1" w:rsidRPr="00A04E56">
        <w:t xml:space="preserve"> and </w:t>
      </w:r>
      <w:r w:rsidR="00702816" w:rsidRPr="00A04E56">
        <w:t>helps them recover quickly</w:t>
      </w:r>
      <w:r w:rsidR="00CA2D63" w:rsidRPr="00A04E56">
        <w:t>.</w:t>
      </w:r>
    </w:p>
    <w:p w14:paraId="11CD464C" w14:textId="1BE58220" w:rsidR="00CA2D63" w:rsidRPr="00A04E56" w:rsidRDefault="00CA2D63" w:rsidP="00840A3D">
      <w:pPr>
        <w:pStyle w:val="BodyText1spaceafter"/>
      </w:pPr>
      <w:r w:rsidRPr="00A04E56">
        <w:t>Further adjustments were needed for the EU budget contribution to the facility for refugees in Turkey</w:t>
      </w:r>
      <w:r w:rsidR="009338C4" w:rsidRPr="00A04E56">
        <w:t>. This include</w:t>
      </w:r>
      <w:r w:rsidR="00373CFC">
        <w:t>d</w:t>
      </w:r>
      <w:r w:rsidR="009338C4" w:rsidRPr="00A04E56">
        <w:t xml:space="preserve"> cancelling </w:t>
      </w:r>
      <w:r w:rsidRPr="00A04E56">
        <w:t>the reserve related to the support to Turkey from the Instrument for Pre-Accession</w:t>
      </w:r>
      <w:r w:rsidR="009338C4" w:rsidRPr="00A04E56">
        <w:t xml:space="preserve"> Assistance</w:t>
      </w:r>
      <w:r w:rsidRPr="00A04E56">
        <w:t xml:space="preserve">, and </w:t>
      </w:r>
      <w:r w:rsidR="009338C4" w:rsidRPr="00A04E56">
        <w:t xml:space="preserve">strengthening </w:t>
      </w:r>
      <w:r w:rsidRPr="00A04E56">
        <w:t xml:space="preserve">the European Neighbourhood Instrument to fund additional actions, for example linked to the </w:t>
      </w:r>
      <w:r w:rsidR="009338C4" w:rsidRPr="00A04E56">
        <w:t>c</w:t>
      </w:r>
      <w:r w:rsidRPr="00A04E56">
        <w:t>entral Mediterranean migratory route.</w:t>
      </w:r>
    </w:p>
    <w:p w14:paraId="73689205" w14:textId="6AB5CEE9" w:rsidR="004C485D" w:rsidRDefault="004D6BD2">
      <w:pPr>
        <w:rPr>
          <w:color w:val="000000" w:themeColor="text1"/>
          <w:lang w:eastAsia="fr-BE"/>
        </w:rPr>
      </w:pPr>
      <w:r>
        <w:br w:type="page"/>
      </w:r>
    </w:p>
    <w:p w14:paraId="0DB6C78D" w14:textId="11262725" w:rsidR="004C485D" w:rsidRPr="00A04E56" w:rsidRDefault="004C485D" w:rsidP="0081218A">
      <w:pPr>
        <w:pStyle w:val="BOX2Blue"/>
        <w:spacing w:before="240" w:after="360"/>
        <w:rPr>
          <w:b/>
        </w:rPr>
      </w:pPr>
      <w:r w:rsidRPr="00A04E56">
        <w:rPr>
          <w:b/>
        </w:rPr>
        <w:t>The EU budget helps tu</w:t>
      </w:r>
      <w:r w:rsidR="00ED0DB0" w:rsidRPr="00A04E56">
        <w:rPr>
          <w:b/>
        </w:rPr>
        <w:t>r</w:t>
      </w:r>
      <w:r w:rsidRPr="00A04E56">
        <w:rPr>
          <w:b/>
        </w:rPr>
        <w:t>n political priorities into a reality. Therefor</w:t>
      </w:r>
      <w:r w:rsidR="00373CFC">
        <w:rPr>
          <w:b/>
        </w:rPr>
        <w:t>e</w:t>
      </w:r>
      <w:r w:rsidRPr="00A04E56">
        <w:rPr>
          <w:b/>
        </w:rPr>
        <w:t>, the EU is directing money to where the needs are. The 2018 EU budget, a budget for all, created more jobs, more growth and more investments.</w:t>
      </w:r>
    </w:p>
    <w:p w14:paraId="381217E8" w14:textId="77777777" w:rsidR="004C485D" w:rsidRPr="00A04E56" w:rsidRDefault="004C485D" w:rsidP="004C485D">
      <w:pPr>
        <w:pStyle w:val="BodyText1"/>
        <w:rPr>
          <w:lang w:val="en-GB"/>
        </w:rPr>
      </w:pPr>
      <w:r w:rsidRPr="00A04E56">
        <w:rPr>
          <w:lang w:val="fr-BE"/>
        </w:rPr>
        <mc:AlternateContent>
          <mc:Choice Requires="wpc">
            <w:drawing>
              <wp:anchor distT="0" distB="0" distL="114300" distR="114300" simplePos="0" relativeHeight="251719680" behindDoc="0" locked="0" layoutInCell="1" allowOverlap="1" wp14:anchorId="292BF527" wp14:editId="749D2370">
                <wp:simplePos x="0" y="0"/>
                <wp:positionH relativeFrom="column">
                  <wp:posOffset>-3283</wp:posOffset>
                </wp:positionH>
                <wp:positionV relativeFrom="paragraph">
                  <wp:posOffset>150399</wp:posOffset>
                </wp:positionV>
                <wp:extent cx="6073775" cy="4589253"/>
                <wp:effectExtent l="0" t="0" r="3175" b="0"/>
                <wp:wrapNone/>
                <wp:docPr id="14542" name="Canvas 14542"/>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4252" name="Group 14252"/>
                        <wpg:cNvGrpSpPr/>
                        <wpg:grpSpPr>
                          <a:xfrm>
                            <a:off x="0" y="732772"/>
                            <a:ext cx="1112635" cy="3301053"/>
                            <a:chOff x="0" y="504825"/>
                            <a:chExt cx="1116330" cy="2229485"/>
                          </a:xfrm>
                        </wpg:grpSpPr>
                        <pic:pic xmlns:pic="http://schemas.openxmlformats.org/drawingml/2006/picture">
                          <pic:nvPicPr>
                            <pic:cNvPr id="14253" name="Picture 14253"/>
                            <pic:cNvPicPr>
                              <a:picLocks noChangeAspect="1"/>
                            </pic:cNvPicPr>
                          </pic:nvPicPr>
                          <pic:blipFill>
                            <a:blip r:embed="rId100">
                              <a:lum bright="20000" contrast="-20000"/>
                              <a:extLst>
                                <a:ext uri="{28A0092B-C50C-407E-A947-70E740481C1C}">
                                  <a14:useLocalDpi xmlns:a14="http://schemas.microsoft.com/office/drawing/2010/main"/>
                                </a:ext>
                              </a:extLst>
                            </a:blip>
                            <a:stretch>
                              <a:fillRect/>
                            </a:stretch>
                          </pic:blipFill>
                          <pic:spPr>
                            <a:xfrm>
                              <a:off x="0" y="504825"/>
                              <a:ext cx="1116330" cy="2229485"/>
                            </a:xfrm>
                            <a:prstGeom prst="rect">
                              <a:avLst/>
                            </a:prstGeom>
                          </pic:spPr>
                        </pic:pic>
                        <wps:wsp>
                          <wps:cNvPr id="14254" name="Text Box 315"/>
                          <wps:cNvSpPr txBox="1"/>
                          <wps:spPr>
                            <a:xfrm>
                              <a:off x="0" y="1208907"/>
                              <a:ext cx="934535" cy="695324"/>
                            </a:xfrm>
                            <a:prstGeom prst="rect">
                              <a:avLst/>
                            </a:prstGeom>
                            <a:noFill/>
                            <a:ln w="6350">
                              <a:noFill/>
                            </a:ln>
                          </wps:spPr>
                          <wps:txbx>
                            <w:txbxContent>
                              <w:p w14:paraId="5525632C" w14:textId="3853D000" w:rsidR="003C0461" w:rsidRDefault="003C0461" w:rsidP="004C485D">
                                <w:pPr>
                                  <w:pStyle w:val="NormalWeb"/>
                                  <w:spacing w:after="200"/>
                                </w:pPr>
                                <w:r>
                                  <w:rPr>
                                    <w:rFonts w:eastAsia="Calibri"/>
                                    <w:b/>
                                    <w:bCs/>
                                    <w:color w:val="1D3E89"/>
                                    <w:sz w:val="30"/>
                                    <w:szCs w:val="30"/>
                                  </w:rPr>
                                  <w:t xml:space="preserve">EUR 160 </w:t>
                                </w:r>
                                <w:r>
                                  <w:rPr>
                                    <w:rFonts w:eastAsia="Calibri"/>
                                    <w:b/>
                                    <w:bCs/>
                                    <w:color w:val="1D3E89"/>
                                    <w:sz w:val="30"/>
                                    <w:szCs w:val="30"/>
                                  </w:rPr>
                                  <w:br/>
                                  <w:t>billion</w:t>
                                </w:r>
                                <w:r>
                                  <w:rPr>
                                    <w:rFonts w:eastAsia="Calibri"/>
                                    <w:b/>
                                    <w:bCs/>
                                    <w:color w:val="1D3E89"/>
                                    <w:sz w:val="28"/>
                                    <w:szCs w:val="28"/>
                                  </w:rPr>
                                  <w:t xml:space="preserve"> </w:t>
                                </w:r>
                                <w:r>
                                  <w:rPr>
                                    <w:rFonts w:eastAsia="Calibri"/>
                                    <w:b/>
                                    <w:bCs/>
                                    <w:color w:val="1D3E89"/>
                                    <w:sz w:val="22"/>
                                    <w:szCs w:val="22"/>
                                  </w:rPr>
                                  <w:br/>
                                </w:r>
                                <w:r>
                                  <w:rPr>
                                    <w:rFonts w:eastAsia="Calibri"/>
                                    <w:color w:val="1D3E89"/>
                                    <w:sz w:val="18"/>
                                    <w:szCs w:val="18"/>
                                  </w:rPr>
                                  <w:t>in 2018</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14348" name="Rectangle 14348"/>
                        <wps:cNvSpPr/>
                        <wps:spPr>
                          <a:xfrm>
                            <a:off x="1222592" y="89732"/>
                            <a:ext cx="2361175" cy="396045"/>
                          </a:xfrm>
                          <a:prstGeom prst="rect">
                            <a:avLst/>
                          </a:prstGeom>
                          <a:solidFill>
                            <a:schemeClr val="bg1"/>
                          </a:solidFill>
                          <a:ln>
                            <a:solidFill>
                              <a:srgbClr val="08AA74"/>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5A8466" w14:textId="025F7096"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59</w:t>
                              </w:r>
                              <w:r>
                                <w:rPr>
                                  <w:rFonts w:ascii="Calibri" w:eastAsia="Calibri" w:hAnsi="Calibri" w:cs="Calibri"/>
                                  <w:color w:val="000000"/>
                                  <w:sz w:val="18"/>
                                  <w:szCs w:val="18"/>
                                </w:rPr>
                                <w:t> </w:t>
                              </w:r>
                              <w:r>
                                <w:rPr>
                                  <w:rFonts w:eastAsia="Calibri"/>
                                  <w:color w:val="000000"/>
                                  <w:sz w:val="18"/>
                                  <w:szCs w:val="18"/>
                                </w:rPr>
                                <w:t xml:space="preserve">billion to </w:t>
                              </w:r>
                              <w:r w:rsidRPr="00621B55">
                                <w:rPr>
                                  <w:rFonts w:eastAsia="Calibri"/>
                                  <w:b/>
                                  <w:color w:val="000000"/>
                                  <w:sz w:val="18"/>
                                  <w:szCs w:val="18"/>
                                </w:rPr>
                                <w:t>farmers</w:t>
                              </w:r>
                              <w:r>
                                <w:rPr>
                                  <w:rFonts w:eastAsia="Calibri"/>
                                  <w:color w:val="000000"/>
                                  <w:sz w:val="18"/>
                                  <w:szCs w:val="18"/>
                                </w:rPr>
                                <w:t xml:space="preserve">, </w:t>
                              </w:r>
                              <w:r w:rsidRPr="00621B55">
                                <w:rPr>
                                  <w:rFonts w:eastAsia="Calibri"/>
                                  <w:b/>
                                  <w:color w:val="000000"/>
                                  <w:sz w:val="18"/>
                                  <w:szCs w:val="18"/>
                                </w:rPr>
                                <w:t>fisheries</w:t>
                              </w:r>
                              <w:r>
                                <w:rPr>
                                  <w:rFonts w:eastAsia="Calibri"/>
                                  <w:color w:val="000000"/>
                                  <w:sz w:val="18"/>
                                  <w:szCs w:val="18"/>
                                </w:rPr>
                                <w:t xml:space="preserve">, </w:t>
                              </w:r>
                              <w:r w:rsidRPr="00621B55">
                                <w:rPr>
                                  <w:rFonts w:eastAsia="Calibri"/>
                                  <w:b/>
                                  <w:color w:val="000000"/>
                                  <w:sz w:val="18"/>
                                  <w:szCs w:val="18"/>
                                </w:rPr>
                                <w:t>climate</w:t>
                              </w:r>
                              <w:r>
                                <w:rPr>
                                  <w:rFonts w:eastAsia="Calibri"/>
                                  <w:color w:val="000000"/>
                                  <w:sz w:val="18"/>
                                  <w:szCs w:val="18"/>
                                </w:rPr>
                                <w:t xml:space="preserve"> and </w:t>
                              </w:r>
                              <w:r w:rsidRPr="00621B55">
                                <w:rPr>
                                  <w:rFonts w:eastAsia="Calibri"/>
                                  <w:b/>
                                  <w:color w:val="000000"/>
                                  <w:sz w:val="18"/>
                                  <w:szCs w:val="18"/>
                                </w:rPr>
                                <w:t>biodiversity</w:t>
                              </w:r>
                              <w:r>
                                <w:rPr>
                                  <w:rFonts w:eastAsia="Calibri"/>
                                  <w:color w:val="000000"/>
                                  <w:sz w:val="18"/>
                                  <w:szCs w:val="18"/>
                                </w:rPr>
                                <w:t>.</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5" name="Rectangle 14525"/>
                        <wps:cNvSpPr/>
                        <wps:spPr>
                          <a:xfrm>
                            <a:off x="3669243" y="0"/>
                            <a:ext cx="2361810" cy="550985"/>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9608BC" w14:textId="1ED5DAE9"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2</w:t>
                              </w:r>
                              <w:r>
                                <w:rPr>
                                  <w:rFonts w:ascii="Calibri" w:eastAsia="Calibri" w:hAnsi="Calibri" w:cs="Calibri"/>
                                  <w:color w:val="000000"/>
                                  <w:sz w:val="18"/>
                                  <w:szCs w:val="18"/>
                                </w:rPr>
                                <w:t> </w:t>
                              </w:r>
                              <w:r>
                                <w:rPr>
                                  <w:rFonts w:eastAsia="Calibri"/>
                                  <w:color w:val="000000"/>
                                  <w:sz w:val="18"/>
                                  <w:szCs w:val="18"/>
                                </w:rPr>
                                <w:t xml:space="preserve">billion to the </w:t>
                              </w:r>
                              <w:r w:rsidRPr="00621B55">
                                <w:rPr>
                                  <w:rFonts w:eastAsia="Calibri"/>
                                  <w:b/>
                                  <w:color w:val="000000"/>
                                  <w:sz w:val="18"/>
                                  <w:szCs w:val="18"/>
                                </w:rPr>
                                <w:t>European Fund for Strategic Investments</w:t>
                              </w:r>
                              <w:r>
                                <w:rPr>
                                  <w:rFonts w:eastAsia="Calibri"/>
                                  <w:color w:val="000000"/>
                                  <w:sz w:val="18"/>
                                  <w:szCs w:val="18"/>
                                </w:rPr>
                                <w:t>, the nucleus of the Juncker plan.</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6" name="Rectangle 14526"/>
                        <wps:cNvSpPr/>
                        <wps:spPr>
                          <a:xfrm>
                            <a:off x="3666437" y="689703"/>
                            <a:ext cx="2362445" cy="542730"/>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BD9D94D" w14:textId="130C9BD9"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354</w:t>
                              </w:r>
                              <w:r>
                                <w:rPr>
                                  <w:rFonts w:ascii="Calibri" w:eastAsia="Calibri" w:hAnsi="Calibri" w:cs="Calibri"/>
                                  <w:color w:val="000000"/>
                                  <w:sz w:val="18"/>
                                  <w:szCs w:val="18"/>
                                </w:rPr>
                                <w:t> </w:t>
                              </w:r>
                              <w:r>
                                <w:rPr>
                                  <w:rFonts w:eastAsia="Calibri"/>
                                  <w:color w:val="000000"/>
                                  <w:sz w:val="18"/>
                                  <w:szCs w:val="18"/>
                                </w:rPr>
                                <w:t xml:space="preserve">million to improve the </w:t>
                              </w:r>
                              <w:r w:rsidRPr="00621B55">
                                <w:rPr>
                                  <w:rFonts w:eastAsia="Calibri"/>
                                  <w:b/>
                                  <w:color w:val="000000"/>
                                  <w:sz w:val="18"/>
                                  <w:szCs w:val="18"/>
                                </w:rPr>
                                <w:t>competitiveness</w:t>
                              </w:r>
                              <w:r>
                                <w:rPr>
                                  <w:rFonts w:eastAsia="Calibri"/>
                                  <w:color w:val="000000"/>
                                  <w:sz w:val="18"/>
                                  <w:szCs w:val="18"/>
                                </w:rPr>
                                <w:t xml:space="preserve"> of small and medium-sized enterprises.</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7" name="Rectangle 14527"/>
                        <wps:cNvSpPr/>
                        <wps:spPr>
                          <a:xfrm>
                            <a:off x="3667601" y="1323506"/>
                            <a:ext cx="2363080" cy="385250"/>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F726A56" w14:textId="5AF1570F" w:rsidR="003C0461" w:rsidRDefault="003C0461" w:rsidP="004C485D">
                              <w:pPr>
                                <w:pStyle w:val="NormalWeb"/>
                                <w:spacing w:line="276" w:lineRule="auto"/>
                              </w:pPr>
                              <w:r>
                                <w:rPr>
                                  <w:rFonts w:eastAsia="Calibri"/>
                                  <w:color w:val="000000"/>
                                  <w:sz w:val="18"/>
                                  <w:szCs w:val="18"/>
                                </w:rPr>
                                <w:t>E.g. EUR 11.</w:t>
                              </w:r>
                              <w:r w:rsidRPr="00A739E4">
                                <w:rPr>
                                  <w:rFonts w:eastAsia="Calibri"/>
                                  <w:color w:val="000000"/>
                                  <w:sz w:val="18"/>
                                  <w:szCs w:val="18"/>
                                </w:rPr>
                                <w:t>2</w:t>
                              </w:r>
                              <w:r>
                                <w:rPr>
                                  <w:rFonts w:ascii="Calibri" w:eastAsia="Calibri" w:hAnsi="Calibri" w:cs="Calibri"/>
                                  <w:color w:val="000000"/>
                                  <w:sz w:val="18"/>
                                  <w:szCs w:val="18"/>
                                </w:rPr>
                                <w:t> </w:t>
                              </w:r>
                              <w:r>
                                <w:rPr>
                                  <w:rFonts w:eastAsia="Calibri"/>
                                  <w:color w:val="000000"/>
                                  <w:sz w:val="18"/>
                                  <w:szCs w:val="18"/>
                                </w:rPr>
                                <w:t xml:space="preserve">billion </w:t>
                              </w:r>
                              <w:r w:rsidRPr="00621B55">
                                <w:rPr>
                                  <w:rFonts w:eastAsia="Calibri"/>
                                  <w:b/>
                                  <w:color w:val="000000"/>
                                  <w:sz w:val="18"/>
                                  <w:szCs w:val="18"/>
                                </w:rPr>
                                <w:t>research and innovation</w:t>
                              </w:r>
                              <w:r>
                                <w:rPr>
                                  <w:rFonts w:eastAsia="Calibri"/>
                                  <w:color w:val="000000"/>
                                  <w:sz w:val="18"/>
                                  <w:szCs w:val="18"/>
                                </w:rPr>
                                <w:t xml:space="preserve"> funding through the Horizon 2020 programme. </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8" name="Rectangle 14528"/>
                        <wps:cNvSpPr/>
                        <wps:spPr>
                          <a:xfrm>
                            <a:off x="3674519" y="1836578"/>
                            <a:ext cx="2363080" cy="542730"/>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3665FC1" w14:textId="01E7BE98"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55.5</w:t>
                              </w:r>
                              <w:r>
                                <w:rPr>
                                  <w:rFonts w:ascii="Calibri" w:eastAsia="Calibri" w:hAnsi="Calibri" w:cs="Calibri"/>
                                  <w:color w:val="000000"/>
                                  <w:sz w:val="18"/>
                                  <w:szCs w:val="18"/>
                                </w:rPr>
                                <w:t> </w:t>
                              </w:r>
                              <w:r>
                                <w:rPr>
                                  <w:rFonts w:eastAsia="Calibri"/>
                                  <w:color w:val="000000"/>
                                  <w:sz w:val="18"/>
                                  <w:szCs w:val="18"/>
                                </w:rPr>
                                <w:t xml:space="preserve">billion to boosting growth, job creation and convergence in all Member States and regions via </w:t>
                              </w:r>
                              <w:r>
                                <w:rPr>
                                  <w:rFonts w:eastAsia="Calibri"/>
                                  <w:b/>
                                  <w:color w:val="000000"/>
                                  <w:sz w:val="18"/>
                                  <w:szCs w:val="18"/>
                                </w:rPr>
                                <w:t>c</w:t>
                              </w:r>
                              <w:r w:rsidRPr="00C260C9">
                                <w:rPr>
                                  <w:rFonts w:eastAsia="Calibri"/>
                                  <w:b/>
                                  <w:color w:val="000000"/>
                                  <w:sz w:val="18"/>
                                  <w:szCs w:val="18"/>
                                </w:rPr>
                                <w:t xml:space="preserve">ohesion </w:t>
                              </w:r>
                              <w:r>
                                <w:rPr>
                                  <w:rFonts w:eastAsia="Calibri"/>
                                  <w:b/>
                                  <w:color w:val="000000"/>
                                  <w:sz w:val="18"/>
                                  <w:szCs w:val="18"/>
                                </w:rPr>
                                <w:t>p</w:t>
                              </w:r>
                              <w:r w:rsidRPr="00C260C9">
                                <w:rPr>
                                  <w:rFonts w:eastAsia="Calibri"/>
                                  <w:b/>
                                  <w:color w:val="000000"/>
                                  <w:sz w:val="18"/>
                                  <w:szCs w:val="18"/>
                                </w:rPr>
                                <w:t>olicy</w:t>
                              </w:r>
                              <w:r>
                                <w:rPr>
                                  <w:rFonts w:eastAsia="Calibri"/>
                                  <w:b/>
                                  <w:color w:val="000000"/>
                                  <w:sz w:val="18"/>
                                  <w:szCs w:val="18"/>
                                </w:rPr>
                                <w:t>.</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29" name="Rectangle 14529"/>
                        <wps:cNvSpPr/>
                        <wps:spPr>
                          <a:xfrm>
                            <a:off x="1221196" y="776129"/>
                            <a:ext cx="2360540" cy="553525"/>
                          </a:xfrm>
                          <a:prstGeom prst="rect">
                            <a:avLst/>
                          </a:prstGeom>
                          <a:solidFill>
                            <a:schemeClr val="bg1"/>
                          </a:solidFill>
                          <a:ln>
                            <a:solidFill>
                              <a:srgbClr val="65BBC8"/>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7421FD" w14:textId="11BD5139" w:rsidR="003C0461" w:rsidRDefault="003C0461" w:rsidP="004C485D">
                              <w:pPr>
                                <w:pStyle w:val="NormalWeb"/>
                                <w:spacing w:line="276" w:lineRule="auto"/>
                              </w:pPr>
                              <w:r>
                                <w:rPr>
                                  <w:rFonts w:eastAsia="Calibri"/>
                                  <w:color w:val="000000"/>
                                  <w:sz w:val="18"/>
                                  <w:szCs w:val="18"/>
                                </w:rPr>
                                <w:t xml:space="preserve">E.g. </w:t>
                              </w:r>
                              <w:r w:rsidRPr="007D1744">
                                <w:rPr>
                                  <w:rFonts w:eastAsia="Calibri"/>
                                  <w:color w:val="000000"/>
                                  <w:sz w:val="18"/>
                                  <w:szCs w:val="18"/>
                                </w:rPr>
                                <w:t>EUR</w:t>
                              </w:r>
                              <w:r>
                                <w:rPr>
                                  <w:rFonts w:ascii="Calibri" w:eastAsia="Calibri" w:hAnsi="Calibri" w:cs="Calibri"/>
                                  <w:color w:val="000000"/>
                                  <w:sz w:val="18"/>
                                  <w:szCs w:val="18"/>
                                </w:rPr>
                                <w:t> </w:t>
                              </w:r>
                              <w:r>
                                <w:rPr>
                                  <w:rFonts w:eastAsia="Calibri"/>
                                  <w:color w:val="000000"/>
                                  <w:sz w:val="18"/>
                                  <w:szCs w:val="18"/>
                                </w:rPr>
                                <w:t>78</w:t>
                              </w:r>
                              <w:r>
                                <w:rPr>
                                  <w:rFonts w:ascii="Calibri" w:eastAsia="Calibri" w:hAnsi="Calibri" w:cs="Calibri"/>
                                  <w:color w:val="000000"/>
                                  <w:sz w:val="18"/>
                                  <w:szCs w:val="18"/>
                                </w:rPr>
                                <w:t> </w:t>
                              </w:r>
                              <w:r w:rsidRPr="007D1744">
                                <w:rPr>
                                  <w:rFonts w:eastAsia="Calibri"/>
                                  <w:color w:val="000000"/>
                                  <w:sz w:val="18"/>
                                  <w:szCs w:val="18"/>
                                </w:rPr>
                                <w:t>billion —</w:t>
                              </w:r>
                              <w:r>
                                <w:rPr>
                                  <w:rFonts w:eastAsia="Calibri"/>
                                  <w:color w:val="000000"/>
                                  <w:sz w:val="18"/>
                                  <w:szCs w:val="18"/>
                                </w:rPr>
                                <w:t xml:space="preserve"> almost half of the funds — towards boosting the European </w:t>
                              </w:r>
                              <w:r w:rsidRPr="00621B55">
                                <w:rPr>
                                  <w:rFonts w:eastAsia="Calibri"/>
                                  <w:b/>
                                  <w:color w:val="000000"/>
                                  <w:sz w:val="18"/>
                                  <w:szCs w:val="18"/>
                                </w:rPr>
                                <w:t>economy</w:t>
                              </w:r>
                              <w:r>
                                <w:rPr>
                                  <w:rFonts w:eastAsia="Calibri"/>
                                  <w:color w:val="000000"/>
                                  <w:sz w:val="18"/>
                                  <w:szCs w:val="18"/>
                                </w:rPr>
                                <w:t xml:space="preserve">, </w:t>
                              </w:r>
                              <w:r w:rsidRPr="00621B55">
                                <w:rPr>
                                  <w:rFonts w:eastAsia="Calibri"/>
                                  <w:b/>
                                  <w:color w:val="000000"/>
                                  <w:sz w:val="18"/>
                                  <w:szCs w:val="18"/>
                                </w:rPr>
                                <w:t>employment</w:t>
                              </w:r>
                              <w:r>
                                <w:rPr>
                                  <w:rFonts w:eastAsia="Calibri"/>
                                  <w:color w:val="000000"/>
                                  <w:sz w:val="18"/>
                                  <w:szCs w:val="18"/>
                                </w:rPr>
                                <w:t xml:space="preserve"> and </w:t>
                              </w:r>
                              <w:r w:rsidRPr="00621B55">
                                <w:rPr>
                                  <w:rFonts w:eastAsia="Calibri"/>
                                  <w:b/>
                                  <w:color w:val="000000"/>
                                  <w:sz w:val="18"/>
                                  <w:szCs w:val="18"/>
                                </w:rPr>
                                <w:t>competitiveness</w:t>
                              </w:r>
                              <w:r>
                                <w:rPr>
                                  <w:rFonts w:eastAsia="Calibri"/>
                                  <w:color w:val="000000"/>
                                  <w:sz w:val="18"/>
                                  <w:szCs w:val="18"/>
                                </w:rPr>
                                <w:t>.</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30" name="Rectangle 14530"/>
                        <wps:cNvSpPr/>
                        <wps:spPr>
                          <a:xfrm>
                            <a:off x="1226191" y="2172888"/>
                            <a:ext cx="2359270" cy="1026600"/>
                          </a:xfrm>
                          <a:prstGeom prst="rect">
                            <a:avLst/>
                          </a:prstGeom>
                          <a:solidFill>
                            <a:schemeClr val="bg1"/>
                          </a:solidFill>
                          <a:ln>
                            <a:solidFill>
                              <a:srgbClr val="E48C32"/>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48CD90" w14:textId="66916A5C" w:rsidR="003C0461" w:rsidRDefault="003C0461" w:rsidP="004C485D">
                              <w:pPr>
                                <w:pStyle w:val="NormalWeb"/>
                                <w:spacing w:line="276" w:lineRule="auto"/>
                              </w:pPr>
                              <w:r>
                                <w:rPr>
                                  <w:rFonts w:eastAsia="Calibri"/>
                                  <w:color w:val="000000"/>
                                  <w:sz w:val="18"/>
                                  <w:szCs w:val="18"/>
                                </w:rPr>
                                <w:t>E.g. more than EUR</w:t>
                              </w:r>
                              <w:r>
                                <w:rPr>
                                  <w:rFonts w:ascii="Calibri" w:eastAsia="Calibri" w:hAnsi="Calibri" w:cs="Calibri"/>
                                  <w:color w:val="000000"/>
                                  <w:sz w:val="18"/>
                                  <w:szCs w:val="18"/>
                                </w:rPr>
                                <w:t> </w:t>
                              </w:r>
                              <w:r w:rsidRPr="00A739E4">
                                <w:rPr>
                                  <w:rFonts w:eastAsia="Calibri"/>
                                  <w:color w:val="000000"/>
                                  <w:sz w:val="18"/>
                                  <w:szCs w:val="18"/>
                                </w:rPr>
                                <w:t>2</w:t>
                              </w:r>
                              <w:r>
                                <w:rPr>
                                  <w:rFonts w:eastAsia="Calibri"/>
                                  <w:color w:val="000000"/>
                                  <w:sz w:val="18"/>
                                  <w:szCs w:val="18"/>
                                </w:rPr>
                                <w:t xml:space="preserve"> billion for </w:t>
                              </w:r>
                              <w:r w:rsidRPr="00621B55">
                                <w:rPr>
                                  <w:rFonts w:eastAsia="Calibri"/>
                                  <w:b/>
                                  <w:color w:val="000000"/>
                                  <w:sz w:val="18"/>
                                  <w:szCs w:val="18"/>
                                </w:rPr>
                                <w:t>young people</w:t>
                              </w:r>
                              <w:r>
                                <w:rPr>
                                  <w:rFonts w:eastAsia="Calibri"/>
                                  <w:color w:val="000000"/>
                                  <w:sz w:val="18"/>
                                  <w:szCs w:val="18"/>
                                </w:rPr>
                                <w:t xml:space="preserve"> for the </w:t>
                              </w:r>
                              <w:r w:rsidRPr="00107DA0">
                                <w:rPr>
                                  <w:rFonts w:eastAsia="Calibri"/>
                                  <w:b/>
                                  <w:color w:val="000000"/>
                                  <w:sz w:val="18"/>
                                  <w:szCs w:val="18"/>
                                </w:rPr>
                                <w:t>Erasmus+ programme</w:t>
                              </w:r>
                              <w:r>
                                <w:rPr>
                                  <w:rFonts w:eastAsia="Calibri"/>
                                  <w:color w:val="000000"/>
                                  <w:sz w:val="18"/>
                                  <w:szCs w:val="18"/>
                                </w:rPr>
                                <w:t xml:space="preserve"> and for the youth employment initiative so they receive support and better opportunities to </w:t>
                              </w:r>
                              <w:r w:rsidRPr="00621B55">
                                <w:rPr>
                                  <w:rFonts w:eastAsia="Calibri"/>
                                  <w:b/>
                                  <w:color w:val="000000"/>
                                  <w:sz w:val="18"/>
                                  <w:szCs w:val="18"/>
                                </w:rPr>
                                <w:t>find jobs</w:t>
                              </w:r>
                              <w:r>
                                <w:rPr>
                                  <w:rFonts w:eastAsia="Calibri"/>
                                  <w:b/>
                                  <w:color w:val="000000"/>
                                  <w:sz w:val="18"/>
                                  <w:szCs w:val="18"/>
                                </w:rPr>
                                <w:t xml:space="preserve">. </w:t>
                              </w:r>
                              <w:r w:rsidRPr="00ED1E46">
                                <w:rPr>
                                  <w:rFonts w:eastAsia="Calibri"/>
                                  <w:color w:val="000000"/>
                                  <w:sz w:val="18"/>
                                  <w:szCs w:val="18"/>
                                </w:rPr>
                                <w:t>This helps</w:t>
                              </w:r>
                              <w:r>
                                <w:rPr>
                                  <w:rFonts w:eastAsia="Calibri"/>
                                  <w:color w:val="000000"/>
                                  <w:sz w:val="18"/>
                                  <w:szCs w:val="18"/>
                                </w:rPr>
                                <w:t xml:space="preserve"> strengthening solidarity in our Member States.</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31" name="Rectangle 14531"/>
                        <wps:cNvSpPr/>
                        <wps:spPr>
                          <a:xfrm>
                            <a:off x="1222199" y="3839199"/>
                            <a:ext cx="4812910" cy="568130"/>
                          </a:xfrm>
                          <a:prstGeom prst="rect">
                            <a:avLst/>
                          </a:prstGeom>
                          <a:solidFill>
                            <a:schemeClr val="bg1"/>
                          </a:solidFill>
                          <a:ln>
                            <a:solidFill>
                              <a:srgbClr val="FAD986"/>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02E14F" w14:textId="7C7ED7B3"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3.</w:t>
                              </w:r>
                              <w:r w:rsidRPr="00A739E4">
                                <w:rPr>
                                  <w:rFonts w:eastAsia="Calibri"/>
                                  <w:color w:val="000000"/>
                                  <w:sz w:val="18"/>
                                  <w:szCs w:val="18"/>
                                </w:rPr>
                                <w:t>5</w:t>
                              </w:r>
                              <w:r w:rsidRPr="00A739E4" w:rsidDel="00B914AC">
                                <w:rPr>
                                  <w:rFonts w:eastAsia="Calibri"/>
                                  <w:color w:val="000000"/>
                                  <w:sz w:val="18"/>
                                  <w:szCs w:val="18"/>
                                </w:rPr>
                                <w:t xml:space="preserve"> </w:t>
                              </w:r>
                              <w:r>
                                <w:rPr>
                                  <w:rFonts w:eastAsia="Calibri"/>
                                  <w:color w:val="000000"/>
                                  <w:sz w:val="18"/>
                                  <w:szCs w:val="18"/>
                                </w:rPr>
                                <w:t xml:space="preserve">billion was dedicated to security and citizenship, including to managing </w:t>
                              </w:r>
                              <w:r w:rsidRPr="00621B55">
                                <w:rPr>
                                  <w:rFonts w:eastAsia="Calibri"/>
                                  <w:b/>
                                  <w:color w:val="000000"/>
                                  <w:sz w:val="18"/>
                                  <w:szCs w:val="18"/>
                                </w:rPr>
                                <w:t>migration</w:t>
                              </w:r>
                              <w:r>
                                <w:rPr>
                                  <w:rFonts w:eastAsia="Calibri"/>
                                  <w:color w:val="000000"/>
                                  <w:sz w:val="18"/>
                                  <w:szCs w:val="18"/>
                                </w:rPr>
                                <w:t xml:space="preserve"> and tracking </w:t>
                              </w:r>
                              <w:r w:rsidRPr="00621B55">
                                <w:rPr>
                                  <w:rFonts w:eastAsia="Calibri"/>
                                  <w:b/>
                                  <w:color w:val="000000"/>
                                  <w:sz w:val="18"/>
                                  <w:szCs w:val="18"/>
                                </w:rPr>
                                <w:t>security challenges</w:t>
                              </w:r>
                              <w:r>
                                <w:rPr>
                                  <w:rFonts w:eastAsia="Calibri"/>
                                  <w:color w:val="000000"/>
                                  <w:sz w:val="18"/>
                                  <w:szCs w:val="18"/>
                                </w:rPr>
                                <w:t xml:space="preserve">. </w:t>
                              </w:r>
                              <w:r>
                                <w:rPr>
                                  <w:rFonts w:eastAsia="Calibri"/>
                                  <w:color w:val="000000"/>
                                  <w:sz w:val="18"/>
                                  <w:szCs w:val="18"/>
                                </w:rPr>
                                <w:br/>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32" name="Rectangle 14532"/>
                        <wps:cNvSpPr/>
                        <wps:spPr>
                          <a:xfrm>
                            <a:off x="1222465" y="3340015"/>
                            <a:ext cx="4813545" cy="385250"/>
                          </a:xfrm>
                          <a:prstGeom prst="rect">
                            <a:avLst/>
                          </a:prstGeom>
                          <a:solidFill>
                            <a:schemeClr val="bg1"/>
                          </a:solidFill>
                          <a:ln>
                            <a:solidFill>
                              <a:srgbClr val="1D3E89"/>
                            </a:solidFill>
                            <a:round/>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C8A5EED" w14:textId="7FDC57AA"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 xml:space="preserve">40 million in funding for collaborative research and innovative </w:t>
                              </w:r>
                              <w:r w:rsidRPr="00621B55">
                                <w:rPr>
                                  <w:rFonts w:eastAsia="Calibri"/>
                                  <w:b/>
                                  <w:color w:val="000000"/>
                                  <w:sz w:val="18"/>
                                  <w:szCs w:val="18"/>
                                </w:rPr>
                                <w:t>defence</w:t>
                              </w:r>
                              <w:r>
                                <w:rPr>
                                  <w:rFonts w:eastAsia="Calibri"/>
                                  <w:color w:val="000000"/>
                                  <w:sz w:val="18"/>
                                  <w:szCs w:val="18"/>
                                </w:rPr>
                                <w:t xml:space="preserve"> technologies and products as a first step towards a European Defence Fund.</w:t>
                              </w:r>
                            </w:p>
                          </w:txbxContent>
                        </wps:txbx>
                        <wps:bodyPr rot="0" spcFirstLastPara="0" vert="horz" wrap="square" lIns="36000" tIns="36000" rIns="36000" bIns="0" numCol="1" spcCol="0" rtlCol="0" fromWordArt="0" anchor="ctr" anchorCtr="0" forceAA="0" compatLnSpc="1">
                          <a:prstTxWarp prst="textNoShape">
                            <a:avLst/>
                          </a:prstTxWarp>
                          <a:spAutoFit/>
                        </wps:bodyPr>
                      </wps:wsp>
                      <wps:wsp>
                        <wps:cNvPr id="14533" name="Straight Arrow Connector 14533"/>
                        <wps:cNvCnPr/>
                        <wps:spPr>
                          <a:xfrm flipH="1">
                            <a:off x="3585461" y="299305"/>
                            <a:ext cx="85528" cy="869874"/>
                          </a:xfrm>
                          <a:prstGeom prst="straightConnector1">
                            <a:avLst/>
                          </a:prstGeom>
                          <a:ln w="12700">
                            <a:solidFill>
                              <a:srgbClr val="65BBC8"/>
                            </a:solidFill>
                            <a:tailEnd type="none"/>
                          </a:ln>
                        </wps:spPr>
                        <wps:style>
                          <a:lnRef idx="1">
                            <a:schemeClr val="accent1"/>
                          </a:lnRef>
                          <a:fillRef idx="0">
                            <a:schemeClr val="accent1"/>
                          </a:fillRef>
                          <a:effectRef idx="0">
                            <a:schemeClr val="accent1"/>
                          </a:effectRef>
                          <a:fontRef idx="minor">
                            <a:schemeClr val="tx1"/>
                          </a:fontRef>
                        </wps:style>
                        <wps:bodyPr/>
                      </wps:wsp>
                      <wps:wsp>
                        <wps:cNvPr id="14534" name="Straight Connector 14534"/>
                        <wps:cNvCnPr/>
                        <wps:spPr>
                          <a:xfrm flipH="1">
                            <a:off x="3585461" y="1168645"/>
                            <a:ext cx="85244" cy="534"/>
                          </a:xfrm>
                          <a:prstGeom prst="line">
                            <a:avLst/>
                          </a:prstGeom>
                          <a:ln w="127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35" name="Straight Connector 14535"/>
                        <wps:cNvCnPr/>
                        <wps:spPr>
                          <a:xfrm flipH="1" flipV="1">
                            <a:off x="3584566" y="1054390"/>
                            <a:ext cx="83423" cy="518822"/>
                          </a:xfrm>
                          <a:prstGeom prst="line">
                            <a:avLst/>
                          </a:prstGeom>
                          <a:ln w="127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36" name="Straight Connector 14536"/>
                        <wps:cNvCnPr/>
                        <wps:spPr>
                          <a:xfrm flipH="1" flipV="1">
                            <a:off x="3584566" y="1054390"/>
                            <a:ext cx="89953" cy="1161479"/>
                          </a:xfrm>
                          <a:prstGeom prst="line">
                            <a:avLst/>
                          </a:prstGeom>
                          <a:ln w="127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37" name="Straight Connector 14222"/>
                        <wps:cNvCnPr/>
                        <wps:spPr>
                          <a:xfrm rot="5400000" flipH="1" flipV="1">
                            <a:off x="106559" y="658708"/>
                            <a:ext cx="1475714" cy="757391"/>
                          </a:xfrm>
                          <a:prstGeom prst="bentConnector2">
                            <a:avLst/>
                          </a:prstGeom>
                          <a:ln w="25400">
                            <a:solidFill>
                              <a:srgbClr val="08AA74"/>
                            </a:solidFill>
                          </a:ln>
                        </wps:spPr>
                        <wps:style>
                          <a:lnRef idx="1">
                            <a:schemeClr val="accent1"/>
                          </a:lnRef>
                          <a:fillRef idx="0">
                            <a:schemeClr val="accent1"/>
                          </a:fillRef>
                          <a:effectRef idx="0">
                            <a:schemeClr val="accent1"/>
                          </a:effectRef>
                          <a:fontRef idx="minor">
                            <a:schemeClr val="tx1"/>
                          </a:fontRef>
                        </wps:style>
                        <wps:bodyPr/>
                      </wps:wsp>
                      <wps:wsp>
                        <wps:cNvPr id="14538" name="Elbow Connector 14538"/>
                        <wps:cNvCnPr/>
                        <wps:spPr>
                          <a:xfrm rot="10800000" flipV="1">
                            <a:off x="465722" y="1169178"/>
                            <a:ext cx="757295" cy="606081"/>
                          </a:xfrm>
                          <a:prstGeom prst="bentConnector2">
                            <a:avLst/>
                          </a:prstGeom>
                          <a:ln w="25400">
                            <a:solidFill>
                              <a:srgbClr val="65BBC8"/>
                            </a:solidFill>
                          </a:ln>
                        </wps:spPr>
                        <wps:style>
                          <a:lnRef idx="1">
                            <a:schemeClr val="accent1"/>
                          </a:lnRef>
                          <a:fillRef idx="0">
                            <a:schemeClr val="accent1"/>
                          </a:fillRef>
                          <a:effectRef idx="0">
                            <a:schemeClr val="accent1"/>
                          </a:effectRef>
                          <a:fontRef idx="minor">
                            <a:schemeClr val="tx1"/>
                          </a:fontRef>
                        </wps:style>
                        <wps:bodyPr/>
                      </wps:wsp>
                      <wps:wsp>
                        <wps:cNvPr id="14539" name="Elbow Connector 14539"/>
                        <wps:cNvCnPr/>
                        <wps:spPr>
                          <a:xfrm rot="10800000">
                            <a:off x="931442" y="2290022"/>
                            <a:ext cx="292210" cy="533773"/>
                          </a:xfrm>
                          <a:prstGeom prst="bentConnector3">
                            <a:avLst/>
                          </a:prstGeom>
                          <a:ln w="25400">
                            <a:solidFill>
                              <a:srgbClr val="E48C32"/>
                            </a:solidFill>
                          </a:ln>
                        </wps:spPr>
                        <wps:style>
                          <a:lnRef idx="1">
                            <a:schemeClr val="accent1"/>
                          </a:lnRef>
                          <a:fillRef idx="0">
                            <a:schemeClr val="accent1"/>
                          </a:fillRef>
                          <a:effectRef idx="0">
                            <a:schemeClr val="accent1"/>
                          </a:effectRef>
                          <a:fontRef idx="minor">
                            <a:schemeClr val="tx1"/>
                          </a:fontRef>
                        </wps:style>
                        <wps:bodyPr/>
                      </wps:wsp>
                      <wps:wsp>
                        <wps:cNvPr id="14540" name="Elbow Connector 14540"/>
                        <wps:cNvCnPr/>
                        <wps:spPr>
                          <a:xfrm rot="10800000">
                            <a:off x="465722" y="2804782"/>
                            <a:ext cx="757193" cy="1336213"/>
                          </a:xfrm>
                          <a:prstGeom prst="bentConnector2">
                            <a:avLst/>
                          </a:prstGeom>
                          <a:ln w="25400">
                            <a:solidFill>
                              <a:srgbClr val="FAD986"/>
                            </a:solidFill>
                          </a:ln>
                        </wps:spPr>
                        <wps:style>
                          <a:lnRef idx="1">
                            <a:schemeClr val="accent1"/>
                          </a:lnRef>
                          <a:fillRef idx="0">
                            <a:schemeClr val="accent1"/>
                          </a:fillRef>
                          <a:effectRef idx="0">
                            <a:schemeClr val="accent1"/>
                          </a:effectRef>
                          <a:fontRef idx="minor">
                            <a:schemeClr val="tx1"/>
                          </a:fontRef>
                        </wps:style>
                        <wps:bodyPr/>
                      </wps:wsp>
                      <wps:wsp>
                        <wps:cNvPr id="14541" name="Elbow Connector 14541"/>
                        <wps:cNvCnPr/>
                        <wps:spPr>
                          <a:xfrm rot="10800000">
                            <a:off x="465721" y="2804781"/>
                            <a:ext cx="757394" cy="746992"/>
                          </a:xfrm>
                          <a:prstGeom prst="bentConnector2">
                            <a:avLst/>
                          </a:prstGeom>
                          <a:ln w="25400">
                            <a:solidFill>
                              <a:srgbClr val="1D3E89"/>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292BF527" id="Canvas 14542" o:spid="_x0000_s1028" editas="canvas" style="position:absolute;left:0;text-align:left;margin-left:-.25pt;margin-top:11.85pt;width:478.25pt;height:361.35pt;z-index:251719680;mso-width-relative:margin;mso-height-relative:margin" coordsize="60737,458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">
                <v:shape id="_x0000_s1029" type="#_x0000_t75" style="position:absolute;width:60737;height:45891;visibility:visible;mso-wrap-style:square">
                  <v:fill o:detectmouseclick="t"/>
                  <v:path o:connecttype="none"/>
                </v:shape>
                <v:group id="Group 14252" o:spid="_x0000_s1030" style="position:absolute;top:7327;width:11126;height:33011" coordorigin=",5048" coordsize="11163,2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">
                  <v:shape id="Picture 14253" o:spid="_x0000_s1031" type="#_x0000_t75" style="position:absolute;top:5048;width:11163;height:22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">
                    <v:imagedata r:id="rId101" o:title="" gain="52429f" blacklevel="6554f"/>
                    <v:path arrowok="t"/>
                  </v:shape>
                  <v:shape id="Text Box 315" o:spid="_x0000_s1032" type="#_x0000_t202" style="position:absolute;top:12089;width:9345;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" filled="f" stroked="f" strokeweight=".5pt">
                    <v:textbox>
                      <w:txbxContent>
                        <w:p w14:paraId="5525632C" w14:textId="3853D000" w:rsidR="003C0461" w:rsidRDefault="003C0461" w:rsidP="004C485D">
                          <w:pPr>
                            <w:pStyle w:val="NormalWeb"/>
                            <w:spacing w:after="200"/>
                          </w:pPr>
                          <w:r>
                            <w:rPr>
                              <w:rFonts w:eastAsia="Calibri"/>
                              <w:b/>
                              <w:bCs/>
                              <w:color w:val="1D3E89"/>
                              <w:sz w:val="30"/>
                              <w:szCs w:val="30"/>
                            </w:rPr>
                            <w:t xml:space="preserve">EUR 160 </w:t>
                          </w:r>
                          <w:r>
                            <w:rPr>
                              <w:rFonts w:eastAsia="Calibri"/>
                              <w:b/>
                              <w:bCs/>
                              <w:color w:val="1D3E89"/>
                              <w:sz w:val="30"/>
                              <w:szCs w:val="30"/>
                            </w:rPr>
                            <w:br/>
                            <w:t>billion</w:t>
                          </w:r>
                          <w:r>
                            <w:rPr>
                              <w:rFonts w:eastAsia="Calibri"/>
                              <w:b/>
                              <w:bCs/>
                              <w:color w:val="1D3E89"/>
                              <w:sz w:val="28"/>
                              <w:szCs w:val="28"/>
                            </w:rPr>
                            <w:t xml:space="preserve"> </w:t>
                          </w:r>
                          <w:r>
                            <w:rPr>
                              <w:rFonts w:eastAsia="Calibri"/>
                              <w:b/>
                              <w:bCs/>
                              <w:color w:val="1D3E89"/>
                              <w:sz w:val="22"/>
                              <w:szCs w:val="22"/>
                            </w:rPr>
                            <w:br/>
                          </w:r>
                          <w:r>
                            <w:rPr>
                              <w:rFonts w:eastAsia="Calibri"/>
                              <w:color w:val="1D3E89"/>
                              <w:sz w:val="18"/>
                              <w:szCs w:val="18"/>
                            </w:rPr>
                            <w:t>in 2018</w:t>
                          </w:r>
                        </w:p>
                      </w:txbxContent>
                    </v:textbox>
                  </v:shape>
                </v:group>
                <v:rect id="Rectangle 14348" o:spid="_x0000_s1033" style="position:absolute;left:12225;top:897;width:23612;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" fillcolor="white [3212]" strokecolor="#08aa74" strokeweight="2pt">
                  <v:stroke joinstyle="round"/>
                  <v:textbox style="mso-fit-shape-to-text:t" inset="1mm,1mm,1mm,0">
                    <w:txbxContent>
                      <w:p w14:paraId="165A8466" w14:textId="025F7096"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59</w:t>
                        </w:r>
                        <w:r>
                          <w:rPr>
                            <w:rFonts w:ascii="Calibri" w:eastAsia="Calibri" w:hAnsi="Calibri" w:cs="Calibri"/>
                            <w:color w:val="000000"/>
                            <w:sz w:val="18"/>
                            <w:szCs w:val="18"/>
                          </w:rPr>
                          <w:t> </w:t>
                        </w:r>
                        <w:r>
                          <w:rPr>
                            <w:rFonts w:eastAsia="Calibri"/>
                            <w:color w:val="000000"/>
                            <w:sz w:val="18"/>
                            <w:szCs w:val="18"/>
                          </w:rPr>
                          <w:t xml:space="preserve">billion to </w:t>
                        </w:r>
                        <w:r w:rsidRPr="00621B55">
                          <w:rPr>
                            <w:rFonts w:eastAsia="Calibri"/>
                            <w:b/>
                            <w:color w:val="000000"/>
                            <w:sz w:val="18"/>
                            <w:szCs w:val="18"/>
                          </w:rPr>
                          <w:t>farmers</w:t>
                        </w:r>
                        <w:r>
                          <w:rPr>
                            <w:rFonts w:eastAsia="Calibri"/>
                            <w:color w:val="000000"/>
                            <w:sz w:val="18"/>
                            <w:szCs w:val="18"/>
                          </w:rPr>
                          <w:t xml:space="preserve">, </w:t>
                        </w:r>
                        <w:r w:rsidRPr="00621B55">
                          <w:rPr>
                            <w:rFonts w:eastAsia="Calibri"/>
                            <w:b/>
                            <w:color w:val="000000"/>
                            <w:sz w:val="18"/>
                            <w:szCs w:val="18"/>
                          </w:rPr>
                          <w:t>fisheries</w:t>
                        </w:r>
                        <w:r>
                          <w:rPr>
                            <w:rFonts w:eastAsia="Calibri"/>
                            <w:color w:val="000000"/>
                            <w:sz w:val="18"/>
                            <w:szCs w:val="18"/>
                          </w:rPr>
                          <w:t xml:space="preserve">, </w:t>
                        </w:r>
                        <w:r w:rsidRPr="00621B55">
                          <w:rPr>
                            <w:rFonts w:eastAsia="Calibri"/>
                            <w:b/>
                            <w:color w:val="000000"/>
                            <w:sz w:val="18"/>
                            <w:szCs w:val="18"/>
                          </w:rPr>
                          <w:t>climate</w:t>
                        </w:r>
                        <w:r>
                          <w:rPr>
                            <w:rFonts w:eastAsia="Calibri"/>
                            <w:color w:val="000000"/>
                            <w:sz w:val="18"/>
                            <w:szCs w:val="18"/>
                          </w:rPr>
                          <w:t xml:space="preserve"> and </w:t>
                        </w:r>
                        <w:r w:rsidRPr="00621B55">
                          <w:rPr>
                            <w:rFonts w:eastAsia="Calibri"/>
                            <w:b/>
                            <w:color w:val="000000"/>
                            <w:sz w:val="18"/>
                            <w:szCs w:val="18"/>
                          </w:rPr>
                          <w:t>biodiversity</w:t>
                        </w:r>
                        <w:r>
                          <w:rPr>
                            <w:rFonts w:eastAsia="Calibri"/>
                            <w:color w:val="000000"/>
                            <w:sz w:val="18"/>
                            <w:szCs w:val="18"/>
                          </w:rPr>
                          <w:t>.</w:t>
                        </w:r>
                      </w:p>
                    </w:txbxContent>
                  </v:textbox>
                </v:rect>
                <v:rect id="Rectangle 14525" o:spid="_x0000_s1034" style="position:absolute;left:36692;width:23618;height:5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" fillcolor="white [3212]" strokecolor="#65bbc8" strokeweight="2pt">
                  <v:stroke joinstyle="round"/>
                  <v:textbox style="mso-fit-shape-to-text:t" inset="1mm,1mm,1mm,0">
                    <w:txbxContent>
                      <w:p w14:paraId="299608BC" w14:textId="1ED5DAE9"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2</w:t>
                        </w:r>
                        <w:r>
                          <w:rPr>
                            <w:rFonts w:ascii="Calibri" w:eastAsia="Calibri" w:hAnsi="Calibri" w:cs="Calibri"/>
                            <w:color w:val="000000"/>
                            <w:sz w:val="18"/>
                            <w:szCs w:val="18"/>
                          </w:rPr>
                          <w:t> </w:t>
                        </w:r>
                        <w:r>
                          <w:rPr>
                            <w:rFonts w:eastAsia="Calibri"/>
                            <w:color w:val="000000"/>
                            <w:sz w:val="18"/>
                            <w:szCs w:val="18"/>
                          </w:rPr>
                          <w:t xml:space="preserve">billion to the </w:t>
                        </w:r>
                        <w:r w:rsidRPr="00621B55">
                          <w:rPr>
                            <w:rFonts w:eastAsia="Calibri"/>
                            <w:b/>
                            <w:color w:val="000000"/>
                            <w:sz w:val="18"/>
                            <w:szCs w:val="18"/>
                          </w:rPr>
                          <w:t>European Fund for Strategic Investments</w:t>
                        </w:r>
                        <w:r>
                          <w:rPr>
                            <w:rFonts w:eastAsia="Calibri"/>
                            <w:color w:val="000000"/>
                            <w:sz w:val="18"/>
                            <w:szCs w:val="18"/>
                          </w:rPr>
                          <w:t>, the nucleus of the Juncker plan.</w:t>
                        </w:r>
                      </w:p>
                    </w:txbxContent>
                  </v:textbox>
                </v:rect>
                <v:rect id="Rectangle 14526" o:spid="_x0000_s1035" style="position:absolute;left:36664;top:6897;width:23624;height:5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" fillcolor="white [3212]" strokecolor="#65bbc8" strokeweight="2pt">
                  <v:stroke joinstyle="round"/>
                  <v:textbox style="mso-fit-shape-to-text:t" inset="1mm,1mm,1mm,0">
                    <w:txbxContent>
                      <w:p w14:paraId="7BD9D94D" w14:textId="130C9BD9"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354</w:t>
                        </w:r>
                        <w:r>
                          <w:rPr>
                            <w:rFonts w:ascii="Calibri" w:eastAsia="Calibri" w:hAnsi="Calibri" w:cs="Calibri"/>
                            <w:color w:val="000000"/>
                            <w:sz w:val="18"/>
                            <w:szCs w:val="18"/>
                          </w:rPr>
                          <w:t> </w:t>
                        </w:r>
                        <w:r>
                          <w:rPr>
                            <w:rFonts w:eastAsia="Calibri"/>
                            <w:color w:val="000000"/>
                            <w:sz w:val="18"/>
                            <w:szCs w:val="18"/>
                          </w:rPr>
                          <w:t xml:space="preserve">million to improve the </w:t>
                        </w:r>
                        <w:r w:rsidRPr="00621B55">
                          <w:rPr>
                            <w:rFonts w:eastAsia="Calibri"/>
                            <w:b/>
                            <w:color w:val="000000"/>
                            <w:sz w:val="18"/>
                            <w:szCs w:val="18"/>
                          </w:rPr>
                          <w:t>competitiveness</w:t>
                        </w:r>
                        <w:r>
                          <w:rPr>
                            <w:rFonts w:eastAsia="Calibri"/>
                            <w:color w:val="000000"/>
                            <w:sz w:val="18"/>
                            <w:szCs w:val="18"/>
                          </w:rPr>
                          <w:t xml:space="preserve"> of small and medium-sized enterprises.</w:t>
                        </w:r>
                      </w:p>
                    </w:txbxContent>
                  </v:textbox>
                </v:rect>
                <v:rect id="Rectangle 14527" o:spid="_x0000_s1036" style="position:absolute;left:36676;top:13235;width:23630;height: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" fillcolor="white [3212]" strokecolor="#65bbc8" strokeweight="2pt">
                  <v:stroke joinstyle="round"/>
                  <v:textbox style="mso-fit-shape-to-text:t" inset="1mm,1mm,1mm,0">
                    <w:txbxContent>
                      <w:p w14:paraId="6F726A56" w14:textId="5AF1570F" w:rsidR="003C0461" w:rsidRDefault="003C0461" w:rsidP="004C485D">
                        <w:pPr>
                          <w:pStyle w:val="NormalWeb"/>
                          <w:spacing w:line="276" w:lineRule="auto"/>
                        </w:pPr>
                        <w:r>
                          <w:rPr>
                            <w:rFonts w:eastAsia="Calibri"/>
                            <w:color w:val="000000"/>
                            <w:sz w:val="18"/>
                            <w:szCs w:val="18"/>
                          </w:rPr>
                          <w:t>E.g. EUR 11.</w:t>
                        </w:r>
                        <w:r w:rsidRPr="00A739E4">
                          <w:rPr>
                            <w:rFonts w:eastAsia="Calibri"/>
                            <w:color w:val="000000"/>
                            <w:sz w:val="18"/>
                            <w:szCs w:val="18"/>
                          </w:rPr>
                          <w:t>2</w:t>
                        </w:r>
                        <w:r>
                          <w:rPr>
                            <w:rFonts w:ascii="Calibri" w:eastAsia="Calibri" w:hAnsi="Calibri" w:cs="Calibri"/>
                            <w:color w:val="000000"/>
                            <w:sz w:val="18"/>
                            <w:szCs w:val="18"/>
                          </w:rPr>
                          <w:t> </w:t>
                        </w:r>
                        <w:r>
                          <w:rPr>
                            <w:rFonts w:eastAsia="Calibri"/>
                            <w:color w:val="000000"/>
                            <w:sz w:val="18"/>
                            <w:szCs w:val="18"/>
                          </w:rPr>
                          <w:t xml:space="preserve">billion </w:t>
                        </w:r>
                        <w:r w:rsidRPr="00621B55">
                          <w:rPr>
                            <w:rFonts w:eastAsia="Calibri"/>
                            <w:b/>
                            <w:color w:val="000000"/>
                            <w:sz w:val="18"/>
                            <w:szCs w:val="18"/>
                          </w:rPr>
                          <w:t>research and innovation</w:t>
                        </w:r>
                        <w:r>
                          <w:rPr>
                            <w:rFonts w:eastAsia="Calibri"/>
                            <w:color w:val="000000"/>
                            <w:sz w:val="18"/>
                            <w:szCs w:val="18"/>
                          </w:rPr>
                          <w:t xml:space="preserve"> funding through the Horizon 2020 programme. </w:t>
                        </w:r>
                      </w:p>
                    </w:txbxContent>
                  </v:textbox>
                </v:rect>
                <v:rect id="Rectangle 14528" o:spid="_x0000_s1037" style="position:absolute;left:36745;top:18365;width:23630;height:5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" fillcolor="white [3212]" strokecolor="#65bbc8" strokeweight="2pt">
                  <v:stroke joinstyle="round"/>
                  <v:textbox style="mso-fit-shape-to-text:t" inset="1mm,1mm,1mm,0">
                    <w:txbxContent>
                      <w:p w14:paraId="13665FC1" w14:textId="01E7BE98"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55.5</w:t>
                        </w:r>
                        <w:r>
                          <w:rPr>
                            <w:rFonts w:ascii="Calibri" w:eastAsia="Calibri" w:hAnsi="Calibri" w:cs="Calibri"/>
                            <w:color w:val="000000"/>
                            <w:sz w:val="18"/>
                            <w:szCs w:val="18"/>
                          </w:rPr>
                          <w:t> </w:t>
                        </w:r>
                        <w:r>
                          <w:rPr>
                            <w:rFonts w:eastAsia="Calibri"/>
                            <w:color w:val="000000"/>
                            <w:sz w:val="18"/>
                            <w:szCs w:val="18"/>
                          </w:rPr>
                          <w:t xml:space="preserve">billion to boosting growth, job creation and convergence in all Member States and regions via </w:t>
                        </w:r>
                        <w:r>
                          <w:rPr>
                            <w:rFonts w:eastAsia="Calibri"/>
                            <w:b/>
                            <w:color w:val="000000"/>
                            <w:sz w:val="18"/>
                            <w:szCs w:val="18"/>
                          </w:rPr>
                          <w:t>c</w:t>
                        </w:r>
                        <w:r w:rsidRPr="00C260C9">
                          <w:rPr>
                            <w:rFonts w:eastAsia="Calibri"/>
                            <w:b/>
                            <w:color w:val="000000"/>
                            <w:sz w:val="18"/>
                            <w:szCs w:val="18"/>
                          </w:rPr>
                          <w:t xml:space="preserve">ohesion </w:t>
                        </w:r>
                        <w:r>
                          <w:rPr>
                            <w:rFonts w:eastAsia="Calibri"/>
                            <w:b/>
                            <w:color w:val="000000"/>
                            <w:sz w:val="18"/>
                            <w:szCs w:val="18"/>
                          </w:rPr>
                          <w:t>p</w:t>
                        </w:r>
                        <w:r w:rsidRPr="00C260C9">
                          <w:rPr>
                            <w:rFonts w:eastAsia="Calibri"/>
                            <w:b/>
                            <w:color w:val="000000"/>
                            <w:sz w:val="18"/>
                            <w:szCs w:val="18"/>
                          </w:rPr>
                          <w:t>olicy</w:t>
                        </w:r>
                        <w:r>
                          <w:rPr>
                            <w:rFonts w:eastAsia="Calibri"/>
                            <w:b/>
                            <w:color w:val="000000"/>
                            <w:sz w:val="18"/>
                            <w:szCs w:val="18"/>
                          </w:rPr>
                          <w:t>.</w:t>
                        </w:r>
                      </w:p>
                    </w:txbxContent>
                  </v:textbox>
                </v:rect>
                <v:rect id="Rectangle 14529" o:spid="_x0000_s1038" style="position:absolute;left:12211;top:7761;width:23606;height:5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" fillcolor="white [3212]" strokecolor="#65bbc8" strokeweight="2pt">
                  <v:stroke joinstyle="round"/>
                  <v:textbox style="mso-fit-shape-to-text:t" inset="1mm,1mm,1mm,0">
                    <w:txbxContent>
                      <w:p w14:paraId="597421FD" w14:textId="11BD5139" w:rsidR="003C0461" w:rsidRDefault="003C0461" w:rsidP="004C485D">
                        <w:pPr>
                          <w:pStyle w:val="NormalWeb"/>
                          <w:spacing w:line="276" w:lineRule="auto"/>
                        </w:pPr>
                        <w:r>
                          <w:rPr>
                            <w:rFonts w:eastAsia="Calibri"/>
                            <w:color w:val="000000"/>
                            <w:sz w:val="18"/>
                            <w:szCs w:val="18"/>
                          </w:rPr>
                          <w:t xml:space="preserve">E.g. </w:t>
                        </w:r>
                        <w:r w:rsidRPr="007D1744">
                          <w:rPr>
                            <w:rFonts w:eastAsia="Calibri"/>
                            <w:color w:val="000000"/>
                            <w:sz w:val="18"/>
                            <w:szCs w:val="18"/>
                          </w:rPr>
                          <w:t>EUR</w:t>
                        </w:r>
                        <w:r>
                          <w:rPr>
                            <w:rFonts w:ascii="Calibri" w:eastAsia="Calibri" w:hAnsi="Calibri" w:cs="Calibri"/>
                            <w:color w:val="000000"/>
                            <w:sz w:val="18"/>
                            <w:szCs w:val="18"/>
                          </w:rPr>
                          <w:t> </w:t>
                        </w:r>
                        <w:r>
                          <w:rPr>
                            <w:rFonts w:eastAsia="Calibri"/>
                            <w:color w:val="000000"/>
                            <w:sz w:val="18"/>
                            <w:szCs w:val="18"/>
                          </w:rPr>
                          <w:t>78</w:t>
                        </w:r>
                        <w:r>
                          <w:rPr>
                            <w:rFonts w:ascii="Calibri" w:eastAsia="Calibri" w:hAnsi="Calibri" w:cs="Calibri"/>
                            <w:color w:val="000000"/>
                            <w:sz w:val="18"/>
                            <w:szCs w:val="18"/>
                          </w:rPr>
                          <w:t> </w:t>
                        </w:r>
                        <w:r w:rsidRPr="007D1744">
                          <w:rPr>
                            <w:rFonts w:eastAsia="Calibri"/>
                            <w:color w:val="000000"/>
                            <w:sz w:val="18"/>
                            <w:szCs w:val="18"/>
                          </w:rPr>
                          <w:t>billion —</w:t>
                        </w:r>
                        <w:r>
                          <w:rPr>
                            <w:rFonts w:eastAsia="Calibri"/>
                            <w:color w:val="000000"/>
                            <w:sz w:val="18"/>
                            <w:szCs w:val="18"/>
                          </w:rPr>
                          <w:t xml:space="preserve"> almost half of the funds — towards boosting the European </w:t>
                        </w:r>
                        <w:r w:rsidRPr="00621B55">
                          <w:rPr>
                            <w:rFonts w:eastAsia="Calibri"/>
                            <w:b/>
                            <w:color w:val="000000"/>
                            <w:sz w:val="18"/>
                            <w:szCs w:val="18"/>
                          </w:rPr>
                          <w:t>economy</w:t>
                        </w:r>
                        <w:r>
                          <w:rPr>
                            <w:rFonts w:eastAsia="Calibri"/>
                            <w:color w:val="000000"/>
                            <w:sz w:val="18"/>
                            <w:szCs w:val="18"/>
                          </w:rPr>
                          <w:t xml:space="preserve">, </w:t>
                        </w:r>
                        <w:r w:rsidRPr="00621B55">
                          <w:rPr>
                            <w:rFonts w:eastAsia="Calibri"/>
                            <w:b/>
                            <w:color w:val="000000"/>
                            <w:sz w:val="18"/>
                            <w:szCs w:val="18"/>
                          </w:rPr>
                          <w:t>employment</w:t>
                        </w:r>
                        <w:r>
                          <w:rPr>
                            <w:rFonts w:eastAsia="Calibri"/>
                            <w:color w:val="000000"/>
                            <w:sz w:val="18"/>
                            <w:szCs w:val="18"/>
                          </w:rPr>
                          <w:t xml:space="preserve"> and </w:t>
                        </w:r>
                        <w:r w:rsidRPr="00621B55">
                          <w:rPr>
                            <w:rFonts w:eastAsia="Calibri"/>
                            <w:b/>
                            <w:color w:val="000000"/>
                            <w:sz w:val="18"/>
                            <w:szCs w:val="18"/>
                          </w:rPr>
                          <w:t>competitiveness</w:t>
                        </w:r>
                        <w:r>
                          <w:rPr>
                            <w:rFonts w:eastAsia="Calibri"/>
                            <w:color w:val="000000"/>
                            <w:sz w:val="18"/>
                            <w:szCs w:val="18"/>
                          </w:rPr>
                          <w:t>.</w:t>
                        </w:r>
                      </w:p>
                    </w:txbxContent>
                  </v:textbox>
                </v:rect>
                <v:rect id="Rectangle 14530" o:spid="_x0000_s1039" style="position:absolute;left:12261;top:21728;width:23593;height:10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" fillcolor="white [3212]" strokecolor="#e48c32" strokeweight="2pt">
                  <v:stroke joinstyle="round"/>
                  <v:textbox style="mso-fit-shape-to-text:t" inset="1mm,1mm,1mm,0">
                    <w:txbxContent>
                      <w:p w14:paraId="5748CD90" w14:textId="66916A5C" w:rsidR="003C0461" w:rsidRDefault="003C0461" w:rsidP="004C485D">
                        <w:pPr>
                          <w:pStyle w:val="NormalWeb"/>
                          <w:spacing w:line="276" w:lineRule="auto"/>
                        </w:pPr>
                        <w:r>
                          <w:rPr>
                            <w:rFonts w:eastAsia="Calibri"/>
                            <w:color w:val="000000"/>
                            <w:sz w:val="18"/>
                            <w:szCs w:val="18"/>
                          </w:rPr>
                          <w:t>E.g. more than EUR</w:t>
                        </w:r>
                        <w:r>
                          <w:rPr>
                            <w:rFonts w:ascii="Calibri" w:eastAsia="Calibri" w:hAnsi="Calibri" w:cs="Calibri"/>
                            <w:color w:val="000000"/>
                            <w:sz w:val="18"/>
                            <w:szCs w:val="18"/>
                          </w:rPr>
                          <w:t> </w:t>
                        </w:r>
                        <w:r w:rsidRPr="00A739E4">
                          <w:rPr>
                            <w:rFonts w:eastAsia="Calibri"/>
                            <w:color w:val="000000"/>
                            <w:sz w:val="18"/>
                            <w:szCs w:val="18"/>
                          </w:rPr>
                          <w:t>2</w:t>
                        </w:r>
                        <w:r>
                          <w:rPr>
                            <w:rFonts w:eastAsia="Calibri"/>
                            <w:color w:val="000000"/>
                            <w:sz w:val="18"/>
                            <w:szCs w:val="18"/>
                          </w:rPr>
                          <w:t xml:space="preserve"> billion for </w:t>
                        </w:r>
                        <w:r w:rsidRPr="00621B55">
                          <w:rPr>
                            <w:rFonts w:eastAsia="Calibri"/>
                            <w:b/>
                            <w:color w:val="000000"/>
                            <w:sz w:val="18"/>
                            <w:szCs w:val="18"/>
                          </w:rPr>
                          <w:t>young people</w:t>
                        </w:r>
                        <w:r>
                          <w:rPr>
                            <w:rFonts w:eastAsia="Calibri"/>
                            <w:color w:val="000000"/>
                            <w:sz w:val="18"/>
                            <w:szCs w:val="18"/>
                          </w:rPr>
                          <w:t xml:space="preserve"> for the </w:t>
                        </w:r>
                        <w:r w:rsidRPr="00107DA0">
                          <w:rPr>
                            <w:rFonts w:eastAsia="Calibri"/>
                            <w:b/>
                            <w:color w:val="000000"/>
                            <w:sz w:val="18"/>
                            <w:szCs w:val="18"/>
                          </w:rPr>
                          <w:t>Erasmus+ programme</w:t>
                        </w:r>
                        <w:r>
                          <w:rPr>
                            <w:rFonts w:eastAsia="Calibri"/>
                            <w:color w:val="000000"/>
                            <w:sz w:val="18"/>
                            <w:szCs w:val="18"/>
                          </w:rPr>
                          <w:t xml:space="preserve"> and for the youth employment initiative so they receive support and better opportunities to </w:t>
                        </w:r>
                        <w:r w:rsidRPr="00621B55">
                          <w:rPr>
                            <w:rFonts w:eastAsia="Calibri"/>
                            <w:b/>
                            <w:color w:val="000000"/>
                            <w:sz w:val="18"/>
                            <w:szCs w:val="18"/>
                          </w:rPr>
                          <w:t>find jobs</w:t>
                        </w:r>
                        <w:r>
                          <w:rPr>
                            <w:rFonts w:eastAsia="Calibri"/>
                            <w:b/>
                            <w:color w:val="000000"/>
                            <w:sz w:val="18"/>
                            <w:szCs w:val="18"/>
                          </w:rPr>
                          <w:t xml:space="preserve">. </w:t>
                        </w:r>
                        <w:r w:rsidRPr="00ED1E46">
                          <w:rPr>
                            <w:rFonts w:eastAsia="Calibri"/>
                            <w:color w:val="000000"/>
                            <w:sz w:val="18"/>
                            <w:szCs w:val="18"/>
                          </w:rPr>
                          <w:t>This helps</w:t>
                        </w:r>
                        <w:r>
                          <w:rPr>
                            <w:rFonts w:eastAsia="Calibri"/>
                            <w:color w:val="000000"/>
                            <w:sz w:val="18"/>
                            <w:szCs w:val="18"/>
                          </w:rPr>
                          <w:t xml:space="preserve"> strengthening solidarity in our Member States.</w:t>
                        </w:r>
                      </w:p>
                    </w:txbxContent>
                  </v:textbox>
                </v:rect>
                <v:rect id="Rectangle 14531" o:spid="_x0000_s1040" style="position:absolute;left:12221;top:38391;width:48130;height:5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" fillcolor="white [3212]" strokecolor="#fad986" strokeweight="2pt">
                  <v:stroke joinstyle="round"/>
                  <v:textbox style="mso-fit-shape-to-text:t" inset="1mm,1mm,1mm,0">
                    <w:txbxContent>
                      <w:p w14:paraId="1F02E14F" w14:textId="7C7ED7B3"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3.</w:t>
                        </w:r>
                        <w:r w:rsidRPr="00A739E4">
                          <w:rPr>
                            <w:rFonts w:eastAsia="Calibri"/>
                            <w:color w:val="000000"/>
                            <w:sz w:val="18"/>
                            <w:szCs w:val="18"/>
                          </w:rPr>
                          <w:t>5</w:t>
                        </w:r>
                        <w:r w:rsidRPr="00A739E4" w:rsidDel="00B914AC">
                          <w:rPr>
                            <w:rFonts w:eastAsia="Calibri"/>
                            <w:color w:val="000000"/>
                            <w:sz w:val="18"/>
                            <w:szCs w:val="18"/>
                          </w:rPr>
                          <w:t xml:space="preserve"> </w:t>
                        </w:r>
                        <w:r>
                          <w:rPr>
                            <w:rFonts w:eastAsia="Calibri"/>
                            <w:color w:val="000000"/>
                            <w:sz w:val="18"/>
                            <w:szCs w:val="18"/>
                          </w:rPr>
                          <w:t xml:space="preserve">billion was dedicated to security and citizenship, including to managing </w:t>
                        </w:r>
                        <w:r w:rsidRPr="00621B55">
                          <w:rPr>
                            <w:rFonts w:eastAsia="Calibri"/>
                            <w:b/>
                            <w:color w:val="000000"/>
                            <w:sz w:val="18"/>
                            <w:szCs w:val="18"/>
                          </w:rPr>
                          <w:t>migration</w:t>
                        </w:r>
                        <w:r>
                          <w:rPr>
                            <w:rFonts w:eastAsia="Calibri"/>
                            <w:color w:val="000000"/>
                            <w:sz w:val="18"/>
                            <w:szCs w:val="18"/>
                          </w:rPr>
                          <w:t xml:space="preserve"> and tracking </w:t>
                        </w:r>
                        <w:r w:rsidRPr="00621B55">
                          <w:rPr>
                            <w:rFonts w:eastAsia="Calibri"/>
                            <w:b/>
                            <w:color w:val="000000"/>
                            <w:sz w:val="18"/>
                            <w:szCs w:val="18"/>
                          </w:rPr>
                          <w:t>security challenges</w:t>
                        </w:r>
                        <w:r>
                          <w:rPr>
                            <w:rFonts w:eastAsia="Calibri"/>
                            <w:color w:val="000000"/>
                            <w:sz w:val="18"/>
                            <w:szCs w:val="18"/>
                          </w:rPr>
                          <w:t xml:space="preserve">. </w:t>
                        </w:r>
                        <w:r>
                          <w:rPr>
                            <w:rFonts w:eastAsia="Calibri"/>
                            <w:color w:val="000000"/>
                            <w:sz w:val="18"/>
                            <w:szCs w:val="18"/>
                          </w:rPr>
                          <w:br/>
                        </w:r>
                      </w:p>
                    </w:txbxContent>
                  </v:textbox>
                </v:rect>
                <v:rect id="Rectangle 14532" o:spid="_x0000_s1041" style="position:absolute;left:12224;top:33400;width:48136;height:3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" fillcolor="white [3212]" strokecolor="#1d3e89" strokeweight="2pt">
                  <v:stroke joinstyle="round"/>
                  <v:textbox style="mso-fit-shape-to-text:t" inset="1mm,1mm,1mm,0">
                    <w:txbxContent>
                      <w:p w14:paraId="4C8A5EED" w14:textId="7FDC57AA" w:rsidR="003C0461" w:rsidRDefault="003C0461" w:rsidP="004C485D">
                        <w:pPr>
                          <w:pStyle w:val="NormalWeb"/>
                          <w:spacing w:line="276" w:lineRule="auto"/>
                        </w:pPr>
                        <w:r>
                          <w:rPr>
                            <w:rFonts w:eastAsia="Calibri"/>
                            <w:color w:val="000000"/>
                            <w:sz w:val="18"/>
                            <w:szCs w:val="18"/>
                          </w:rPr>
                          <w:t>E.g. EUR</w:t>
                        </w:r>
                        <w:r>
                          <w:rPr>
                            <w:rFonts w:ascii="Calibri" w:eastAsia="Calibri" w:hAnsi="Calibri" w:cs="Calibri"/>
                            <w:color w:val="000000"/>
                            <w:sz w:val="18"/>
                            <w:szCs w:val="18"/>
                          </w:rPr>
                          <w:t> </w:t>
                        </w:r>
                        <w:r>
                          <w:rPr>
                            <w:rFonts w:eastAsia="Calibri"/>
                            <w:color w:val="000000"/>
                            <w:sz w:val="18"/>
                            <w:szCs w:val="18"/>
                          </w:rPr>
                          <w:t xml:space="preserve">40 million in funding for collaborative research and innovative </w:t>
                        </w:r>
                        <w:r w:rsidRPr="00621B55">
                          <w:rPr>
                            <w:rFonts w:eastAsia="Calibri"/>
                            <w:b/>
                            <w:color w:val="000000"/>
                            <w:sz w:val="18"/>
                            <w:szCs w:val="18"/>
                          </w:rPr>
                          <w:t>defence</w:t>
                        </w:r>
                        <w:r>
                          <w:rPr>
                            <w:rFonts w:eastAsia="Calibri"/>
                            <w:color w:val="000000"/>
                            <w:sz w:val="18"/>
                            <w:szCs w:val="18"/>
                          </w:rPr>
                          <w:t xml:space="preserve"> technologies and products as a first step towards a European Defence Fund.</w:t>
                        </w:r>
                      </w:p>
                    </w:txbxContent>
                  </v:textbox>
                </v:rect>
                <v:shapetype id="_x0000_t32" coordsize="21600,21600" o:spt="32" o:oned="t" path="m,l21600,21600e" filled="f">
                  <v:path arrowok="t" fillok="f" o:connecttype="none"/>
                  <o:lock v:ext="edit" shapetype="t"/>
                </v:shapetype>
                <v:shape id="Straight Arrow Connector 14533" o:spid="_x0000_s1042" type="#_x0000_t32" style="position:absolute;left:35854;top:2993;width:855;height:86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" strokecolor="#65bbc8" strokeweight="1pt"/>
                <v:line id="Straight Connector 14534" o:spid="_x0000_s1043" style="position:absolute;flip:x;visibility:visible;mso-wrap-style:square" from="35854,11686" to="36707,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" strokecolor="#65bbc8" strokeweight="1pt"/>
                <v:line id="Straight Connector 14535" o:spid="_x0000_s1044" style="position:absolute;flip:x y;visibility:visible;mso-wrap-style:square" from="35845,10543" to="36679,15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" strokecolor="#65bbc8" strokeweight="1pt"/>
                <v:line id="Straight Connector 14536" o:spid="_x0000_s1045" style="position:absolute;flip:x y;visibility:visible;mso-wrap-style:square" from="35845,10543" to="36745,2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" strokecolor="#65bbc8" strokeweight="1pt"/>
                <v:shapetype id="_x0000_t33" coordsize="21600,21600" o:spt="33" o:oned="t" path="m,l21600,r,21600e" filled="f">
                  <v:stroke joinstyle="miter"/>
                  <v:path arrowok="t" fillok="f" o:connecttype="none"/>
                  <o:lock v:ext="edit" shapetype="t"/>
                </v:shapetype>
                <v:shape id="Straight Connector 14222" o:spid="_x0000_s1046" type="#_x0000_t33" style="position:absolute;left:1065;top:6587;width:14757;height:757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" strokecolor="#08aa74" strokeweight="2pt"/>
                <v:shape id="Elbow Connector 14538" o:spid="_x0000_s1047" type="#_x0000_t33" style="position:absolute;left:4657;top:11691;width:7573;height:606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" strokecolor="#65bbc8"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4539" o:spid="_x0000_s1048" type="#_x0000_t34" style="position:absolute;left:9314;top:22900;width:2922;height:533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" strokecolor="#e48c32" strokeweight="2pt"/>
                <v:shape id="Elbow Connector 14540" o:spid="_x0000_s1049" type="#_x0000_t33" style="position:absolute;left:4657;top:28047;width:7572;height:1336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" strokecolor="#fad986" strokeweight="2pt"/>
                <v:shape id="Elbow Connector 14541" o:spid="_x0000_s1050" type="#_x0000_t33" style="position:absolute;left:4657;top:28047;width:7574;height:747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" strokecolor="#1d3e89" strokeweight="2pt"/>
              </v:group>
            </w:pict>
          </mc:Fallback>
        </mc:AlternateContent>
      </w:r>
    </w:p>
    <w:p w14:paraId="0D4C7F43" w14:textId="77777777" w:rsidR="004C485D" w:rsidRPr="00A04E56" w:rsidRDefault="004C485D">
      <w:pPr>
        <w:rPr>
          <w:noProof/>
          <w:color w:val="000000" w:themeColor="text1"/>
          <w:lang w:eastAsia="fr-BE"/>
        </w:rPr>
      </w:pPr>
      <w:r w:rsidRPr="00A04E56">
        <w:br w:type="page"/>
      </w:r>
    </w:p>
    <w:p w14:paraId="739322CE" w14:textId="694A8A7C" w:rsidR="002D3C0F" w:rsidRPr="00A04E56" w:rsidRDefault="002D3C0F">
      <w:pPr>
        <w:pStyle w:val="Title3NumberedReport"/>
      </w:pPr>
      <w:r w:rsidRPr="00A04E56">
        <w:t>List of programmes covered in this report</w:t>
      </w:r>
    </w:p>
    <w:p w14:paraId="225333F2" w14:textId="59CD063F" w:rsidR="007E2F3C" w:rsidRDefault="00A94D1F">
      <w:pPr>
        <w:pStyle w:val="TOC1"/>
        <w:rPr>
          <w:rFonts w:asciiTheme="minorHAnsi" w:eastAsiaTheme="minorEastAsia" w:hAnsiTheme="minorHAnsi" w:cstheme="minorBidi"/>
          <w:noProof/>
          <w:sz w:val="22"/>
          <w:lang w:eastAsia="en-GB"/>
        </w:rPr>
      </w:pPr>
      <w:r w:rsidRPr="00A04E56">
        <w:fldChar w:fldCharType="begin"/>
      </w:r>
      <w:r w:rsidRPr="00A04E56">
        <w:instrText xml:space="preserve"> TOC \h \z \t "Title 2 / Report,1" </w:instrText>
      </w:r>
      <w:r w:rsidRPr="00A04E56">
        <w:fldChar w:fldCharType="separate"/>
      </w:r>
      <w:hyperlink w:anchor="_Toc12020993" w:history="1">
        <w:r w:rsidR="007E2F3C" w:rsidRPr="00604822">
          <w:rPr>
            <w:rStyle w:val="Hyperlink"/>
            <w:noProof/>
          </w:rPr>
          <w:t>Horizon</w:t>
        </w:r>
        <w:r w:rsidR="007E2F3C" w:rsidRPr="00604822">
          <w:rPr>
            <w:rStyle w:val="Hyperlink"/>
            <w:rFonts w:ascii="Calibri" w:hAnsi="Calibri" w:cs="Calibri"/>
            <w:noProof/>
          </w:rPr>
          <w:t> </w:t>
        </w:r>
        <w:r w:rsidR="007E2F3C" w:rsidRPr="00604822">
          <w:rPr>
            <w:rStyle w:val="Hyperlink"/>
            <w:noProof/>
          </w:rPr>
          <w:t>2020</w:t>
        </w:r>
        <w:r w:rsidR="007E2F3C">
          <w:rPr>
            <w:noProof/>
            <w:webHidden/>
          </w:rPr>
          <w:tab/>
        </w:r>
        <w:r w:rsidR="007E2F3C">
          <w:rPr>
            <w:noProof/>
            <w:webHidden/>
          </w:rPr>
          <w:fldChar w:fldCharType="begin"/>
        </w:r>
        <w:r w:rsidR="007E2F3C">
          <w:rPr>
            <w:noProof/>
            <w:webHidden/>
          </w:rPr>
          <w:instrText xml:space="preserve"> PAGEREF _Toc12020993 \h </w:instrText>
        </w:r>
        <w:r w:rsidR="007E2F3C">
          <w:rPr>
            <w:noProof/>
            <w:webHidden/>
          </w:rPr>
        </w:r>
        <w:r w:rsidR="007E2F3C">
          <w:rPr>
            <w:noProof/>
            <w:webHidden/>
          </w:rPr>
          <w:fldChar w:fldCharType="separate"/>
        </w:r>
        <w:r w:rsidR="0083737D">
          <w:rPr>
            <w:noProof/>
            <w:webHidden/>
          </w:rPr>
          <w:t>33</w:t>
        </w:r>
        <w:r w:rsidR="007E2F3C">
          <w:rPr>
            <w:noProof/>
            <w:webHidden/>
          </w:rPr>
          <w:fldChar w:fldCharType="end"/>
        </w:r>
      </w:hyperlink>
    </w:p>
    <w:p w14:paraId="6CFC8342" w14:textId="0AD31644" w:rsidR="007E2F3C" w:rsidRDefault="00903DF5">
      <w:pPr>
        <w:pStyle w:val="TOC1"/>
        <w:rPr>
          <w:rFonts w:asciiTheme="minorHAnsi" w:eastAsiaTheme="minorEastAsia" w:hAnsiTheme="minorHAnsi" w:cstheme="minorBidi"/>
          <w:noProof/>
          <w:sz w:val="22"/>
          <w:lang w:eastAsia="en-GB"/>
        </w:rPr>
      </w:pPr>
      <w:hyperlink w:anchor="_Toc12020994" w:history="1">
        <w:r w:rsidR="007E2F3C" w:rsidRPr="00604822">
          <w:rPr>
            <w:rStyle w:val="Hyperlink"/>
            <w:noProof/>
          </w:rPr>
          <w:t>Euratom</w:t>
        </w:r>
        <w:r w:rsidR="007E2F3C">
          <w:rPr>
            <w:noProof/>
            <w:webHidden/>
          </w:rPr>
          <w:tab/>
        </w:r>
        <w:r w:rsidR="007E2F3C">
          <w:rPr>
            <w:noProof/>
            <w:webHidden/>
          </w:rPr>
          <w:fldChar w:fldCharType="begin"/>
        </w:r>
        <w:r w:rsidR="007E2F3C">
          <w:rPr>
            <w:noProof/>
            <w:webHidden/>
          </w:rPr>
          <w:instrText xml:space="preserve"> PAGEREF _Toc12020994 \h </w:instrText>
        </w:r>
        <w:r w:rsidR="007E2F3C">
          <w:rPr>
            <w:noProof/>
            <w:webHidden/>
          </w:rPr>
        </w:r>
        <w:r w:rsidR="007E2F3C">
          <w:rPr>
            <w:noProof/>
            <w:webHidden/>
          </w:rPr>
          <w:fldChar w:fldCharType="separate"/>
        </w:r>
        <w:r w:rsidR="0083737D">
          <w:rPr>
            <w:noProof/>
            <w:webHidden/>
          </w:rPr>
          <w:t>36</w:t>
        </w:r>
        <w:r w:rsidR="007E2F3C">
          <w:rPr>
            <w:noProof/>
            <w:webHidden/>
          </w:rPr>
          <w:fldChar w:fldCharType="end"/>
        </w:r>
      </w:hyperlink>
    </w:p>
    <w:p w14:paraId="2E446B98" w14:textId="31B856AA" w:rsidR="007E2F3C" w:rsidRDefault="00903DF5">
      <w:pPr>
        <w:pStyle w:val="TOC1"/>
        <w:rPr>
          <w:rFonts w:asciiTheme="minorHAnsi" w:eastAsiaTheme="minorEastAsia" w:hAnsiTheme="minorHAnsi" w:cstheme="minorBidi"/>
          <w:noProof/>
          <w:sz w:val="22"/>
          <w:lang w:eastAsia="en-GB"/>
        </w:rPr>
      </w:pPr>
      <w:hyperlink w:anchor="_Toc12020995" w:history="1">
        <w:r w:rsidR="007E2F3C" w:rsidRPr="00604822">
          <w:rPr>
            <w:rStyle w:val="Hyperlink"/>
            <w:noProof/>
          </w:rPr>
          <w:t>ITER</w:t>
        </w:r>
        <w:r w:rsidR="007E2F3C">
          <w:rPr>
            <w:noProof/>
            <w:webHidden/>
          </w:rPr>
          <w:tab/>
        </w:r>
        <w:r w:rsidR="007E2F3C">
          <w:rPr>
            <w:noProof/>
            <w:webHidden/>
          </w:rPr>
          <w:fldChar w:fldCharType="begin"/>
        </w:r>
        <w:r w:rsidR="007E2F3C">
          <w:rPr>
            <w:noProof/>
            <w:webHidden/>
          </w:rPr>
          <w:instrText xml:space="preserve"> PAGEREF _Toc12020995 \h </w:instrText>
        </w:r>
        <w:r w:rsidR="007E2F3C">
          <w:rPr>
            <w:noProof/>
            <w:webHidden/>
          </w:rPr>
        </w:r>
        <w:r w:rsidR="007E2F3C">
          <w:rPr>
            <w:noProof/>
            <w:webHidden/>
          </w:rPr>
          <w:fldChar w:fldCharType="separate"/>
        </w:r>
        <w:r w:rsidR="0083737D">
          <w:rPr>
            <w:noProof/>
            <w:webHidden/>
          </w:rPr>
          <w:t>37</w:t>
        </w:r>
        <w:r w:rsidR="007E2F3C">
          <w:rPr>
            <w:noProof/>
            <w:webHidden/>
          </w:rPr>
          <w:fldChar w:fldCharType="end"/>
        </w:r>
      </w:hyperlink>
    </w:p>
    <w:p w14:paraId="11E0805C" w14:textId="5E12EA4F" w:rsidR="007E2F3C" w:rsidRDefault="00903DF5">
      <w:pPr>
        <w:pStyle w:val="TOC1"/>
        <w:rPr>
          <w:rFonts w:asciiTheme="minorHAnsi" w:eastAsiaTheme="minorEastAsia" w:hAnsiTheme="minorHAnsi" w:cstheme="minorBidi"/>
          <w:noProof/>
          <w:sz w:val="22"/>
          <w:lang w:eastAsia="en-GB"/>
        </w:rPr>
      </w:pPr>
      <w:hyperlink w:anchor="_Toc12020996" w:history="1">
        <w:r w:rsidR="007E2F3C" w:rsidRPr="00604822">
          <w:rPr>
            <w:rStyle w:val="Hyperlink"/>
            <w:noProof/>
          </w:rPr>
          <w:t>European Fund for Strategic Investments</w:t>
        </w:r>
        <w:r w:rsidR="007E2F3C">
          <w:rPr>
            <w:noProof/>
            <w:webHidden/>
          </w:rPr>
          <w:tab/>
        </w:r>
        <w:r w:rsidR="007E2F3C">
          <w:rPr>
            <w:noProof/>
            <w:webHidden/>
          </w:rPr>
          <w:fldChar w:fldCharType="begin"/>
        </w:r>
        <w:r w:rsidR="007E2F3C">
          <w:rPr>
            <w:noProof/>
            <w:webHidden/>
          </w:rPr>
          <w:instrText xml:space="preserve"> PAGEREF _Toc12020996 \h </w:instrText>
        </w:r>
        <w:r w:rsidR="007E2F3C">
          <w:rPr>
            <w:noProof/>
            <w:webHidden/>
          </w:rPr>
        </w:r>
        <w:r w:rsidR="007E2F3C">
          <w:rPr>
            <w:noProof/>
            <w:webHidden/>
          </w:rPr>
          <w:fldChar w:fldCharType="separate"/>
        </w:r>
        <w:r w:rsidR="0083737D">
          <w:rPr>
            <w:noProof/>
            <w:webHidden/>
          </w:rPr>
          <w:t>38</w:t>
        </w:r>
        <w:r w:rsidR="007E2F3C">
          <w:rPr>
            <w:noProof/>
            <w:webHidden/>
          </w:rPr>
          <w:fldChar w:fldCharType="end"/>
        </w:r>
      </w:hyperlink>
    </w:p>
    <w:p w14:paraId="6CA9109A" w14:textId="7573EEA3" w:rsidR="007E2F3C" w:rsidRDefault="00903DF5">
      <w:pPr>
        <w:pStyle w:val="TOC1"/>
        <w:rPr>
          <w:rFonts w:asciiTheme="minorHAnsi" w:eastAsiaTheme="minorEastAsia" w:hAnsiTheme="minorHAnsi" w:cstheme="minorBidi"/>
          <w:noProof/>
          <w:sz w:val="22"/>
          <w:lang w:eastAsia="en-GB"/>
        </w:rPr>
      </w:pPr>
      <w:hyperlink w:anchor="_Toc12020997" w:history="1">
        <w:r w:rsidR="007E2F3C" w:rsidRPr="00604822">
          <w:rPr>
            <w:rStyle w:val="Hyperlink"/>
            <w:noProof/>
          </w:rPr>
          <w:t>Connecting Europe Facility</w:t>
        </w:r>
        <w:r w:rsidR="007E2F3C">
          <w:rPr>
            <w:noProof/>
            <w:webHidden/>
          </w:rPr>
          <w:tab/>
        </w:r>
        <w:r w:rsidR="007E2F3C">
          <w:rPr>
            <w:noProof/>
            <w:webHidden/>
          </w:rPr>
          <w:fldChar w:fldCharType="begin"/>
        </w:r>
        <w:r w:rsidR="007E2F3C">
          <w:rPr>
            <w:noProof/>
            <w:webHidden/>
          </w:rPr>
          <w:instrText xml:space="preserve"> PAGEREF _Toc12020997 \h </w:instrText>
        </w:r>
        <w:r w:rsidR="007E2F3C">
          <w:rPr>
            <w:noProof/>
            <w:webHidden/>
          </w:rPr>
        </w:r>
        <w:r w:rsidR="007E2F3C">
          <w:rPr>
            <w:noProof/>
            <w:webHidden/>
          </w:rPr>
          <w:fldChar w:fldCharType="separate"/>
        </w:r>
        <w:r w:rsidR="0083737D">
          <w:rPr>
            <w:noProof/>
            <w:webHidden/>
          </w:rPr>
          <w:t>42</w:t>
        </w:r>
        <w:r w:rsidR="007E2F3C">
          <w:rPr>
            <w:noProof/>
            <w:webHidden/>
          </w:rPr>
          <w:fldChar w:fldCharType="end"/>
        </w:r>
      </w:hyperlink>
    </w:p>
    <w:p w14:paraId="2CEED337" w14:textId="508FC4AC" w:rsidR="007E2F3C" w:rsidRDefault="00903DF5">
      <w:pPr>
        <w:pStyle w:val="TOC1"/>
        <w:rPr>
          <w:rFonts w:asciiTheme="minorHAnsi" w:eastAsiaTheme="minorEastAsia" w:hAnsiTheme="minorHAnsi" w:cstheme="minorBidi"/>
          <w:noProof/>
          <w:sz w:val="22"/>
          <w:lang w:eastAsia="en-GB"/>
        </w:rPr>
      </w:pPr>
      <w:hyperlink w:anchor="_Toc12020998" w:history="1">
        <w:r w:rsidR="007E2F3C" w:rsidRPr="00604822">
          <w:rPr>
            <w:rStyle w:val="Hyperlink"/>
            <w:noProof/>
          </w:rPr>
          <w:t>Competitiveness of Enterprises and small and medium-sized enterprises</w:t>
        </w:r>
        <w:r w:rsidR="007E2F3C">
          <w:rPr>
            <w:noProof/>
            <w:webHidden/>
          </w:rPr>
          <w:tab/>
        </w:r>
        <w:r w:rsidR="007E2F3C">
          <w:rPr>
            <w:noProof/>
            <w:webHidden/>
          </w:rPr>
          <w:fldChar w:fldCharType="begin"/>
        </w:r>
        <w:r w:rsidR="007E2F3C">
          <w:rPr>
            <w:noProof/>
            <w:webHidden/>
          </w:rPr>
          <w:instrText xml:space="preserve"> PAGEREF _Toc12020998 \h </w:instrText>
        </w:r>
        <w:r w:rsidR="007E2F3C">
          <w:rPr>
            <w:noProof/>
            <w:webHidden/>
          </w:rPr>
        </w:r>
        <w:r w:rsidR="007E2F3C">
          <w:rPr>
            <w:noProof/>
            <w:webHidden/>
          </w:rPr>
          <w:fldChar w:fldCharType="separate"/>
        </w:r>
        <w:r w:rsidR="0083737D">
          <w:rPr>
            <w:noProof/>
            <w:webHidden/>
          </w:rPr>
          <w:t>46</w:t>
        </w:r>
        <w:r w:rsidR="007E2F3C">
          <w:rPr>
            <w:noProof/>
            <w:webHidden/>
          </w:rPr>
          <w:fldChar w:fldCharType="end"/>
        </w:r>
      </w:hyperlink>
    </w:p>
    <w:p w14:paraId="6129B4C7" w14:textId="59EB15C9" w:rsidR="007E2F3C" w:rsidRDefault="00903DF5">
      <w:pPr>
        <w:pStyle w:val="TOC1"/>
        <w:rPr>
          <w:rFonts w:asciiTheme="minorHAnsi" w:eastAsiaTheme="minorEastAsia" w:hAnsiTheme="minorHAnsi" w:cstheme="minorBidi"/>
          <w:noProof/>
          <w:sz w:val="22"/>
          <w:lang w:eastAsia="en-GB"/>
        </w:rPr>
      </w:pPr>
      <w:hyperlink w:anchor="_Toc12020999" w:history="1">
        <w:r w:rsidR="007E2F3C" w:rsidRPr="00604822">
          <w:rPr>
            <w:rStyle w:val="Hyperlink"/>
            <w:noProof/>
          </w:rPr>
          <w:t>ERASMUS+</w:t>
        </w:r>
        <w:r w:rsidR="007E2F3C">
          <w:rPr>
            <w:noProof/>
            <w:webHidden/>
          </w:rPr>
          <w:tab/>
        </w:r>
        <w:r w:rsidR="007E2F3C">
          <w:rPr>
            <w:noProof/>
            <w:webHidden/>
          </w:rPr>
          <w:fldChar w:fldCharType="begin"/>
        </w:r>
        <w:r w:rsidR="007E2F3C">
          <w:rPr>
            <w:noProof/>
            <w:webHidden/>
          </w:rPr>
          <w:instrText xml:space="preserve"> PAGEREF _Toc12020999 \h </w:instrText>
        </w:r>
        <w:r w:rsidR="007E2F3C">
          <w:rPr>
            <w:noProof/>
            <w:webHidden/>
          </w:rPr>
        </w:r>
        <w:r w:rsidR="007E2F3C">
          <w:rPr>
            <w:noProof/>
            <w:webHidden/>
          </w:rPr>
          <w:fldChar w:fldCharType="separate"/>
        </w:r>
        <w:r w:rsidR="0083737D">
          <w:rPr>
            <w:noProof/>
            <w:webHidden/>
          </w:rPr>
          <w:t>48</w:t>
        </w:r>
        <w:r w:rsidR="007E2F3C">
          <w:rPr>
            <w:noProof/>
            <w:webHidden/>
          </w:rPr>
          <w:fldChar w:fldCharType="end"/>
        </w:r>
      </w:hyperlink>
    </w:p>
    <w:p w14:paraId="1809214B" w14:textId="3ED5D93C" w:rsidR="007E2F3C" w:rsidRDefault="00903DF5">
      <w:pPr>
        <w:pStyle w:val="TOC1"/>
        <w:rPr>
          <w:rFonts w:asciiTheme="minorHAnsi" w:eastAsiaTheme="minorEastAsia" w:hAnsiTheme="minorHAnsi" w:cstheme="minorBidi"/>
          <w:noProof/>
          <w:sz w:val="22"/>
          <w:lang w:eastAsia="en-GB"/>
        </w:rPr>
      </w:pPr>
      <w:hyperlink w:anchor="_Toc12021000" w:history="1">
        <w:r w:rsidR="007E2F3C" w:rsidRPr="00604822">
          <w:rPr>
            <w:rStyle w:val="Hyperlink"/>
            <w:noProof/>
          </w:rPr>
          <w:t>European Solidarity Corps</w:t>
        </w:r>
        <w:r w:rsidR="007E2F3C">
          <w:rPr>
            <w:noProof/>
            <w:webHidden/>
          </w:rPr>
          <w:tab/>
        </w:r>
        <w:r w:rsidR="007E2F3C">
          <w:rPr>
            <w:noProof/>
            <w:webHidden/>
          </w:rPr>
          <w:fldChar w:fldCharType="begin"/>
        </w:r>
        <w:r w:rsidR="007E2F3C">
          <w:rPr>
            <w:noProof/>
            <w:webHidden/>
          </w:rPr>
          <w:instrText xml:space="preserve"> PAGEREF _Toc12021000 \h </w:instrText>
        </w:r>
        <w:r w:rsidR="007E2F3C">
          <w:rPr>
            <w:noProof/>
            <w:webHidden/>
          </w:rPr>
        </w:r>
        <w:r w:rsidR="007E2F3C">
          <w:rPr>
            <w:noProof/>
            <w:webHidden/>
          </w:rPr>
          <w:fldChar w:fldCharType="separate"/>
        </w:r>
        <w:r w:rsidR="0083737D">
          <w:rPr>
            <w:noProof/>
            <w:webHidden/>
          </w:rPr>
          <w:t>52</w:t>
        </w:r>
        <w:r w:rsidR="007E2F3C">
          <w:rPr>
            <w:noProof/>
            <w:webHidden/>
          </w:rPr>
          <w:fldChar w:fldCharType="end"/>
        </w:r>
      </w:hyperlink>
    </w:p>
    <w:p w14:paraId="314EFC69" w14:textId="7CDCAFEB" w:rsidR="007E2F3C" w:rsidRDefault="00903DF5">
      <w:pPr>
        <w:pStyle w:val="TOC1"/>
        <w:rPr>
          <w:rFonts w:asciiTheme="minorHAnsi" w:eastAsiaTheme="minorEastAsia" w:hAnsiTheme="minorHAnsi" w:cstheme="minorBidi"/>
          <w:noProof/>
          <w:sz w:val="22"/>
          <w:lang w:eastAsia="en-GB"/>
        </w:rPr>
      </w:pPr>
      <w:hyperlink w:anchor="_Toc12021001" w:history="1">
        <w:r w:rsidR="007E2F3C" w:rsidRPr="00604822">
          <w:rPr>
            <w:rStyle w:val="Hyperlink"/>
            <w:noProof/>
          </w:rPr>
          <w:t>Employment and social innovation (EaSI)</w:t>
        </w:r>
        <w:r w:rsidR="007E2F3C">
          <w:rPr>
            <w:noProof/>
            <w:webHidden/>
          </w:rPr>
          <w:tab/>
        </w:r>
        <w:r w:rsidR="007E2F3C">
          <w:rPr>
            <w:noProof/>
            <w:webHidden/>
          </w:rPr>
          <w:fldChar w:fldCharType="begin"/>
        </w:r>
        <w:r w:rsidR="007E2F3C">
          <w:rPr>
            <w:noProof/>
            <w:webHidden/>
          </w:rPr>
          <w:instrText xml:space="preserve"> PAGEREF _Toc12021001 \h </w:instrText>
        </w:r>
        <w:r w:rsidR="007E2F3C">
          <w:rPr>
            <w:noProof/>
            <w:webHidden/>
          </w:rPr>
        </w:r>
        <w:r w:rsidR="007E2F3C">
          <w:rPr>
            <w:noProof/>
            <w:webHidden/>
          </w:rPr>
          <w:fldChar w:fldCharType="separate"/>
        </w:r>
        <w:r w:rsidR="0083737D">
          <w:rPr>
            <w:noProof/>
            <w:webHidden/>
          </w:rPr>
          <w:t>54</w:t>
        </w:r>
        <w:r w:rsidR="007E2F3C">
          <w:rPr>
            <w:noProof/>
            <w:webHidden/>
          </w:rPr>
          <w:fldChar w:fldCharType="end"/>
        </w:r>
      </w:hyperlink>
    </w:p>
    <w:p w14:paraId="3E360A88" w14:textId="49157C82" w:rsidR="007E2F3C" w:rsidRDefault="00903DF5">
      <w:pPr>
        <w:pStyle w:val="TOC1"/>
        <w:rPr>
          <w:rFonts w:asciiTheme="minorHAnsi" w:eastAsiaTheme="minorEastAsia" w:hAnsiTheme="minorHAnsi" w:cstheme="minorBidi"/>
          <w:noProof/>
          <w:sz w:val="22"/>
          <w:lang w:eastAsia="en-GB"/>
        </w:rPr>
      </w:pPr>
      <w:hyperlink w:anchor="_Toc12021002" w:history="1">
        <w:r w:rsidR="007E2F3C" w:rsidRPr="00604822">
          <w:rPr>
            <w:rStyle w:val="Hyperlink"/>
            <w:noProof/>
          </w:rPr>
          <w:t>Space (Copernicus, Galileo and the European Geostationary Navigation Overlay Service)</w:t>
        </w:r>
        <w:r w:rsidR="007E2F3C">
          <w:rPr>
            <w:noProof/>
            <w:webHidden/>
          </w:rPr>
          <w:tab/>
        </w:r>
        <w:r w:rsidR="007E2F3C">
          <w:rPr>
            <w:noProof/>
            <w:webHidden/>
          </w:rPr>
          <w:fldChar w:fldCharType="begin"/>
        </w:r>
        <w:r w:rsidR="007E2F3C">
          <w:rPr>
            <w:noProof/>
            <w:webHidden/>
          </w:rPr>
          <w:instrText xml:space="preserve"> PAGEREF _Toc12021002 \h </w:instrText>
        </w:r>
        <w:r w:rsidR="007E2F3C">
          <w:rPr>
            <w:noProof/>
            <w:webHidden/>
          </w:rPr>
        </w:r>
        <w:r w:rsidR="007E2F3C">
          <w:rPr>
            <w:noProof/>
            <w:webHidden/>
          </w:rPr>
          <w:fldChar w:fldCharType="separate"/>
        </w:r>
        <w:r w:rsidR="0083737D">
          <w:rPr>
            <w:noProof/>
            <w:webHidden/>
          </w:rPr>
          <w:t>57</w:t>
        </w:r>
        <w:r w:rsidR="007E2F3C">
          <w:rPr>
            <w:noProof/>
            <w:webHidden/>
          </w:rPr>
          <w:fldChar w:fldCharType="end"/>
        </w:r>
      </w:hyperlink>
    </w:p>
    <w:p w14:paraId="3A3EDAB3" w14:textId="2E7CDBE7" w:rsidR="007E2F3C" w:rsidRDefault="00903DF5">
      <w:pPr>
        <w:pStyle w:val="TOC1"/>
        <w:rPr>
          <w:rFonts w:asciiTheme="minorHAnsi" w:eastAsiaTheme="minorEastAsia" w:hAnsiTheme="minorHAnsi" w:cstheme="minorBidi"/>
          <w:noProof/>
          <w:sz w:val="22"/>
          <w:lang w:eastAsia="en-GB"/>
        </w:rPr>
      </w:pPr>
      <w:hyperlink w:anchor="_Toc12021003" w:history="1">
        <w:r w:rsidR="007E2F3C" w:rsidRPr="00604822">
          <w:rPr>
            <w:rStyle w:val="Hyperlink"/>
            <w:noProof/>
          </w:rPr>
          <w:t>European Defence Industrial Development Programme</w:t>
        </w:r>
        <w:r w:rsidR="007E2F3C">
          <w:rPr>
            <w:noProof/>
            <w:webHidden/>
          </w:rPr>
          <w:tab/>
        </w:r>
        <w:r w:rsidR="007E2F3C">
          <w:rPr>
            <w:noProof/>
            <w:webHidden/>
          </w:rPr>
          <w:fldChar w:fldCharType="begin"/>
        </w:r>
        <w:r w:rsidR="007E2F3C">
          <w:rPr>
            <w:noProof/>
            <w:webHidden/>
          </w:rPr>
          <w:instrText xml:space="preserve"> PAGEREF _Toc12021003 \h </w:instrText>
        </w:r>
        <w:r w:rsidR="007E2F3C">
          <w:rPr>
            <w:noProof/>
            <w:webHidden/>
          </w:rPr>
        </w:r>
        <w:r w:rsidR="007E2F3C">
          <w:rPr>
            <w:noProof/>
            <w:webHidden/>
          </w:rPr>
          <w:fldChar w:fldCharType="separate"/>
        </w:r>
        <w:r w:rsidR="0083737D">
          <w:rPr>
            <w:noProof/>
            <w:webHidden/>
          </w:rPr>
          <w:t>60</w:t>
        </w:r>
        <w:r w:rsidR="007E2F3C">
          <w:rPr>
            <w:noProof/>
            <w:webHidden/>
          </w:rPr>
          <w:fldChar w:fldCharType="end"/>
        </w:r>
      </w:hyperlink>
    </w:p>
    <w:p w14:paraId="1858CFF5" w14:textId="7AB5BAE1" w:rsidR="007E2F3C" w:rsidRDefault="00903DF5">
      <w:pPr>
        <w:pStyle w:val="TOC1"/>
        <w:rPr>
          <w:rFonts w:asciiTheme="minorHAnsi" w:eastAsiaTheme="minorEastAsia" w:hAnsiTheme="minorHAnsi" w:cstheme="minorBidi"/>
          <w:noProof/>
          <w:sz w:val="22"/>
          <w:lang w:eastAsia="en-GB"/>
        </w:rPr>
      </w:pPr>
      <w:hyperlink w:anchor="_Toc12021004" w:history="1">
        <w:r w:rsidR="007E2F3C" w:rsidRPr="00604822">
          <w:rPr>
            <w:rStyle w:val="Hyperlink"/>
            <w:noProof/>
          </w:rPr>
          <w:t>Customs 2020</w:t>
        </w:r>
        <w:r w:rsidR="007E2F3C">
          <w:rPr>
            <w:noProof/>
            <w:webHidden/>
          </w:rPr>
          <w:tab/>
        </w:r>
        <w:r w:rsidR="007E2F3C">
          <w:rPr>
            <w:noProof/>
            <w:webHidden/>
          </w:rPr>
          <w:fldChar w:fldCharType="begin"/>
        </w:r>
        <w:r w:rsidR="007E2F3C">
          <w:rPr>
            <w:noProof/>
            <w:webHidden/>
          </w:rPr>
          <w:instrText xml:space="preserve"> PAGEREF _Toc12021004 \h </w:instrText>
        </w:r>
        <w:r w:rsidR="007E2F3C">
          <w:rPr>
            <w:noProof/>
            <w:webHidden/>
          </w:rPr>
        </w:r>
        <w:r w:rsidR="007E2F3C">
          <w:rPr>
            <w:noProof/>
            <w:webHidden/>
          </w:rPr>
          <w:fldChar w:fldCharType="separate"/>
        </w:r>
        <w:r w:rsidR="0083737D">
          <w:rPr>
            <w:noProof/>
            <w:webHidden/>
          </w:rPr>
          <w:t>62</w:t>
        </w:r>
        <w:r w:rsidR="007E2F3C">
          <w:rPr>
            <w:noProof/>
            <w:webHidden/>
          </w:rPr>
          <w:fldChar w:fldCharType="end"/>
        </w:r>
      </w:hyperlink>
    </w:p>
    <w:p w14:paraId="222EB60F" w14:textId="7DBDDAC9" w:rsidR="007E2F3C" w:rsidRDefault="00903DF5">
      <w:pPr>
        <w:pStyle w:val="TOC1"/>
        <w:rPr>
          <w:rFonts w:asciiTheme="minorHAnsi" w:eastAsiaTheme="minorEastAsia" w:hAnsiTheme="minorHAnsi" w:cstheme="minorBidi"/>
          <w:noProof/>
          <w:sz w:val="22"/>
          <w:lang w:eastAsia="en-GB"/>
        </w:rPr>
      </w:pPr>
      <w:hyperlink w:anchor="_Toc12021005" w:history="1">
        <w:r w:rsidR="007E2F3C" w:rsidRPr="00604822">
          <w:rPr>
            <w:rStyle w:val="Hyperlink"/>
            <w:noProof/>
          </w:rPr>
          <w:t>Fiscalis 2020</w:t>
        </w:r>
        <w:r w:rsidR="007E2F3C">
          <w:rPr>
            <w:noProof/>
            <w:webHidden/>
          </w:rPr>
          <w:tab/>
        </w:r>
        <w:r w:rsidR="007E2F3C">
          <w:rPr>
            <w:noProof/>
            <w:webHidden/>
          </w:rPr>
          <w:fldChar w:fldCharType="begin"/>
        </w:r>
        <w:r w:rsidR="007E2F3C">
          <w:rPr>
            <w:noProof/>
            <w:webHidden/>
          </w:rPr>
          <w:instrText xml:space="preserve"> PAGEREF _Toc12021005 \h </w:instrText>
        </w:r>
        <w:r w:rsidR="007E2F3C">
          <w:rPr>
            <w:noProof/>
            <w:webHidden/>
          </w:rPr>
        </w:r>
        <w:r w:rsidR="007E2F3C">
          <w:rPr>
            <w:noProof/>
            <w:webHidden/>
          </w:rPr>
          <w:fldChar w:fldCharType="separate"/>
        </w:r>
        <w:r w:rsidR="0083737D">
          <w:rPr>
            <w:noProof/>
            <w:webHidden/>
          </w:rPr>
          <w:t>63</w:t>
        </w:r>
        <w:r w:rsidR="007E2F3C">
          <w:rPr>
            <w:noProof/>
            <w:webHidden/>
          </w:rPr>
          <w:fldChar w:fldCharType="end"/>
        </w:r>
      </w:hyperlink>
    </w:p>
    <w:p w14:paraId="750B1EEF" w14:textId="42F1200A" w:rsidR="007E2F3C" w:rsidRDefault="00903DF5">
      <w:pPr>
        <w:pStyle w:val="TOC1"/>
        <w:rPr>
          <w:rFonts w:asciiTheme="minorHAnsi" w:eastAsiaTheme="minorEastAsia" w:hAnsiTheme="minorHAnsi" w:cstheme="minorBidi"/>
          <w:noProof/>
          <w:sz w:val="22"/>
          <w:lang w:eastAsia="en-GB"/>
        </w:rPr>
      </w:pPr>
      <w:hyperlink w:anchor="_Toc12021006" w:history="1">
        <w:r w:rsidR="007E2F3C" w:rsidRPr="00604822">
          <w:rPr>
            <w:rStyle w:val="Hyperlink"/>
            <w:noProof/>
          </w:rPr>
          <w:t>Hercule III</w:t>
        </w:r>
        <w:r w:rsidR="007E2F3C">
          <w:rPr>
            <w:noProof/>
            <w:webHidden/>
          </w:rPr>
          <w:tab/>
        </w:r>
        <w:r w:rsidR="007E2F3C">
          <w:rPr>
            <w:noProof/>
            <w:webHidden/>
          </w:rPr>
          <w:fldChar w:fldCharType="begin"/>
        </w:r>
        <w:r w:rsidR="007E2F3C">
          <w:rPr>
            <w:noProof/>
            <w:webHidden/>
          </w:rPr>
          <w:instrText xml:space="preserve"> PAGEREF _Toc12021006 \h </w:instrText>
        </w:r>
        <w:r w:rsidR="007E2F3C">
          <w:rPr>
            <w:noProof/>
            <w:webHidden/>
          </w:rPr>
        </w:r>
        <w:r w:rsidR="007E2F3C">
          <w:rPr>
            <w:noProof/>
            <w:webHidden/>
          </w:rPr>
          <w:fldChar w:fldCharType="separate"/>
        </w:r>
        <w:r w:rsidR="0083737D">
          <w:rPr>
            <w:noProof/>
            <w:webHidden/>
          </w:rPr>
          <w:t>64</w:t>
        </w:r>
        <w:r w:rsidR="007E2F3C">
          <w:rPr>
            <w:noProof/>
            <w:webHidden/>
          </w:rPr>
          <w:fldChar w:fldCharType="end"/>
        </w:r>
      </w:hyperlink>
    </w:p>
    <w:p w14:paraId="46AEAD96" w14:textId="78015F02" w:rsidR="007E2F3C" w:rsidRDefault="00903DF5">
      <w:pPr>
        <w:pStyle w:val="TOC1"/>
        <w:rPr>
          <w:rFonts w:asciiTheme="minorHAnsi" w:eastAsiaTheme="minorEastAsia" w:hAnsiTheme="minorHAnsi" w:cstheme="minorBidi"/>
          <w:noProof/>
          <w:sz w:val="22"/>
          <w:lang w:eastAsia="en-GB"/>
        </w:rPr>
      </w:pPr>
      <w:hyperlink w:anchor="_Toc12021007" w:history="1">
        <w:r w:rsidR="007E2F3C" w:rsidRPr="00604822">
          <w:rPr>
            <w:rStyle w:val="Hyperlink"/>
            <w:noProof/>
          </w:rPr>
          <w:t>Pericles 2020</w:t>
        </w:r>
        <w:r w:rsidR="007E2F3C">
          <w:rPr>
            <w:noProof/>
            <w:webHidden/>
          </w:rPr>
          <w:tab/>
        </w:r>
        <w:r w:rsidR="007E2F3C">
          <w:rPr>
            <w:noProof/>
            <w:webHidden/>
          </w:rPr>
          <w:fldChar w:fldCharType="begin"/>
        </w:r>
        <w:r w:rsidR="007E2F3C">
          <w:rPr>
            <w:noProof/>
            <w:webHidden/>
          </w:rPr>
          <w:instrText xml:space="preserve"> PAGEREF _Toc12021007 \h </w:instrText>
        </w:r>
        <w:r w:rsidR="007E2F3C">
          <w:rPr>
            <w:noProof/>
            <w:webHidden/>
          </w:rPr>
        </w:r>
        <w:r w:rsidR="007E2F3C">
          <w:rPr>
            <w:noProof/>
            <w:webHidden/>
          </w:rPr>
          <w:fldChar w:fldCharType="separate"/>
        </w:r>
        <w:r w:rsidR="0083737D">
          <w:rPr>
            <w:noProof/>
            <w:webHidden/>
          </w:rPr>
          <w:t>64</w:t>
        </w:r>
        <w:r w:rsidR="007E2F3C">
          <w:rPr>
            <w:noProof/>
            <w:webHidden/>
          </w:rPr>
          <w:fldChar w:fldCharType="end"/>
        </w:r>
      </w:hyperlink>
    </w:p>
    <w:p w14:paraId="36462996" w14:textId="0136E067" w:rsidR="007E2F3C" w:rsidRDefault="00903DF5">
      <w:pPr>
        <w:pStyle w:val="TOC1"/>
        <w:rPr>
          <w:rFonts w:asciiTheme="minorHAnsi" w:eastAsiaTheme="minorEastAsia" w:hAnsiTheme="minorHAnsi" w:cstheme="minorBidi"/>
          <w:noProof/>
          <w:sz w:val="22"/>
          <w:lang w:eastAsia="en-GB"/>
        </w:rPr>
      </w:pPr>
      <w:hyperlink w:anchor="_Toc12021008" w:history="1">
        <w:r w:rsidR="007E2F3C" w:rsidRPr="00604822">
          <w:rPr>
            <w:rStyle w:val="Hyperlink"/>
            <w:noProof/>
          </w:rPr>
          <w:t>Anti-fraud information system</w:t>
        </w:r>
        <w:r w:rsidR="007E2F3C" w:rsidRPr="00604822">
          <w:rPr>
            <w:rStyle w:val="Hyperlink"/>
            <w:rFonts w:ascii="Arial" w:hAnsi="Arial" w:cs="Arial"/>
            <w:noProof/>
          </w:rPr>
          <w:t> </w:t>
        </w:r>
        <w:r w:rsidR="007E2F3C">
          <w:rPr>
            <w:noProof/>
            <w:webHidden/>
          </w:rPr>
          <w:tab/>
        </w:r>
        <w:r w:rsidR="007E2F3C">
          <w:rPr>
            <w:noProof/>
            <w:webHidden/>
          </w:rPr>
          <w:fldChar w:fldCharType="begin"/>
        </w:r>
        <w:r w:rsidR="007E2F3C">
          <w:rPr>
            <w:noProof/>
            <w:webHidden/>
          </w:rPr>
          <w:instrText xml:space="preserve"> PAGEREF _Toc12021008 \h </w:instrText>
        </w:r>
        <w:r w:rsidR="007E2F3C">
          <w:rPr>
            <w:noProof/>
            <w:webHidden/>
          </w:rPr>
        </w:r>
        <w:r w:rsidR="007E2F3C">
          <w:rPr>
            <w:noProof/>
            <w:webHidden/>
          </w:rPr>
          <w:fldChar w:fldCharType="separate"/>
        </w:r>
        <w:r w:rsidR="0083737D">
          <w:rPr>
            <w:noProof/>
            <w:webHidden/>
          </w:rPr>
          <w:t>64</w:t>
        </w:r>
        <w:r w:rsidR="007E2F3C">
          <w:rPr>
            <w:noProof/>
            <w:webHidden/>
          </w:rPr>
          <w:fldChar w:fldCharType="end"/>
        </w:r>
      </w:hyperlink>
    </w:p>
    <w:p w14:paraId="3CB62E04" w14:textId="55BDF12F" w:rsidR="007E2F3C" w:rsidRDefault="00903DF5">
      <w:pPr>
        <w:pStyle w:val="TOC1"/>
        <w:rPr>
          <w:rFonts w:asciiTheme="minorHAnsi" w:eastAsiaTheme="minorEastAsia" w:hAnsiTheme="minorHAnsi" w:cstheme="minorBidi"/>
          <w:noProof/>
          <w:sz w:val="22"/>
          <w:lang w:eastAsia="en-GB"/>
        </w:rPr>
      </w:pPr>
      <w:hyperlink w:anchor="_Toc12021009" w:history="1">
        <w:r w:rsidR="007E2F3C" w:rsidRPr="00604822">
          <w:rPr>
            <w:rStyle w:val="Hyperlink"/>
            <w:noProof/>
          </w:rPr>
          <w:t>ISA</w:t>
        </w:r>
        <w:r w:rsidR="007E2F3C" w:rsidRPr="00604822">
          <w:rPr>
            <w:rStyle w:val="Hyperlink"/>
            <w:noProof/>
            <w:vertAlign w:val="superscript"/>
          </w:rPr>
          <w:t>2</w:t>
        </w:r>
        <w:r w:rsidR="007E2F3C" w:rsidRPr="00604822">
          <w:rPr>
            <w:rStyle w:val="Hyperlink"/>
            <w:noProof/>
          </w:rPr>
          <w:t xml:space="preserve"> — Interoperability solutions and common frameworks for European public administration, businesses and citizens</w:t>
        </w:r>
        <w:r w:rsidR="007E2F3C">
          <w:rPr>
            <w:noProof/>
            <w:webHidden/>
          </w:rPr>
          <w:tab/>
        </w:r>
        <w:r w:rsidR="007E2F3C">
          <w:rPr>
            <w:noProof/>
            <w:webHidden/>
          </w:rPr>
          <w:fldChar w:fldCharType="begin"/>
        </w:r>
        <w:r w:rsidR="007E2F3C">
          <w:rPr>
            <w:noProof/>
            <w:webHidden/>
          </w:rPr>
          <w:instrText xml:space="preserve"> PAGEREF _Toc12021009 \h </w:instrText>
        </w:r>
        <w:r w:rsidR="007E2F3C">
          <w:rPr>
            <w:noProof/>
            <w:webHidden/>
          </w:rPr>
        </w:r>
        <w:r w:rsidR="007E2F3C">
          <w:rPr>
            <w:noProof/>
            <w:webHidden/>
          </w:rPr>
          <w:fldChar w:fldCharType="separate"/>
        </w:r>
        <w:r w:rsidR="0083737D">
          <w:rPr>
            <w:noProof/>
            <w:webHidden/>
          </w:rPr>
          <w:t>65</w:t>
        </w:r>
        <w:r w:rsidR="007E2F3C">
          <w:rPr>
            <w:noProof/>
            <w:webHidden/>
          </w:rPr>
          <w:fldChar w:fldCharType="end"/>
        </w:r>
      </w:hyperlink>
    </w:p>
    <w:p w14:paraId="34103714" w14:textId="5907BFC0" w:rsidR="007E2F3C" w:rsidRDefault="00903DF5">
      <w:pPr>
        <w:pStyle w:val="TOC1"/>
        <w:rPr>
          <w:rFonts w:asciiTheme="minorHAnsi" w:eastAsiaTheme="minorEastAsia" w:hAnsiTheme="minorHAnsi" w:cstheme="minorBidi"/>
          <w:noProof/>
          <w:sz w:val="22"/>
          <w:lang w:eastAsia="en-GB"/>
        </w:rPr>
      </w:pPr>
      <w:hyperlink w:anchor="_Toc12021010" w:history="1">
        <w:r w:rsidR="007E2F3C" w:rsidRPr="00604822">
          <w:rPr>
            <w:rStyle w:val="Hyperlink"/>
            <w:noProof/>
          </w:rPr>
          <w:t>European statistical programme</w:t>
        </w:r>
        <w:r w:rsidR="007E2F3C">
          <w:rPr>
            <w:noProof/>
            <w:webHidden/>
          </w:rPr>
          <w:tab/>
        </w:r>
        <w:r w:rsidR="007E2F3C">
          <w:rPr>
            <w:noProof/>
            <w:webHidden/>
          </w:rPr>
          <w:fldChar w:fldCharType="begin"/>
        </w:r>
        <w:r w:rsidR="007E2F3C">
          <w:rPr>
            <w:noProof/>
            <w:webHidden/>
          </w:rPr>
          <w:instrText xml:space="preserve"> PAGEREF _Toc12021010 \h </w:instrText>
        </w:r>
        <w:r w:rsidR="007E2F3C">
          <w:rPr>
            <w:noProof/>
            <w:webHidden/>
          </w:rPr>
        </w:r>
        <w:r w:rsidR="007E2F3C">
          <w:rPr>
            <w:noProof/>
            <w:webHidden/>
          </w:rPr>
          <w:fldChar w:fldCharType="separate"/>
        </w:r>
        <w:r w:rsidR="0083737D">
          <w:rPr>
            <w:noProof/>
            <w:webHidden/>
          </w:rPr>
          <w:t>66</w:t>
        </w:r>
        <w:r w:rsidR="007E2F3C">
          <w:rPr>
            <w:noProof/>
            <w:webHidden/>
          </w:rPr>
          <w:fldChar w:fldCharType="end"/>
        </w:r>
      </w:hyperlink>
    </w:p>
    <w:p w14:paraId="6D1DDC1F" w14:textId="7AE3E30A" w:rsidR="007E2F3C" w:rsidRDefault="00903DF5">
      <w:pPr>
        <w:pStyle w:val="TOC1"/>
        <w:rPr>
          <w:rFonts w:asciiTheme="minorHAnsi" w:eastAsiaTheme="minorEastAsia" w:hAnsiTheme="minorHAnsi" w:cstheme="minorBidi"/>
          <w:noProof/>
          <w:sz w:val="22"/>
          <w:lang w:eastAsia="en-GB"/>
        </w:rPr>
      </w:pPr>
      <w:hyperlink w:anchor="_Toc12021011" w:history="1">
        <w:r w:rsidR="007E2F3C" w:rsidRPr="00604822">
          <w:rPr>
            <w:rStyle w:val="Hyperlink"/>
            <w:noProof/>
          </w:rPr>
          <w:t>Nuclear-decommissioning assistance programmes in Bulgaria, Slovakia and Lithuania</w:t>
        </w:r>
        <w:r w:rsidR="007E2F3C">
          <w:rPr>
            <w:noProof/>
            <w:webHidden/>
          </w:rPr>
          <w:tab/>
        </w:r>
        <w:r w:rsidR="007E2F3C">
          <w:rPr>
            <w:noProof/>
            <w:webHidden/>
          </w:rPr>
          <w:fldChar w:fldCharType="begin"/>
        </w:r>
        <w:r w:rsidR="007E2F3C">
          <w:rPr>
            <w:noProof/>
            <w:webHidden/>
          </w:rPr>
          <w:instrText xml:space="preserve"> PAGEREF _Toc12021011 \h </w:instrText>
        </w:r>
        <w:r w:rsidR="007E2F3C">
          <w:rPr>
            <w:noProof/>
            <w:webHidden/>
          </w:rPr>
        </w:r>
        <w:r w:rsidR="007E2F3C">
          <w:rPr>
            <w:noProof/>
            <w:webHidden/>
          </w:rPr>
          <w:fldChar w:fldCharType="separate"/>
        </w:r>
        <w:r w:rsidR="0083737D">
          <w:rPr>
            <w:noProof/>
            <w:webHidden/>
          </w:rPr>
          <w:t>66</w:t>
        </w:r>
        <w:r w:rsidR="007E2F3C">
          <w:rPr>
            <w:noProof/>
            <w:webHidden/>
          </w:rPr>
          <w:fldChar w:fldCharType="end"/>
        </w:r>
      </w:hyperlink>
    </w:p>
    <w:p w14:paraId="2D9273A5" w14:textId="601038C4" w:rsidR="007E2F3C" w:rsidRDefault="00903DF5">
      <w:pPr>
        <w:pStyle w:val="TOC1"/>
        <w:rPr>
          <w:rFonts w:asciiTheme="minorHAnsi" w:eastAsiaTheme="minorEastAsia" w:hAnsiTheme="minorHAnsi" w:cstheme="minorBidi"/>
          <w:noProof/>
          <w:sz w:val="22"/>
          <w:lang w:eastAsia="en-GB"/>
        </w:rPr>
      </w:pPr>
      <w:hyperlink w:anchor="_Toc12021012" w:history="1">
        <w:r w:rsidR="007E2F3C" w:rsidRPr="00604822">
          <w:rPr>
            <w:rStyle w:val="Hyperlink"/>
            <w:noProof/>
          </w:rPr>
          <w:t>European Regional Development Fund and Cohesion Fund</w:t>
        </w:r>
        <w:r w:rsidR="007E2F3C">
          <w:rPr>
            <w:noProof/>
            <w:webHidden/>
          </w:rPr>
          <w:tab/>
        </w:r>
        <w:r w:rsidR="007E2F3C">
          <w:rPr>
            <w:noProof/>
            <w:webHidden/>
          </w:rPr>
          <w:fldChar w:fldCharType="begin"/>
        </w:r>
        <w:r w:rsidR="007E2F3C">
          <w:rPr>
            <w:noProof/>
            <w:webHidden/>
          </w:rPr>
          <w:instrText xml:space="preserve"> PAGEREF _Toc12021012 \h </w:instrText>
        </w:r>
        <w:r w:rsidR="007E2F3C">
          <w:rPr>
            <w:noProof/>
            <w:webHidden/>
          </w:rPr>
        </w:r>
        <w:r w:rsidR="007E2F3C">
          <w:rPr>
            <w:noProof/>
            <w:webHidden/>
          </w:rPr>
          <w:fldChar w:fldCharType="separate"/>
        </w:r>
        <w:r w:rsidR="0083737D">
          <w:rPr>
            <w:noProof/>
            <w:webHidden/>
          </w:rPr>
          <w:t>71</w:t>
        </w:r>
        <w:r w:rsidR="007E2F3C">
          <w:rPr>
            <w:noProof/>
            <w:webHidden/>
          </w:rPr>
          <w:fldChar w:fldCharType="end"/>
        </w:r>
      </w:hyperlink>
    </w:p>
    <w:p w14:paraId="666B4772" w14:textId="676F787D" w:rsidR="007E2F3C" w:rsidRDefault="00903DF5">
      <w:pPr>
        <w:pStyle w:val="TOC1"/>
        <w:rPr>
          <w:rFonts w:asciiTheme="minorHAnsi" w:eastAsiaTheme="minorEastAsia" w:hAnsiTheme="minorHAnsi" w:cstheme="minorBidi"/>
          <w:noProof/>
          <w:sz w:val="22"/>
          <w:lang w:eastAsia="en-GB"/>
        </w:rPr>
      </w:pPr>
      <w:hyperlink w:anchor="_Toc12021013" w:history="1">
        <w:r w:rsidR="007E2F3C" w:rsidRPr="00604822">
          <w:rPr>
            <w:rStyle w:val="Hyperlink"/>
            <w:noProof/>
          </w:rPr>
          <w:t>European Social Fund</w:t>
        </w:r>
        <w:r w:rsidR="007E2F3C">
          <w:rPr>
            <w:noProof/>
            <w:webHidden/>
          </w:rPr>
          <w:tab/>
        </w:r>
        <w:r w:rsidR="007E2F3C">
          <w:rPr>
            <w:noProof/>
            <w:webHidden/>
          </w:rPr>
          <w:fldChar w:fldCharType="begin"/>
        </w:r>
        <w:r w:rsidR="007E2F3C">
          <w:rPr>
            <w:noProof/>
            <w:webHidden/>
          </w:rPr>
          <w:instrText xml:space="preserve"> PAGEREF _Toc12021013 \h </w:instrText>
        </w:r>
        <w:r w:rsidR="007E2F3C">
          <w:rPr>
            <w:noProof/>
            <w:webHidden/>
          </w:rPr>
        </w:r>
        <w:r w:rsidR="007E2F3C">
          <w:rPr>
            <w:noProof/>
            <w:webHidden/>
          </w:rPr>
          <w:fldChar w:fldCharType="separate"/>
        </w:r>
        <w:r w:rsidR="0083737D">
          <w:rPr>
            <w:noProof/>
            <w:webHidden/>
          </w:rPr>
          <w:t>76</w:t>
        </w:r>
        <w:r w:rsidR="007E2F3C">
          <w:rPr>
            <w:noProof/>
            <w:webHidden/>
          </w:rPr>
          <w:fldChar w:fldCharType="end"/>
        </w:r>
      </w:hyperlink>
    </w:p>
    <w:p w14:paraId="3CA0DDB2" w14:textId="13CFA7D4" w:rsidR="007E2F3C" w:rsidRDefault="00903DF5">
      <w:pPr>
        <w:pStyle w:val="TOC1"/>
        <w:rPr>
          <w:rFonts w:asciiTheme="minorHAnsi" w:eastAsiaTheme="minorEastAsia" w:hAnsiTheme="minorHAnsi" w:cstheme="minorBidi"/>
          <w:noProof/>
          <w:sz w:val="22"/>
          <w:lang w:eastAsia="en-GB"/>
        </w:rPr>
      </w:pPr>
      <w:hyperlink w:anchor="_Toc12021014" w:history="1">
        <w:r w:rsidR="007E2F3C" w:rsidRPr="00604822">
          <w:rPr>
            <w:rStyle w:val="Hyperlink"/>
            <w:noProof/>
          </w:rPr>
          <w:t>Fund for European Aid to the Most Deprived</w:t>
        </w:r>
        <w:r w:rsidR="007E2F3C">
          <w:rPr>
            <w:noProof/>
            <w:webHidden/>
          </w:rPr>
          <w:tab/>
        </w:r>
        <w:r w:rsidR="007E2F3C">
          <w:rPr>
            <w:noProof/>
            <w:webHidden/>
          </w:rPr>
          <w:fldChar w:fldCharType="begin"/>
        </w:r>
        <w:r w:rsidR="007E2F3C">
          <w:rPr>
            <w:noProof/>
            <w:webHidden/>
          </w:rPr>
          <w:instrText xml:space="preserve"> PAGEREF _Toc12021014 \h </w:instrText>
        </w:r>
        <w:r w:rsidR="007E2F3C">
          <w:rPr>
            <w:noProof/>
            <w:webHidden/>
          </w:rPr>
        </w:r>
        <w:r w:rsidR="007E2F3C">
          <w:rPr>
            <w:noProof/>
            <w:webHidden/>
          </w:rPr>
          <w:fldChar w:fldCharType="separate"/>
        </w:r>
        <w:r w:rsidR="0083737D">
          <w:rPr>
            <w:noProof/>
            <w:webHidden/>
          </w:rPr>
          <w:t>79</w:t>
        </w:r>
        <w:r w:rsidR="007E2F3C">
          <w:rPr>
            <w:noProof/>
            <w:webHidden/>
          </w:rPr>
          <w:fldChar w:fldCharType="end"/>
        </w:r>
      </w:hyperlink>
    </w:p>
    <w:p w14:paraId="0265C41E" w14:textId="44B59E31" w:rsidR="007E2F3C" w:rsidRDefault="00903DF5">
      <w:pPr>
        <w:pStyle w:val="TOC1"/>
        <w:rPr>
          <w:rFonts w:asciiTheme="minorHAnsi" w:eastAsiaTheme="minorEastAsia" w:hAnsiTheme="minorHAnsi" w:cstheme="minorBidi"/>
          <w:noProof/>
          <w:sz w:val="22"/>
          <w:lang w:eastAsia="en-GB"/>
        </w:rPr>
      </w:pPr>
      <w:hyperlink w:anchor="_Toc12021015" w:history="1">
        <w:r w:rsidR="007E2F3C" w:rsidRPr="00604822">
          <w:rPr>
            <w:rStyle w:val="Hyperlink"/>
            <w:noProof/>
          </w:rPr>
          <w:t>European Agricultural Guarantee Fund</w:t>
        </w:r>
        <w:r w:rsidR="007E2F3C">
          <w:rPr>
            <w:noProof/>
            <w:webHidden/>
          </w:rPr>
          <w:tab/>
        </w:r>
        <w:r w:rsidR="007E2F3C">
          <w:rPr>
            <w:noProof/>
            <w:webHidden/>
          </w:rPr>
          <w:fldChar w:fldCharType="begin"/>
        </w:r>
        <w:r w:rsidR="007E2F3C">
          <w:rPr>
            <w:noProof/>
            <w:webHidden/>
          </w:rPr>
          <w:instrText xml:space="preserve"> PAGEREF _Toc12021015 \h </w:instrText>
        </w:r>
        <w:r w:rsidR="007E2F3C">
          <w:rPr>
            <w:noProof/>
            <w:webHidden/>
          </w:rPr>
        </w:r>
        <w:r w:rsidR="007E2F3C">
          <w:rPr>
            <w:noProof/>
            <w:webHidden/>
          </w:rPr>
          <w:fldChar w:fldCharType="separate"/>
        </w:r>
        <w:r w:rsidR="0083737D">
          <w:rPr>
            <w:noProof/>
            <w:webHidden/>
          </w:rPr>
          <w:t>82</w:t>
        </w:r>
        <w:r w:rsidR="007E2F3C">
          <w:rPr>
            <w:noProof/>
            <w:webHidden/>
          </w:rPr>
          <w:fldChar w:fldCharType="end"/>
        </w:r>
      </w:hyperlink>
    </w:p>
    <w:p w14:paraId="15216D32" w14:textId="373D3E8E" w:rsidR="007E2F3C" w:rsidRDefault="00903DF5">
      <w:pPr>
        <w:pStyle w:val="TOC1"/>
        <w:rPr>
          <w:rFonts w:asciiTheme="minorHAnsi" w:eastAsiaTheme="minorEastAsia" w:hAnsiTheme="minorHAnsi" w:cstheme="minorBidi"/>
          <w:noProof/>
          <w:sz w:val="22"/>
          <w:lang w:eastAsia="en-GB"/>
        </w:rPr>
      </w:pPr>
      <w:hyperlink w:anchor="_Toc12021016" w:history="1">
        <w:r w:rsidR="007E2F3C" w:rsidRPr="00604822">
          <w:rPr>
            <w:rStyle w:val="Hyperlink"/>
            <w:noProof/>
          </w:rPr>
          <w:t>European Agricultural Fund for Rural Development</w:t>
        </w:r>
        <w:r w:rsidR="007E2F3C">
          <w:rPr>
            <w:noProof/>
            <w:webHidden/>
          </w:rPr>
          <w:tab/>
        </w:r>
        <w:r w:rsidR="007E2F3C">
          <w:rPr>
            <w:noProof/>
            <w:webHidden/>
          </w:rPr>
          <w:fldChar w:fldCharType="begin"/>
        </w:r>
        <w:r w:rsidR="007E2F3C">
          <w:rPr>
            <w:noProof/>
            <w:webHidden/>
          </w:rPr>
          <w:instrText xml:space="preserve"> PAGEREF _Toc12021016 \h </w:instrText>
        </w:r>
        <w:r w:rsidR="007E2F3C">
          <w:rPr>
            <w:noProof/>
            <w:webHidden/>
          </w:rPr>
        </w:r>
        <w:r w:rsidR="007E2F3C">
          <w:rPr>
            <w:noProof/>
            <w:webHidden/>
          </w:rPr>
          <w:fldChar w:fldCharType="separate"/>
        </w:r>
        <w:r w:rsidR="0083737D">
          <w:rPr>
            <w:noProof/>
            <w:webHidden/>
          </w:rPr>
          <w:t>86</w:t>
        </w:r>
        <w:r w:rsidR="007E2F3C">
          <w:rPr>
            <w:noProof/>
            <w:webHidden/>
          </w:rPr>
          <w:fldChar w:fldCharType="end"/>
        </w:r>
      </w:hyperlink>
    </w:p>
    <w:p w14:paraId="3E66D6C8" w14:textId="21C792F0" w:rsidR="007E2F3C" w:rsidRDefault="00903DF5">
      <w:pPr>
        <w:pStyle w:val="TOC1"/>
        <w:rPr>
          <w:rFonts w:asciiTheme="minorHAnsi" w:eastAsiaTheme="minorEastAsia" w:hAnsiTheme="minorHAnsi" w:cstheme="minorBidi"/>
          <w:noProof/>
          <w:sz w:val="22"/>
          <w:lang w:eastAsia="en-GB"/>
        </w:rPr>
      </w:pPr>
      <w:hyperlink w:anchor="_Toc12021017" w:history="1">
        <w:r w:rsidR="007E2F3C" w:rsidRPr="00604822">
          <w:rPr>
            <w:rStyle w:val="Hyperlink"/>
            <w:noProof/>
          </w:rPr>
          <w:t>European Maritime and Fisheries Fund</w:t>
        </w:r>
        <w:r w:rsidR="007E2F3C">
          <w:rPr>
            <w:noProof/>
            <w:webHidden/>
          </w:rPr>
          <w:tab/>
        </w:r>
        <w:r w:rsidR="007E2F3C">
          <w:rPr>
            <w:noProof/>
            <w:webHidden/>
          </w:rPr>
          <w:fldChar w:fldCharType="begin"/>
        </w:r>
        <w:r w:rsidR="007E2F3C">
          <w:rPr>
            <w:noProof/>
            <w:webHidden/>
          </w:rPr>
          <w:instrText xml:space="preserve"> PAGEREF _Toc12021017 \h </w:instrText>
        </w:r>
        <w:r w:rsidR="007E2F3C">
          <w:rPr>
            <w:noProof/>
            <w:webHidden/>
          </w:rPr>
        </w:r>
        <w:r w:rsidR="007E2F3C">
          <w:rPr>
            <w:noProof/>
            <w:webHidden/>
          </w:rPr>
          <w:fldChar w:fldCharType="separate"/>
        </w:r>
        <w:r w:rsidR="0083737D">
          <w:rPr>
            <w:noProof/>
            <w:webHidden/>
          </w:rPr>
          <w:t>89</w:t>
        </w:r>
        <w:r w:rsidR="007E2F3C">
          <w:rPr>
            <w:noProof/>
            <w:webHidden/>
          </w:rPr>
          <w:fldChar w:fldCharType="end"/>
        </w:r>
      </w:hyperlink>
    </w:p>
    <w:p w14:paraId="0A4A894E" w14:textId="036FD5BB" w:rsidR="007E2F3C" w:rsidRDefault="00903DF5">
      <w:pPr>
        <w:pStyle w:val="TOC1"/>
        <w:rPr>
          <w:rFonts w:asciiTheme="minorHAnsi" w:eastAsiaTheme="minorEastAsia" w:hAnsiTheme="minorHAnsi" w:cstheme="minorBidi"/>
          <w:noProof/>
          <w:sz w:val="22"/>
          <w:lang w:eastAsia="en-GB"/>
        </w:rPr>
      </w:pPr>
      <w:hyperlink w:anchor="_Toc12021018" w:history="1">
        <w:r w:rsidR="007E2F3C" w:rsidRPr="00604822">
          <w:rPr>
            <w:rStyle w:val="Hyperlink"/>
            <w:noProof/>
          </w:rPr>
          <w:t>Regional fisheries management organisations and fisheries agreements</w:t>
        </w:r>
        <w:r w:rsidR="007E2F3C">
          <w:rPr>
            <w:noProof/>
            <w:webHidden/>
          </w:rPr>
          <w:tab/>
        </w:r>
        <w:r w:rsidR="007E2F3C">
          <w:rPr>
            <w:noProof/>
            <w:webHidden/>
          </w:rPr>
          <w:fldChar w:fldCharType="begin"/>
        </w:r>
        <w:r w:rsidR="007E2F3C">
          <w:rPr>
            <w:noProof/>
            <w:webHidden/>
          </w:rPr>
          <w:instrText xml:space="preserve"> PAGEREF _Toc12021018 \h </w:instrText>
        </w:r>
        <w:r w:rsidR="007E2F3C">
          <w:rPr>
            <w:noProof/>
            <w:webHidden/>
          </w:rPr>
        </w:r>
        <w:r w:rsidR="007E2F3C">
          <w:rPr>
            <w:noProof/>
            <w:webHidden/>
          </w:rPr>
          <w:fldChar w:fldCharType="separate"/>
        </w:r>
        <w:r w:rsidR="0083737D">
          <w:rPr>
            <w:noProof/>
            <w:webHidden/>
          </w:rPr>
          <w:t>92</w:t>
        </w:r>
        <w:r w:rsidR="007E2F3C">
          <w:rPr>
            <w:noProof/>
            <w:webHidden/>
          </w:rPr>
          <w:fldChar w:fldCharType="end"/>
        </w:r>
      </w:hyperlink>
    </w:p>
    <w:p w14:paraId="68823639" w14:textId="2A14290B" w:rsidR="007E2F3C" w:rsidRDefault="00903DF5">
      <w:pPr>
        <w:pStyle w:val="TOC1"/>
        <w:rPr>
          <w:rFonts w:asciiTheme="minorHAnsi" w:eastAsiaTheme="minorEastAsia" w:hAnsiTheme="minorHAnsi" w:cstheme="minorBidi"/>
          <w:noProof/>
          <w:sz w:val="22"/>
          <w:lang w:eastAsia="en-GB"/>
        </w:rPr>
      </w:pPr>
      <w:hyperlink w:anchor="_Toc12021019" w:history="1">
        <w:r w:rsidR="007E2F3C" w:rsidRPr="00604822">
          <w:rPr>
            <w:rStyle w:val="Hyperlink"/>
            <w:noProof/>
          </w:rPr>
          <w:t>LIFE — programme for the environment and climate action</w:t>
        </w:r>
        <w:r w:rsidR="007E2F3C">
          <w:rPr>
            <w:noProof/>
            <w:webHidden/>
          </w:rPr>
          <w:tab/>
        </w:r>
        <w:r w:rsidR="007E2F3C">
          <w:rPr>
            <w:noProof/>
            <w:webHidden/>
          </w:rPr>
          <w:fldChar w:fldCharType="begin"/>
        </w:r>
        <w:r w:rsidR="007E2F3C">
          <w:rPr>
            <w:noProof/>
            <w:webHidden/>
          </w:rPr>
          <w:instrText xml:space="preserve"> PAGEREF _Toc12021019 \h </w:instrText>
        </w:r>
        <w:r w:rsidR="007E2F3C">
          <w:rPr>
            <w:noProof/>
            <w:webHidden/>
          </w:rPr>
        </w:r>
        <w:r w:rsidR="007E2F3C">
          <w:rPr>
            <w:noProof/>
            <w:webHidden/>
          </w:rPr>
          <w:fldChar w:fldCharType="separate"/>
        </w:r>
        <w:r w:rsidR="0083737D">
          <w:rPr>
            <w:noProof/>
            <w:webHidden/>
          </w:rPr>
          <w:t>93</w:t>
        </w:r>
        <w:r w:rsidR="007E2F3C">
          <w:rPr>
            <w:noProof/>
            <w:webHidden/>
          </w:rPr>
          <w:fldChar w:fldCharType="end"/>
        </w:r>
      </w:hyperlink>
    </w:p>
    <w:p w14:paraId="66670E15" w14:textId="23AFCF6E" w:rsidR="007E2F3C" w:rsidRDefault="00903DF5">
      <w:pPr>
        <w:pStyle w:val="TOC1"/>
        <w:rPr>
          <w:rFonts w:asciiTheme="minorHAnsi" w:eastAsiaTheme="minorEastAsia" w:hAnsiTheme="minorHAnsi" w:cstheme="minorBidi"/>
          <w:noProof/>
          <w:sz w:val="22"/>
          <w:lang w:eastAsia="en-GB"/>
        </w:rPr>
      </w:pPr>
      <w:hyperlink w:anchor="_Toc12021020" w:history="1">
        <w:r w:rsidR="007E2F3C" w:rsidRPr="00604822">
          <w:rPr>
            <w:rStyle w:val="Hyperlink"/>
            <w:noProof/>
          </w:rPr>
          <w:t>Asylum, Migration and Integration Fund</w:t>
        </w:r>
        <w:r w:rsidR="007E2F3C">
          <w:rPr>
            <w:noProof/>
            <w:webHidden/>
          </w:rPr>
          <w:tab/>
        </w:r>
        <w:r w:rsidR="007E2F3C">
          <w:rPr>
            <w:noProof/>
            <w:webHidden/>
          </w:rPr>
          <w:fldChar w:fldCharType="begin"/>
        </w:r>
        <w:r w:rsidR="007E2F3C">
          <w:rPr>
            <w:noProof/>
            <w:webHidden/>
          </w:rPr>
          <w:instrText xml:space="preserve"> PAGEREF _Toc12021020 \h </w:instrText>
        </w:r>
        <w:r w:rsidR="007E2F3C">
          <w:rPr>
            <w:noProof/>
            <w:webHidden/>
          </w:rPr>
        </w:r>
        <w:r w:rsidR="007E2F3C">
          <w:rPr>
            <w:noProof/>
            <w:webHidden/>
          </w:rPr>
          <w:fldChar w:fldCharType="separate"/>
        </w:r>
        <w:r w:rsidR="0083737D">
          <w:rPr>
            <w:noProof/>
            <w:webHidden/>
          </w:rPr>
          <w:t>99</w:t>
        </w:r>
        <w:r w:rsidR="007E2F3C">
          <w:rPr>
            <w:noProof/>
            <w:webHidden/>
          </w:rPr>
          <w:fldChar w:fldCharType="end"/>
        </w:r>
      </w:hyperlink>
    </w:p>
    <w:p w14:paraId="1A94329E" w14:textId="1001CC85" w:rsidR="007E2F3C" w:rsidRDefault="00903DF5">
      <w:pPr>
        <w:pStyle w:val="TOC1"/>
        <w:rPr>
          <w:rFonts w:asciiTheme="minorHAnsi" w:eastAsiaTheme="minorEastAsia" w:hAnsiTheme="minorHAnsi" w:cstheme="minorBidi"/>
          <w:noProof/>
          <w:sz w:val="22"/>
          <w:lang w:eastAsia="en-GB"/>
        </w:rPr>
      </w:pPr>
      <w:hyperlink w:anchor="_Toc12021021" w:history="1">
        <w:r w:rsidR="007E2F3C" w:rsidRPr="00604822">
          <w:rPr>
            <w:rStyle w:val="Hyperlink"/>
            <w:noProof/>
          </w:rPr>
          <w:t>Internal Security Fund</w:t>
        </w:r>
        <w:r w:rsidR="007E2F3C">
          <w:rPr>
            <w:noProof/>
            <w:webHidden/>
          </w:rPr>
          <w:tab/>
        </w:r>
        <w:r w:rsidR="007E2F3C">
          <w:rPr>
            <w:noProof/>
            <w:webHidden/>
          </w:rPr>
          <w:fldChar w:fldCharType="begin"/>
        </w:r>
        <w:r w:rsidR="007E2F3C">
          <w:rPr>
            <w:noProof/>
            <w:webHidden/>
          </w:rPr>
          <w:instrText xml:space="preserve"> PAGEREF _Toc12021021 \h </w:instrText>
        </w:r>
        <w:r w:rsidR="007E2F3C">
          <w:rPr>
            <w:noProof/>
            <w:webHidden/>
          </w:rPr>
        </w:r>
        <w:r w:rsidR="007E2F3C">
          <w:rPr>
            <w:noProof/>
            <w:webHidden/>
          </w:rPr>
          <w:fldChar w:fldCharType="separate"/>
        </w:r>
        <w:r w:rsidR="0083737D">
          <w:rPr>
            <w:noProof/>
            <w:webHidden/>
          </w:rPr>
          <w:t>102</w:t>
        </w:r>
        <w:r w:rsidR="007E2F3C">
          <w:rPr>
            <w:noProof/>
            <w:webHidden/>
          </w:rPr>
          <w:fldChar w:fldCharType="end"/>
        </w:r>
      </w:hyperlink>
    </w:p>
    <w:p w14:paraId="42669BF5" w14:textId="0B728FA9" w:rsidR="007E2F3C" w:rsidRDefault="00903DF5">
      <w:pPr>
        <w:pStyle w:val="TOC1"/>
        <w:rPr>
          <w:rFonts w:asciiTheme="minorHAnsi" w:eastAsiaTheme="minorEastAsia" w:hAnsiTheme="minorHAnsi" w:cstheme="minorBidi"/>
          <w:noProof/>
          <w:sz w:val="22"/>
          <w:lang w:eastAsia="en-GB"/>
        </w:rPr>
      </w:pPr>
      <w:hyperlink w:anchor="_Toc12021022" w:history="1">
        <w:r w:rsidR="007E2F3C" w:rsidRPr="00604822">
          <w:rPr>
            <w:rStyle w:val="Hyperlink"/>
            <w:noProof/>
          </w:rPr>
          <w:t>Health programme</w:t>
        </w:r>
        <w:r w:rsidR="007E2F3C">
          <w:rPr>
            <w:noProof/>
            <w:webHidden/>
          </w:rPr>
          <w:tab/>
        </w:r>
        <w:r w:rsidR="007E2F3C">
          <w:rPr>
            <w:noProof/>
            <w:webHidden/>
          </w:rPr>
          <w:fldChar w:fldCharType="begin"/>
        </w:r>
        <w:r w:rsidR="007E2F3C">
          <w:rPr>
            <w:noProof/>
            <w:webHidden/>
          </w:rPr>
          <w:instrText xml:space="preserve"> PAGEREF _Toc12021022 \h </w:instrText>
        </w:r>
        <w:r w:rsidR="007E2F3C">
          <w:rPr>
            <w:noProof/>
            <w:webHidden/>
          </w:rPr>
        </w:r>
        <w:r w:rsidR="007E2F3C">
          <w:rPr>
            <w:noProof/>
            <w:webHidden/>
          </w:rPr>
          <w:fldChar w:fldCharType="separate"/>
        </w:r>
        <w:r w:rsidR="0083737D">
          <w:rPr>
            <w:noProof/>
            <w:webHidden/>
          </w:rPr>
          <w:t>105</w:t>
        </w:r>
        <w:r w:rsidR="007E2F3C">
          <w:rPr>
            <w:noProof/>
            <w:webHidden/>
          </w:rPr>
          <w:fldChar w:fldCharType="end"/>
        </w:r>
      </w:hyperlink>
    </w:p>
    <w:p w14:paraId="7579E78F" w14:textId="650917DC" w:rsidR="007E2F3C" w:rsidRDefault="00903DF5">
      <w:pPr>
        <w:pStyle w:val="TOC1"/>
        <w:rPr>
          <w:rFonts w:asciiTheme="minorHAnsi" w:eastAsiaTheme="minorEastAsia" w:hAnsiTheme="minorHAnsi" w:cstheme="minorBidi"/>
          <w:noProof/>
          <w:sz w:val="22"/>
          <w:lang w:eastAsia="en-GB"/>
        </w:rPr>
      </w:pPr>
      <w:hyperlink w:anchor="_Toc12021023" w:history="1">
        <w:r w:rsidR="007E2F3C" w:rsidRPr="00604822">
          <w:rPr>
            <w:rStyle w:val="Hyperlink"/>
            <w:noProof/>
          </w:rPr>
          <w:t>Food and feed</w:t>
        </w:r>
        <w:r w:rsidR="007E2F3C">
          <w:rPr>
            <w:noProof/>
            <w:webHidden/>
          </w:rPr>
          <w:tab/>
        </w:r>
        <w:r w:rsidR="007E2F3C">
          <w:rPr>
            <w:noProof/>
            <w:webHidden/>
          </w:rPr>
          <w:fldChar w:fldCharType="begin"/>
        </w:r>
        <w:r w:rsidR="007E2F3C">
          <w:rPr>
            <w:noProof/>
            <w:webHidden/>
          </w:rPr>
          <w:instrText xml:space="preserve"> PAGEREF _Toc12021023 \h </w:instrText>
        </w:r>
        <w:r w:rsidR="007E2F3C">
          <w:rPr>
            <w:noProof/>
            <w:webHidden/>
          </w:rPr>
        </w:r>
        <w:r w:rsidR="007E2F3C">
          <w:rPr>
            <w:noProof/>
            <w:webHidden/>
          </w:rPr>
          <w:fldChar w:fldCharType="separate"/>
        </w:r>
        <w:r w:rsidR="0083737D">
          <w:rPr>
            <w:noProof/>
            <w:webHidden/>
          </w:rPr>
          <w:t>107</w:t>
        </w:r>
        <w:r w:rsidR="007E2F3C">
          <w:rPr>
            <w:noProof/>
            <w:webHidden/>
          </w:rPr>
          <w:fldChar w:fldCharType="end"/>
        </w:r>
      </w:hyperlink>
    </w:p>
    <w:p w14:paraId="60B545D2" w14:textId="3BDA7B7B" w:rsidR="007E2F3C" w:rsidRDefault="00903DF5">
      <w:pPr>
        <w:pStyle w:val="TOC1"/>
        <w:rPr>
          <w:rFonts w:asciiTheme="minorHAnsi" w:eastAsiaTheme="minorEastAsia" w:hAnsiTheme="minorHAnsi" w:cstheme="minorBidi"/>
          <w:noProof/>
          <w:sz w:val="22"/>
          <w:lang w:eastAsia="en-GB"/>
        </w:rPr>
      </w:pPr>
      <w:hyperlink w:anchor="_Toc12021024" w:history="1">
        <w:r w:rsidR="007E2F3C" w:rsidRPr="00604822">
          <w:rPr>
            <w:rStyle w:val="Hyperlink"/>
            <w:noProof/>
          </w:rPr>
          <w:t>Consumer Programme</w:t>
        </w:r>
        <w:r w:rsidR="007E2F3C">
          <w:rPr>
            <w:noProof/>
            <w:webHidden/>
          </w:rPr>
          <w:tab/>
        </w:r>
        <w:r w:rsidR="007E2F3C">
          <w:rPr>
            <w:noProof/>
            <w:webHidden/>
          </w:rPr>
          <w:fldChar w:fldCharType="begin"/>
        </w:r>
        <w:r w:rsidR="007E2F3C">
          <w:rPr>
            <w:noProof/>
            <w:webHidden/>
          </w:rPr>
          <w:instrText xml:space="preserve"> PAGEREF _Toc12021024 \h </w:instrText>
        </w:r>
        <w:r w:rsidR="007E2F3C">
          <w:rPr>
            <w:noProof/>
            <w:webHidden/>
          </w:rPr>
        </w:r>
        <w:r w:rsidR="007E2F3C">
          <w:rPr>
            <w:noProof/>
            <w:webHidden/>
          </w:rPr>
          <w:fldChar w:fldCharType="separate"/>
        </w:r>
        <w:r w:rsidR="0083737D">
          <w:rPr>
            <w:noProof/>
            <w:webHidden/>
          </w:rPr>
          <w:t>108</w:t>
        </w:r>
        <w:r w:rsidR="007E2F3C">
          <w:rPr>
            <w:noProof/>
            <w:webHidden/>
          </w:rPr>
          <w:fldChar w:fldCharType="end"/>
        </w:r>
      </w:hyperlink>
    </w:p>
    <w:p w14:paraId="25446048" w14:textId="2C3C99A3" w:rsidR="007E2F3C" w:rsidRDefault="00903DF5">
      <w:pPr>
        <w:pStyle w:val="TOC1"/>
        <w:rPr>
          <w:rFonts w:asciiTheme="minorHAnsi" w:eastAsiaTheme="minorEastAsia" w:hAnsiTheme="minorHAnsi" w:cstheme="minorBidi"/>
          <w:noProof/>
          <w:sz w:val="22"/>
          <w:lang w:eastAsia="en-GB"/>
        </w:rPr>
      </w:pPr>
      <w:hyperlink w:anchor="_Toc12021025" w:history="1">
        <w:r w:rsidR="007E2F3C" w:rsidRPr="00604822">
          <w:rPr>
            <w:rStyle w:val="Hyperlink"/>
            <w:noProof/>
          </w:rPr>
          <w:t>Creative Europe</w:t>
        </w:r>
        <w:r w:rsidR="007E2F3C">
          <w:rPr>
            <w:noProof/>
            <w:webHidden/>
          </w:rPr>
          <w:tab/>
        </w:r>
        <w:r w:rsidR="007E2F3C">
          <w:rPr>
            <w:noProof/>
            <w:webHidden/>
          </w:rPr>
          <w:fldChar w:fldCharType="begin"/>
        </w:r>
        <w:r w:rsidR="007E2F3C">
          <w:rPr>
            <w:noProof/>
            <w:webHidden/>
          </w:rPr>
          <w:instrText xml:space="preserve"> PAGEREF _Toc12021025 \h </w:instrText>
        </w:r>
        <w:r w:rsidR="007E2F3C">
          <w:rPr>
            <w:noProof/>
            <w:webHidden/>
          </w:rPr>
        </w:r>
        <w:r w:rsidR="007E2F3C">
          <w:rPr>
            <w:noProof/>
            <w:webHidden/>
          </w:rPr>
          <w:fldChar w:fldCharType="separate"/>
        </w:r>
        <w:r w:rsidR="0083737D">
          <w:rPr>
            <w:noProof/>
            <w:webHidden/>
          </w:rPr>
          <w:t>109</w:t>
        </w:r>
        <w:r w:rsidR="007E2F3C">
          <w:rPr>
            <w:noProof/>
            <w:webHidden/>
          </w:rPr>
          <w:fldChar w:fldCharType="end"/>
        </w:r>
      </w:hyperlink>
    </w:p>
    <w:p w14:paraId="4B2E7F93" w14:textId="7C47C4AF" w:rsidR="007E2F3C" w:rsidRDefault="00903DF5">
      <w:pPr>
        <w:pStyle w:val="TOC1"/>
        <w:rPr>
          <w:rFonts w:asciiTheme="minorHAnsi" w:eastAsiaTheme="minorEastAsia" w:hAnsiTheme="minorHAnsi" w:cstheme="minorBidi"/>
          <w:noProof/>
          <w:sz w:val="22"/>
          <w:lang w:eastAsia="en-GB"/>
        </w:rPr>
      </w:pPr>
      <w:hyperlink w:anchor="_Toc12021026" w:history="1">
        <w:r w:rsidR="007E2F3C" w:rsidRPr="00604822">
          <w:rPr>
            <w:rStyle w:val="Hyperlink"/>
            <w:noProof/>
          </w:rPr>
          <w:t>Rights, equality and citizenship programme</w:t>
        </w:r>
        <w:r w:rsidR="007E2F3C">
          <w:rPr>
            <w:noProof/>
            <w:webHidden/>
          </w:rPr>
          <w:tab/>
        </w:r>
        <w:r w:rsidR="007E2F3C">
          <w:rPr>
            <w:noProof/>
            <w:webHidden/>
          </w:rPr>
          <w:fldChar w:fldCharType="begin"/>
        </w:r>
        <w:r w:rsidR="007E2F3C">
          <w:rPr>
            <w:noProof/>
            <w:webHidden/>
          </w:rPr>
          <w:instrText xml:space="preserve"> PAGEREF _Toc12021026 \h </w:instrText>
        </w:r>
        <w:r w:rsidR="007E2F3C">
          <w:rPr>
            <w:noProof/>
            <w:webHidden/>
          </w:rPr>
        </w:r>
        <w:r w:rsidR="007E2F3C">
          <w:rPr>
            <w:noProof/>
            <w:webHidden/>
          </w:rPr>
          <w:fldChar w:fldCharType="separate"/>
        </w:r>
        <w:r w:rsidR="0083737D">
          <w:rPr>
            <w:noProof/>
            <w:webHidden/>
          </w:rPr>
          <w:t>111</w:t>
        </w:r>
        <w:r w:rsidR="007E2F3C">
          <w:rPr>
            <w:noProof/>
            <w:webHidden/>
          </w:rPr>
          <w:fldChar w:fldCharType="end"/>
        </w:r>
      </w:hyperlink>
    </w:p>
    <w:p w14:paraId="51E106F0" w14:textId="11218214" w:rsidR="007E2F3C" w:rsidRDefault="00903DF5">
      <w:pPr>
        <w:pStyle w:val="TOC1"/>
        <w:rPr>
          <w:rFonts w:asciiTheme="minorHAnsi" w:eastAsiaTheme="minorEastAsia" w:hAnsiTheme="minorHAnsi" w:cstheme="minorBidi"/>
          <w:noProof/>
          <w:sz w:val="22"/>
          <w:lang w:eastAsia="en-GB"/>
        </w:rPr>
      </w:pPr>
      <w:hyperlink w:anchor="_Toc12021027" w:history="1">
        <w:r w:rsidR="007E2F3C" w:rsidRPr="00604822">
          <w:rPr>
            <w:rStyle w:val="Hyperlink"/>
            <w:noProof/>
          </w:rPr>
          <w:t>Justice programme</w:t>
        </w:r>
        <w:r w:rsidR="007E2F3C">
          <w:rPr>
            <w:noProof/>
            <w:webHidden/>
          </w:rPr>
          <w:tab/>
        </w:r>
        <w:r w:rsidR="007E2F3C">
          <w:rPr>
            <w:noProof/>
            <w:webHidden/>
          </w:rPr>
          <w:fldChar w:fldCharType="begin"/>
        </w:r>
        <w:r w:rsidR="007E2F3C">
          <w:rPr>
            <w:noProof/>
            <w:webHidden/>
          </w:rPr>
          <w:instrText xml:space="preserve"> PAGEREF _Toc12021027 \h </w:instrText>
        </w:r>
        <w:r w:rsidR="007E2F3C">
          <w:rPr>
            <w:noProof/>
            <w:webHidden/>
          </w:rPr>
        </w:r>
        <w:r w:rsidR="007E2F3C">
          <w:rPr>
            <w:noProof/>
            <w:webHidden/>
          </w:rPr>
          <w:fldChar w:fldCharType="separate"/>
        </w:r>
        <w:r w:rsidR="0083737D">
          <w:rPr>
            <w:noProof/>
            <w:webHidden/>
          </w:rPr>
          <w:t>112</w:t>
        </w:r>
        <w:r w:rsidR="007E2F3C">
          <w:rPr>
            <w:noProof/>
            <w:webHidden/>
          </w:rPr>
          <w:fldChar w:fldCharType="end"/>
        </w:r>
      </w:hyperlink>
    </w:p>
    <w:p w14:paraId="40D40B8A" w14:textId="2DFE0C7E" w:rsidR="007E2F3C" w:rsidRDefault="00903DF5">
      <w:pPr>
        <w:pStyle w:val="TOC1"/>
        <w:rPr>
          <w:rFonts w:asciiTheme="minorHAnsi" w:eastAsiaTheme="minorEastAsia" w:hAnsiTheme="minorHAnsi" w:cstheme="minorBidi"/>
          <w:noProof/>
          <w:sz w:val="22"/>
          <w:lang w:eastAsia="en-GB"/>
        </w:rPr>
      </w:pPr>
      <w:hyperlink w:anchor="_Toc12021028" w:history="1">
        <w:r w:rsidR="007E2F3C" w:rsidRPr="00604822">
          <w:rPr>
            <w:rStyle w:val="Hyperlink"/>
            <w:noProof/>
          </w:rPr>
          <w:t>Europe for Citizens Programme</w:t>
        </w:r>
        <w:r w:rsidR="007E2F3C">
          <w:rPr>
            <w:noProof/>
            <w:webHidden/>
          </w:rPr>
          <w:tab/>
        </w:r>
        <w:r w:rsidR="007E2F3C">
          <w:rPr>
            <w:noProof/>
            <w:webHidden/>
          </w:rPr>
          <w:fldChar w:fldCharType="begin"/>
        </w:r>
        <w:r w:rsidR="007E2F3C">
          <w:rPr>
            <w:noProof/>
            <w:webHidden/>
          </w:rPr>
          <w:instrText xml:space="preserve"> PAGEREF _Toc12021028 \h </w:instrText>
        </w:r>
        <w:r w:rsidR="007E2F3C">
          <w:rPr>
            <w:noProof/>
            <w:webHidden/>
          </w:rPr>
        </w:r>
        <w:r w:rsidR="007E2F3C">
          <w:rPr>
            <w:noProof/>
            <w:webHidden/>
          </w:rPr>
          <w:fldChar w:fldCharType="separate"/>
        </w:r>
        <w:r w:rsidR="0083737D">
          <w:rPr>
            <w:noProof/>
            <w:webHidden/>
          </w:rPr>
          <w:t>113</w:t>
        </w:r>
        <w:r w:rsidR="007E2F3C">
          <w:rPr>
            <w:noProof/>
            <w:webHidden/>
          </w:rPr>
          <w:fldChar w:fldCharType="end"/>
        </w:r>
      </w:hyperlink>
    </w:p>
    <w:p w14:paraId="21CB8B9F" w14:textId="69DF072A" w:rsidR="007E2F3C" w:rsidRDefault="00903DF5">
      <w:pPr>
        <w:pStyle w:val="TOC1"/>
        <w:rPr>
          <w:rFonts w:asciiTheme="minorHAnsi" w:eastAsiaTheme="minorEastAsia" w:hAnsiTheme="minorHAnsi" w:cstheme="minorBidi"/>
          <w:noProof/>
          <w:sz w:val="22"/>
          <w:lang w:eastAsia="en-GB"/>
        </w:rPr>
      </w:pPr>
      <w:hyperlink w:anchor="_Toc12021029" w:history="1">
        <w:r w:rsidR="007E2F3C" w:rsidRPr="00604822">
          <w:rPr>
            <w:rStyle w:val="Hyperlink"/>
            <w:noProof/>
          </w:rPr>
          <w:t>EU Civil Protection Mechanism</w:t>
        </w:r>
        <w:r w:rsidR="007E2F3C">
          <w:rPr>
            <w:noProof/>
            <w:webHidden/>
          </w:rPr>
          <w:tab/>
        </w:r>
        <w:r w:rsidR="007E2F3C">
          <w:rPr>
            <w:noProof/>
            <w:webHidden/>
          </w:rPr>
          <w:fldChar w:fldCharType="begin"/>
        </w:r>
        <w:r w:rsidR="007E2F3C">
          <w:rPr>
            <w:noProof/>
            <w:webHidden/>
          </w:rPr>
          <w:instrText xml:space="preserve"> PAGEREF _Toc12021029 \h </w:instrText>
        </w:r>
        <w:r w:rsidR="007E2F3C">
          <w:rPr>
            <w:noProof/>
            <w:webHidden/>
          </w:rPr>
        </w:r>
        <w:r w:rsidR="007E2F3C">
          <w:rPr>
            <w:noProof/>
            <w:webHidden/>
          </w:rPr>
          <w:fldChar w:fldCharType="separate"/>
        </w:r>
        <w:r w:rsidR="0083737D">
          <w:rPr>
            <w:noProof/>
            <w:webHidden/>
          </w:rPr>
          <w:t>114</w:t>
        </w:r>
        <w:r w:rsidR="007E2F3C">
          <w:rPr>
            <w:noProof/>
            <w:webHidden/>
          </w:rPr>
          <w:fldChar w:fldCharType="end"/>
        </w:r>
      </w:hyperlink>
    </w:p>
    <w:p w14:paraId="18B8081D" w14:textId="1747A3A2" w:rsidR="007E2F3C" w:rsidRDefault="00903DF5">
      <w:pPr>
        <w:pStyle w:val="TOC1"/>
        <w:rPr>
          <w:rFonts w:asciiTheme="minorHAnsi" w:eastAsiaTheme="minorEastAsia" w:hAnsiTheme="minorHAnsi" w:cstheme="minorBidi"/>
          <w:noProof/>
          <w:sz w:val="22"/>
          <w:lang w:eastAsia="en-GB"/>
        </w:rPr>
      </w:pPr>
      <w:hyperlink w:anchor="_Toc12021030" w:history="1">
        <w:r w:rsidR="007E2F3C" w:rsidRPr="00604822">
          <w:rPr>
            <w:rStyle w:val="Hyperlink"/>
            <w:noProof/>
          </w:rPr>
          <w:t>Instrument for Pre-Accession Assistance</w:t>
        </w:r>
        <w:r w:rsidR="007E2F3C">
          <w:rPr>
            <w:noProof/>
            <w:webHidden/>
          </w:rPr>
          <w:tab/>
        </w:r>
        <w:r w:rsidR="007E2F3C">
          <w:rPr>
            <w:noProof/>
            <w:webHidden/>
          </w:rPr>
          <w:fldChar w:fldCharType="begin"/>
        </w:r>
        <w:r w:rsidR="007E2F3C">
          <w:rPr>
            <w:noProof/>
            <w:webHidden/>
          </w:rPr>
          <w:instrText xml:space="preserve"> PAGEREF _Toc12021030 \h </w:instrText>
        </w:r>
        <w:r w:rsidR="007E2F3C">
          <w:rPr>
            <w:noProof/>
            <w:webHidden/>
          </w:rPr>
        </w:r>
        <w:r w:rsidR="007E2F3C">
          <w:rPr>
            <w:noProof/>
            <w:webHidden/>
          </w:rPr>
          <w:fldChar w:fldCharType="separate"/>
        </w:r>
        <w:r w:rsidR="0083737D">
          <w:rPr>
            <w:noProof/>
            <w:webHidden/>
          </w:rPr>
          <w:t>117</w:t>
        </w:r>
        <w:r w:rsidR="007E2F3C">
          <w:rPr>
            <w:noProof/>
            <w:webHidden/>
          </w:rPr>
          <w:fldChar w:fldCharType="end"/>
        </w:r>
      </w:hyperlink>
    </w:p>
    <w:p w14:paraId="671C0099" w14:textId="40E8E557" w:rsidR="007E2F3C" w:rsidRDefault="00903DF5">
      <w:pPr>
        <w:pStyle w:val="TOC1"/>
        <w:rPr>
          <w:rFonts w:asciiTheme="minorHAnsi" w:eastAsiaTheme="minorEastAsia" w:hAnsiTheme="minorHAnsi" w:cstheme="minorBidi"/>
          <w:noProof/>
          <w:sz w:val="22"/>
          <w:lang w:eastAsia="en-GB"/>
        </w:rPr>
      </w:pPr>
      <w:hyperlink w:anchor="_Toc12021031" w:history="1">
        <w:r w:rsidR="007E2F3C" w:rsidRPr="00604822">
          <w:rPr>
            <w:rStyle w:val="Hyperlink"/>
            <w:noProof/>
          </w:rPr>
          <w:t>European Neighbourhood Instrument</w:t>
        </w:r>
        <w:r w:rsidR="007E2F3C">
          <w:rPr>
            <w:noProof/>
            <w:webHidden/>
          </w:rPr>
          <w:tab/>
        </w:r>
        <w:r w:rsidR="007E2F3C">
          <w:rPr>
            <w:noProof/>
            <w:webHidden/>
          </w:rPr>
          <w:fldChar w:fldCharType="begin"/>
        </w:r>
        <w:r w:rsidR="007E2F3C">
          <w:rPr>
            <w:noProof/>
            <w:webHidden/>
          </w:rPr>
          <w:instrText xml:space="preserve"> PAGEREF _Toc12021031 \h </w:instrText>
        </w:r>
        <w:r w:rsidR="007E2F3C">
          <w:rPr>
            <w:noProof/>
            <w:webHidden/>
          </w:rPr>
        </w:r>
        <w:r w:rsidR="007E2F3C">
          <w:rPr>
            <w:noProof/>
            <w:webHidden/>
          </w:rPr>
          <w:fldChar w:fldCharType="separate"/>
        </w:r>
        <w:r w:rsidR="0083737D">
          <w:rPr>
            <w:noProof/>
            <w:webHidden/>
          </w:rPr>
          <w:t>120</w:t>
        </w:r>
        <w:r w:rsidR="007E2F3C">
          <w:rPr>
            <w:noProof/>
            <w:webHidden/>
          </w:rPr>
          <w:fldChar w:fldCharType="end"/>
        </w:r>
      </w:hyperlink>
    </w:p>
    <w:p w14:paraId="384FD309" w14:textId="55904ED6" w:rsidR="007E2F3C" w:rsidRDefault="00903DF5">
      <w:pPr>
        <w:pStyle w:val="TOC1"/>
        <w:rPr>
          <w:rFonts w:asciiTheme="minorHAnsi" w:eastAsiaTheme="minorEastAsia" w:hAnsiTheme="minorHAnsi" w:cstheme="minorBidi"/>
          <w:noProof/>
          <w:sz w:val="22"/>
          <w:lang w:eastAsia="en-GB"/>
        </w:rPr>
      </w:pPr>
      <w:hyperlink w:anchor="_Toc12021032" w:history="1">
        <w:r w:rsidR="007E2F3C" w:rsidRPr="00604822">
          <w:rPr>
            <w:rStyle w:val="Hyperlink"/>
            <w:noProof/>
          </w:rPr>
          <w:t>Development Cooperation Instrument (DCI)</w:t>
        </w:r>
        <w:r w:rsidR="007E2F3C">
          <w:rPr>
            <w:noProof/>
            <w:webHidden/>
          </w:rPr>
          <w:tab/>
        </w:r>
        <w:r w:rsidR="007E2F3C">
          <w:rPr>
            <w:noProof/>
            <w:webHidden/>
          </w:rPr>
          <w:fldChar w:fldCharType="begin"/>
        </w:r>
        <w:r w:rsidR="007E2F3C">
          <w:rPr>
            <w:noProof/>
            <w:webHidden/>
          </w:rPr>
          <w:instrText xml:space="preserve"> PAGEREF _Toc12021032 \h </w:instrText>
        </w:r>
        <w:r w:rsidR="007E2F3C">
          <w:rPr>
            <w:noProof/>
            <w:webHidden/>
          </w:rPr>
        </w:r>
        <w:r w:rsidR="007E2F3C">
          <w:rPr>
            <w:noProof/>
            <w:webHidden/>
          </w:rPr>
          <w:fldChar w:fldCharType="separate"/>
        </w:r>
        <w:r w:rsidR="0083737D">
          <w:rPr>
            <w:noProof/>
            <w:webHidden/>
          </w:rPr>
          <w:t>123</w:t>
        </w:r>
        <w:r w:rsidR="007E2F3C">
          <w:rPr>
            <w:noProof/>
            <w:webHidden/>
          </w:rPr>
          <w:fldChar w:fldCharType="end"/>
        </w:r>
      </w:hyperlink>
    </w:p>
    <w:p w14:paraId="695FD7DC" w14:textId="0E35A317" w:rsidR="007E2F3C" w:rsidRDefault="00903DF5">
      <w:pPr>
        <w:pStyle w:val="TOC1"/>
        <w:rPr>
          <w:rFonts w:asciiTheme="minorHAnsi" w:eastAsiaTheme="minorEastAsia" w:hAnsiTheme="minorHAnsi" w:cstheme="minorBidi"/>
          <w:noProof/>
          <w:sz w:val="22"/>
          <w:lang w:eastAsia="en-GB"/>
        </w:rPr>
      </w:pPr>
      <w:hyperlink w:anchor="_Toc12021033" w:history="1">
        <w:r w:rsidR="007E2F3C" w:rsidRPr="00604822">
          <w:rPr>
            <w:rStyle w:val="Hyperlink"/>
            <w:noProof/>
          </w:rPr>
          <w:t>European Fund for Sustainable Development (EFSD)</w:t>
        </w:r>
        <w:r w:rsidR="007E2F3C">
          <w:rPr>
            <w:noProof/>
            <w:webHidden/>
          </w:rPr>
          <w:tab/>
        </w:r>
        <w:r w:rsidR="007E2F3C">
          <w:rPr>
            <w:noProof/>
            <w:webHidden/>
          </w:rPr>
          <w:fldChar w:fldCharType="begin"/>
        </w:r>
        <w:r w:rsidR="007E2F3C">
          <w:rPr>
            <w:noProof/>
            <w:webHidden/>
          </w:rPr>
          <w:instrText xml:space="preserve"> PAGEREF _Toc12021033 \h </w:instrText>
        </w:r>
        <w:r w:rsidR="007E2F3C">
          <w:rPr>
            <w:noProof/>
            <w:webHidden/>
          </w:rPr>
        </w:r>
        <w:r w:rsidR="007E2F3C">
          <w:rPr>
            <w:noProof/>
            <w:webHidden/>
          </w:rPr>
          <w:fldChar w:fldCharType="separate"/>
        </w:r>
        <w:r w:rsidR="0083737D">
          <w:rPr>
            <w:noProof/>
            <w:webHidden/>
          </w:rPr>
          <w:t>126</w:t>
        </w:r>
        <w:r w:rsidR="007E2F3C">
          <w:rPr>
            <w:noProof/>
            <w:webHidden/>
          </w:rPr>
          <w:fldChar w:fldCharType="end"/>
        </w:r>
      </w:hyperlink>
    </w:p>
    <w:p w14:paraId="1CE8F9BA" w14:textId="5396C02B" w:rsidR="007E2F3C" w:rsidRDefault="00903DF5">
      <w:pPr>
        <w:pStyle w:val="TOC1"/>
        <w:rPr>
          <w:rFonts w:asciiTheme="minorHAnsi" w:eastAsiaTheme="minorEastAsia" w:hAnsiTheme="minorHAnsi" w:cstheme="minorBidi"/>
          <w:noProof/>
          <w:sz w:val="22"/>
          <w:lang w:eastAsia="en-GB"/>
        </w:rPr>
      </w:pPr>
      <w:hyperlink w:anchor="_Toc12021034" w:history="1">
        <w:r w:rsidR="007E2F3C" w:rsidRPr="00604822">
          <w:rPr>
            <w:rStyle w:val="Hyperlink"/>
            <w:noProof/>
          </w:rPr>
          <w:t>EU humanitarian-aid programme</w:t>
        </w:r>
        <w:r w:rsidR="007E2F3C">
          <w:rPr>
            <w:noProof/>
            <w:webHidden/>
          </w:rPr>
          <w:tab/>
        </w:r>
        <w:r w:rsidR="007E2F3C">
          <w:rPr>
            <w:noProof/>
            <w:webHidden/>
          </w:rPr>
          <w:fldChar w:fldCharType="begin"/>
        </w:r>
        <w:r w:rsidR="007E2F3C">
          <w:rPr>
            <w:noProof/>
            <w:webHidden/>
          </w:rPr>
          <w:instrText xml:space="preserve"> PAGEREF _Toc12021034 \h </w:instrText>
        </w:r>
        <w:r w:rsidR="007E2F3C">
          <w:rPr>
            <w:noProof/>
            <w:webHidden/>
          </w:rPr>
        </w:r>
        <w:r w:rsidR="007E2F3C">
          <w:rPr>
            <w:noProof/>
            <w:webHidden/>
          </w:rPr>
          <w:fldChar w:fldCharType="separate"/>
        </w:r>
        <w:r w:rsidR="0083737D">
          <w:rPr>
            <w:noProof/>
            <w:webHidden/>
          </w:rPr>
          <w:t>127</w:t>
        </w:r>
        <w:r w:rsidR="007E2F3C">
          <w:rPr>
            <w:noProof/>
            <w:webHidden/>
          </w:rPr>
          <w:fldChar w:fldCharType="end"/>
        </w:r>
      </w:hyperlink>
    </w:p>
    <w:p w14:paraId="30C11024" w14:textId="429648B8" w:rsidR="007E2F3C" w:rsidRDefault="00903DF5">
      <w:pPr>
        <w:pStyle w:val="TOC1"/>
        <w:rPr>
          <w:rFonts w:asciiTheme="minorHAnsi" w:eastAsiaTheme="minorEastAsia" w:hAnsiTheme="minorHAnsi" w:cstheme="minorBidi"/>
          <w:noProof/>
          <w:sz w:val="22"/>
          <w:lang w:eastAsia="en-GB"/>
        </w:rPr>
      </w:pPr>
      <w:hyperlink w:anchor="_Toc12021035" w:history="1">
        <w:r w:rsidR="007E2F3C" w:rsidRPr="00604822">
          <w:rPr>
            <w:rStyle w:val="Hyperlink"/>
            <w:noProof/>
          </w:rPr>
          <w:t>EU aid volunteers initiative</w:t>
        </w:r>
        <w:r w:rsidR="007E2F3C">
          <w:rPr>
            <w:noProof/>
            <w:webHidden/>
          </w:rPr>
          <w:tab/>
        </w:r>
        <w:r w:rsidR="007E2F3C">
          <w:rPr>
            <w:noProof/>
            <w:webHidden/>
          </w:rPr>
          <w:fldChar w:fldCharType="begin"/>
        </w:r>
        <w:r w:rsidR="007E2F3C">
          <w:rPr>
            <w:noProof/>
            <w:webHidden/>
          </w:rPr>
          <w:instrText xml:space="preserve"> PAGEREF _Toc12021035 \h </w:instrText>
        </w:r>
        <w:r w:rsidR="007E2F3C">
          <w:rPr>
            <w:noProof/>
            <w:webHidden/>
          </w:rPr>
        </w:r>
        <w:r w:rsidR="007E2F3C">
          <w:rPr>
            <w:noProof/>
            <w:webHidden/>
          </w:rPr>
          <w:fldChar w:fldCharType="separate"/>
        </w:r>
        <w:r w:rsidR="0083737D">
          <w:rPr>
            <w:noProof/>
            <w:webHidden/>
          </w:rPr>
          <w:t>129</w:t>
        </w:r>
        <w:r w:rsidR="007E2F3C">
          <w:rPr>
            <w:noProof/>
            <w:webHidden/>
          </w:rPr>
          <w:fldChar w:fldCharType="end"/>
        </w:r>
      </w:hyperlink>
    </w:p>
    <w:p w14:paraId="7994F810" w14:textId="6C1C510E" w:rsidR="007E2F3C" w:rsidRDefault="00903DF5">
      <w:pPr>
        <w:pStyle w:val="TOC1"/>
        <w:rPr>
          <w:rFonts w:asciiTheme="minorHAnsi" w:eastAsiaTheme="minorEastAsia" w:hAnsiTheme="minorHAnsi" w:cstheme="minorBidi"/>
          <w:noProof/>
          <w:sz w:val="22"/>
          <w:lang w:eastAsia="en-GB"/>
        </w:rPr>
      </w:pPr>
      <w:hyperlink w:anchor="_Toc12021036" w:history="1">
        <w:r w:rsidR="007E2F3C" w:rsidRPr="00604822">
          <w:rPr>
            <w:rStyle w:val="Hyperlink"/>
            <w:noProof/>
          </w:rPr>
          <w:t>European Instrument for Democracy and Human Rights</w:t>
        </w:r>
        <w:r w:rsidR="007E2F3C">
          <w:rPr>
            <w:noProof/>
            <w:webHidden/>
          </w:rPr>
          <w:tab/>
        </w:r>
        <w:r w:rsidR="007E2F3C">
          <w:rPr>
            <w:noProof/>
            <w:webHidden/>
          </w:rPr>
          <w:fldChar w:fldCharType="begin"/>
        </w:r>
        <w:r w:rsidR="007E2F3C">
          <w:rPr>
            <w:noProof/>
            <w:webHidden/>
          </w:rPr>
          <w:instrText xml:space="preserve"> PAGEREF _Toc12021036 \h </w:instrText>
        </w:r>
        <w:r w:rsidR="007E2F3C">
          <w:rPr>
            <w:noProof/>
            <w:webHidden/>
          </w:rPr>
        </w:r>
        <w:r w:rsidR="007E2F3C">
          <w:rPr>
            <w:noProof/>
            <w:webHidden/>
          </w:rPr>
          <w:fldChar w:fldCharType="separate"/>
        </w:r>
        <w:r w:rsidR="0083737D">
          <w:rPr>
            <w:noProof/>
            <w:webHidden/>
          </w:rPr>
          <w:t>129</w:t>
        </w:r>
        <w:r w:rsidR="007E2F3C">
          <w:rPr>
            <w:noProof/>
            <w:webHidden/>
          </w:rPr>
          <w:fldChar w:fldCharType="end"/>
        </w:r>
      </w:hyperlink>
    </w:p>
    <w:p w14:paraId="62FD667C" w14:textId="01CDEE98" w:rsidR="007E2F3C" w:rsidRDefault="00903DF5">
      <w:pPr>
        <w:pStyle w:val="TOC1"/>
        <w:rPr>
          <w:rFonts w:asciiTheme="minorHAnsi" w:eastAsiaTheme="minorEastAsia" w:hAnsiTheme="minorHAnsi" w:cstheme="minorBidi"/>
          <w:noProof/>
          <w:sz w:val="22"/>
          <w:lang w:eastAsia="en-GB"/>
        </w:rPr>
      </w:pPr>
      <w:hyperlink w:anchor="_Toc12021037" w:history="1">
        <w:r w:rsidR="007E2F3C" w:rsidRPr="00604822">
          <w:rPr>
            <w:rStyle w:val="Hyperlink"/>
            <w:noProof/>
          </w:rPr>
          <w:t>Common Foreign and Security Policy</w:t>
        </w:r>
        <w:r w:rsidR="007E2F3C">
          <w:rPr>
            <w:noProof/>
            <w:webHidden/>
          </w:rPr>
          <w:tab/>
        </w:r>
        <w:r w:rsidR="007E2F3C">
          <w:rPr>
            <w:noProof/>
            <w:webHidden/>
          </w:rPr>
          <w:fldChar w:fldCharType="begin"/>
        </w:r>
        <w:r w:rsidR="007E2F3C">
          <w:rPr>
            <w:noProof/>
            <w:webHidden/>
          </w:rPr>
          <w:instrText xml:space="preserve"> PAGEREF _Toc12021037 \h </w:instrText>
        </w:r>
        <w:r w:rsidR="007E2F3C">
          <w:rPr>
            <w:noProof/>
            <w:webHidden/>
          </w:rPr>
        </w:r>
        <w:r w:rsidR="007E2F3C">
          <w:rPr>
            <w:noProof/>
            <w:webHidden/>
          </w:rPr>
          <w:fldChar w:fldCharType="separate"/>
        </w:r>
        <w:r w:rsidR="0083737D">
          <w:rPr>
            <w:noProof/>
            <w:webHidden/>
          </w:rPr>
          <w:t>131</w:t>
        </w:r>
        <w:r w:rsidR="007E2F3C">
          <w:rPr>
            <w:noProof/>
            <w:webHidden/>
          </w:rPr>
          <w:fldChar w:fldCharType="end"/>
        </w:r>
      </w:hyperlink>
    </w:p>
    <w:p w14:paraId="2E5199CF" w14:textId="6DE3EB5B" w:rsidR="007E2F3C" w:rsidRDefault="00903DF5">
      <w:pPr>
        <w:pStyle w:val="TOC1"/>
        <w:rPr>
          <w:rFonts w:asciiTheme="minorHAnsi" w:eastAsiaTheme="minorEastAsia" w:hAnsiTheme="minorHAnsi" w:cstheme="minorBidi"/>
          <w:noProof/>
          <w:sz w:val="22"/>
          <w:lang w:eastAsia="en-GB"/>
        </w:rPr>
      </w:pPr>
      <w:hyperlink w:anchor="_Toc12021038" w:history="1">
        <w:r w:rsidR="007E2F3C" w:rsidRPr="00604822">
          <w:rPr>
            <w:rStyle w:val="Hyperlink"/>
            <w:noProof/>
          </w:rPr>
          <w:t>Instrument contributing to Stability and Peace</w:t>
        </w:r>
        <w:r w:rsidR="007E2F3C">
          <w:rPr>
            <w:noProof/>
            <w:webHidden/>
          </w:rPr>
          <w:tab/>
        </w:r>
        <w:r w:rsidR="007E2F3C">
          <w:rPr>
            <w:noProof/>
            <w:webHidden/>
          </w:rPr>
          <w:fldChar w:fldCharType="begin"/>
        </w:r>
        <w:r w:rsidR="007E2F3C">
          <w:rPr>
            <w:noProof/>
            <w:webHidden/>
          </w:rPr>
          <w:instrText xml:space="preserve"> PAGEREF _Toc12021038 \h </w:instrText>
        </w:r>
        <w:r w:rsidR="007E2F3C">
          <w:rPr>
            <w:noProof/>
            <w:webHidden/>
          </w:rPr>
        </w:r>
        <w:r w:rsidR="007E2F3C">
          <w:rPr>
            <w:noProof/>
            <w:webHidden/>
          </w:rPr>
          <w:fldChar w:fldCharType="separate"/>
        </w:r>
        <w:r w:rsidR="0083737D">
          <w:rPr>
            <w:noProof/>
            <w:webHidden/>
          </w:rPr>
          <w:t>132</w:t>
        </w:r>
        <w:r w:rsidR="007E2F3C">
          <w:rPr>
            <w:noProof/>
            <w:webHidden/>
          </w:rPr>
          <w:fldChar w:fldCharType="end"/>
        </w:r>
      </w:hyperlink>
    </w:p>
    <w:p w14:paraId="0B867038" w14:textId="50DB211E" w:rsidR="007E2F3C" w:rsidRDefault="00903DF5">
      <w:pPr>
        <w:pStyle w:val="TOC1"/>
        <w:rPr>
          <w:rFonts w:asciiTheme="minorHAnsi" w:eastAsiaTheme="minorEastAsia" w:hAnsiTheme="minorHAnsi" w:cstheme="minorBidi"/>
          <w:noProof/>
          <w:sz w:val="22"/>
          <w:lang w:eastAsia="en-GB"/>
        </w:rPr>
      </w:pPr>
      <w:hyperlink w:anchor="_Toc12021039" w:history="1">
        <w:r w:rsidR="007E2F3C" w:rsidRPr="00604822">
          <w:rPr>
            <w:rStyle w:val="Hyperlink"/>
            <w:noProof/>
          </w:rPr>
          <w:t>Partnership Instrument for Cooperation with Third Countries</w:t>
        </w:r>
        <w:r w:rsidR="007E2F3C">
          <w:rPr>
            <w:noProof/>
            <w:webHidden/>
          </w:rPr>
          <w:tab/>
        </w:r>
        <w:r w:rsidR="007E2F3C">
          <w:rPr>
            <w:noProof/>
            <w:webHidden/>
          </w:rPr>
          <w:fldChar w:fldCharType="begin"/>
        </w:r>
        <w:r w:rsidR="007E2F3C">
          <w:rPr>
            <w:noProof/>
            <w:webHidden/>
          </w:rPr>
          <w:instrText xml:space="preserve"> PAGEREF _Toc12021039 \h </w:instrText>
        </w:r>
        <w:r w:rsidR="007E2F3C">
          <w:rPr>
            <w:noProof/>
            <w:webHidden/>
          </w:rPr>
        </w:r>
        <w:r w:rsidR="007E2F3C">
          <w:rPr>
            <w:noProof/>
            <w:webHidden/>
          </w:rPr>
          <w:fldChar w:fldCharType="separate"/>
        </w:r>
        <w:r w:rsidR="0083737D">
          <w:rPr>
            <w:noProof/>
            <w:webHidden/>
          </w:rPr>
          <w:t>134</w:t>
        </w:r>
        <w:r w:rsidR="007E2F3C">
          <w:rPr>
            <w:noProof/>
            <w:webHidden/>
          </w:rPr>
          <w:fldChar w:fldCharType="end"/>
        </w:r>
      </w:hyperlink>
    </w:p>
    <w:p w14:paraId="3F8BDBE7" w14:textId="183FFC28" w:rsidR="007E2F3C" w:rsidRDefault="00903DF5">
      <w:pPr>
        <w:pStyle w:val="TOC1"/>
        <w:rPr>
          <w:rFonts w:asciiTheme="minorHAnsi" w:eastAsiaTheme="minorEastAsia" w:hAnsiTheme="minorHAnsi" w:cstheme="minorBidi"/>
          <w:noProof/>
          <w:sz w:val="22"/>
          <w:lang w:eastAsia="en-GB"/>
        </w:rPr>
      </w:pPr>
      <w:hyperlink w:anchor="_Toc12021040" w:history="1">
        <w:r w:rsidR="007E2F3C" w:rsidRPr="00604822">
          <w:rPr>
            <w:rStyle w:val="Hyperlink"/>
            <w:noProof/>
          </w:rPr>
          <w:t>Cooperation with Greenland</w:t>
        </w:r>
        <w:r w:rsidR="007E2F3C">
          <w:rPr>
            <w:noProof/>
            <w:webHidden/>
          </w:rPr>
          <w:tab/>
        </w:r>
        <w:r w:rsidR="007E2F3C">
          <w:rPr>
            <w:noProof/>
            <w:webHidden/>
          </w:rPr>
          <w:fldChar w:fldCharType="begin"/>
        </w:r>
        <w:r w:rsidR="007E2F3C">
          <w:rPr>
            <w:noProof/>
            <w:webHidden/>
          </w:rPr>
          <w:instrText xml:space="preserve"> PAGEREF _Toc12021040 \h </w:instrText>
        </w:r>
        <w:r w:rsidR="007E2F3C">
          <w:rPr>
            <w:noProof/>
            <w:webHidden/>
          </w:rPr>
        </w:r>
        <w:r w:rsidR="007E2F3C">
          <w:rPr>
            <w:noProof/>
            <w:webHidden/>
          </w:rPr>
          <w:fldChar w:fldCharType="separate"/>
        </w:r>
        <w:r w:rsidR="0083737D">
          <w:rPr>
            <w:noProof/>
            <w:webHidden/>
          </w:rPr>
          <w:t>134</w:t>
        </w:r>
        <w:r w:rsidR="007E2F3C">
          <w:rPr>
            <w:noProof/>
            <w:webHidden/>
          </w:rPr>
          <w:fldChar w:fldCharType="end"/>
        </w:r>
      </w:hyperlink>
    </w:p>
    <w:p w14:paraId="737FF24C" w14:textId="17683B0D" w:rsidR="007E2F3C" w:rsidRDefault="00903DF5">
      <w:pPr>
        <w:pStyle w:val="TOC1"/>
        <w:rPr>
          <w:rFonts w:asciiTheme="minorHAnsi" w:eastAsiaTheme="minorEastAsia" w:hAnsiTheme="minorHAnsi" w:cstheme="minorBidi"/>
          <w:noProof/>
          <w:sz w:val="22"/>
          <w:lang w:eastAsia="en-GB"/>
        </w:rPr>
      </w:pPr>
      <w:hyperlink w:anchor="_Toc12021041" w:history="1">
        <w:r w:rsidR="00034EF1">
          <w:rPr>
            <w:noProof/>
          </w:rPr>
          <w:t>Support for the Turkish Cypriot community</w:t>
        </w:r>
        <w:r w:rsidR="007E2F3C">
          <w:rPr>
            <w:noProof/>
            <w:webHidden/>
          </w:rPr>
          <w:tab/>
        </w:r>
        <w:r w:rsidR="007E2F3C">
          <w:rPr>
            <w:noProof/>
            <w:webHidden/>
          </w:rPr>
          <w:fldChar w:fldCharType="begin"/>
        </w:r>
        <w:r w:rsidR="007E2F3C">
          <w:rPr>
            <w:noProof/>
            <w:webHidden/>
          </w:rPr>
          <w:instrText xml:space="preserve"> PAGEREF _Toc12021041 \h </w:instrText>
        </w:r>
        <w:r w:rsidR="007E2F3C">
          <w:rPr>
            <w:noProof/>
            <w:webHidden/>
          </w:rPr>
        </w:r>
        <w:r w:rsidR="007E2F3C">
          <w:rPr>
            <w:noProof/>
            <w:webHidden/>
          </w:rPr>
          <w:fldChar w:fldCharType="separate"/>
        </w:r>
        <w:r w:rsidR="0083737D">
          <w:rPr>
            <w:noProof/>
            <w:webHidden/>
          </w:rPr>
          <w:t>135</w:t>
        </w:r>
        <w:r w:rsidR="007E2F3C">
          <w:rPr>
            <w:noProof/>
            <w:webHidden/>
          </w:rPr>
          <w:fldChar w:fldCharType="end"/>
        </w:r>
      </w:hyperlink>
    </w:p>
    <w:p w14:paraId="0E7F5575" w14:textId="743BC2D5" w:rsidR="007E2F3C" w:rsidRDefault="00903DF5">
      <w:pPr>
        <w:pStyle w:val="TOC1"/>
        <w:rPr>
          <w:rFonts w:asciiTheme="minorHAnsi" w:eastAsiaTheme="minorEastAsia" w:hAnsiTheme="minorHAnsi" w:cstheme="minorBidi"/>
          <w:noProof/>
          <w:sz w:val="22"/>
          <w:lang w:eastAsia="en-GB"/>
        </w:rPr>
      </w:pPr>
      <w:hyperlink w:anchor="_Toc12021042" w:history="1">
        <w:r w:rsidR="007E2F3C" w:rsidRPr="00604822">
          <w:rPr>
            <w:rStyle w:val="Hyperlink"/>
            <w:noProof/>
          </w:rPr>
          <w:t>Instrument for Nuclear Safety Cooperation</w:t>
        </w:r>
        <w:r w:rsidR="007E2F3C">
          <w:rPr>
            <w:noProof/>
            <w:webHidden/>
          </w:rPr>
          <w:tab/>
        </w:r>
        <w:r w:rsidR="007E2F3C">
          <w:rPr>
            <w:noProof/>
            <w:webHidden/>
          </w:rPr>
          <w:fldChar w:fldCharType="begin"/>
        </w:r>
        <w:r w:rsidR="007E2F3C">
          <w:rPr>
            <w:noProof/>
            <w:webHidden/>
          </w:rPr>
          <w:instrText xml:space="preserve"> PAGEREF _Toc12021042 \h </w:instrText>
        </w:r>
        <w:r w:rsidR="007E2F3C">
          <w:rPr>
            <w:noProof/>
            <w:webHidden/>
          </w:rPr>
        </w:r>
        <w:r w:rsidR="007E2F3C">
          <w:rPr>
            <w:noProof/>
            <w:webHidden/>
          </w:rPr>
          <w:fldChar w:fldCharType="separate"/>
        </w:r>
        <w:r w:rsidR="0083737D">
          <w:rPr>
            <w:noProof/>
            <w:webHidden/>
          </w:rPr>
          <w:t>135</w:t>
        </w:r>
        <w:r w:rsidR="007E2F3C">
          <w:rPr>
            <w:noProof/>
            <w:webHidden/>
          </w:rPr>
          <w:fldChar w:fldCharType="end"/>
        </w:r>
      </w:hyperlink>
    </w:p>
    <w:p w14:paraId="45FE291E" w14:textId="62396C49" w:rsidR="007E2F3C" w:rsidRDefault="00903DF5">
      <w:pPr>
        <w:pStyle w:val="TOC1"/>
        <w:rPr>
          <w:rFonts w:asciiTheme="minorHAnsi" w:eastAsiaTheme="minorEastAsia" w:hAnsiTheme="minorHAnsi" w:cstheme="minorBidi"/>
          <w:noProof/>
          <w:sz w:val="22"/>
          <w:lang w:eastAsia="en-GB"/>
        </w:rPr>
      </w:pPr>
      <w:hyperlink w:anchor="_Toc12021043" w:history="1">
        <w:r w:rsidR="007E2F3C" w:rsidRPr="00604822">
          <w:rPr>
            <w:rStyle w:val="Hyperlink"/>
            <w:noProof/>
          </w:rPr>
          <w:t>Facility for refugees in Turkey</w:t>
        </w:r>
        <w:r w:rsidR="007E2F3C">
          <w:rPr>
            <w:noProof/>
            <w:webHidden/>
          </w:rPr>
          <w:tab/>
        </w:r>
        <w:r w:rsidR="007E2F3C">
          <w:rPr>
            <w:noProof/>
            <w:webHidden/>
          </w:rPr>
          <w:fldChar w:fldCharType="begin"/>
        </w:r>
        <w:r w:rsidR="007E2F3C">
          <w:rPr>
            <w:noProof/>
            <w:webHidden/>
          </w:rPr>
          <w:instrText xml:space="preserve"> PAGEREF _Toc12021043 \h </w:instrText>
        </w:r>
        <w:r w:rsidR="007E2F3C">
          <w:rPr>
            <w:noProof/>
            <w:webHidden/>
          </w:rPr>
        </w:r>
        <w:r w:rsidR="007E2F3C">
          <w:rPr>
            <w:noProof/>
            <w:webHidden/>
          </w:rPr>
          <w:fldChar w:fldCharType="separate"/>
        </w:r>
        <w:r w:rsidR="0083737D">
          <w:rPr>
            <w:noProof/>
            <w:webHidden/>
          </w:rPr>
          <w:t>136</w:t>
        </w:r>
        <w:r w:rsidR="007E2F3C">
          <w:rPr>
            <w:noProof/>
            <w:webHidden/>
          </w:rPr>
          <w:fldChar w:fldCharType="end"/>
        </w:r>
      </w:hyperlink>
    </w:p>
    <w:p w14:paraId="427C45E8" w14:textId="043720E8" w:rsidR="007E2F3C" w:rsidRDefault="00903DF5">
      <w:pPr>
        <w:pStyle w:val="TOC1"/>
        <w:rPr>
          <w:rFonts w:asciiTheme="minorHAnsi" w:eastAsiaTheme="minorEastAsia" w:hAnsiTheme="minorHAnsi" w:cstheme="minorBidi"/>
          <w:noProof/>
          <w:sz w:val="22"/>
          <w:lang w:eastAsia="en-GB"/>
        </w:rPr>
      </w:pPr>
      <w:hyperlink w:anchor="_Toc12021044" w:history="1">
        <w:r w:rsidR="007E2F3C" w:rsidRPr="00604822">
          <w:rPr>
            <w:rStyle w:val="Hyperlink"/>
            <w:noProof/>
          </w:rPr>
          <w:t>Guarantee Fund for External Action</w:t>
        </w:r>
        <w:r w:rsidR="007E2F3C">
          <w:rPr>
            <w:noProof/>
            <w:webHidden/>
          </w:rPr>
          <w:tab/>
        </w:r>
        <w:r w:rsidR="007E2F3C">
          <w:rPr>
            <w:noProof/>
            <w:webHidden/>
          </w:rPr>
          <w:fldChar w:fldCharType="begin"/>
        </w:r>
        <w:r w:rsidR="007E2F3C">
          <w:rPr>
            <w:noProof/>
            <w:webHidden/>
          </w:rPr>
          <w:instrText xml:space="preserve"> PAGEREF _Toc12021044 \h </w:instrText>
        </w:r>
        <w:r w:rsidR="007E2F3C">
          <w:rPr>
            <w:noProof/>
            <w:webHidden/>
          </w:rPr>
        </w:r>
        <w:r w:rsidR="007E2F3C">
          <w:rPr>
            <w:noProof/>
            <w:webHidden/>
          </w:rPr>
          <w:fldChar w:fldCharType="separate"/>
        </w:r>
        <w:r w:rsidR="0083737D">
          <w:rPr>
            <w:noProof/>
            <w:webHidden/>
          </w:rPr>
          <w:t>137</w:t>
        </w:r>
        <w:r w:rsidR="007E2F3C">
          <w:rPr>
            <w:noProof/>
            <w:webHidden/>
          </w:rPr>
          <w:fldChar w:fldCharType="end"/>
        </w:r>
      </w:hyperlink>
    </w:p>
    <w:p w14:paraId="34929F3D" w14:textId="57124A10" w:rsidR="007E2F3C" w:rsidRDefault="00903DF5">
      <w:pPr>
        <w:pStyle w:val="TOC1"/>
        <w:rPr>
          <w:rFonts w:asciiTheme="minorHAnsi" w:eastAsiaTheme="minorEastAsia" w:hAnsiTheme="minorHAnsi" w:cstheme="minorBidi"/>
          <w:noProof/>
          <w:sz w:val="22"/>
          <w:lang w:eastAsia="en-GB"/>
        </w:rPr>
      </w:pPr>
      <w:hyperlink w:anchor="_Toc12021045" w:history="1">
        <w:r w:rsidR="007E2F3C" w:rsidRPr="00604822">
          <w:rPr>
            <w:rStyle w:val="Hyperlink"/>
            <w:noProof/>
          </w:rPr>
          <w:t>EU Civil Protection Mechanism</w:t>
        </w:r>
        <w:r w:rsidR="007E2F3C">
          <w:rPr>
            <w:noProof/>
            <w:webHidden/>
          </w:rPr>
          <w:tab/>
        </w:r>
        <w:r w:rsidR="007E2F3C">
          <w:rPr>
            <w:noProof/>
            <w:webHidden/>
          </w:rPr>
          <w:fldChar w:fldCharType="begin"/>
        </w:r>
        <w:r w:rsidR="007E2F3C">
          <w:rPr>
            <w:noProof/>
            <w:webHidden/>
          </w:rPr>
          <w:instrText xml:space="preserve"> PAGEREF _Toc12021045 \h </w:instrText>
        </w:r>
        <w:r w:rsidR="007E2F3C">
          <w:rPr>
            <w:noProof/>
            <w:webHidden/>
          </w:rPr>
        </w:r>
        <w:r w:rsidR="007E2F3C">
          <w:rPr>
            <w:noProof/>
            <w:webHidden/>
          </w:rPr>
          <w:fldChar w:fldCharType="separate"/>
        </w:r>
        <w:r w:rsidR="0083737D">
          <w:rPr>
            <w:noProof/>
            <w:webHidden/>
          </w:rPr>
          <w:t>138</w:t>
        </w:r>
        <w:r w:rsidR="007E2F3C">
          <w:rPr>
            <w:noProof/>
            <w:webHidden/>
          </w:rPr>
          <w:fldChar w:fldCharType="end"/>
        </w:r>
      </w:hyperlink>
    </w:p>
    <w:p w14:paraId="77F3A559" w14:textId="76F6E264" w:rsidR="007E2F3C" w:rsidRDefault="00903DF5">
      <w:pPr>
        <w:pStyle w:val="TOC1"/>
        <w:rPr>
          <w:rFonts w:asciiTheme="minorHAnsi" w:eastAsiaTheme="minorEastAsia" w:hAnsiTheme="minorHAnsi" w:cstheme="minorBidi"/>
          <w:noProof/>
          <w:sz w:val="22"/>
          <w:lang w:eastAsia="en-GB"/>
        </w:rPr>
      </w:pPr>
      <w:hyperlink w:anchor="_Toc12021046" w:history="1">
        <w:r w:rsidR="007E2F3C" w:rsidRPr="00604822">
          <w:rPr>
            <w:rStyle w:val="Hyperlink"/>
            <w:noProof/>
          </w:rPr>
          <w:t>Emergency aid reserve</w:t>
        </w:r>
        <w:r w:rsidR="007E2F3C">
          <w:rPr>
            <w:noProof/>
            <w:webHidden/>
          </w:rPr>
          <w:tab/>
        </w:r>
        <w:r w:rsidR="007E2F3C">
          <w:rPr>
            <w:noProof/>
            <w:webHidden/>
          </w:rPr>
          <w:fldChar w:fldCharType="begin"/>
        </w:r>
        <w:r w:rsidR="007E2F3C">
          <w:rPr>
            <w:noProof/>
            <w:webHidden/>
          </w:rPr>
          <w:instrText xml:space="preserve"> PAGEREF _Toc12021046 \h </w:instrText>
        </w:r>
        <w:r w:rsidR="007E2F3C">
          <w:rPr>
            <w:noProof/>
            <w:webHidden/>
          </w:rPr>
        </w:r>
        <w:r w:rsidR="007E2F3C">
          <w:rPr>
            <w:noProof/>
            <w:webHidden/>
          </w:rPr>
          <w:fldChar w:fldCharType="separate"/>
        </w:r>
        <w:r w:rsidR="0083737D">
          <w:rPr>
            <w:noProof/>
            <w:webHidden/>
          </w:rPr>
          <w:t>140</w:t>
        </w:r>
        <w:r w:rsidR="007E2F3C">
          <w:rPr>
            <w:noProof/>
            <w:webHidden/>
          </w:rPr>
          <w:fldChar w:fldCharType="end"/>
        </w:r>
      </w:hyperlink>
    </w:p>
    <w:p w14:paraId="591B3E64" w14:textId="23A64F56" w:rsidR="007E2F3C" w:rsidRDefault="00903DF5">
      <w:pPr>
        <w:pStyle w:val="TOC1"/>
        <w:rPr>
          <w:rFonts w:asciiTheme="minorHAnsi" w:eastAsiaTheme="minorEastAsia" w:hAnsiTheme="minorHAnsi" w:cstheme="minorBidi"/>
          <w:noProof/>
          <w:sz w:val="22"/>
          <w:lang w:eastAsia="en-GB"/>
        </w:rPr>
      </w:pPr>
      <w:hyperlink w:anchor="_Toc12021047" w:history="1">
        <w:r w:rsidR="007E2F3C" w:rsidRPr="00604822">
          <w:rPr>
            <w:rStyle w:val="Hyperlink"/>
            <w:noProof/>
          </w:rPr>
          <w:t>Flexibility instrument</w:t>
        </w:r>
        <w:r w:rsidR="007E2F3C">
          <w:rPr>
            <w:noProof/>
            <w:webHidden/>
          </w:rPr>
          <w:tab/>
        </w:r>
        <w:r w:rsidR="007E2F3C">
          <w:rPr>
            <w:noProof/>
            <w:webHidden/>
          </w:rPr>
          <w:fldChar w:fldCharType="begin"/>
        </w:r>
        <w:r w:rsidR="007E2F3C">
          <w:rPr>
            <w:noProof/>
            <w:webHidden/>
          </w:rPr>
          <w:instrText xml:space="preserve"> PAGEREF _Toc12021047 \h </w:instrText>
        </w:r>
        <w:r w:rsidR="007E2F3C">
          <w:rPr>
            <w:noProof/>
            <w:webHidden/>
          </w:rPr>
        </w:r>
        <w:r w:rsidR="007E2F3C">
          <w:rPr>
            <w:noProof/>
            <w:webHidden/>
          </w:rPr>
          <w:fldChar w:fldCharType="separate"/>
        </w:r>
        <w:r w:rsidR="0083737D">
          <w:rPr>
            <w:noProof/>
            <w:webHidden/>
          </w:rPr>
          <w:t>140</w:t>
        </w:r>
        <w:r w:rsidR="007E2F3C">
          <w:rPr>
            <w:noProof/>
            <w:webHidden/>
          </w:rPr>
          <w:fldChar w:fldCharType="end"/>
        </w:r>
      </w:hyperlink>
    </w:p>
    <w:p w14:paraId="0535744C" w14:textId="44C9B277" w:rsidR="007E2F3C" w:rsidRDefault="00903DF5">
      <w:pPr>
        <w:pStyle w:val="TOC1"/>
        <w:rPr>
          <w:rFonts w:asciiTheme="minorHAnsi" w:eastAsiaTheme="minorEastAsia" w:hAnsiTheme="minorHAnsi" w:cstheme="minorBidi"/>
          <w:noProof/>
          <w:sz w:val="22"/>
          <w:lang w:eastAsia="en-GB"/>
        </w:rPr>
      </w:pPr>
      <w:hyperlink w:anchor="_Toc12021048" w:history="1">
        <w:r w:rsidR="007E2F3C" w:rsidRPr="00604822">
          <w:rPr>
            <w:rStyle w:val="Hyperlink"/>
            <w:noProof/>
          </w:rPr>
          <w:t>EU Solidarity Fund</w:t>
        </w:r>
        <w:r w:rsidR="007E2F3C">
          <w:rPr>
            <w:noProof/>
            <w:webHidden/>
          </w:rPr>
          <w:tab/>
        </w:r>
        <w:r w:rsidR="007E2F3C">
          <w:rPr>
            <w:noProof/>
            <w:webHidden/>
          </w:rPr>
          <w:fldChar w:fldCharType="begin"/>
        </w:r>
        <w:r w:rsidR="007E2F3C">
          <w:rPr>
            <w:noProof/>
            <w:webHidden/>
          </w:rPr>
          <w:instrText xml:space="preserve"> PAGEREF _Toc12021048 \h </w:instrText>
        </w:r>
        <w:r w:rsidR="007E2F3C">
          <w:rPr>
            <w:noProof/>
            <w:webHidden/>
          </w:rPr>
        </w:r>
        <w:r w:rsidR="007E2F3C">
          <w:rPr>
            <w:noProof/>
            <w:webHidden/>
          </w:rPr>
          <w:fldChar w:fldCharType="separate"/>
        </w:r>
        <w:r w:rsidR="0083737D">
          <w:rPr>
            <w:noProof/>
            <w:webHidden/>
          </w:rPr>
          <w:t>140</w:t>
        </w:r>
        <w:r w:rsidR="007E2F3C">
          <w:rPr>
            <w:noProof/>
            <w:webHidden/>
          </w:rPr>
          <w:fldChar w:fldCharType="end"/>
        </w:r>
      </w:hyperlink>
    </w:p>
    <w:p w14:paraId="6EBB45A6" w14:textId="5F376D83" w:rsidR="007E2F3C" w:rsidRDefault="00903DF5">
      <w:pPr>
        <w:pStyle w:val="TOC1"/>
        <w:rPr>
          <w:rFonts w:asciiTheme="minorHAnsi" w:eastAsiaTheme="minorEastAsia" w:hAnsiTheme="minorHAnsi" w:cstheme="minorBidi"/>
          <w:noProof/>
          <w:sz w:val="22"/>
          <w:lang w:eastAsia="en-GB"/>
        </w:rPr>
      </w:pPr>
      <w:hyperlink w:anchor="_Toc12021049" w:history="1">
        <w:r w:rsidR="007E2F3C" w:rsidRPr="00604822">
          <w:rPr>
            <w:rStyle w:val="Hyperlink"/>
            <w:noProof/>
          </w:rPr>
          <w:t>European Globalisation Adjustment Fund</w:t>
        </w:r>
        <w:r w:rsidR="007E2F3C">
          <w:rPr>
            <w:noProof/>
            <w:webHidden/>
          </w:rPr>
          <w:tab/>
        </w:r>
        <w:r w:rsidR="007E2F3C">
          <w:rPr>
            <w:noProof/>
            <w:webHidden/>
          </w:rPr>
          <w:fldChar w:fldCharType="begin"/>
        </w:r>
        <w:r w:rsidR="007E2F3C">
          <w:rPr>
            <w:noProof/>
            <w:webHidden/>
          </w:rPr>
          <w:instrText xml:space="preserve"> PAGEREF _Toc12021049 \h </w:instrText>
        </w:r>
        <w:r w:rsidR="007E2F3C">
          <w:rPr>
            <w:noProof/>
            <w:webHidden/>
          </w:rPr>
        </w:r>
        <w:r w:rsidR="007E2F3C">
          <w:rPr>
            <w:noProof/>
            <w:webHidden/>
          </w:rPr>
          <w:fldChar w:fldCharType="separate"/>
        </w:r>
        <w:r w:rsidR="0083737D">
          <w:rPr>
            <w:noProof/>
            <w:webHidden/>
          </w:rPr>
          <w:t>142</w:t>
        </w:r>
        <w:r w:rsidR="007E2F3C">
          <w:rPr>
            <w:noProof/>
            <w:webHidden/>
          </w:rPr>
          <w:fldChar w:fldCharType="end"/>
        </w:r>
      </w:hyperlink>
    </w:p>
    <w:p w14:paraId="6BAFADF5" w14:textId="37786F50" w:rsidR="00A94D1F" w:rsidRPr="00A04E56" w:rsidRDefault="00A94D1F" w:rsidP="00117B07">
      <w:pPr>
        <w:pStyle w:val="TOC1"/>
      </w:pPr>
      <w:r w:rsidRPr="00A04E56">
        <w:fldChar w:fldCharType="end"/>
      </w:r>
    </w:p>
    <w:p w14:paraId="44A198B9" w14:textId="283EDF0F" w:rsidR="00CA2D63" w:rsidRPr="00A04E56" w:rsidRDefault="00CA2D63">
      <w:r w:rsidRPr="00A04E56">
        <w:br w:type="page"/>
      </w:r>
    </w:p>
    <w:p w14:paraId="6A7B4BCD" w14:textId="0DC0A7D8" w:rsidR="001B412E" w:rsidRPr="00A04E56" w:rsidRDefault="001B412E" w:rsidP="00B45172">
      <w:pPr>
        <w:pStyle w:val="TITLE1Report"/>
      </w:pPr>
      <w:bookmarkStart w:id="28" w:name="Competitivenessforgrowthandjobs"/>
      <w:r w:rsidRPr="00A04E56">
        <w:t xml:space="preserve">Competitiveness for </w:t>
      </w:r>
      <w:r w:rsidR="00DD4EBB" w:rsidRPr="00A04E56">
        <w:t>growth and jobs</w:t>
      </w:r>
      <w:bookmarkEnd w:id="28"/>
      <w:r w:rsidR="00DD4EBB" w:rsidRPr="00A04E56">
        <w:t xml:space="preserve"> </w:t>
      </w:r>
      <w:r w:rsidRPr="00A04E56">
        <w:t>(</w:t>
      </w:r>
      <w:r w:rsidR="000A5553" w:rsidRPr="00A04E56">
        <w:t>budget</w:t>
      </w:r>
      <w:r w:rsidRPr="00A04E56">
        <w:t xml:space="preserve"> </w:t>
      </w:r>
      <w:r w:rsidR="000A5553" w:rsidRPr="00A04E56">
        <w:t>heading</w:t>
      </w:r>
      <w:r w:rsidRPr="00A04E56">
        <w:t xml:space="preserve"> 1A)</w:t>
      </w:r>
      <w:bookmarkEnd w:id="21"/>
      <w:bookmarkEnd w:id="22"/>
      <w:bookmarkEnd w:id="23"/>
      <w:bookmarkEnd w:id="24"/>
      <w:bookmarkEnd w:id="25"/>
      <w:bookmarkEnd w:id="26"/>
    </w:p>
    <w:p w14:paraId="0CC44FC1" w14:textId="62ECE0D5" w:rsidR="005B45CE" w:rsidRPr="00A04E56" w:rsidRDefault="009E754A" w:rsidP="00731C62">
      <w:pPr>
        <w:pStyle w:val="BodyText1spaceafter"/>
      </w:pPr>
      <w:r w:rsidRPr="00A04E56">
        <w:t xml:space="preserve">When President Juncker set out his political guidelines at the </w:t>
      </w:r>
      <w:r w:rsidR="00A635AB" w:rsidRPr="00A04E56">
        <w:t xml:space="preserve">start </w:t>
      </w:r>
      <w:r w:rsidRPr="00A04E56">
        <w:t>of his mandate he said that ‘My first priority as Commission President will be to strengthen Europe’s competitiveness and to stimulate investment for the purpose</w:t>
      </w:r>
      <w:r w:rsidR="00BF4270" w:rsidRPr="00A04E56">
        <w:t>s</w:t>
      </w:r>
      <w:r w:rsidRPr="00A04E56">
        <w:t xml:space="preserve"> of job creation.’</w:t>
      </w:r>
      <w:r w:rsidR="00B01161" w:rsidRPr="00A04E56">
        <w:t xml:space="preserve"> </w:t>
      </w:r>
      <w:r w:rsidRPr="00A04E56">
        <w:t>The</w:t>
      </w:r>
      <w:r w:rsidR="00B01161" w:rsidRPr="00A04E56">
        <w:t xml:space="preserve"> </w:t>
      </w:r>
      <w:r w:rsidRPr="00A04E56">
        <w:t>Commission has delivered on</w:t>
      </w:r>
      <w:r w:rsidR="00B01161" w:rsidRPr="00A04E56">
        <w:t xml:space="preserve"> </w:t>
      </w:r>
      <w:r w:rsidR="00A635AB" w:rsidRPr="00A04E56">
        <w:t xml:space="preserve">its </w:t>
      </w:r>
      <w:r w:rsidRPr="00A04E56">
        <w:t>promise to get more people</w:t>
      </w:r>
      <w:r w:rsidR="00B01161" w:rsidRPr="00A04E56">
        <w:t xml:space="preserve"> </w:t>
      </w:r>
      <w:r w:rsidRPr="00A04E56">
        <w:t xml:space="preserve">into work. </w:t>
      </w:r>
      <w:r w:rsidR="005B45CE" w:rsidRPr="00A04E56">
        <w:t xml:space="preserve">More Europeans </w:t>
      </w:r>
      <w:r w:rsidR="00BF4270" w:rsidRPr="00A04E56">
        <w:t xml:space="preserve">are </w:t>
      </w:r>
      <w:r w:rsidR="005B45CE" w:rsidRPr="00A04E56">
        <w:t>in work than ever before, with 12.4</w:t>
      </w:r>
      <w:r w:rsidR="00217A6F" w:rsidRPr="00A04E56">
        <w:rPr>
          <w:rFonts w:cs="Calibri"/>
          <w:noProof w:val="0"/>
        </w:rPr>
        <w:t> </w:t>
      </w:r>
      <w:r w:rsidR="00217A6F" w:rsidRPr="00A04E56">
        <w:rPr>
          <w:noProof w:val="0"/>
        </w:rPr>
        <w:t>million</w:t>
      </w:r>
      <w:r w:rsidR="005B45CE" w:rsidRPr="00A04E56">
        <w:t xml:space="preserve"> new jobs created since 2014, unemployment </w:t>
      </w:r>
      <w:r w:rsidR="00A635AB" w:rsidRPr="00A04E56">
        <w:t xml:space="preserve">down </w:t>
      </w:r>
      <w:r w:rsidR="005B45CE" w:rsidRPr="00A04E56">
        <w:t>to 6.8</w:t>
      </w:r>
      <w:r w:rsidR="0003757D" w:rsidRPr="00A04E56">
        <w:t>%</w:t>
      </w:r>
      <w:r w:rsidR="005B45CE" w:rsidRPr="00A04E56">
        <w:t>, and youth unemployment</w:t>
      </w:r>
      <w:r w:rsidR="00385B85" w:rsidRPr="00A04E56">
        <w:t xml:space="preserve"> (14%)</w:t>
      </w:r>
      <w:r w:rsidR="005B45CE" w:rsidRPr="00A04E56">
        <w:t xml:space="preserve"> back to its 2008 level. </w:t>
      </w:r>
      <w:r w:rsidRPr="00A04E56">
        <w:t>Investment has</w:t>
      </w:r>
      <w:r w:rsidR="00B01161" w:rsidRPr="00A04E56">
        <w:t xml:space="preserve"> </w:t>
      </w:r>
      <w:r w:rsidRPr="00A04E56">
        <w:t>almost returned to pre-crisis</w:t>
      </w:r>
      <w:r w:rsidR="00B01161" w:rsidRPr="00A04E56">
        <w:t xml:space="preserve"> </w:t>
      </w:r>
      <w:r w:rsidRPr="00A04E56">
        <w:t>levels and public</w:t>
      </w:r>
      <w:r w:rsidR="00B01161" w:rsidRPr="00A04E56">
        <w:t xml:space="preserve"> </w:t>
      </w:r>
      <w:r w:rsidRPr="00A04E56">
        <w:t xml:space="preserve">finances </w:t>
      </w:r>
      <w:r w:rsidR="00A635AB" w:rsidRPr="00A04E56">
        <w:t xml:space="preserve">have improved </w:t>
      </w:r>
      <w:r w:rsidRPr="00A04E56">
        <w:t>in terms of debt and</w:t>
      </w:r>
      <w:r w:rsidR="00B01161" w:rsidRPr="00A04E56">
        <w:t xml:space="preserve"> </w:t>
      </w:r>
      <w:r w:rsidRPr="00A04E56">
        <w:t xml:space="preserve">deficit levels. </w:t>
      </w:r>
    </w:p>
    <w:p w14:paraId="4A8C2979" w14:textId="13E931AE" w:rsidR="00A01210" w:rsidRPr="00A04E56" w:rsidRDefault="00BF4270" w:rsidP="00731C62">
      <w:pPr>
        <w:pStyle w:val="BodyText1spaceafter"/>
      </w:pPr>
      <w:r w:rsidRPr="00A04E56">
        <w:rPr>
          <w:rStyle w:val="BodyText1Char"/>
          <w:lang w:val="en-GB"/>
        </w:rPr>
        <w:t>T</w:t>
      </w:r>
      <w:r w:rsidR="009E754A" w:rsidRPr="00A04E56">
        <w:rPr>
          <w:rStyle w:val="BodyText1Char"/>
          <w:lang w:val="en-GB"/>
        </w:rPr>
        <w:t xml:space="preserve">he EU </w:t>
      </w:r>
      <w:r w:rsidR="000A5553" w:rsidRPr="00A04E56">
        <w:rPr>
          <w:rStyle w:val="BodyText1Char"/>
          <w:lang w:val="en-GB"/>
        </w:rPr>
        <w:t>budget</w:t>
      </w:r>
      <w:r w:rsidR="009E754A" w:rsidRPr="00A04E56">
        <w:t xml:space="preserve"> </w:t>
      </w:r>
      <w:r w:rsidRPr="00A04E56">
        <w:rPr>
          <w:rStyle w:val="BodyText1Char"/>
          <w:lang w:val="en-GB"/>
        </w:rPr>
        <w:t xml:space="preserve">has been </w:t>
      </w:r>
      <w:r w:rsidR="009E754A" w:rsidRPr="00A04E56">
        <w:rPr>
          <w:rStyle w:val="BodyText1Char"/>
          <w:lang w:val="en-GB"/>
        </w:rPr>
        <w:t xml:space="preserve">instrumental </w:t>
      </w:r>
      <w:r w:rsidRPr="00A04E56">
        <w:rPr>
          <w:rStyle w:val="BodyText1Char"/>
          <w:lang w:val="en-GB"/>
        </w:rPr>
        <w:t>in</w:t>
      </w:r>
      <w:r w:rsidR="009E754A" w:rsidRPr="00A04E56">
        <w:rPr>
          <w:rStyle w:val="BodyText1Char"/>
          <w:lang w:val="en-GB"/>
        </w:rPr>
        <w:t xml:space="preserve"> these achievements and is a vital source of </w:t>
      </w:r>
      <w:r w:rsidR="009E754A" w:rsidRPr="00A04E56">
        <w:rPr>
          <w:rStyle w:val="BOLDLIGHTBLUEReport"/>
          <w:rFonts w:eastAsia="Calibri"/>
        </w:rPr>
        <w:t xml:space="preserve">investment </w:t>
      </w:r>
      <w:r w:rsidR="00655667" w:rsidRPr="00A04E56">
        <w:rPr>
          <w:rStyle w:val="BOLDLIGHTBLUEReport"/>
          <w:rFonts w:eastAsia="Calibri"/>
        </w:rPr>
        <w:t>across</w:t>
      </w:r>
      <w:r w:rsidR="009E754A" w:rsidRPr="00A04E56">
        <w:rPr>
          <w:rStyle w:val="BOLDLIGHTBLUEReport"/>
          <w:rFonts w:eastAsia="Calibri"/>
        </w:rPr>
        <w:t xml:space="preserve"> Europe</w:t>
      </w:r>
      <w:r w:rsidR="009E754A" w:rsidRPr="00A04E56">
        <w:t xml:space="preserve">. </w:t>
      </w:r>
      <w:r w:rsidR="00B01161" w:rsidRPr="00A04E56">
        <w:t>EUR</w:t>
      </w:r>
      <w:r w:rsidR="00A827FD" w:rsidRPr="00A04E56">
        <w:rPr>
          <w:rFonts w:cs="Calibri"/>
          <w:noProof w:val="0"/>
        </w:rPr>
        <w:t> </w:t>
      </w:r>
      <w:r w:rsidR="0079364C" w:rsidRPr="00A04E56">
        <w:rPr>
          <w:noProof w:val="0"/>
        </w:rPr>
        <w:t>2</w:t>
      </w:r>
      <w:r w:rsidR="00697188">
        <w:rPr>
          <w:noProof w:val="0"/>
        </w:rPr>
        <w:t>2</w:t>
      </w:r>
      <w:r w:rsidR="00A827FD" w:rsidRPr="00A04E56">
        <w:rPr>
          <w:rFonts w:cs="Calibri"/>
          <w:noProof w:val="0"/>
        </w:rPr>
        <w:t> </w:t>
      </w:r>
      <w:r w:rsidR="00B01161" w:rsidRPr="00A04E56">
        <w:t xml:space="preserve">billion was allocated to the programmes </w:t>
      </w:r>
      <w:r w:rsidR="00145321" w:rsidRPr="00A04E56">
        <w:t xml:space="preserve">on </w:t>
      </w:r>
      <w:r w:rsidR="0045385A" w:rsidRPr="00A04E56">
        <w:t>c</w:t>
      </w:r>
      <w:r w:rsidR="00B01161" w:rsidRPr="00A04E56">
        <w:t xml:space="preserve">ompetitiveness for </w:t>
      </w:r>
      <w:r w:rsidR="0045385A" w:rsidRPr="00A04E56">
        <w:t>g</w:t>
      </w:r>
      <w:r w:rsidR="00B01161" w:rsidRPr="00A04E56">
        <w:t xml:space="preserve">rowth and </w:t>
      </w:r>
      <w:r w:rsidR="0045385A" w:rsidRPr="00A04E56">
        <w:t>j</w:t>
      </w:r>
      <w:r w:rsidR="00B01161" w:rsidRPr="00A04E56">
        <w:t xml:space="preserve">obs (commitments in </w:t>
      </w:r>
      <w:r w:rsidR="000A5553" w:rsidRPr="00A04E56">
        <w:t>heading</w:t>
      </w:r>
      <w:r w:rsidR="00B01161" w:rsidRPr="00A04E56">
        <w:t xml:space="preserve"> 1A) </w:t>
      </w:r>
      <w:r w:rsidR="008C1D39" w:rsidRPr="00A04E56">
        <w:rPr>
          <w:i/>
          <w:u w:val="single"/>
        </w:rPr>
        <w:t>in 2018</w:t>
      </w:r>
      <w:r w:rsidR="0045385A" w:rsidRPr="00A04E56">
        <w:t>,</w:t>
      </w:r>
      <w:r w:rsidR="00B01161" w:rsidRPr="00A04E56">
        <w:t xml:space="preserve"> representing </w:t>
      </w:r>
      <w:r w:rsidR="0079364C" w:rsidRPr="00A04E56">
        <w:t>almost 14</w:t>
      </w:r>
      <w:r w:rsidR="00B01161" w:rsidRPr="00A04E56">
        <w:t xml:space="preserve">% of total annual budget expenditure. </w:t>
      </w:r>
    </w:p>
    <w:p w14:paraId="4C8A5AEB" w14:textId="603E9F1E" w:rsidR="005B45CE" w:rsidRPr="00A04E56" w:rsidRDefault="004E5F2C" w:rsidP="00277538">
      <w:pPr>
        <w:pStyle w:val="BodyText1spaceafter"/>
        <w:spacing w:after="360"/>
      </w:pPr>
      <w:r w:rsidRPr="00A04E56">
        <w:t>This report first covers</w:t>
      </w:r>
      <w:r w:rsidR="00A01210" w:rsidRPr="00A04E56">
        <w:t xml:space="preserve"> the </w:t>
      </w:r>
      <w:r w:rsidR="00B01161" w:rsidRPr="00A04E56">
        <w:t xml:space="preserve">programmes </w:t>
      </w:r>
      <w:r w:rsidR="00A01210" w:rsidRPr="00A04E56">
        <w:t xml:space="preserve">for </w:t>
      </w:r>
      <w:r w:rsidR="00A01210" w:rsidRPr="00A04E56">
        <w:rPr>
          <w:rStyle w:val="BOLDLIGHTBLUEReport"/>
          <w:rFonts w:eastAsia="Calibri"/>
        </w:rPr>
        <w:t>research and innovation</w:t>
      </w:r>
      <w:r w:rsidRPr="00A04E56">
        <w:rPr>
          <w:rStyle w:val="BOLDGREENExecutiveSummary"/>
        </w:rPr>
        <w:t xml:space="preserve"> </w:t>
      </w:r>
      <w:r w:rsidRPr="00A04E56">
        <w:t>(</w:t>
      </w:r>
      <w:r w:rsidR="00B01161" w:rsidRPr="00A04E56" w:rsidDel="009F0415">
        <w:t>Horizon</w:t>
      </w:r>
      <w:r w:rsidR="00A01210" w:rsidRPr="00A04E56">
        <w:t xml:space="preserve"> </w:t>
      </w:r>
      <w:r w:rsidR="009F0415" w:rsidRPr="00A04E56">
        <w:t>2020</w:t>
      </w:r>
      <w:r w:rsidR="00B01161" w:rsidRPr="00A04E56">
        <w:t xml:space="preserve"> </w:t>
      </w:r>
      <w:r w:rsidR="0045385A" w:rsidRPr="00A04E56">
        <w:t>f</w:t>
      </w:r>
      <w:r w:rsidR="00B01161" w:rsidRPr="00A04E56">
        <w:t xml:space="preserve">ramework </w:t>
      </w:r>
      <w:r w:rsidR="0045385A" w:rsidRPr="00A04E56">
        <w:t>p</w:t>
      </w:r>
      <w:r w:rsidR="00B01161" w:rsidRPr="00A04E56">
        <w:t>rogramme</w:t>
      </w:r>
      <w:r w:rsidR="00A01210" w:rsidRPr="00A04E56">
        <w:t>, Euratom and ITER</w:t>
      </w:r>
      <w:r w:rsidRPr="00A04E56">
        <w:t>)</w:t>
      </w:r>
      <w:r w:rsidR="00A01210" w:rsidRPr="00A04E56">
        <w:t xml:space="preserve">. </w:t>
      </w:r>
      <w:r w:rsidRPr="00A04E56">
        <w:t>This</w:t>
      </w:r>
      <w:r w:rsidR="00A01210" w:rsidRPr="00A04E56">
        <w:t xml:space="preserve"> is followed by</w:t>
      </w:r>
      <w:r w:rsidR="00B01161" w:rsidRPr="00A04E56">
        <w:t xml:space="preserve"> the </w:t>
      </w:r>
      <w:r w:rsidR="00A01210" w:rsidRPr="00A04E56">
        <w:t>programmes target</w:t>
      </w:r>
      <w:r w:rsidR="00756904" w:rsidRPr="00A04E56">
        <w:t>ing</w:t>
      </w:r>
      <w:r w:rsidR="00A01210" w:rsidRPr="00A04E56">
        <w:t xml:space="preserve"> </w:t>
      </w:r>
      <w:r w:rsidR="00A01210" w:rsidRPr="00A04E56">
        <w:rPr>
          <w:rStyle w:val="BOLDLIGHTBLUEReport"/>
          <w:rFonts w:eastAsia="Calibri"/>
        </w:rPr>
        <w:t>strategic investments</w:t>
      </w:r>
      <w:r w:rsidR="00A01210" w:rsidRPr="00A04E56">
        <w:t xml:space="preserve"> (</w:t>
      </w:r>
      <w:r w:rsidR="00B01161" w:rsidRPr="00A04E56">
        <w:t xml:space="preserve">European Fund for Strategic Investments, the Connecting </w:t>
      </w:r>
      <w:r w:rsidR="00A01210" w:rsidRPr="00A04E56">
        <w:t>Europ</w:t>
      </w:r>
      <w:r w:rsidR="00145321" w:rsidRPr="00A04E56">
        <w:t>e</w:t>
      </w:r>
      <w:r w:rsidR="00B01161" w:rsidRPr="00A04E56">
        <w:t xml:space="preserve"> Facility for developing trans-European networks in transport, energy and the digital sector</w:t>
      </w:r>
      <w:r w:rsidR="00A01210" w:rsidRPr="00A04E56">
        <w:t xml:space="preserve">) and the programmes </w:t>
      </w:r>
      <w:r w:rsidR="00145321" w:rsidRPr="00A04E56">
        <w:t xml:space="preserve">that support </w:t>
      </w:r>
      <w:r w:rsidR="00A01210" w:rsidRPr="00A04E56">
        <w:t xml:space="preserve">the </w:t>
      </w:r>
      <w:r w:rsidR="00A01210" w:rsidRPr="00A04E56">
        <w:rPr>
          <w:rStyle w:val="BOLDLIGHTBLUEReport"/>
          <w:rFonts w:eastAsia="Calibri"/>
        </w:rPr>
        <w:t>single market</w:t>
      </w:r>
      <w:r w:rsidR="00B67FB0" w:rsidRPr="00A04E56">
        <w:t xml:space="preserve"> (competitiveness, anti-fraud, fiscal coordination)</w:t>
      </w:r>
      <w:r w:rsidR="00A01210" w:rsidRPr="00A04E56">
        <w:t>.</w:t>
      </w:r>
      <w:r w:rsidR="00B01161" w:rsidRPr="00A04E56">
        <w:t xml:space="preserve"> </w:t>
      </w:r>
      <w:r w:rsidR="00D11131" w:rsidRPr="00A04E56">
        <w:t xml:space="preserve">The </w:t>
      </w:r>
      <w:r w:rsidR="00D11131" w:rsidRPr="00A04E56">
        <w:rPr>
          <w:rStyle w:val="BOLDLIGHTBLUEReport"/>
          <w:rFonts w:eastAsia="Calibri"/>
        </w:rPr>
        <w:t>Erasmus+</w:t>
      </w:r>
      <w:r w:rsidR="002B7E7B" w:rsidRPr="00A04E56">
        <w:rPr>
          <w:rStyle w:val="BOLDLIGHTBLUEReport"/>
          <w:rFonts w:eastAsia="Calibri"/>
        </w:rPr>
        <w:t>,</w:t>
      </w:r>
      <w:r w:rsidR="00D11131" w:rsidRPr="00A04E56">
        <w:t xml:space="preserve"> </w:t>
      </w:r>
      <w:r w:rsidR="0045385A" w:rsidRPr="00A04E56">
        <w:t>p</w:t>
      </w:r>
      <w:r w:rsidR="00D11131" w:rsidRPr="00A04E56">
        <w:t>rogramme for education, training, youth and sport enabled around 600</w:t>
      </w:r>
      <w:r w:rsidR="0045385A" w:rsidRPr="00A04E56">
        <w:rPr>
          <w:rFonts w:ascii="Calibri" w:hAnsi="Calibri"/>
        </w:rPr>
        <w:t> </w:t>
      </w:r>
      <w:r w:rsidR="006221A4" w:rsidRPr="00A04E56">
        <w:rPr>
          <w:noProof w:val="0"/>
        </w:rPr>
        <w:t>000</w:t>
      </w:r>
      <w:r w:rsidR="00D11131" w:rsidRPr="00A04E56">
        <w:t xml:space="preserve"> young people and 190</w:t>
      </w:r>
      <w:r w:rsidR="0045385A" w:rsidRPr="00A04E56">
        <w:rPr>
          <w:rFonts w:ascii="Calibri" w:hAnsi="Calibri"/>
        </w:rPr>
        <w:t> </w:t>
      </w:r>
      <w:r w:rsidR="006221A4" w:rsidRPr="00A04E56">
        <w:rPr>
          <w:noProof w:val="0"/>
        </w:rPr>
        <w:t>000</w:t>
      </w:r>
      <w:r w:rsidR="00D11131" w:rsidRPr="00A04E56">
        <w:t xml:space="preserve"> members of staff from educational institutions and youth organisations to participate in learning activities.</w:t>
      </w:r>
    </w:p>
    <w:p w14:paraId="49527ACA" w14:textId="52E9EEF7" w:rsidR="00CF00CF" w:rsidRDefault="00064C43" w:rsidP="00D13C67">
      <w:pPr>
        <w:pStyle w:val="BodyText1"/>
        <w:keepNext/>
        <w:spacing w:after="40"/>
        <w:jc w:val="center"/>
        <w:rPr>
          <w:lang w:val="en-GB"/>
        </w:rPr>
      </w:pPr>
      <w:r w:rsidRPr="00064C43">
        <w:rPr>
          <w:lang w:val="fr-BE"/>
        </w:rPr>
        <w:drawing>
          <wp:inline distT="0" distB="0" distL="0" distR="0" wp14:anchorId="65564197" wp14:editId="1E0F7AE2">
            <wp:extent cx="5753100" cy="359283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5753100" cy="3592830"/>
                    </a:xfrm>
                    <a:prstGeom prst="rect">
                      <a:avLst/>
                    </a:prstGeom>
                    <a:noFill/>
                    <a:ln>
                      <a:noFill/>
                    </a:ln>
                  </pic:spPr>
                </pic:pic>
              </a:graphicData>
            </a:graphic>
          </wp:inline>
        </w:drawing>
      </w:r>
    </w:p>
    <w:p w14:paraId="41B43496" w14:textId="48DD588B" w:rsidR="0053053F" w:rsidRPr="00A04E56" w:rsidRDefault="002D7729" w:rsidP="004A58DD">
      <w:pPr>
        <w:pStyle w:val="Source-Table-Chart-PhotoCaption"/>
      </w:pPr>
      <w:r w:rsidRPr="00A04E56">
        <w:rPr>
          <w:rStyle w:val="italics"/>
        </w:rPr>
        <w:t>Chart:</w:t>
      </w:r>
      <w:r w:rsidRPr="00A04E56">
        <w:t xml:space="preserve"> Main programmes financed </w:t>
      </w:r>
      <w:r w:rsidR="008C1D39" w:rsidRPr="00A04E56">
        <w:t>in 2018</w:t>
      </w:r>
      <w:r w:rsidRPr="00A04E56">
        <w:t xml:space="preserve"> under heading 1A, Competitiveness for </w:t>
      </w:r>
      <w:r w:rsidR="00CA3BB6" w:rsidRPr="00A04E56">
        <w:t>g</w:t>
      </w:r>
      <w:r w:rsidRPr="00A04E56">
        <w:t xml:space="preserve">rowth and </w:t>
      </w:r>
      <w:r w:rsidR="00CA3BB6" w:rsidRPr="00A04E56">
        <w:t>j</w:t>
      </w:r>
      <w:r w:rsidRPr="00A04E56">
        <w:t xml:space="preserve">obs. All amounts in EUR million. </w:t>
      </w:r>
      <w:r w:rsidR="00505159" w:rsidRPr="00A04E56">
        <w:t>The c</w:t>
      </w:r>
      <w:r w:rsidRPr="00A04E56">
        <w:t>ategory ‘other programmes’ includes am</w:t>
      </w:r>
      <w:r w:rsidR="00AE4B2D" w:rsidRPr="00A04E56">
        <w:t xml:space="preserve">ong other nuclear safety and decommissioning, customs, </w:t>
      </w:r>
      <w:r w:rsidR="004951CC" w:rsidRPr="00A04E56">
        <w:t>Fiscalis</w:t>
      </w:r>
      <w:r w:rsidR="00AE4B2D" w:rsidRPr="00A04E56">
        <w:t xml:space="preserve"> and anti-fraud, energy projects </w:t>
      </w:r>
      <w:r w:rsidR="00A32B29" w:rsidRPr="00A04E56">
        <w:t xml:space="preserve">to aid economic recovery (EERP) </w:t>
      </w:r>
      <w:r w:rsidR="00AE4B2D" w:rsidRPr="00A04E56">
        <w:t>decentralised</w:t>
      </w:r>
      <w:r w:rsidR="00A32B29" w:rsidRPr="00A04E56">
        <w:t xml:space="preserve"> agencies, Other actions and programmes, Pilot projects and preparatory actions, Actions financed under the prerogatives of the Commission and specific competences conferred to the Commission</w:t>
      </w:r>
      <w:r w:rsidR="006162D7" w:rsidRPr="00A04E56">
        <w:t>.</w:t>
      </w:r>
    </w:p>
    <w:p w14:paraId="0498D746" w14:textId="6E9AB000" w:rsidR="006162D7" w:rsidRPr="00A04E56" w:rsidRDefault="006162D7" w:rsidP="00570276">
      <w:pPr>
        <w:pStyle w:val="Source-Table-Chart-PhotoCaption"/>
      </w:pPr>
      <w:r w:rsidRPr="00A04E56">
        <w:rPr>
          <w:rStyle w:val="italics"/>
        </w:rPr>
        <w:t>Source:</w:t>
      </w:r>
      <w:r w:rsidRPr="00A04E56">
        <w:t xml:space="preserve"> European Commission.</w:t>
      </w:r>
    </w:p>
    <w:p w14:paraId="733920B3" w14:textId="1F8A5198" w:rsidR="009D152F" w:rsidRPr="00A04E56" w:rsidRDefault="005B45CE" w:rsidP="00995753">
      <w:pPr>
        <w:pStyle w:val="BodyText1spacebeforeandafter"/>
      </w:pPr>
      <w:r w:rsidRPr="00A04E56">
        <w:t>Europe</w:t>
      </w:r>
      <w:r w:rsidR="00B66BB6" w:rsidRPr="00A04E56">
        <w:t>’</w:t>
      </w:r>
      <w:r w:rsidRPr="00A04E56">
        <w:t>s future prosperity depends on the investment decisions take</w:t>
      </w:r>
      <w:r w:rsidR="00505159" w:rsidRPr="00A04E56">
        <w:t>n</w:t>
      </w:r>
      <w:r w:rsidRPr="00A04E56">
        <w:t xml:space="preserve"> today. In view of the next multiannual financial framework, the Commission </w:t>
      </w:r>
      <w:r w:rsidR="00BF4270" w:rsidRPr="00A04E56">
        <w:t xml:space="preserve">has proposed to </w:t>
      </w:r>
      <w:r w:rsidRPr="00A04E56">
        <w:t>step u</w:t>
      </w:r>
      <w:r w:rsidR="00BF4270" w:rsidRPr="00A04E56">
        <w:t>p</w:t>
      </w:r>
      <w:r w:rsidRPr="00A04E56">
        <w:t xml:space="preserve"> investment in </w:t>
      </w:r>
      <w:r w:rsidR="00BF4270" w:rsidRPr="00A04E56">
        <w:t xml:space="preserve">key </w:t>
      </w:r>
      <w:r w:rsidRPr="00A04E56">
        <w:t>areas such as research, strategic infrastructure and digital transformation.</w:t>
      </w:r>
    </w:p>
    <w:p w14:paraId="65EA5D7C" w14:textId="0B698DE5" w:rsidR="0031502A" w:rsidRPr="00A04E56" w:rsidRDefault="0031502A" w:rsidP="00840A3D">
      <w:pPr>
        <w:pStyle w:val="BodyText1spaceafter"/>
        <w:rPr>
          <w:color w:val="auto"/>
          <w:szCs w:val="20"/>
        </w:rPr>
      </w:pPr>
      <w:r w:rsidRPr="00A04E56">
        <w:t>The programmes under this budget heading contribute mainly to the Juncker Commission priorities of ‘</w:t>
      </w:r>
      <w:r w:rsidR="001E13EA" w:rsidRPr="00A04E56">
        <w:rPr>
          <w:noProof w:val="0"/>
        </w:rPr>
        <w:t>j</w:t>
      </w:r>
      <w:r w:rsidRPr="00A04E56">
        <w:rPr>
          <w:noProof w:val="0"/>
        </w:rPr>
        <w:t xml:space="preserve">obs, </w:t>
      </w:r>
      <w:r w:rsidR="00B66BB6" w:rsidRPr="00A04E56">
        <w:rPr>
          <w:noProof w:val="0"/>
        </w:rPr>
        <w:t>g</w:t>
      </w:r>
      <w:r w:rsidRPr="00A04E56">
        <w:rPr>
          <w:noProof w:val="0"/>
        </w:rPr>
        <w:t xml:space="preserve">rowth </w:t>
      </w:r>
      <w:r w:rsidRPr="00A04E56">
        <w:t xml:space="preserve">and </w:t>
      </w:r>
      <w:r w:rsidR="00B66BB6" w:rsidRPr="00A04E56">
        <w:rPr>
          <w:noProof w:val="0"/>
        </w:rPr>
        <w:t>i</w:t>
      </w:r>
      <w:r w:rsidRPr="00A04E56">
        <w:rPr>
          <w:noProof w:val="0"/>
        </w:rPr>
        <w:t>nvestment’</w:t>
      </w:r>
      <w:r w:rsidR="00B66BB6" w:rsidRPr="00A04E56">
        <w:rPr>
          <w:noProof w:val="0"/>
        </w:rPr>
        <w:t>,</w:t>
      </w:r>
      <w:r w:rsidRPr="00A04E56">
        <w:rPr>
          <w:noProof w:val="0"/>
        </w:rPr>
        <w:t xml:space="preserve"> ‘</w:t>
      </w:r>
      <w:r w:rsidR="001E13EA" w:rsidRPr="00A04E56">
        <w:rPr>
          <w:noProof w:val="0"/>
        </w:rPr>
        <w:t>d</w:t>
      </w:r>
      <w:r w:rsidRPr="00A04E56">
        <w:rPr>
          <w:noProof w:val="0"/>
        </w:rPr>
        <w:t xml:space="preserve">igital </w:t>
      </w:r>
      <w:r w:rsidR="001E13EA" w:rsidRPr="00A04E56">
        <w:rPr>
          <w:noProof w:val="0"/>
        </w:rPr>
        <w:t>s</w:t>
      </w:r>
      <w:r w:rsidRPr="00A04E56">
        <w:rPr>
          <w:noProof w:val="0"/>
        </w:rPr>
        <w:t xml:space="preserve">ingle </w:t>
      </w:r>
      <w:r w:rsidR="001E13EA" w:rsidRPr="00A04E56">
        <w:rPr>
          <w:noProof w:val="0"/>
        </w:rPr>
        <w:t>m</w:t>
      </w:r>
      <w:r w:rsidRPr="00A04E56">
        <w:rPr>
          <w:noProof w:val="0"/>
        </w:rPr>
        <w:t>arket’</w:t>
      </w:r>
      <w:r w:rsidR="00295692" w:rsidRPr="00A04E56">
        <w:rPr>
          <w:noProof w:val="0"/>
        </w:rPr>
        <w:t>,</w:t>
      </w:r>
      <w:r w:rsidRPr="00A04E56">
        <w:rPr>
          <w:noProof w:val="0"/>
        </w:rPr>
        <w:t xml:space="preserve"> ‘</w:t>
      </w:r>
      <w:r w:rsidR="001E13EA" w:rsidRPr="00A04E56">
        <w:rPr>
          <w:noProof w:val="0"/>
        </w:rPr>
        <w:t>e</w:t>
      </w:r>
      <w:r w:rsidRPr="00A04E56">
        <w:rPr>
          <w:noProof w:val="0"/>
        </w:rPr>
        <w:t>nergy</w:t>
      </w:r>
      <w:r w:rsidRPr="00A04E56">
        <w:t xml:space="preserve"> </w:t>
      </w:r>
      <w:r w:rsidR="009A0795" w:rsidRPr="00A04E56">
        <w:rPr>
          <w:noProof w:val="0"/>
        </w:rPr>
        <w:t>unio</w:t>
      </w:r>
      <w:r w:rsidRPr="00A04E56">
        <w:t xml:space="preserve">n and </w:t>
      </w:r>
      <w:r w:rsidR="001E13EA" w:rsidRPr="00A04E56">
        <w:rPr>
          <w:noProof w:val="0"/>
          <w:color w:val="auto"/>
          <w:szCs w:val="20"/>
        </w:rPr>
        <w:t>c</w:t>
      </w:r>
      <w:r w:rsidRPr="00A04E56">
        <w:rPr>
          <w:noProof w:val="0"/>
          <w:color w:val="auto"/>
          <w:szCs w:val="20"/>
        </w:rPr>
        <w:t>limate’</w:t>
      </w:r>
      <w:r w:rsidRPr="00A04E56">
        <w:rPr>
          <w:color w:val="auto"/>
          <w:szCs w:val="20"/>
        </w:rPr>
        <w:t xml:space="preserve"> and ‘</w:t>
      </w:r>
      <w:r w:rsidR="00295692" w:rsidRPr="00A04E56">
        <w:rPr>
          <w:noProof w:val="0"/>
          <w:color w:val="auto"/>
          <w:szCs w:val="20"/>
        </w:rPr>
        <w:t xml:space="preserve">a </w:t>
      </w:r>
      <w:r w:rsidR="001E13EA" w:rsidRPr="00A04E56">
        <w:rPr>
          <w:noProof w:val="0"/>
          <w:color w:val="auto"/>
          <w:szCs w:val="20"/>
        </w:rPr>
        <w:t>d</w:t>
      </w:r>
      <w:r w:rsidRPr="00A04E56">
        <w:rPr>
          <w:noProof w:val="0"/>
          <w:color w:val="auto"/>
          <w:szCs w:val="20"/>
        </w:rPr>
        <w:t>eeper</w:t>
      </w:r>
      <w:r w:rsidRPr="00A04E56">
        <w:rPr>
          <w:color w:val="auto"/>
          <w:szCs w:val="20"/>
        </w:rPr>
        <w:t xml:space="preserve"> and </w:t>
      </w:r>
      <w:r w:rsidR="001E13EA" w:rsidRPr="00A04E56">
        <w:rPr>
          <w:noProof w:val="0"/>
          <w:color w:val="auto"/>
          <w:szCs w:val="20"/>
        </w:rPr>
        <w:t>f</w:t>
      </w:r>
      <w:r w:rsidRPr="00A04E56">
        <w:rPr>
          <w:noProof w:val="0"/>
          <w:color w:val="auto"/>
          <w:szCs w:val="20"/>
        </w:rPr>
        <w:t xml:space="preserve">airer </w:t>
      </w:r>
      <w:r w:rsidR="001E13EA" w:rsidRPr="00A04E56">
        <w:rPr>
          <w:noProof w:val="0"/>
          <w:color w:val="auto"/>
          <w:szCs w:val="20"/>
        </w:rPr>
        <w:t>e</w:t>
      </w:r>
      <w:r w:rsidRPr="00A04E56">
        <w:rPr>
          <w:noProof w:val="0"/>
          <w:color w:val="auto"/>
          <w:szCs w:val="20"/>
        </w:rPr>
        <w:t>conomic</w:t>
      </w:r>
      <w:r w:rsidRPr="00A04E56">
        <w:rPr>
          <w:color w:val="auto"/>
          <w:szCs w:val="20"/>
        </w:rPr>
        <w:t xml:space="preserve"> and </w:t>
      </w:r>
      <w:r w:rsidR="001E13EA" w:rsidRPr="00A04E56">
        <w:rPr>
          <w:noProof w:val="0"/>
          <w:color w:val="auto"/>
          <w:szCs w:val="20"/>
        </w:rPr>
        <w:t>m</w:t>
      </w:r>
      <w:r w:rsidRPr="00A04E56">
        <w:rPr>
          <w:noProof w:val="0"/>
          <w:color w:val="auto"/>
          <w:szCs w:val="20"/>
        </w:rPr>
        <w:t xml:space="preserve">onetary </w:t>
      </w:r>
      <w:r w:rsidR="009A0795" w:rsidRPr="00A04E56">
        <w:rPr>
          <w:noProof w:val="0"/>
          <w:color w:val="auto"/>
          <w:szCs w:val="20"/>
        </w:rPr>
        <w:t>union</w:t>
      </w:r>
      <w:r w:rsidRPr="00A04E56">
        <w:rPr>
          <w:noProof w:val="0"/>
          <w:color w:val="auto"/>
          <w:szCs w:val="20"/>
        </w:rPr>
        <w:t>’</w:t>
      </w:r>
      <w:r w:rsidR="001E13EA" w:rsidRPr="00A04E56">
        <w:rPr>
          <w:noProof w:val="0"/>
          <w:color w:val="auto"/>
          <w:szCs w:val="20"/>
        </w:rPr>
        <w:t>.</w:t>
      </w:r>
      <w:r w:rsidR="00531C27" w:rsidRPr="00A04E56">
        <w:rPr>
          <w:color w:val="auto"/>
          <w:szCs w:val="20"/>
        </w:rPr>
        <w:t xml:space="preserve"> </w:t>
      </w:r>
      <w:r w:rsidR="00BD6449" w:rsidRPr="00A04E56">
        <w:t>Improving</w:t>
      </w:r>
      <w:r w:rsidRPr="00A04E56">
        <w:rPr>
          <w:b/>
          <w:color w:val="auto"/>
          <w:szCs w:val="20"/>
        </w:rPr>
        <w:t xml:space="preserve"> </w:t>
      </w:r>
      <w:r w:rsidR="00B6180F" w:rsidRPr="00A04E56">
        <w:rPr>
          <w:rStyle w:val="BOLDLIGHTBLUEReport"/>
          <w:rFonts w:eastAsiaTheme="minorHAnsi"/>
        </w:rPr>
        <w:t>c</w:t>
      </w:r>
      <w:r w:rsidRPr="00A04E56">
        <w:rPr>
          <w:rStyle w:val="BOLDLIGHTBLUEReport"/>
          <w:rFonts w:eastAsiaTheme="minorHAnsi"/>
        </w:rPr>
        <w:t>ompetitiveness and boost</w:t>
      </w:r>
      <w:r w:rsidR="00BD6449" w:rsidRPr="00A04E56">
        <w:rPr>
          <w:rStyle w:val="BOLDLIGHTBLUEReport"/>
          <w:rFonts w:eastAsiaTheme="minorHAnsi"/>
        </w:rPr>
        <w:t>ing</w:t>
      </w:r>
      <w:r w:rsidRPr="00A04E56">
        <w:rPr>
          <w:rStyle w:val="BOLDLIGHTBLUEReport"/>
          <w:rFonts w:eastAsiaTheme="minorHAnsi"/>
        </w:rPr>
        <w:t xml:space="preserve"> sustainable jobs and growth</w:t>
      </w:r>
      <w:r w:rsidR="00BD6449" w:rsidRPr="00A04E56">
        <w:rPr>
          <w:rStyle w:val="BOLDLIGHTBLUEReport"/>
          <w:rFonts w:eastAsiaTheme="minorHAnsi"/>
        </w:rPr>
        <w:t xml:space="preserve"> </w:t>
      </w:r>
      <w:r w:rsidR="00373CFC">
        <w:t xml:space="preserve">are </w:t>
      </w:r>
      <w:r w:rsidR="001F5593">
        <w:t>core</w:t>
      </w:r>
      <w:r w:rsidR="00373CFC" w:rsidRPr="00277538">
        <w:t xml:space="preserve"> of the discussions on </w:t>
      </w:r>
      <w:r w:rsidR="00BD6449" w:rsidRPr="00277538">
        <w:t xml:space="preserve">the </w:t>
      </w:r>
      <w:r w:rsidR="001E13EA" w:rsidRPr="00277538">
        <w:t>s</w:t>
      </w:r>
      <w:r w:rsidR="00BD6449" w:rsidRPr="00277538">
        <w:t xml:space="preserve">trategic </w:t>
      </w:r>
      <w:r w:rsidR="001E13EA" w:rsidRPr="00277538">
        <w:t>a</w:t>
      </w:r>
      <w:r w:rsidR="005B45CE" w:rsidRPr="00277538">
        <w:t>genda</w:t>
      </w:r>
      <w:r w:rsidR="001F5593">
        <w:t xml:space="preserve"> for the future. </w:t>
      </w:r>
    </w:p>
    <w:p w14:paraId="71A858C7" w14:textId="46E499A2" w:rsidR="009D152F" w:rsidRPr="00A04E56" w:rsidRDefault="009D152F" w:rsidP="00B513F6">
      <w:pPr>
        <w:pStyle w:val="Title2Report"/>
      </w:pPr>
      <w:bookmarkStart w:id="29" w:name="_Toc12020993"/>
      <w:r w:rsidRPr="00A04E56" w:rsidDel="009F0415">
        <w:t>Horizon</w:t>
      </w:r>
      <w:r w:rsidR="009F0415" w:rsidRPr="00A04E56">
        <w:rPr>
          <w:rFonts w:cs="Calibri"/>
        </w:rPr>
        <w:t> </w:t>
      </w:r>
      <w:r w:rsidR="009F0415" w:rsidRPr="00A04E56">
        <w:t>2020</w:t>
      </w:r>
      <w:bookmarkEnd w:id="29"/>
    </w:p>
    <w:p w14:paraId="6262BDE8" w14:textId="6CF2C50B" w:rsidR="009D152F" w:rsidRPr="00A04E56" w:rsidRDefault="00821050" w:rsidP="00AA0340">
      <w:pPr>
        <w:pStyle w:val="Title3NumberedReport"/>
      </w:pPr>
      <w:r w:rsidRPr="00A04E56">
        <w:t>P</w:t>
      </w:r>
      <w:r w:rsidR="009D152F" w:rsidRPr="00A04E56">
        <w:t>rogramme objectives</w:t>
      </w:r>
    </w:p>
    <w:p w14:paraId="011C519D" w14:textId="7863714E" w:rsidR="009D152F" w:rsidRPr="00A04E56" w:rsidRDefault="009D152F" w:rsidP="005D6D6C">
      <w:pPr>
        <w:pStyle w:val="BodyText1spaceafter"/>
      </w:pPr>
      <w:r w:rsidRPr="00A04E56" w:rsidDel="009F0415">
        <w:t>Horizon</w:t>
      </w:r>
      <w:r w:rsidR="009F0415" w:rsidRPr="00A04E56">
        <w:rPr>
          <w:rFonts w:cs="Calibri"/>
          <w:noProof w:val="0"/>
        </w:rPr>
        <w:t> </w:t>
      </w:r>
      <w:r w:rsidR="009F0415" w:rsidRPr="00A04E56">
        <w:rPr>
          <w:noProof w:val="0"/>
        </w:rPr>
        <w:t>2020</w:t>
      </w:r>
      <w:r w:rsidRPr="00A04E56">
        <w:t xml:space="preserve">, the EU </w:t>
      </w:r>
      <w:r w:rsidR="001E13EA" w:rsidRPr="00A04E56">
        <w:t>f</w:t>
      </w:r>
      <w:r w:rsidRPr="00A04E56">
        <w:t xml:space="preserve">ramework </w:t>
      </w:r>
      <w:r w:rsidR="001E13EA" w:rsidRPr="00A04E56">
        <w:t>p</w:t>
      </w:r>
      <w:r w:rsidRPr="00A04E56">
        <w:t xml:space="preserve">rogramme for </w:t>
      </w:r>
      <w:r w:rsidR="001E13EA" w:rsidRPr="00A04E56">
        <w:t>r</w:t>
      </w:r>
      <w:r w:rsidRPr="00A04E56">
        <w:t xml:space="preserve">esearch and </w:t>
      </w:r>
      <w:r w:rsidR="001E13EA" w:rsidRPr="00A04E56">
        <w:t>i</w:t>
      </w:r>
      <w:r w:rsidRPr="00A04E56">
        <w:t>nnovation</w:t>
      </w:r>
      <w:r w:rsidR="000970F5" w:rsidRPr="00A04E56">
        <w:t xml:space="preserve">, </w:t>
      </w:r>
      <w:r w:rsidRPr="00A04E56">
        <w:t>is the world’s largest transnational research</w:t>
      </w:r>
      <w:r w:rsidR="001E13EA" w:rsidRPr="00A04E56">
        <w:t>-</w:t>
      </w:r>
      <w:r w:rsidRPr="00A04E56">
        <w:t xml:space="preserve">funding programme. It is also the biggest EU </w:t>
      </w:r>
      <w:r w:rsidR="001E13EA" w:rsidRPr="00A04E56">
        <w:t>r</w:t>
      </w:r>
      <w:r w:rsidRPr="00A04E56">
        <w:t xml:space="preserve">esearch and </w:t>
      </w:r>
      <w:r w:rsidR="001E13EA" w:rsidRPr="00A04E56">
        <w:t>i</w:t>
      </w:r>
      <w:r w:rsidRPr="00A04E56">
        <w:t>nnovation programme ever with nearly EUR</w:t>
      </w:r>
      <w:r w:rsidR="00A827FD" w:rsidRPr="00A04E56">
        <w:rPr>
          <w:rFonts w:cs="Calibri"/>
          <w:noProof w:val="0"/>
        </w:rPr>
        <w:t> </w:t>
      </w:r>
      <w:r w:rsidRPr="00A04E56">
        <w:t>80</w:t>
      </w:r>
      <w:r w:rsidR="00A827FD" w:rsidRPr="00A04E56">
        <w:rPr>
          <w:rFonts w:cs="Calibri"/>
          <w:noProof w:val="0"/>
        </w:rPr>
        <w:t> </w:t>
      </w:r>
      <w:r w:rsidRPr="00A04E56">
        <w:t xml:space="preserve">billion of funding available over </w:t>
      </w:r>
      <w:r w:rsidR="00A827FD" w:rsidRPr="00A04E56">
        <w:rPr>
          <w:noProof w:val="0"/>
        </w:rPr>
        <w:t>7 </w:t>
      </w:r>
      <w:r w:rsidRPr="00A04E56">
        <w:t xml:space="preserve">years (2014 to 2020). In addition, </w:t>
      </w:r>
      <w:r w:rsidRPr="00A04E56" w:rsidDel="009F0415">
        <w:t>Horizon</w:t>
      </w:r>
      <w:r w:rsidR="009F0415" w:rsidRPr="00A04E56">
        <w:rPr>
          <w:rFonts w:cs="Calibri"/>
          <w:noProof w:val="0"/>
        </w:rPr>
        <w:t> </w:t>
      </w:r>
      <w:r w:rsidR="009F0415" w:rsidRPr="00A04E56">
        <w:rPr>
          <w:noProof w:val="0"/>
        </w:rPr>
        <w:t>2020</w:t>
      </w:r>
      <w:r w:rsidRPr="00A04E56">
        <w:t xml:space="preserve"> has leveraged approximately EUR</w:t>
      </w:r>
      <w:r w:rsidR="00A827FD" w:rsidRPr="00A04E56">
        <w:rPr>
          <w:rFonts w:cs="Calibri"/>
          <w:noProof w:val="0"/>
        </w:rPr>
        <w:t> </w:t>
      </w:r>
      <w:r w:rsidRPr="00A04E56">
        <w:t>13</w:t>
      </w:r>
      <w:r w:rsidR="00A827FD" w:rsidRPr="00A04E56">
        <w:rPr>
          <w:rFonts w:cs="Calibri"/>
          <w:noProof w:val="0"/>
        </w:rPr>
        <w:t> </w:t>
      </w:r>
      <w:r w:rsidRPr="00A04E56">
        <w:t>billion of private funds and has mobilised EUR</w:t>
      </w:r>
      <w:r w:rsidR="00A827FD" w:rsidRPr="00A04E56">
        <w:rPr>
          <w:rFonts w:cs="Calibri"/>
          <w:noProof w:val="0"/>
        </w:rPr>
        <w:t> </w:t>
      </w:r>
      <w:r w:rsidRPr="00A04E56">
        <w:t>29.6</w:t>
      </w:r>
      <w:r w:rsidR="00A827FD" w:rsidRPr="00A04E56">
        <w:rPr>
          <w:rFonts w:cs="Calibri"/>
          <w:noProof w:val="0"/>
        </w:rPr>
        <w:t> </w:t>
      </w:r>
      <w:r w:rsidRPr="00A04E56">
        <w:t>billion</w:t>
      </w:r>
      <w:r w:rsidR="001E13EA" w:rsidRPr="00A04E56">
        <w:t xml:space="preserve"> via debt financing</w:t>
      </w:r>
      <w:r w:rsidRPr="00A04E56">
        <w:t>.</w:t>
      </w:r>
    </w:p>
    <w:p w14:paraId="306F2EEC" w14:textId="748E87AD" w:rsidR="009D152F" w:rsidRPr="00A54672" w:rsidRDefault="009D152F" w:rsidP="005D6D6C">
      <w:pPr>
        <w:pStyle w:val="BodyText1spaceafter"/>
        <w:rPr>
          <w:spacing w:val="-4"/>
        </w:rPr>
      </w:pPr>
      <w:r w:rsidRPr="00A54672">
        <w:rPr>
          <w:spacing w:val="-4"/>
        </w:rPr>
        <w:t xml:space="preserve">The programme plays a central role in providing a common strategic framework for the </w:t>
      </w:r>
      <w:r w:rsidR="009A0795" w:rsidRPr="00A54672">
        <w:rPr>
          <w:spacing w:val="-4"/>
        </w:rPr>
        <w:t>EU</w:t>
      </w:r>
      <w:r w:rsidR="001E13EA" w:rsidRPr="00A54672">
        <w:rPr>
          <w:spacing w:val="-4"/>
        </w:rPr>
        <w:t>’</w:t>
      </w:r>
      <w:r w:rsidRPr="00A54672">
        <w:rPr>
          <w:spacing w:val="-4"/>
        </w:rPr>
        <w:t xml:space="preserve">s research and innovation funding. Its goal is to ensure Europe produces world-class science and technology, to remove barriers to innovation and to make it easier for the public and private sectors to work together in delivering solutions to </w:t>
      </w:r>
      <w:r w:rsidR="00BF4270" w:rsidRPr="00A54672">
        <w:rPr>
          <w:spacing w:val="-4"/>
        </w:rPr>
        <w:t xml:space="preserve">major </w:t>
      </w:r>
      <w:r w:rsidRPr="00A54672">
        <w:rPr>
          <w:spacing w:val="-4"/>
        </w:rPr>
        <w:t xml:space="preserve">challenges </w:t>
      </w:r>
      <w:r w:rsidR="001E13EA" w:rsidRPr="00A54672">
        <w:rPr>
          <w:spacing w:val="-4"/>
        </w:rPr>
        <w:t>that</w:t>
      </w:r>
      <w:r w:rsidRPr="00A54672">
        <w:rPr>
          <w:spacing w:val="-4"/>
        </w:rPr>
        <w:t xml:space="preserve"> our society</w:t>
      </w:r>
      <w:r w:rsidR="001E13EA" w:rsidRPr="00A54672">
        <w:rPr>
          <w:spacing w:val="-4"/>
        </w:rPr>
        <w:t xml:space="preserve"> </w:t>
      </w:r>
      <w:r w:rsidRPr="00A54672">
        <w:rPr>
          <w:spacing w:val="-4"/>
        </w:rPr>
        <w:t>fac</w:t>
      </w:r>
      <w:r w:rsidR="001E13EA" w:rsidRPr="00A54672">
        <w:rPr>
          <w:spacing w:val="-4"/>
        </w:rPr>
        <w:t>es</w:t>
      </w:r>
      <w:r w:rsidRPr="00A54672">
        <w:rPr>
          <w:spacing w:val="-4"/>
        </w:rPr>
        <w:t xml:space="preserve">. </w:t>
      </w:r>
      <w:r w:rsidR="00D11131" w:rsidRPr="00A54672">
        <w:rPr>
          <w:spacing w:val="-4"/>
        </w:rPr>
        <w:t>EU support for research and innovation adds value by encouraging cooperation between research teams across countries and disciplines</w:t>
      </w:r>
      <w:r w:rsidR="001E13EA" w:rsidRPr="00A54672">
        <w:rPr>
          <w:spacing w:val="-4"/>
        </w:rPr>
        <w:t>, which</w:t>
      </w:r>
      <w:r w:rsidR="00D11131" w:rsidRPr="00A54672">
        <w:rPr>
          <w:spacing w:val="-4"/>
        </w:rPr>
        <w:t xml:space="preserve"> is vital in making breakthrough discoveries. It allows the EU to deliver on priorities such as the Paris </w:t>
      </w:r>
      <w:r w:rsidR="001E13EA" w:rsidRPr="00A54672">
        <w:rPr>
          <w:spacing w:val="-4"/>
        </w:rPr>
        <w:t>A</w:t>
      </w:r>
      <w:r w:rsidR="00D11131" w:rsidRPr="00A54672">
        <w:rPr>
          <w:spacing w:val="-4"/>
        </w:rPr>
        <w:t xml:space="preserve">greement on </w:t>
      </w:r>
      <w:r w:rsidR="00295692" w:rsidRPr="00A54672">
        <w:rPr>
          <w:spacing w:val="-4"/>
        </w:rPr>
        <w:t>c</w:t>
      </w:r>
      <w:r w:rsidR="00D11131" w:rsidRPr="00A54672">
        <w:rPr>
          <w:spacing w:val="-4"/>
        </w:rPr>
        <w:t>limate change.</w:t>
      </w:r>
    </w:p>
    <w:p w14:paraId="3F882795" w14:textId="7D9CF4F5" w:rsidR="00BB5BDF" w:rsidRPr="00A54672" w:rsidRDefault="00BB5BDF" w:rsidP="00BB3C69">
      <w:pPr>
        <w:pStyle w:val="BodyText1spaceafter"/>
        <w:rPr>
          <w:rFonts w:cstheme="minorHAnsi"/>
          <w:spacing w:val="-4"/>
          <w:szCs w:val="20"/>
        </w:rPr>
      </w:pPr>
      <w:r w:rsidRPr="00A54672">
        <w:rPr>
          <w:spacing w:val="-4"/>
        </w:rPr>
        <w:t>The general objective of this program</w:t>
      </w:r>
      <w:r w:rsidR="001E13EA" w:rsidRPr="00A54672">
        <w:rPr>
          <w:spacing w:val="-4"/>
        </w:rPr>
        <w:t>me</w:t>
      </w:r>
      <w:r w:rsidRPr="00A54672">
        <w:rPr>
          <w:spacing w:val="-4"/>
        </w:rPr>
        <w:t xml:space="preserve"> is to </w:t>
      </w:r>
      <w:r w:rsidRPr="00A54672">
        <w:rPr>
          <w:rFonts w:cstheme="minorHAnsi"/>
          <w:spacing w:val="-4"/>
          <w:szCs w:val="20"/>
        </w:rPr>
        <w:t xml:space="preserve">build a society and an economy based on knowledge and innovation across the whole </w:t>
      </w:r>
      <w:r w:rsidR="009A0795" w:rsidRPr="00A54672">
        <w:rPr>
          <w:rFonts w:cstheme="minorHAnsi"/>
          <w:spacing w:val="-4"/>
          <w:szCs w:val="20"/>
        </w:rPr>
        <w:t>EU</w:t>
      </w:r>
      <w:r w:rsidRPr="00A54672">
        <w:rPr>
          <w:rFonts w:cstheme="minorHAnsi"/>
          <w:spacing w:val="-4"/>
          <w:szCs w:val="20"/>
        </w:rPr>
        <w:t xml:space="preserve"> while contributing to sustainable development. The specific objectives are</w:t>
      </w:r>
      <w:r w:rsidR="001E13EA" w:rsidRPr="00A54672">
        <w:rPr>
          <w:rFonts w:cstheme="minorHAnsi"/>
          <w:spacing w:val="-4"/>
          <w:szCs w:val="20"/>
        </w:rPr>
        <w:t xml:space="preserve"> the following.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062E71" w:rsidRPr="00A04E56" w14:paraId="0435064F" w14:textId="77777777" w:rsidTr="00F76EA1">
        <w:trPr>
          <w:trHeight w:val="90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9648038" w14:textId="52DC1155" w:rsidR="007F0180" w:rsidRPr="00A04E56" w:rsidRDefault="00F97C45" w:rsidP="00277538">
            <w:pPr>
              <w:spacing w:line="276" w:lineRule="auto"/>
              <w:jc w:val="center"/>
              <w:rPr>
                <w:rFonts w:cstheme="minorHAnsi"/>
                <w:szCs w:val="20"/>
              </w:rPr>
            </w:pPr>
            <w:r w:rsidRPr="00A04E56">
              <w:rPr>
                <w:noProof/>
                <w:lang w:val="fr-BE" w:eastAsia="fr-BE"/>
              </w:rPr>
              <w:drawing>
                <wp:inline distT="0" distB="0" distL="0" distR="0" wp14:anchorId="56137435" wp14:editId="0DCBB7E4">
                  <wp:extent cx="468000" cy="468000"/>
                  <wp:effectExtent l="0" t="0" r="8255" b="8255"/>
                  <wp:docPr id="4" name="Picture 4" descr="G:\Production\B2 prepresse\Raimonds\2019.1745 AMPR\50 - work on images\AMPR Icons\AMPR Icons_Send1\AMPR Icons_Send1\Icon_10110_H2020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Production\B2 prepresse\Raimonds\2019.1745 AMPR\50 - work on images\AMPR Icons\AMPR Icons_Send1\AMPR Icons_Send1\Icon_10110_H2020_01.emf"/>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16B388FC" w14:textId="3DF9F623" w:rsidR="009D152F" w:rsidRPr="00A04E56" w:rsidRDefault="009D152F" w:rsidP="00277538">
            <w:pPr>
              <w:spacing w:line="276" w:lineRule="auto"/>
              <w:rPr>
                <w:rFonts w:cstheme="minorHAnsi"/>
                <w:szCs w:val="20"/>
              </w:rPr>
            </w:pPr>
            <w:r w:rsidRPr="00A04E56">
              <w:rPr>
                <w:rFonts w:cstheme="minorHAnsi"/>
                <w:szCs w:val="20"/>
              </w:rPr>
              <w:t>Generating excellent science and widening participation</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35DD9975" w14:textId="773F6724" w:rsidR="00C8027B" w:rsidRPr="00A04E56" w:rsidRDefault="00F97C45" w:rsidP="00277538">
            <w:pPr>
              <w:spacing w:line="276" w:lineRule="auto"/>
              <w:jc w:val="center"/>
              <w:rPr>
                <w:rFonts w:cstheme="minorHAnsi"/>
                <w:szCs w:val="20"/>
                <w:lang w:eastAsia="hu-HU"/>
              </w:rPr>
            </w:pPr>
            <w:r w:rsidRPr="00A04E56">
              <w:rPr>
                <w:noProof/>
                <w:lang w:val="fr-BE" w:eastAsia="fr-BE"/>
              </w:rPr>
              <w:drawing>
                <wp:inline distT="0" distB="0" distL="0" distR="0" wp14:anchorId="6B0DC6CB" wp14:editId="5B5A6750">
                  <wp:extent cx="468000" cy="468000"/>
                  <wp:effectExtent l="0" t="0" r="8255" b="8255"/>
                  <wp:docPr id="31" name="Picture 31" descr="G:\Production\B2 prepresse\Raimonds\2019.1745 AMPR\50 - work on images\AMPR Icons\AMPR Icons_Send1\AMPR Icons_Send1\Icon_10110_H2020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Production\B2 prepresse\Raimonds\2019.1745 AMPR\50 - work on images\AMPR Icons\AMPR Icons_Send1\AMPR Icons_Send1\Icon_10110_H2020_03.emf"/>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008FF3F" w14:textId="591FD93B" w:rsidR="009D152F" w:rsidRPr="00A04E56" w:rsidRDefault="009D152F" w:rsidP="00277538">
            <w:pPr>
              <w:spacing w:line="276" w:lineRule="auto"/>
              <w:rPr>
                <w:rFonts w:cstheme="minorHAnsi"/>
                <w:szCs w:val="20"/>
              </w:rPr>
            </w:pPr>
            <w:r w:rsidRPr="00A04E56">
              <w:rPr>
                <w:rFonts w:cstheme="minorHAnsi"/>
                <w:szCs w:val="20"/>
              </w:rPr>
              <w:t>Boosting Europe’s industrial leadership</w:t>
            </w:r>
          </w:p>
        </w:tc>
      </w:tr>
      <w:tr w:rsidR="00062E71" w:rsidRPr="00A04E56" w14:paraId="2A3C381E" w14:textId="77777777" w:rsidTr="00F76EA1">
        <w:trPr>
          <w:trHeight w:val="90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26D8C13B" w14:textId="43F3CD6C" w:rsidR="005B6A10" w:rsidRPr="00A04E56" w:rsidRDefault="00F97C45" w:rsidP="00277538">
            <w:pPr>
              <w:spacing w:line="276" w:lineRule="auto"/>
              <w:jc w:val="center"/>
              <w:rPr>
                <w:rFonts w:cstheme="minorHAnsi"/>
                <w:szCs w:val="20"/>
                <w:lang w:eastAsia="hu-HU"/>
              </w:rPr>
            </w:pPr>
            <w:r w:rsidRPr="00A04E56">
              <w:rPr>
                <w:noProof/>
                <w:lang w:val="fr-BE" w:eastAsia="fr-BE"/>
              </w:rPr>
              <w:drawing>
                <wp:inline distT="0" distB="0" distL="0" distR="0" wp14:anchorId="3DFCD597" wp14:editId="363A5ED3">
                  <wp:extent cx="468000" cy="468000"/>
                  <wp:effectExtent l="0" t="0" r="8255" b="8255"/>
                  <wp:docPr id="20" name="Picture 20" descr="G:\Production\B2 prepresse\Raimonds\2019.1745 AMPR\50 - work on images\AMPR Icons\AMPR Icons_Send1\AMPR Icons_Send1\Icon_10110_H2020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Production\B2 prepresse\Raimonds\2019.1745 AMPR\50 - work on images\AMPR Icons\AMPR Icons_Send1\AMPR Icons_Send1\Icon_10110_H2020_04.emf"/>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029AFE45" w14:textId="096E4B2D" w:rsidR="009D152F" w:rsidRPr="00A04E56" w:rsidRDefault="009D152F" w:rsidP="00277538">
            <w:pPr>
              <w:spacing w:line="276" w:lineRule="auto"/>
              <w:rPr>
                <w:rFonts w:cstheme="minorHAnsi"/>
                <w:szCs w:val="20"/>
              </w:rPr>
            </w:pPr>
            <w:r w:rsidRPr="00A04E56">
              <w:rPr>
                <w:rFonts w:cstheme="minorHAnsi"/>
                <w:szCs w:val="20"/>
              </w:rPr>
              <w:t>Tackling</w:t>
            </w:r>
            <w:r w:rsidRPr="00A04E56" w:rsidDel="00603676">
              <w:rPr>
                <w:rFonts w:cstheme="minorHAnsi"/>
                <w:szCs w:val="20"/>
              </w:rPr>
              <w:t xml:space="preserve"> </w:t>
            </w:r>
            <w:r w:rsidR="00BF4270" w:rsidRPr="00A04E56">
              <w:rPr>
                <w:rFonts w:cstheme="minorHAnsi"/>
                <w:szCs w:val="20"/>
              </w:rPr>
              <w:t>societal</w:t>
            </w:r>
            <w:r w:rsidRPr="00A04E56">
              <w:rPr>
                <w:rFonts w:cstheme="minorHAnsi"/>
                <w:szCs w:val="20"/>
              </w:rPr>
              <w:t xml:space="preserve"> challenges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7CC764F" w14:textId="44D39021" w:rsidR="005B6A10" w:rsidRPr="00A04E56" w:rsidRDefault="00F97C45" w:rsidP="00277538">
            <w:pPr>
              <w:spacing w:line="276" w:lineRule="auto"/>
              <w:jc w:val="center"/>
              <w:rPr>
                <w:lang w:eastAsia="hu-HU"/>
              </w:rPr>
            </w:pPr>
            <w:r w:rsidRPr="00A04E56">
              <w:rPr>
                <w:noProof/>
                <w:lang w:val="fr-BE" w:eastAsia="fr-BE"/>
              </w:rPr>
              <w:drawing>
                <wp:inline distT="0" distB="0" distL="0" distR="0" wp14:anchorId="016A7FCC" wp14:editId="78549AAB">
                  <wp:extent cx="468000" cy="468000"/>
                  <wp:effectExtent l="0" t="0" r="8255" b="8255"/>
                  <wp:docPr id="225" name="Picture 225" descr="G:\Production\B2 prepresse\Raimonds\2019.1745 AMPR\50 - work on images\AMPR Icons\AMPR Icons_Send1\AMPR Icons_Send1\Icon_10110_H2020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roduction\B2 prepresse\Raimonds\2019.1745 AMPR\50 - work on images\AMPR Icons\AMPR Icons_Send1\AMPR Icons_Send1\Icon_10110_H2020_05.emf"/>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620251A" w14:textId="3469BEE0" w:rsidR="009D152F" w:rsidRPr="00A04E56" w:rsidRDefault="009D152F" w:rsidP="00277538">
            <w:pPr>
              <w:spacing w:line="276" w:lineRule="auto"/>
              <w:rPr>
                <w:rFonts w:cstheme="minorHAnsi"/>
                <w:szCs w:val="20"/>
              </w:rPr>
            </w:pPr>
            <w:r w:rsidRPr="00A04E56">
              <w:rPr>
                <w:rFonts w:cstheme="minorHAnsi"/>
                <w:szCs w:val="20"/>
              </w:rPr>
              <w:t>Promoting science with and for society</w:t>
            </w:r>
          </w:p>
        </w:tc>
      </w:tr>
    </w:tbl>
    <w:p w14:paraId="48C1BD45" w14:textId="44C40F18" w:rsidR="00C01D29" w:rsidRPr="00A04E56" w:rsidRDefault="008C1D39" w:rsidP="00F61961">
      <w:pPr>
        <w:pStyle w:val="Title3NumberedReport"/>
        <w:spacing w:before="480"/>
      </w:pPr>
      <w:r w:rsidRPr="00A04E56">
        <w:t>Implementation and latest achievements</w:t>
      </w:r>
    </w:p>
    <w:p w14:paraId="71C6ECEA" w14:textId="053A5D9F" w:rsidR="005C7FAB" w:rsidRPr="00A04E56" w:rsidRDefault="00C01D29" w:rsidP="00A54672">
      <w:pPr>
        <w:pStyle w:val="BodyText1spaceafter"/>
        <w:spacing w:after="400"/>
      </w:pPr>
      <w:r w:rsidRPr="00A04E56">
        <w:t xml:space="preserve">By the end of 2018, 679 </w:t>
      </w:r>
      <w:r w:rsidRPr="00A04E56" w:rsidDel="009F0415">
        <w:t>Horizon</w:t>
      </w:r>
      <w:r w:rsidR="009F0415" w:rsidRPr="00A04E56">
        <w:rPr>
          <w:rFonts w:cs="Calibri"/>
          <w:noProof w:val="0"/>
        </w:rPr>
        <w:t> </w:t>
      </w:r>
      <w:r w:rsidR="009F0415" w:rsidRPr="00A04E56">
        <w:rPr>
          <w:noProof w:val="0"/>
        </w:rPr>
        <w:t>2020</w:t>
      </w:r>
      <w:r w:rsidRPr="00A04E56">
        <w:t xml:space="preserve"> calls for proposals </w:t>
      </w:r>
      <w:r w:rsidR="003A4678" w:rsidRPr="00A04E56">
        <w:t xml:space="preserve">had been </w:t>
      </w:r>
      <w:r w:rsidRPr="00A04E56">
        <w:t>concluded. Beneficiaries responded massively to these call</w:t>
      </w:r>
      <w:r w:rsidR="00BF4270" w:rsidRPr="00A04E56">
        <w:t>s</w:t>
      </w:r>
      <w:r w:rsidRPr="00A04E56">
        <w:t xml:space="preserve"> and submitted almost 192</w:t>
      </w:r>
      <w:r w:rsidR="003A4678" w:rsidRPr="00A04E56">
        <w:rPr>
          <w:rFonts w:cs="Calibri"/>
          <w:noProof w:val="0"/>
        </w:rPr>
        <w:t> </w:t>
      </w:r>
      <w:r w:rsidR="006221A4" w:rsidRPr="00A04E56">
        <w:rPr>
          <w:noProof w:val="0"/>
        </w:rPr>
        <w:t>000</w:t>
      </w:r>
      <w:r w:rsidRPr="00A04E56">
        <w:t xml:space="preserve"> eligible proposals, requesting a total EU financial contribution of EUR</w:t>
      </w:r>
      <w:r w:rsidR="009F559A" w:rsidRPr="00A04E56">
        <w:rPr>
          <w:rFonts w:cs="Calibri"/>
          <w:noProof w:val="0"/>
        </w:rPr>
        <w:t> </w:t>
      </w:r>
      <w:r w:rsidRPr="00A04E56">
        <w:t>290</w:t>
      </w:r>
      <w:r w:rsidR="009F559A" w:rsidRPr="00A04E56">
        <w:rPr>
          <w:rFonts w:cs="Calibri"/>
          <w:noProof w:val="0"/>
        </w:rPr>
        <w:t> </w:t>
      </w:r>
      <w:r w:rsidRPr="00A04E56">
        <w:t>billion. Out of these, 23</w:t>
      </w:r>
      <w:r w:rsidR="003A4678" w:rsidRPr="00A04E56">
        <w:rPr>
          <w:rFonts w:cs="Calibri"/>
          <w:noProof w:val="0"/>
        </w:rPr>
        <w:t> </w:t>
      </w:r>
      <w:r w:rsidRPr="00A04E56">
        <w:t xml:space="preserve">250 proposals were retained for funding, bringing the overall success rate of eligible full proposals in the first </w:t>
      </w:r>
      <w:r w:rsidR="009F559A" w:rsidRPr="00A04E56">
        <w:rPr>
          <w:noProof w:val="0"/>
        </w:rPr>
        <w:t>5 </w:t>
      </w:r>
      <w:r w:rsidRPr="00A04E56">
        <w:t>years to 12%. A total of 21</w:t>
      </w:r>
      <w:r w:rsidR="003A4678" w:rsidRPr="00A04E56">
        <w:rPr>
          <w:rFonts w:cs="Calibri"/>
        </w:rPr>
        <w:t> </w:t>
      </w:r>
      <w:r w:rsidRPr="00A04E56">
        <w:t>599 grant agreements were signed by the end of December 2018, with a budget allocation of EUR</w:t>
      </w:r>
      <w:r w:rsidR="009F559A" w:rsidRPr="00A04E56">
        <w:rPr>
          <w:rFonts w:cs="Calibri"/>
          <w:noProof w:val="0"/>
        </w:rPr>
        <w:t> </w:t>
      </w:r>
      <w:r w:rsidR="009A6371" w:rsidRPr="00A04E56">
        <w:t>39</w:t>
      </w:r>
      <w:r w:rsidR="009F559A" w:rsidRPr="00A04E56">
        <w:rPr>
          <w:rFonts w:cs="Calibri"/>
          <w:noProof w:val="0"/>
        </w:rPr>
        <w:t> </w:t>
      </w:r>
      <w:r w:rsidRPr="00A04E56">
        <w:t>billion in EU funding. This allocation is expected to grow even more as some of the grants from the 2018 calls will be signed in 2019.</w:t>
      </w:r>
    </w:p>
    <w:tbl>
      <w:tblPr>
        <w:tblStyle w:val="TableGrid2"/>
        <w:tblW w:w="9072" w:type="dxa"/>
        <w:jc w:val="cente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blBorders>
        <w:tblCellMar>
          <w:left w:w="170" w:type="dxa"/>
          <w:right w:w="170" w:type="dxa"/>
        </w:tblCellMar>
        <w:tblLook w:val="04A0" w:firstRow="1" w:lastRow="0" w:firstColumn="1" w:lastColumn="0" w:noHBand="0" w:noVBand="1"/>
      </w:tblPr>
      <w:tblGrid>
        <w:gridCol w:w="1817"/>
        <w:gridCol w:w="1813"/>
        <w:gridCol w:w="1810"/>
        <w:gridCol w:w="1815"/>
        <w:gridCol w:w="1817"/>
      </w:tblGrid>
      <w:tr w:rsidR="0074217D" w:rsidRPr="00A04E56" w14:paraId="03BB41F3" w14:textId="77777777" w:rsidTr="00F76EA1">
        <w:trPr>
          <w:trHeight w:val="850"/>
          <w:jc w:val="center"/>
        </w:trPr>
        <w:tc>
          <w:tcPr>
            <w:tcW w:w="1842" w:type="dxa"/>
            <w:shd w:val="clear" w:color="auto" w:fill="E0F1F4"/>
            <w:vAlign w:val="center"/>
          </w:tcPr>
          <w:p w14:paraId="34789654" w14:textId="77777777" w:rsidR="006C24AC" w:rsidRPr="00277538" w:rsidRDefault="006C24AC" w:rsidP="00F76EA1">
            <w:pPr>
              <w:keepNext/>
              <w:jc w:val="center"/>
              <w:rPr>
                <w:rFonts w:eastAsia="Calibri"/>
                <w:szCs w:val="20"/>
              </w:rPr>
            </w:pPr>
            <w:r w:rsidRPr="00277538">
              <w:rPr>
                <w:rFonts w:eastAsia="Calibri"/>
                <w:noProof/>
                <w:szCs w:val="20"/>
                <w:lang w:val="fr-BE" w:eastAsia="fr-BE"/>
              </w:rPr>
              <mc:AlternateContent>
                <mc:Choice Requires="wpg">
                  <w:drawing>
                    <wp:inline distT="0" distB="0" distL="0" distR="0" wp14:anchorId="31BA180A" wp14:editId="60BE800A">
                      <wp:extent cx="467995" cy="467995"/>
                      <wp:effectExtent l="0" t="0" r="8255" b="8255"/>
                      <wp:docPr id="368" name="Group 368"/>
                      <wp:cNvGraphicFramePr/>
                      <a:graphic xmlns:a="http://schemas.openxmlformats.org/drawingml/2006/main">
                        <a:graphicData uri="http://schemas.microsoft.com/office/word/2010/wordprocessingGroup">
                          <wpg:wgp>
                            <wpg:cNvGrpSpPr/>
                            <wpg:grpSpPr>
                              <a:xfrm>
                                <a:off x="0" y="0"/>
                                <a:ext cx="467995" cy="467995"/>
                                <a:chOff x="2540" y="0"/>
                                <a:chExt cx="742950" cy="749300"/>
                              </a:xfrm>
                            </wpg:grpSpPr>
                            <wps:wsp>
                              <wps:cNvPr id="369" name="Oval 5"/>
                              <wps:cNvSpPr>
                                <a:spLocks noChangeArrowheads="1"/>
                              </wps:cNvSpPr>
                              <wps:spPr bwMode="auto">
                                <a:xfrm>
                                  <a:off x="2540" y="0"/>
                                  <a:ext cx="742950"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0" name="Group 370"/>
                              <wpg:cNvGrpSpPr/>
                              <wpg:grpSpPr>
                                <a:xfrm>
                                  <a:off x="176530" y="216535"/>
                                  <a:ext cx="421005" cy="345440"/>
                                  <a:chOff x="176530" y="216535"/>
                                  <a:chExt cx="421005" cy="345440"/>
                                </a:xfrm>
                              </wpg:grpSpPr>
                              <wps:wsp>
                                <wps:cNvPr id="371" name="Freeform 24"/>
                                <wps:cNvSpPr>
                                  <a:spLocks/>
                                </wps:cNvSpPr>
                                <wps:spPr bwMode="auto">
                                  <a:xfrm>
                                    <a:off x="333375" y="392430"/>
                                    <a:ext cx="14605" cy="146050"/>
                                  </a:xfrm>
                                  <a:custGeom>
                                    <a:avLst/>
                                    <a:gdLst>
                                      <a:gd name="T0" fmla="*/ 2 w 5"/>
                                      <a:gd name="T1" fmla="*/ 50 h 50"/>
                                      <a:gd name="T2" fmla="*/ 0 w 5"/>
                                      <a:gd name="T3" fmla="*/ 47 h 50"/>
                                      <a:gd name="T4" fmla="*/ 0 w 5"/>
                                      <a:gd name="T5" fmla="*/ 3 h 50"/>
                                      <a:gd name="T6" fmla="*/ 2 w 5"/>
                                      <a:gd name="T7" fmla="*/ 0 h 50"/>
                                      <a:gd name="T8" fmla="*/ 5 w 5"/>
                                      <a:gd name="T9" fmla="*/ 3 h 50"/>
                                      <a:gd name="T10" fmla="*/ 5 w 5"/>
                                      <a:gd name="T11" fmla="*/ 47 h 50"/>
                                      <a:gd name="T12" fmla="*/ 2 w 5"/>
                                      <a:gd name="T13" fmla="*/ 50 h 50"/>
                                    </a:gdLst>
                                    <a:ahLst/>
                                    <a:cxnLst>
                                      <a:cxn ang="0">
                                        <a:pos x="T0" y="T1"/>
                                      </a:cxn>
                                      <a:cxn ang="0">
                                        <a:pos x="T2" y="T3"/>
                                      </a:cxn>
                                      <a:cxn ang="0">
                                        <a:pos x="T4" y="T5"/>
                                      </a:cxn>
                                      <a:cxn ang="0">
                                        <a:pos x="T6" y="T7"/>
                                      </a:cxn>
                                      <a:cxn ang="0">
                                        <a:pos x="T8" y="T9"/>
                                      </a:cxn>
                                      <a:cxn ang="0">
                                        <a:pos x="T10" y="T11"/>
                                      </a:cxn>
                                      <a:cxn ang="0">
                                        <a:pos x="T12" y="T13"/>
                                      </a:cxn>
                                    </a:cxnLst>
                                    <a:rect l="0" t="0" r="r" b="b"/>
                                    <a:pathLst>
                                      <a:path w="5" h="50">
                                        <a:moveTo>
                                          <a:pt x="2" y="50"/>
                                        </a:moveTo>
                                        <a:cubicBezTo>
                                          <a:pt x="1" y="50"/>
                                          <a:pt x="0" y="48"/>
                                          <a:pt x="0" y="47"/>
                                        </a:cubicBezTo>
                                        <a:cubicBezTo>
                                          <a:pt x="0" y="3"/>
                                          <a:pt x="0" y="3"/>
                                          <a:pt x="0" y="3"/>
                                        </a:cubicBezTo>
                                        <a:cubicBezTo>
                                          <a:pt x="0" y="2"/>
                                          <a:pt x="1" y="0"/>
                                          <a:pt x="2" y="0"/>
                                        </a:cubicBezTo>
                                        <a:cubicBezTo>
                                          <a:pt x="4" y="0"/>
                                          <a:pt x="5" y="2"/>
                                          <a:pt x="5" y="3"/>
                                        </a:cubicBezTo>
                                        <a:cubicBezTo>
                                          <a:pt x="5" y="47"/>
                                          <a:pt x="5" y="47"/>
                                          <a:pt x="5" y="47"/>
                                        </a:cubicBezTo>
                                        <a:cubicBezTo>
                                          <a:pt x="5" y="48"/>
                                          <a:pt x="4" y="50"/>
                                          <a:pt x="2" y="5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5"/>
                                <wps:cNvSpPr>
                                  <a:spLocks/>
                                </wps:cNvSpPr>
                                <wps:spPr bwMode="auto">
                                  <a:xfrm>
                                    <a:off x="257810" y="468630"/>
                                    <a:ext cx="165735" cy="93345"/>
                                  </a:xfrm>
                                  <a:custGeom>
                                    <a:avLst/>
                                    <a:gdLst>
                                      <a:gd name="T0" fmla="*/ 3 w 57"/>
                                      <a:gd name="T1" fmla="*/ 32 h 32"/>
                                      <a:gd name="T2" fmla="*/ 1 w 57"/>
                                      <a:gd name="T3" fmla="*/ 31 h 32"/>
                                      <a:gd name="T4" fmla="*/ 1 w 57"/>
                                      <a:gd name="T5" fmla="*/ 27 h 32"/>
                                      <a:gd name="T6" fmla="*/ 27 w 57"/>
                                      <a:gd name="T7" fmla="*/ 1 h 32"/>
                                      <a:gd name="T8" fmla="*/ 30 w 57"/>
                                      <a:gd name="T9" fmla="*/ 1 h 32"/>
                                      <a:gd name="T10" fmla="*/ 56 w 57"/>
                                      <a:gd name="T11" fmla="*/ 27 h 32"/>
                                      <a:gd name="T12" fmla="*/ 56 w 57"/>
                                      <a:gd name="T13" fmla="*/ 31 h 32"/>
                                      <a:gd name="T14" fmla="*/ 52 w 57"/>
                                      <a:gd name="T15" fmla="*/ 31 h 32"/>
                                      <a:gd name="T16" fmla="*/ 28 w 57"/>
                                      <a:gd name="T17" fmla="*/ 7 h 32"/>
                                      <a:gd name="T18" fmla="*/ 5 w 57"/>
                                      <a:gd name="T19" fmla="*/ 31 h 32"/>
                                      <a:gd name="T20" fmla="*/ 3 w 57"/>
                                      <a:gd name="T21" fmla="*/ 32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 h="32">
                                        <a:moveTo>
                                          <a:pt x="3" y="32"/>
                                        </a:moveTo>
                                        <a:cubicBezTo>
                                          <a:pt x="2" y="32"/>
                                          <a:pt x="2" y="31"/>
                                          <a:pt x="1" y="31"/>
                                        </a:cubicBezTo>
                                        <a:cubicBezTo>
                                          <a:pt x="0" y="30"/>
                                          <a:pt x="0" y="28"/>
                                          <a:pt x="1" y="27"/>
                                        </a:cubicBezTo>
                                        <a:cubicBezTo>
                                          <a:pt x="27" y="1"/>
                                          <a:pt x="27" y="1"/>
                                          <a:pt x="27" y="1"/>
                                        </a:cubicBezTo>
                                        <a:cubicBezTo>
                                          <a:pt x="28" y="0"/>
                                          <a:pt x="29" y="0"/>
                                          <a:pt x="30" y="1"/>
                                        </a:cubicBezTo>
                                        <a:cubicBezTo>
                                          <a:pt x="56" y="27"/>
                                          <a:pt x="56" y="27"/>
                                          <a:pt x="56" y="27"/>
                                        </a:cubicBezTo>
                                        <a:cubicBezTo>
                                          <a:pt x="57" y="28"/>
                                          <a:pt x="57" y="30"/>
                                          <a:pt x="56" y="31"/>
                                        </a:cubicBezTo>
                                        <a:cubicBezTo>
                                          <a:pt x="55" y="32"/>
                                          <a:pt x="53" y="32"/>
                                          <a:pt x="52" y="31"/>
                                        </a:cubicBezTo>
                                        <a:cubicBezTo>
                                          <a:pt x="28" y="7"/>
                                          <a:pt x="28" y="7"/>
                                          <a:pt x="28" y="7"/>
                                        </a:cubicBezTo>
                                        <a:cubicBezTo>
                                          <a:pt x="5" y="31"/>
                                          <a:pt x="5" y="31"/>
                                          <a:pt x="5" y="31"/>
                                        </a:cubicBezTo>
                                        <a:cubicBezTo>
                                          <a:pt x="4" y="31"/>
                                          <a:pt x="4" y="32"/>
                                          <a:pt x="3" y="3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6"/>
                                <wps:cNvSpPr>
                                  <a:spLocks noEditPoints="1"/>
                                </wps:cNvSpPr>
                                <wps:spPr bwMode="auto">
                                  <a:xfrm>
                                    <a:off x="176530" y="216535"/>
                                    <a:ext cx="421005" cy="184785"/>
                                  </a:xfrm>
                                  <a:custGeom>
                                    <a:avLst/>
                                    <a:gdLst>
                                      <a:gd name="T0" fmla="*/ 142 w 145"/>
                                      <a:gd name="T1" fmla="*/ 7 h 63"/>
                                      <a:gd name="T2" fmla="*/ 132 w 145"/>
                                      <a:gd name="T3" fmla="*/ 1 h 63"/>
                                      <a:gd name="T4" fmla="*/ 74 w 145"/>
                                      <a:gd name="T5" fmla="*/ 14 h 63"/>
                                      <a:gd name="T6" fmla="*/ 67 w 145"/>
                                      <a:gd name="T7" fmla="*/ 13 h 63"/>
                                      <a:gd name="T8" fmla="*/ 23 w 145"/>
                                      <a:gd name="T9" fmla="*/ 24 h 63"/>
                                      <a:gd name="T10" fmla="*/ 23 w 145"/>
                                      <a:gd name="T11" fmla="*/ 24 h 63"/>
                                      <a:gd name="T12" fmla="*/ 23 w 145"/>
                                      <a:gd name="T13" fmla="*/ 24 h 63"/>
                                      <a:gd name="T14" fmla="*/ 23 w 145"/>
                                      <a:gd name="T15" fmla="*/ 24 h 63"/>
                                      <a:gd name="T16" fmla="*/ 22 w 145"/>
                                      <a:gd name="T17" fmla="*/ 25 h 63"/>
                                      <a:gd name="T18" fmla="*/ 22 w 145"/>
                                      <a:gd name="T19" fmla="*/ 25 h 63"/>
                                      <a:gd name="T20" fmla="*/ 5 w 145"/>
                                      <a:gd name="T21" fmla="*/ 35 h 63"/>
                                      <a:gd name="T22" fmla="*/ 4 w 145"/>
                                      <a:gd name="T23" fmla="*/ 51 h 63"/>
                                      <a:gd name="T24" fmla="*/ 10 w 145"/>
                                      <a:gd name="T25" fmla="*/ 55 h 63"/>
                                      <a:gd name="T26" fmla="*/ 30 w 145"/>
                                      <a:gd name="T27" fmla="*/ 56 h 63"/>
                                      <a:gd name="T28" fmla="*/ 30 w 145"/>
                                      <a:gd name="T29" fmla="*/ 56 h 63"/>
                                      <a:gd name="T30" fmla="*/ 30 w 145"/>
                                      <a:gd name="T31" fmla="*/ 56 h 63"/>
                                      <a:gd name="T32" fmla="*/ 31 w 145"/>
                                      <a:gd name="T33" fmla="*/ 56 h 63"/>
                                      <a:gd name="T34" fmla="*/ 31 w 145"/>
                                      <a:gd name="T35" fmla="*/ 56 h 63"/>
                                      <a:gd name="T36" fmla="*/ 31 w 145"/>
                                      <a:gd name="T37" fmla="*/ 56 h 63"/>
                                      <a:gd name="T38" fmla="*/ 46 w 145"/>
                                      <a:gd name="T39" fmla="*/ 59 h 63"/>
                                      <a:gd name="T40" fmla="*/ 63 w 145"/>
                                      <a:gd name="T41" fmla="*/ 62 h 63"/>
                                      <a:gd name="T42" fmla="*/ 71 w 145"/>
                                      <a:gd name="T43" fmla="*/ 55 h 63"/>
                                      <a:gd name="T44" fmla="*/ 74 w 145"/>
                                      <a:gd name="T45" fmla="*/ 46 h 63"/>
                                      <a:gd name="T46" fmla="*/ 81 w 145"/>
                                      <a:gd name="T47" fmla="*/ 40 h 63"/>
                                      <a:gd name="T48" fmla="*/ 139 w 145"/>
                                      <a:gd name="T49" fmla="*/ 27 h 63"/>
                                      <a:gd name="T50" fmla="*/ 144 w 145"/>
                                      <a:gd name="T51" fmla="*/ 24 h 63"/>
                                      <a:gd name="T52" fmla="*/ 9 w 145"/>
                                      <a:gd name="T53" fmla="*/ 50 h 63"/>
                                      <a:gd name="T54" fmla="*/ 6 w 145"/>
                                      <a:gd name="T55" fmla="*/ 40 h 63"/>
                                      <a:gd name="T56" fmla="*/ 12 w 145"/>
                                      <a:gd name="T57" fmla="*/ 39 h 63"/>
                                      <a:gd name="T58" fmla="*/ 9 w 145"/>
                                      <a:gd name="T59" fmla="*/ 50 h 63"/>
                                      <a:gd name="T60" fmla="*/ 17 w 145"/>
                                      <a:gd name="T61" fmla="*/ 36 h 63"/>
                                      <a:gd name="T62" fmla="*/ 27 w 145"/>
                                      <a:gd name="T63" fmla="*/ 50 h 63"/>
                                      <a:gd name="T64" fmla="*/ 67 w 145"/>
                                      <a:gd name="T65" fmla="*/ 52 h 63"/>
                                      <a:gd name="T66" fmla="*/ 48 w 145"/>
                                      <a:gd name="T67" fmla="*/ 41 h 63"/>
                                      <a:gd name="T68" fmla="*/ 67 w 145"/>
                                      <a:gd name="T69" fmla="*/ 52 h 63"/>
                                      <a:gd name="T70" fmla="*/ 73 w 145"/>
                                      <a:gd name="T71" fmla="*/ 41 h 63"/>
                                      <a:gd name="T72" fmla="*/ 66 w 145"/>
                                      <a:gd name="T73" fmla="*/ 32 h 63"/>
                                      <a:gd name="T74" fmla="*/ 41 w 145"/>
                                      <a:gd name="T75" fmla="*/ 49 h 63"/>
                                      <a:gd name="T76" fmla="*/ 27 w 145"/>
                                      <a:gd name="T77" fmla="*/ 29 h 63"/>
                                      <a:gd name="T78" fmla="*/ 71 w 145"/>
                                      <a:gd name="T79" fmla="*/ 19 h 63"/>
                                      <a:gd name="T80" fmla="*/ 76 w 145"/>
                                      <a:gd name="T81" fmla="*/ 37 h 63"/>
                                      <a:gd name="T82" fmla="*/ 81 w 145"/>
                                      <a:gd name="T83" fmla="*/ 36 h 63"/>
                                      <a:gd name="T84" fmla="*/ 77 w 145"/>
                                      <a:gd name="T85" fmla="*/ 18 h 63"/>
                                      <a:gd name="T86" fmla="*/ 131 w 145"/>
                                      <a:gd name="T87" fmla="*/ 6 h 63"/>
                                      <a:gd name="T88" fmla="*/ 81 w 145"/>
                                      <a:gd name="T89" fmla="*/ 36 h 63"/>
                                      <a:gd name="T90" fmla="*/ 139 w 145"/>
                                      <a:gd name="T91" fmla="*/ 21 h 63"/>
                                      <a:gd name="T92" fmla="*/ 137 w 145"/>
                                      <a:gd name="T93" fmla="*/ 8 h 63"/>
                                      <a:gd name="T94" fmla="*/ 139 w 145"/>
                                      <a:gd name="T95" fmla="*/ 2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45" h="63">
                                        <a:moveTo>
                                          <a:pt x="145" y="17"/>
                                        </a:moveTo>
                                        <a:cubicBezTo>
                                          <a:pt x="142" y="7"/>
                                          <a:pt x="142" y="7"/>
                                          <a:pt x="142" y="7"/>
                                        </a:cubicBezTo>
                                        <a:cubicBezTo>
                                          <a:pt x="142" y="5"/>
                                          <a:pt x="140" y="3"/>
                                          <a:pt x="138" y="2"/>
                                        </a:cubicBezTo>
                                        <a:cubicBezTo>
                                          <a:pt x="137" y="1"/>
                                          <a:pt x="134" y="0"/>
                                          <a:pt x="132" y="1"/>
                                        </a:cubicBezTo>
                                        <a:cubicBezTo>
                                          <a:pt x="132" y="1"/>
                                          <a:pt x="132" y="1"/>
                                          <a:pt x="132" y="1"/>
                                        </a:cubicBezTo>
                                        <a:cubicBezTo>
                                          <a:pt x="74" y="14"/>
                                          <a:pt x="74" y="14"/>
                                          <a:pt x="74" y="14"/>
                                        </a:cubicBezTo>
                                        <a:cubicBezTo>
                                          <a:pt x="73" y="14"/>
                                          <a:pt x="73" y="14"/>
                                          <a:pt x="73" y="14"/>
                                        </a:cubicBezTo>
                                        <a:cubicBezTo>
                                          <a:pt x="71" y="13"/>
                                          <a:pt x="69" y="13"/>
                                          <a:pt x="67" y="13"/>
                                        </a:cubicBezTo>
                                        <a:cubicBezTo>
                                          <a:pt x="23" y="24"/>
                                          <a:pt x="23" y="24"/>
                                          <a:pt x="23" y="24"/>
                                        </a:cubicBezTo>
                                        <a:cubicBezTo>
                                          <a:pt x="23" y="24"/>
                                          <a:pt x="23" y="24"/>
                                          <a:pt x="23" y="24"/>
                                        </a:cubicBezTo>
                                        <a:cubicBezTo>
                                          <a:pt x="23" y="24"/>
                                          <a:pt x="23" y="24"/>
                                          <a:pt x="23" y="24"/>
                                        </a:cubicBezTo>
                                        <a:cubicBezTo>
                                          <a:pt x="23" y="24"/>
                                          <a:pt x="23" y="24"/>
                                          <a:pt x="23" y="24"/>
                                        </a:cubicBezTo>
                                        <a:cubicBezTo>
                                          <a:pt x="23" y="24"/>
                                          <a:pt x="23" y="24"/>
                                          <a:pt x="23" y="24"/>
                                        </a:cubicBezTo>
                                        <a:cubicBezTo>
                                          <a:pt x="23" y="24"/>
                                          <a:pt x="23" y="24"/>
                                          <a:pt x="23" y="24"/>
                                        </a:cubicBezTo>
                                        <a:cubicBezTo>
                                          <a:pt x="23" y="24"/>
                                          <a:pt x="23" y="24"/>
                                          <a:pt x="23" y="24"/>
                                        </a:cubicBezTo>
                                        <a:cubicBezTo>
                                          <a:pt x="23" y="24"/>
                                          <a:pt x="23" y="24"/>
                                          <a:pt x="23" y="24"/>
                                        </a:cubicBezTo>
                                        <a:cubicBezTo>
                                          <a:pt x="22" y="24"/>
                                          <a:pt x="22" y="24"/>
                                          <a:pt x="22" y="24"/>
                                        </a:cubicBezTo>
                                        <a:cubicBezTo>
                                          <a:pt x="22" y="25"/>
                                          <a:pt x="22" y="25"/>
                                          <a:pt x="22" y="25"/>
                                        </a:cubicBezTo>
                                        <a:cubicBezTo>
                                          <a:pt x="22" y="25"/>
                                          <a:pt x="22" y="25"/>
                                          <a:pt x="22" y="25"/>
                                        </a:cubicBezTo>
                                        <a:cubicBezTo>
                                          <a:pt x="22" y="25"/>
                                          <a:pt x="22" y="25"/>
                                          <a:pt x="22" y="25"/>
                                        </a:cubicBezTo>
                                        <a:cubicBezTo>
                                          <a:pt x="13" y="33"/>
                                          <a:pt x="13" y="33"/>
                                          <a:pt x="13" y="33"/>
                                        </a:cubicBezTo>
                                        <a:cubicBezTo>
                                          <a:pt x="5" y="35"/>
                                          <a:pt x="5" y="35"/>
                                          <a:pt x="5" y="35"/>
                                        </a:cubicBezTo>
                                        <a:cubicBezTo>
                                          <a:pt x="2" y="36"/>
                                          <a:pt x="0" y="39"/>
                                          <a:pt x="1" y="41"/>
                                        </a:cubicBezTo>
                                        <a:cubicBezTo>
                                          <a:pt x="4" y="51"/>
                                          <a:pt x="4" y="51"/>
                                          <a:pt x="4" y="51"/>
                                        </a:cubicBezTo>
                                        <a:cubicBezTo>
                                          <a:pt x="4" y="53"/>
                                          <a:pt x="5" y="54"/>
                                          <a:pt x="6" y="55"/>
                                        </a:cubicBezTo>
                                        <a:cubicBezTo>
                                          <a:pt x="7" y="55"/>
                                          <a:pt x="9" y="56"/>
                                          <a:pt x="10" y="55"/>
                                        </a:cubicBezTo>
                                        <a:cubicBezTo>
                                          <a:pt x="18" y="53"/>
                                          <a:pt x="18" y="53"/>
                                          <a:pt x="18" y="53"/>
                                        </a:cubicBezTo>
                                        <a:cubicBezTo>
                                          <a:pt x="30" y="56"/>
                                          <a:pt x="30" y="56"/>
                                          <a:pt x="30" y="56"/>
                                        </a:cubicBezTo>
                                        <a:cubicBezTo>
                                          <a:pt x="30" y="56"/>
                                          <a:pt x="30" y="56"/>
                                          <a:pt x="30" y="56"/>
                                        </a:cubicBezTo>
                                        <a:cubicBezTo>
                                          <a:pt x="30" y="56"/>
                                          <a:pt x="30" y="56"/>
                                          <a:pt x="30" y="56"/>
                                        </a:cubicBezTo>
                                        <a:cubicBezTo>
                                          <a:pt x="30" y="56"/>
                                          <a:pt x="30" y="56"/>
                                          <a:pt x="30" y="56"/>
                                        </a:cubicBezTo>
                                        <a:cubicBezTo>
                                          <a:pt x="30" y="56"/>
                                          <a:pt x="30" y="56"/>
                                          <a:pt x="30" y="56"/>
                                        </a:cubicBezTo>
                                        <a:cubicBezTo>
                                          <a:pt x="30" y="56"/>
                                          <a:pt x="30" y="56"/>
                                          <a:pt x="31" y="56"/>
                                        </a:cubicBezTo>
                                        <a:cubicBezTo>
                                          <a:pt x="31" y="56"/>
                                          <a:pt x="31" y="56"/>
                                          <a:pt x="31" y="56"/>
                                        </a:cubicBezTo>
                                        <a:cubicBezTo>
                                          <a:pt x="31" y="56"/>
                                          <a:pt x="31" y="56"/>
                                          <a:pt x="31" y="56"/>
                                        </a:cubicBezTo>
                                        <a:cubicBezTo>
                                          <a:pt x="31" y="56"/>
                                          <a:pt x="31" y="56"/>
                                          <a:pt x="31" y="56"/>
                                        </a:cubicBezTo>
                                        <a:cubicBezTo>
                                          <a:pt x="31" y="56"/>
                                          <a:pt x="31" y="56"/>
                                          <a:pt x="31" y="56"/>
                                        </a:cubicBezTo>
                                        <a:cubicBezTo>
                                          <a:pt x="31" y="56"/>
                                          <a:pt x="31" y="56"/>
                                          <a:pt x="31" y="56"/>
                                        </a:cubicBezTo>
                                        <a:cubicBezTo>
                                          <a:pt x="42" y="54"/>
                                          <a:pt x="42" y="54"/>
                                          <a:pt x="42" y="54"/>
                                        </a:cubicBezTo>
                                        <a:cubicBezTo>
                                          <a:pt x="43" y="56"/>
                                          <a:pt x="45" y="57"/>
                                          <a:pt x="46" y="59"/>
                                        </a:cubicBezTo>
                                        <a:cubicBezTo>
                                          <a:pt x="51" y="62"/>
                                          <a:pt x="51" y="62"/>
                                          <a:pt x="51" y="62"/>
                                        </a:cubicBezTo>
                                        <a:cubicBezTo>
                                          <a:pt x="55" y="63"/>
                                          <a:pt x="59" y="63"/>
                                          <a:pt x="63" y="62"/>
                                        </a:cubicBezTo>
                                        <a:cubicBezTo>
                                          <a:pt x="68" y="59"/>
                                          <a:pt x="68" y="59"/>
                                          <a:pt x="68" y="59"/>
                                        </a:cubicBezTo>
                                        <a:cubicBezTo>
                                          <a:pt x="70" y="58"/>
                                          <a:pt x="71" y="57"/>
                                          <a:pt x="71" y="55"/>
                                        </a:cubicBezTo>
                                        <a:cubicBezTo>
                                          <a:pt x="73" y="52"/>
                                          <a:pt x="74" y="49"/>
                                          <a:pt x="74" y="46"/>
                                        </a:cubicBezTo>
                                        <a:cubicBezTo>
                                          <a:pt x="74" y="46"/>
                                          <a:pt x="74" y="46"/>
                                          <a:pt x="74" y="46"/>
                                        </a:cubicBezTo>
                                        <a:cubicBezTo>
                                          <a:pt x="75" y="45"/>
                                          <a:pt x="75" y="45"/>
                                          <a:pt x="75" y="45"/>
                                        </a:cubicBezTo>
                                        <a:cubicBezTo>
                                          <a:pt x="78" y="45"/>
                                          <a:pt x="81" y="42"/>
                                          <a:pt x="81" y="40"/>
                                        </a:cubicBezTo>
                                        <a:cubicBezTo>
                                          <a:pt x="138" y="28"/>
                                          <a:pt x="138" y="28"/>
                                          <a:pt x="138" y="28"/>
                                        </a:cubicBezTo>
                                        <a:cubicBezTo>
                                          <a:pt x="138" y="28"/>
                                          <a:pt x="139" y="27"/>
                                          <a:pt x="139" y="27"/>
                                        </a:cubicBezTo>
                                        <a:cubicBezTo>
                                          <a:pt x="139" y="28"/>
                                          <a:pt x="139" y="28"/>
                                          <a:pt x="139" y="28"/>
                                        </a:cubicBezTo>
                                        <a:cubicBezTo>
                                          <a:pt x="141" y="27"/>
                                          <a:pt x="143" y="26"/>
                                          <a:pt x="144" y="24"/>
                                        </a:cubicBezTo>
                                        <a:cubicBezTo>
                                          <a:pt x="145" y="22"/>
                                          <a:pt x="145" y="20"/>
                                          <a:pt x="145" y="17"/>
                                        </a:cubicBezTo>
                                        <a:close/>
                                        <a:moveTo>
                                          <a:pt x="9" y="50"/>
                                        </a:moveTo>
                                        <a:cubicBezTo>
                                          <a:pt x="9" y="50"/>
                                          <a:pt x="9" y="50"/>
                                          <a:pt x="9" y="50"/>
                                        </a:cubicBezTo>
                                        <a:cubicBezTo>
                                          <a:pt x="6" y="40"/>
                                          <a:pt x="6" y="40"/>
                                          <a:pt x="6" y="40"/>
                                        </a:cubicBezTo>
                                        <a:cubicBezTo>
                                          <a:pt x="6" y="40"/>
                                          <a:pt x="6" y="40"/>
                                          <a:pt x="6" y="40"/>
                                        </a:cubicBezTo>
                                        <a:cubicBezTo>
                                          <a:pt x="12" y="39"/>
                                          <a:pt x="12" y="39"/>
                                          <a:pt x="12" y="39"/>
                                        </a:cubicBezTo>
                                        <a:cubicBezTo>
                                          <a:pt x="14" y="49"/>
                                          <a:pt x="14" y="49"/>
                                          <a:pt x="14" y="49"/>
                                        </a:cubicBezTo>
                                        <a:lnTo>
                                          <a:pt x="9" y="50"/>
                                        </a:lnTo>
                                        <a:close/>
                                        <a:moveTo>
                                          <a:pt x="20" y="49"/>
                                        </a:moveTo>
                                        <a:cubicBezTo>
                                          <a:pt x="17" y="36"/>
                                          <a:pt x="17" y="36"/>
                                          <a:pt x="17" y="36"/>
                                        </a:cubicBezTo>
                                        <a:cubicBezTo>
                                          <a:pt x="22" y="31"/>
                                          <a:pt x="22" y="31"/>
                                          <a:pt x="22" y="31"/>
                                        </a:cubicBezTo>
                                        <a:cubicBezTo>
                                          <a:pt x="27" y="50"/>
                                          <a:pt x="27" y="50"/>
                                          <a:pt x="27" y="50"/>
                                        </a:cubicBezTo>
                                        <a:lnTo>
                                          <a:pt x="20" y="49"/>
                                        </a:lnTo>
                                        <a:close/>
                                        <a:moveTo>
                                          <a:pt x="67" y="52"/>
                                        </a:moveTo>
                                        <a:cubicBezTo>
                                          <a:pt x="64" y="58"/>
                                          <a:pt x="57" y="59"/>
                                          <a:pt x="51" y="56"/>
                                        </a:cubicBezTo>
                                        <a:cubicBezTo>
                                          <a:pt x="46" y="53"/>
                                          <a:pt x="44" y="46"/>
                                          <a:pt x="48" y="41"/>
                                        </a:cubicBezTo>
                                        <a:cubicBezTo>
                                          <a:pt x="51" y="35"/>
                                          <a:pt x="58" y="34"/>
                                          <a:pt x="63" y="37"/>
                                        </a:cubicBezTo>
                                        <a:cubicBezTo>
                                          <a:pt x="68" y="40"/>
                                          <a:pt x="70" y="47"/>
                                          <a:pt x="67" y="52"/>
                                        </a:cubicBezTo>
                                        <a:close/>
                                        <a:moveTo>
                                          <a:pt x="74" y="40"/>
                                        </a:moveTo>
                                        <a:cubicBezTo>
                                          <a:pt x="73" y="41"/>
                                          <a:pt x="73" y="41"/>
                                          <a:pt x="73" y="41"/>
                                        </a:cubicBezTo>
                                        <a:cubicBezTo>
                                          <a:pt x="73" y="41"/>
                                          <a:pt x="73" y="41"/>
                                          <a:pt x="73" y="41"/>
                                        </a:cubicBezTo>
                                        <a:cubicBezTo>
                                          <a:pt x="71" y="37"/>
                                          <a:pt x="69" y="34"/>
                                          <a:pt x="66" y="32"/>
                                        </a:cubicBezTo>
                                        <a:cubicBezTo>
                                          <a:pt x="58" y="28"/>
                                          <a:pt x="48" y="30"/>
                                          <a:pt x="43" y="38"/>
                                        </a:cubicBezTo>
                                        <a:cubicBezTo>
                                          <a:pt x="41" y="41"/>
                                          <a:pt x="40" y="45"/>
                                          <a:pt x="41" y="49"/>
                                        </a:cubicBezTo>
                                        <a:cubicBezTo>
                                          <a:pt x="32" y="51"/>
                                          <a:pt x="32" y="51"/>
                                          <a:pt x="32" y="51"/>
                                        </a:cubicBezTo>
                                        <a:cubicBezTo>
                                          <a:pt x="27" y="29"/>
                                          <a:pt x="27" y="29"/>
                                          <a:pt x="27" y="29"/>
                                        </a:cubicBezTo>
                                        <a:cubicBezTo>
                                          <a:pt x="69" y="18"/>
                                          <a:pt x="69" y="18"/>
                                          <a:pt x="69" y="18"/>
                                        </a:cubicBezTo>
                                        <a:cubicBezTo>
                                          <a:pt x="69" y="18"/>
                                          <a:pt x="70" y="18"/>
                                          <a:pt x="71" y="19"/>
                                        </a:cubicBezTo>
                                        <a:cubicBezTo>
                                          <a:pt x="72" y="19"/>
                                          <a:pt x="72" y="20"/>
                                          <a:pt x="72" y="21"/>
                                        </a:cubicBezTo>
                                        <a:cubicBezTo>
                                          <a:pt x="76" y="37"/>
                                          <a:pt x="76" y="37"/>
                                          <a:pt x="76" y="37"/>
                                        </a:cubicBezTo>
                                        <a:cubicBezTo>
                                          <a:pt x="77" y="38"/>
                                          <a:pt x="76" y="40"/>
                                          <a:pt x="74" y="40"/>
                                        </a:cubicBezTo>
                                        <a:close/>
                                        <a:moveTo>
                                          <a:pt x="81" y="36"/>
                                        </a:moveTo>
                                        <a:cubicBezTo>
                                          <a:pt x="77" y="19"/>
                                          <a:pt x="77" y="19"/>
                                          <a:pt x="77" y="19"/>
                                        </a:cubicBezTo>
                                        <a:cubicBezTo>
                                          <a:pt x="77" y="19"/>
                                          <a:pt x="77" y="18"/>
                                          <a:pt x="77" y="18"/>
                                        </a:cubicBezTo>
                                        <a:cubicBezTo>
                                          <a:pt x="77" y="18"/>
                                          <a:pt x="77" y="18"/>
                                          <a:pt x="77" y="18"/>
                                        </a:cubicBezTo>
                                        <a:cubicBezTo>
                                          <a:pt x="131" y="6"/>
                                          <a:pt x="131" y="6"/>
                                          <a:pt x="131" y="6"/>
                                        </a:cubicBezTo>
                                        <a:cubicBezTo>
                                          <a:pt x="135" y="24"/>
                                          <a:pt x="135" y="24"/>
                                          <a:pt x="135" y="24"/>
                                        </a:cubicBezTo>
                                        <a:lnTo>
                                          <a:pt x="81" y="36"/>
                                        </a:lnTo>
                                        <a:close/>
                                        <a:moveTo>
                                          <a:pt x="139" y="21"/>
                                        </a:moveTo>
                                        <a:cubicBezTo>
                                          <a:pt x="139" y="21"/>
                                          <a:pt x="139" y="21"/>
                                          <a:pt x="139" y="21"/>
                                        </a:cubicBezTo>
                                        <a:cubicBezTo>
                                          <a:pt x="136" y="6"/>
                                          <a:pt x="136" y="6"/>
                                          <a:pt x="136" y="6"/>
                                        </a:cubicBezTo>
                                        <a:cubicBezTo>
                                          <a:pt x="137" y="7"/>
                                          <a:pt x="137" y="7"/>
                                          <a:pt x="137" y="8"/>
                                        </a:cubicBezTo>
                                        <a:cubicBezTo>
                                          <a:pt x="140" y="19"/>
                                          <a:pt x="140" y="19"/>
                                          <a:pt x="140" y="19"/>
                                        </a:cubicBezTo>
                                        <a:cubicBezTo>
                                          <a:pt x="140" y="20"/>
                                          <a:pt x="140" y="20"/>
                                          <a:pt x="139" y="2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96B8587" id="Group 368" o:spid="_x0000_s1026" style="width:36.85pt;height:36.85pt;mso-position-horizontal-relative:char;mso-position-vertical-relative:line" coordorigin="25" coordsize="7429,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">
                      <v:oval id="Oval 5" o:spid="_x0000_s1027" style="position:absolute;left:25;width:7429;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" fillcolor="#65bbc8" stroked="f"/>
                      <v:group id="Group 370" o:spid="_x0000_s1028" style="position:absolute;left:1765;top:2165;width:4210;height:3454" coordorigin="1765,2165" coordsize="4210,3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24" o:spid="_x0000_s1029" style="position:absolute;left:3333;top:3924;width:146;height:1460;visibility:visible;mso-wrap-style:square;v-text-anchor:top" coordsize="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" path="m2,50c1,50,,48,,47,,3,,3,,3,,2,1,,2,,4,,5,2,5,3v,44,,44,,44c5,48,4,50,2,50xe" stroked="f">
                          <v:path arrowok="t" o:connecttype="custom" o:connectlocs="5842,146050;0,137287;0,8763;5842,0;14605,8763;14605,137287;5842,146050" o:connectangles="0,0,0,0,0,0,0"/>
                        </v:shape>
                        <v:shape id="Freeform 25" o:spid="_x0000_s1030" style="position:absolute;left:2578;top:4686;width:1657;height:933;visibility:visible;mso-wrap-style:square;v-text-anchor:top" coordsize="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" path="m3,32c2,32,2,31,1,31,,30,,28,1,27,27,1,27,1,27,1,28,,29,,30,1,56,27,56,27,56,27v1,1,1,3,,4c55,32,53,32,52,31,28,7,28,7,28,7,5,31,5,31,5,31v-1,,-1,1,-2,1xe" stroked="f">
                          <v:path arrowok="t" o:connecttype="custom" o:connectlocs="8723,93345;2908,90428;2908,78760;78506,2917;87229,2917;162827,78760;162827,90428;151197,90428;81414,20419;14538,90428;8723,93345" o:connectangles="0,0,0,0,0,0,0,0,0,0,0"/>
                        </v:shape>
                        <v:shape id="Freeform 26" o:spid="_x0000_s1031" style="position:absolute;left:1765;top:2165;width:4210;height:1848;visibility:visible;mso-wrap-style:square;v-text-anchor:top" coordsize="14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" path="m145,17c142,7,142,7,142,7v,-2,-2,-4,-4,-5c137,1,134,,132,1v,,,,,c74,14,74,14,74,14v-1,,-1,,-1,c71,13,69,13,67,13,23,24,23,24,23,24v,,,,,c23,24,23,24,23,24v,,,,,c23,24,23,24,23,24v,,,,,c23,24,23,24,23,24v,,,,,c22,24,22,24,22,24v,1,,1,,1c22,25,22,25,22,25v,,,,,c13,33,13,33,13,33,5,35,5,35,5,35,2,36,,39,1,41,4,51,4,51,4,51v,2,1,3,2,4c7,55,9,56,10,55v8,-2,8,-2,8,-2c30,56,30,56,30,56v,,,,,c30,56,30,56,30,56v,,,,,c30,56,30,56,30,56v,,,,1,c31,56,31,56,31,56v,,,,,c31,56,31,56,31,56v,,,,,c31,56,31,56,31,56,42,54,42,54,42,54v1,2,3,3,4,5c51,62,51,62,51,62v4,1,8,1,12,c68,59,68,59,68,59v2,-1,3,-2,3,-4c73,52,74,49,74,46v,,,,,c75,45,75,45,75,45v3,,6,-3,6,-5c138,28,138,28,138,28v,,1,-1,1,-1c139,28,139,28,139,28v2,-1,4,-2,5,-4c145,22,145,20,145,17xm9,50v,,,,,c6,40,6,40,6,40v,,,,,c12,39,12,39,12,39v2,10,2,10,2,10l9,50xm20,49c17,36,17,36,17,36v5,-5,5,-5,5,-5c27,50,27,50,27,50l20,49xm67,52v-3,6,-10,7,-16,4c46,53,44,46,48,41v3,-6,10,-7,15,-4c68,40,70,47,67,52xm74,40v-1,1,-1,1,-1,1c73,41,73,41,73,41,71,37,69,34,66,32,58,28,48,30,43,38v-2,3,-3,7,-2,11c32,51,32,51,32,51,27,29,27,29,27,29,69,18,69,18,69,18v,,1,,2,1c72,19,72,20,72,21v4,16,4,16,4,16c77,38,76,40,74,40xm81,36c77,19,77,19,77,19v,,,-1,,-1c77,18,77,18,77,18,131,6,131,6,131,6v4,18,4,18,4,18l81,36xm139,21v,,,,,c136,6,136,6,136,6v1,1,1,1,1,2c140,19,140,19,140,19v,1,,1,-1,2xe" stroked="f">
                          <v:path arrowok="t" o:connecttype="custom" o:connectlocs="412295,20532;383260,2933;214858,41063;194533,38130;66780,70394;66780,70394;66780,70394;66780,70394;63877,73327;63877,73327;14517,102658;11614,149588;29035,161320;87104,164253;87104,164253;87104,164253;90008,164253;90008,164253;90008,164253;133560,173053;182919,181852;206147,161320;214858,134922;235182,117324;403584,79194;418102,70394;26131,146655;17421,117324;34842,114391;26131,146655;49359,105591;78394,146655;194533,152521;139367,120257;194533,152521;211954,120257;191630,93859;119043,143722;78394,85060;206147,55729;220665,108525;235182,105591;223568,52796;380356,17599;235182,105591;403584,61595;397777,23465;403584,61595" o:connectangles="0,0,0,0,0,0,0,0,0,0,0,0,0,0,0,0,0,0,0,0,0,0,0,0,0,0,0,0,0,0,0,0,0,0,0,0,0,0,0,0,0,0,0,0,0,0,0,0"/>
                          <o:lock v:ext="edit" verticies="t"/>
                        </v:shape>
                      </v:group>
                      <w10:anchorlock/>
                    </v:group>
                  </w:pict>
                </mc:Fallback>
              </mc:AlternateContent>
            </w:r>
          </w:p>
        </w:tc>
        <w:tc>
          <w:tcPr>
            <w:tcW w:w="1842" w:type="dxa"/>
            <w:shd w:val="clear" w:color="auto" w:fill="E0F1F4"/>
            <w:vAlign w:val="center"/>
          </w:tcPr>
          <w:p w14:paraId="112BDAA7" w14:textId="77777777" w:rsidR="006C24AC" w:rsidRPr="00277538" w:rsidRDefault="006C24AC" w:rsidP="00F76EA1">
            <w:pPr>
              <w:keepNext/>
              <w:jc w:val="center"/>
              <w:rPr>
                <w:rFonts w:eastAsia="Calibri"/>
                <w:szCs w:val="20"/>
              </w:rPr>
            </w:pPr>
            <w:r w:rsidRPr="00277538">
              <w:rPr>
                <w:rFonts w:eastAsia="Calibri"/>
                <w:noProof/>
                <w:szCs w:val="20"/>
                <w:lang w:val="fr-BE" w:eastAsia="fr-BE"/>
              </w:rPr>
              <mc:AlternateContent>
                <mc:Choice Requires="wpg">
                  <w:drawing>
                    <wp:inline distT="0" distB="0" distL="0" distR="0" wp14:anchorId="6DB887B0" wp14:editId="0742EB75">
                      <wp:extent cx="467995" cy="467995"/>
                      <wp:effectExtent l="0" t="0" r="8255" b="8255"/>
                      <wp:docPr id="374" name="Group 374"/>
                      <wp:cNvGraphicFramePr/>
                      <a:graphic xmlns:a="http://schemas.openxmlformats.org/drawingml/2006/main">
                        <a:graphicData uri="http://schemas.microsoft.com/office/word/2010/wordprocessingGroup">
                          <wpg:wgp>
                            <wpg:cNvGrpSpPr/>
                            <wpg:grpSpPr>
                              <a:xfrm>
                                <a:off x="0" y="0"/>
                                <a:ext cx="467995" cy="467995"/>
                                <a:chOff x="1209675" y="0"/>
                                <a:chExt cx="742315" cy="749300"/>
                              </a:xfrm>
                            </wpg:grpSpPr>
                            <wps:wsp>
                              <wps:cNvPr id="375" name="Oval 6"/>
                              <wps:cNvSpPr>
                                <a:spLocks noChangeArrowheads="1"/>
                              </wps:cNvSpPr>
                              <wps:spPr bwMode="auto">
                                <a:xfrm>
                                  <a:off x="1209675" y="0"/>
                                  <a:ext cx="742315"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2"/>
                              <wps:cNvSpPr>
                                <a:spLocks noEditPoints="1"/>
                              </wps:cNvSpPr>
                              <wps:spPr bwMode="auto">
                                <a:xfrm>
                                  <a:off x="1391920" y="424815"/>
                                  <a:ext cx="377190" cy="134620"/>
                                </a:xfrm>
                                <a:custGeom>
                                  <a:avLst/>
                                  <a:gdLst>
                                    <a:gd name="T0" fmla="*/ 130 w 130"/>
                                    <a:gd name="T1" fmla="*/ 20 h 46"/>
                                    <a:gd name="T2" fmla="*/ 129 w 130"/>
                                    <a:gd name="T3" fmla="*/ 20 h 46"/>
                                    <a:gd name="T4" fmla="*/ 129 w 130"/>
                                    <a:gd name="T5" fmla="*/ 20 h 46"/>
                                    <a:gd name="T6" fmla="*/ 129 w 130"/>
                                    <a:gd name="T7" fmla="*/ 19 h 46"/>
                                    <a:gd name="T8" fmla="*/ 129 w 130"/>
                                    <a:gd name="T9" fmla="*/ 19 h 46"/>
                                    <a:gd name="T10" fmla="*/ 128 w 130"/>
                                    <a:gd name="T11" fmla="*/ 19 h 46"/>
                                    <a:gd name="T12" fmla="*/ 99 w 130"/>
                                    <a:gd name="T13" fmla="*/ 4 h 46"/>
                                    <a:gd name="T14" fmla="*/ 55 w 130"/>
                                    <a:gd name="T15" fmla="*/ 12 h 46"/>
                                    <a:gd name="T16" fmla="*/ 51 w 130"/>
                                    <a:gd name="T17" fmla="*/ 20 h 46"/>
                                    <a:gd name="T18" fmla="*/ 58 w 130"/>
                                    <a:gd name="T19" fmla="*/ 26 h 46"/>
                                    <a:gd name="T20" fmla="*/ 78 w 130"/>
                                    <a:gd name="T21" fmla="*/ 25 h 46"/>
                                    <a:gd name="T22" fmla="*/ 78 w 130"/>
                                    <a:gd name="T23" fmla="*/ 20 h 46"/>
                                    <a:gd name="T24" fmla="*/ 58 w 130"/>
                                    <a:gd name="T25" fmla="*/ 21 h 46"/>
                                    <a:gd name="T26" fmla="*/ 57 w 130"/>
                                    <a:gd name="T27" fmla="*/ 17 h 46"/>
                                    <a:gd name="T28" fmla="*/ 79 w 130"/>
                                    <a:gd name="T29" fmla="*/ 9 h 46"/>
                                    <a:gd name="T30" fmla="*/ 110 w 130"/>
                                    <a:gd name="T31" fmla="*/ 15 h 46"/>
                                    <a:gd name="T32" fmla="*/ 91 w 130"/>
                                    <a:gd name="T33" fmla="*/ 30 h 46"/>
                                    <a:gd name="T34" fmla="*/ 52 w 130"/>
                                    <a:gd name="T35" fmla="*/ 38 h 46"/>
                                    <a:gd name="T36" fmla="*/ 6 w 130"/>
                                    <a:gd name="T37" fmla="*/ 11 h 46"/>
                                    <a:gd name="T38" fmla="*/ 54 w 130"/>
                                    <a:gd name="T39" fmla="*/ 25 h 46"/>
                                    <a:gd name="T40" fmla="*/ 55 w 130"/>
                                    <a:gd name="T41" fmla="*/ 20 h 46"/>
                                    <a:gd name="T42" fmla="*/ 10 w 130"/>
                                    <a:gd name="T43" fmla="*/ 5 h 46"/>
                                    <a:gd name="T44" fmla="*/ 4 w 130"/>
                                    <a:gd name="T45" fmla="*/ 18 h 46"/>
                                    <a:gd name="T46" fmla="*/ 64 w 130"/>
                                    <a:gd name="T47" fmla="*/ 44 h 46"/>
                                    <a:gd name="T48" fmla="*/ 101 w 130"/>
                                    <a:gd name="T49" fmla="*/ 36 h 46"/>
                                    <a:gd name="T50" fmla="*/ 116 w 130"/>
                                    <a:gd name="T51" fmla="*/ 45 h 46"/>
                                    <a:gd name="T52" fmla="*/ 116 w 130"/>
                                    <a:gd name="T53" fmla="*/ 45 h 46"/>
                                    <a:gd name="T54" fmla="*/ 116 w 130"/>
                                    <a:gd name="T55" fmla="*/ 46 h 46"/>
                                    <a:gd name="T56" fmla="*/ 116 w 130"/>
                                    <a:gd name="T57" fmla="*/ 46 h 46"/>
                                    <a:gd name="T58" fmla="*/ 117 w 130"/>
                                    <a:gd name="T59" fmla="*/ 46 h 46"/>
                                    <a:gd name="T60" fmla="*/ 117 w 130"/>
                                    <a:gd name="T61" fmla="*/ 46 h 46"/>
                                    <a:gd name="T62" fmla="*/ 117 w 130"/>
                                    <a:gd name="T63" fmla="*/ 46 h 46"/>
                                    <a:gd name="T64" fmla="*/ 118 w 130"/>
                                    <a:gd name="T65" fmla="*/ 45 h 46"/>
                                    <a:gd name="T66" fmla="*/ 118 w 130"/>
                                    <a:gd name="T67" fmla="*/ 45 h 46"/>
                                    <a:gd name="T68" fmla="*/ 118 w 130"/>
                                    <a:gd name="T69" fmla="*/ 45 h 46"/>
                                    <a:gd name="T70" fmla="*/ 119 w 130"/>
                                    <a:gd name="T71" fmla="*/ 45 h 46"/>
                                    <a:gd name="T72" fmla="*/ 119 w 130"/>
                                    <a:gd name="T73" fmla="*/ 45 h 46"/>
                                    <a:gd name="T74" fmla="*/ 119 w 130"/>
                                    <a:gd name="T75" fmla="*/ 44 h 46"/>
                                    <a:gd name="T76" fmla="*/ 129 w 130"/>
                                    <a:gd name="T77" fmla="*/ 22 h 46"/>
                                    <a:gd name="T78" fmla="*/ 130 w 130"/>
                                    <a:gd name="T79" fmla="*/ 21 h 46"/>
                                    <a:gd name="T80" fmla="*/ 130 w 130"/>
                                    <a:gd name="T81" fmla="*/ 21 h 46"/>
                                    <a:gd name="T82" fmla="*/ 124 w 130"/>
                                    <a:gd name="T83" fmla="*/ 22 h 46"/>
                                    <a:gd name="T84" fmla="*/ 107 w 130"/>
                                    <a:gd name="T85" fmla="*/ 34 h 46"/>
                                    <a:gd name="T86" fmla="*/ 124 w 130"/>
                                    <a:gd name="T87" fmla="*/ 22 h 46"/>
                                    <a:gd name="T88" fmla="*/ 124 w 130"/>
                                    <a:gd name="T89" fmla="*/ 22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30" h="46">
                                      <a:moveTo>
                                        <a:pt x="130" y="21"/>
                                      </a:moveTo>
                                      <a:cubicBezTo>
                                        <a:pt x="130" y="21"/>
                                        <a:pt x="130" y="21"/>
                                        <a:pt x="130" y="20"/>
                                      </a:cubicBezTo>
                                      <a:cubicBezTo>
                                        <a:pt x="130" y="20"/>
                                        <a:pt x="130" y="20"/>
                                        <a:pt x="130" y="20"/>
                                      </a:cubicBezTo>
                                      <a:cubicBezTo>
                                        <a:pt x="130" y="20"/>
                                        <a:pt x="130" y="20"/>
                                        <a:pt x="129" y="20"/>
                                      </a:cubicBezTo>
                                      <a:cubicBezTo>
                                        <a:pt x="129" y="20"/>
                                        <a:pt x="129" y="20"/>
                                        <a:pt x="129" y="20"/>
                                      </a:cubicBezTo>
                                      <a:cubicBezTo>
                                        <a:pt x="129" y="20"/>
                                        <a:pt x="129" y="20"/>
                                        <a:pt x="129" y="20"/>
                                      </a:cubicBezTo>
                                      <a:cubicBezTo>
                                        <a:pt x="129" y="20"/>
                                        <a:pt x="129" y="19"/>
                                        <a:pt x="129" y="19"/>
                                      </a:cubicBezTo>
                                      <a:cubicBezTo>
                                        <a:pt x="129" y="19"/>
                                        <a:pt x="129" y="19"/>
                                        <a:pt x="129" y="19"/>
                                      </a:cubicBezTo>
                                      <a:cubicBezTo>
                                        <a:pt x="129" y="19"/>
                                        <a:pt x="129" y="19"/>
                                        <a:pt x="129" y="19"/>
                                      </a:cubicBezTo>
                                      <a:cubicBezTo>
                                        <a:pt x="129" y="19"/>
                                        <a:pt x="129" y="19"/>
                                        <a:pt x="129" y="19"/>
                                      </a:cubicBezTo>
                                      <a:cubicBezTo>
                                        <a:pt x="129" y="19"/>
                                        <a:pt x="129" y="19"/>
                                        <a:pt x="128" y="19"/>
                                      </a:cubicBezTo>
                                      <a:cubicBezTo>
                                        <a:pt x="128" y="19"/>
                                        <a:pt x="128" y="19"/>
                                        <a:pt x="128" y="19"/>
                                      </a:cubicBezTo>
                                      <a:cubicBezTo>
                                        <a:pt x="99" y="4"/>
                                        <a:pt x="99" y="4"/>
                                        <a:pt x="99" y="4"/>
                                      </a:cubicBezTo>
                                      <a:cubicBezTo>
                                        <a:pt x="99" y="4"/>
                                        <a:pt x="99" y="4"/>
                                        <a:pt x="99" y="4"/>
                                      </a:cubicBezTo>
                                      <a:cubicBezTo>
                                        <a:pt x="99" y="4"/>
                                        <a:pt x="87" y="0"/>
                                        <a:pt x="77" y="4"/>
                                      </a:cubicBezTo>
                                      <a:cubicBezTo>
                                        <a:pt x="55" y="12"/>
                                        <a:pt x="55" y="12"/>
                                        <a:pt x="55" y="12"/>
                                      </a:cubicBezTo>
                                      <a:cubicBezTo>
                                        <a:pt x="55" y="12"/>
                                        <a:pt x="55" y="12"/>
                                        <a:pt x="55" y="12"/>
                                      </a:cubicBezTo>
                                      <a:cubicBezTo>
                                        <a:pt x="52" y="14"/>
                                        <a:pt x="50" y="17"/>
                                        <a:pt x="51" y="20"/>
                                      </a:cubicBezTo>
                                      <a:cubicBezTo>
                                        <a:pt x="52" y="23"/>
                                        <a:pt x="54" y="26"/>
                                        <a:pt x="58" y="26"/>
                                      </a:cubicBezTo>
                                      <a:cubicBezTo>
                                        <a:pt x="58" y="26"/>
                                        <a:pt x="58" y="26"/>
                                        <a:pt x="58" y="26"/>
                                      </a:cubicBezTo>
                                      <a:cubicBezTo>
                                        <a:pt x="58" y="26"/>
                                        <a:pt x="59" y="26"/>
                                        <a:pt x="69" y="25"/>
                                      </a:cubicBezTo>
                                      <a:cubicBezTo>
                                        <a:pt x="73" y="25"/>
                                        <a:pt x="77" y="25"/>
                                        <a:pt x="78" y="25"/>
                                      </a:cubicBezTo>
                                      <a:cubicBezTo>
                                        <a:pt x="79" y="25"/>
                                        <a:pt x="80" y="24"/>
                                        <a:pt x="80" y="22"/>
                                      </a:cubicBezTo>
                                      <a:cubicBezTo>
                                        <a:pt x="80" y="21"/>
                                        <a:pt x="79" y="20"/>
                                        <a:pt x="78" y="20"/>
                                      </a:cubicBezTo>
                                      <a:cubicBezTo>
                                        <a:pt x="78" y="20"/>
                                        <a:pt x="78" y="20"/>
                                        <a:pt x="68" y="21"/>
                                      </a:cubicBezTo>
                                      <a:cubicBezTo>
                                        <a:pt x="64" y="21"/>
                                        <a:pt x="59" y="21"/>
                                        <a:pt x="58" y="21"/>
                                      </a:cubicBezTo>
                                      <a:cubicBezTo>
                                        <a:pt x="56" y="21"/>
                                        <a:pt x="56" y="20"/>
                                        <a:pt x="56" y="19"/>
                                      </a:cubicBezTo>
                                      <a:cubicBezTo>
                                        <a:pt x="55" y="18"/>
                                        <a:pt x="56" y="17"/>
                                        <a:pt x="57" y="17"/>
                                      </a:cubicBezTo>
                                      <a:cubicBezTo>
                                        <a:pt x="79" y="9"/>
                                        <a:pt x="79" y="9"/>
                                        <a:pt x="79" y="9"/>
                                      </a:cubicBezTo>
                                      <a:cubicBezTo>
                                        <a:pt x="79" y="9"/>
                                        <a:pt x="79" y="9"/>
                                        <a:pt x="79" y="9"/>
                                      </a:cubicBezTo>
                                      <a:cubicBezTo>
                                        <a:pt x="86" y="5"/>
                                        <a:pt x="96" y="8"/>
                                        <a:pt x="97" y="9"/>
                                      </a:cubicBezTo>
                                      <a:cubicBezTo>
                                        <a:pt x="110" y="15"/>
                                        <a:pt x="110" y="15"/>
                                        <a:pt x="110" y="15"/>
                                      </a:cubicBezTo>
                                      <a:cubicBezTo>
                                        <a:pt x="103" y="32"/>
                                        <a:pt x="103" y="32"/>
                                        <a:pt x="103" y="32"/>
                                      </a:cubicBezTo>
                                      <a:cubicBezTo>
                                        <a:pt x="100" y="30"/>
                                        <a:pt x="95" y="29"/>
                                        <a:pt x="91" y="30"/>
                                      </a:cubicBezTo>
                                      <a:cubicBezTo>
                                        <a:pt x="62" y="39"/>
                                        <a:pt x="62" y="39"/>
                                        <a:pt x="62" y="39"/>
                                      </a:cubicBezTo>
                                      <a:cubicBezTo>
                                        <a:pt x="59" y="40"/>
                                        <a:pt x="55" y="40"/>
                                        <a:pt x="52" y="38"/>
                                      </a:cubicBezTo>
                                      <a:cubicBezTo>
                                        <a:pt x="7" y="13"/>
                                        <a:pt x="7" y="13"/>
                                        <a:pt x="7" y="13"/>
                                      </a:cubicBezTo>
                                      <a:cubicBezTo>
                                        <a:pt x="5" y="12"/>
                                        <a:pt x="6" y="11"/>
                                        <a:pt x="6" y="11"/>
                                      </a:cubicBezTo>
                                      <a:cubicBezTo>
                                        <a:pt x="6" y="10"/>
                                        <a:pt x="7" y="9"/>
                                        <a:pt x="8" y="9"/>
                                      </a:cubicBezTo>
                                      <a:cubicBezTo>
                                        <a:pt x="54" y="25"/>
                                        <a:pt x="54" y="25"/>
                                        <a:pt x="54" y="25"/>
                                      </a:cubicBezTo>
                                      <a:cubicBezTo>
                                        <a:pt x="55" y="25"/>
                                        <a:pt x="57" y="25"/>
                                        <a:pt x="57" y="23"/>
                                      </a:cubicBezTo>
                                      <a:cubicBezTo>
                                        <a:pt x="57" y="22"/>
                                        <a:pt x="57" y="21"/>
                                        <a:pt x="55" y="20"/>
                                      </a:cubicBezTo>
                                      <a:cubicBezTo>
                                        <a:pt x="10" y="5"/>
                                        <a:pt x="10" y="5"/>
                                        <a:pt x="10" y="5"/>
                                      </a:cubicBezTo>
                                      <a:cubicBezTo>
                                        <a:pt x="10" y="5"/>
                                        <a:pt x="10" y="5"/>
                                        <a:pt x="10" y="5"/>
                                      </a:cubicBezTo>
                                      <a:cubicBezTo>
                                        <a:pt x="6" y="4"/>
                                        <a:pt x="3" y="5"/>
                                        <a:pt x="1" y="9"/>
                                      </a:cubicBezTo>
                                      <a:cubicBezTo>
                                        <a:pt x="0" y="12"/>
                                        <a:pt x="1" y="16"/>
                                        <a:pt x="4" y="18"/>
                                      </a:cubicBezTo>
                                      <a:cubicBezTo>
                                        <a:pt x="50" y="42"/>
                                        <a:pt x="50" y="42"/>
                                        <a:pt x="50" y="42"/>
                                      </a:cubicBezTo>
                                      <a:cubicBezTo>
                                        <a:pt x="54" y="44"/>
                                        <a:pt x="59" y="45"/>
                                        <a:pt x="64" y="44"/>
                                      </a:cubicBezTo>
                                      <a:cubicBezTo>
                                        <a:pt x="93" y="35"/>
                                        <a:pt x="93" y="35"/>
                                        <a:pt x="93" y="35"/>
                                      </a:cubicBezTo>
                                      <a:cubicBezTo>
                                        <a:pt x="95" y="34"/>
                                        <a:pt x="98" y="34"/>
                                        <a:pt x="101" y="36"/>
                                      </a:cubicBezTo>
                                      <a:cubicBezTo>
                                        <a:pt x="115" y="45"/>
                                        <a:pt x="115" y="45"/>
                                        <a:pt x="115" y="45"/>
                                      </a:cubicBezTo>
                                      <a:cubicBezTo>
                                        <a:pt x="116" y="45"/>
                                        <a:pt x="116" y="45"/>
                                        <a:pt x="116" y="45"/>
                                      </a:cubicBezTo>
                                      <a:cubicBezTo>
                                        <a:pt x="116" y="45"/>
                                        <a:pt x="116" y="45"/>
                                        <a:pt x="116" y="45"/>
                                      </a:cubicBezTo>
                                      <a:cubicBezTo>
                                        <a:pt x="116" y="45"/>
                                        <a:pt x="116" y="45"/>
                                        <a:pt x="116" y="45"/>
                                      </a:cubicBezTo>
                                      <a:cubicBezTo>
                                        <a:pt x="116" y="45"/>
                                        <a:pt x="116" y="45"/>
                                        <a:pt x="116" y="45"/>
                                      </a:cubicBezTo>
                                      <a:cubicBezTo>
                                        <a:pt x="116" y="45"/>
                                        <a:pt x="116" y="45"/>
                                        <a:pt x="116" y="46"/>
                                      </a:cubicBezTo>
                                      <a:cubicBezTo>
                                        <a:pt x="116" y="46"/>
                                        <a:pt x="116" y="46"/>
                                        <a:pt x="116" y="46"/>
                                      </a:cubicBezTo>
                                      <a:cubicBezTo>
                                        <a:pt x="116" y="46"/>
                                        <a:pt x="116" y="46"/>
                                        <a:pt x="116" y="46"/>
                                      </a:cubicBezTo>
                                      <a:cubicBezTo>
                                        <a:pt x="116" y="46"/>
                                        <a:pt x="116" y="46"/>
                                        <a:pt x="116" y="46"/>
                                      </a:cubicBezTo>
                                      <a:cubicBezTo>
                                        <a:pt x="117" y="46"/>
                                        <a:pt x="117" y="46"/>
                                        <a:pt x="117" y="46"/>
                                      </a:cubicBezTo>
                                      <a:cubicBezTo>
                                        <a:pt x="117" y="46"/>
                                        <a:pt x="117" y="46"/>
                                        <a:pt x="117" y="46"/>
                                      </a:cubicBezTo>
                                      <a:cubicBezTo>
                                        <a:pt x="117" y="46"/>
                                        <a:pt x="117" y="46"/>
                                        <a:pt x="117" y="46"/>
                                      </a:cubicBezTo>
                                      <a:cubicBezTo>
                                        <a:pt x="117" y="46"/>
                                        <a:pt x="117" y="46"/>
                                        <a:pt x="117" y="46"/>
                                      </a:cubicBezTo>
                                      <a:cubicBezTo>
                                        <a:pt x="117" y="46"/>
                                        <a:pt x="117" y="46"/>
                                        <a:pt x="117" y="46"/>
                                      </a:cubicBezTo>
                                      <a:cubicBezTo>
                                        <a:pt x="118" y="45"/>
                                        <a:pt x="118" y="45"/>
                                        <a:pt x="118" y="45"/>
                                      </a:cubicBezTo>
                                      <a:cubicBezTo>
                                        <a:pt x="118" y="45"/>
                                        <a:pt x="118" y="45"/>
                                        <a:pt x="118" y="45"/>
                                      </a:cubicBezTo>
                                      <a:cubicBezTo>
                                        <a:pt x="118" y="45"/>
                                        <a:pt x="118" y="45"/>
                                        <a:pt x="118" y="45"/>
                                      </a:cubicBezTo>
                                      <a:cubicBezTo>
                                        <a:pt x="118" y="45"/>
                                        <a:pt x="118" y="45"/>
                                        <a:pt x="118" y="45"/>
                                      </a:cubicBezTo>
                                      <a:cubicBezTo>
                                        <a:pt x="118" y="45"/>
                                        <a:pt x="118" y="45"/>
                                        <a:pt x="118" y="45"/>
                                      </a:cubicBezTo>
                                      <a:cubicBezTo>
                                        <a:pt x="118" y="45"/>
                                        <a:pt x="118" y="45"/>
                                        <a:pt x="118" y="45"/>
                                      </a:cubicBezTo>
                                      <a:cubicBezTo>
                                        <a:pt x="118" y="45"/>
                                        <a:pt x="118" y="45"/>
                                        <a:pt x="118" y="45"/>
                                      </a:cubicBezTo>
                                      <a:cubicBezTo>
                                        <a:pt x="119" y="45"/>
                                        <a:pt x="119" y="45"/>
                                        <a:pt x="119" y="45"/>
                                      </a:cubicBezTo>
                                      <a:cubicBezTo>
                                        <a:pt x="119" y="45"/>
                                        <a:pt x="119" y="45"/>
                                        <a:pt x="119" y="45"/>
                                      </a:cubicBezTo>
                                      <a:cubicBezTo>
                                        <a:pt x="119" y="45"/>
                                        <a:pt x="119" y="45"/>
                                        <a:pt x="119" y="45"/>
                                      </a:cubicBezTo>
                                      <a:cubicBezTo>
                                        <a:pt x="119" y="45"/>
                                        <a:pt x="119" y="45"/>
                                        <a:pt x="119" y="45"/>
                                      </a:cubicBezTo>
                                      <a:cubicBezTo>
                                        <a:pt x="119" y="44"/>
                                        <a:pt x="119" y="44"/>
                                        <a:pt x="119" y="44"/>
                                      </a:cubicBezTo>
                                      <a:cubicBezTo>
                                        <a:pt x="119" y="44"/>
                                        <a:pt x="119" y="44"/>
                                        <a:pt x="119" y="44"/>
                                      </a:cubicBezTo>
                                      <a:cubicBezTo>
                                        <a:pt x="129" y="22"/>
                                        <a:pt x="129" y="22"/>
                                        <a:pt x="129" y="22"/>
                                      </a:cubicBezTo>
                                      <a:cubicBezTo>
                                        <a:pt x="129" y="22"/>
                                        <a:pt x="129" y="22"/>
                                        <a:pt x="129" y="22"/>
                                      </a:cubicBezTo>
                                      <a:cubicBezTo>
                                        <a:pt x="129" y="22"/>
                                        <a:pt x="130" y="21"/>
                                        <a:pt x="130" y="21"/>
                                      </a:cubicBezTo>
                                      <a:cubicBezTo>
                                        <a:pt x="130" y="21"/>
                                        <a:pt x="130" y="21"/>
                                        <a:pt x="130" y="21"/>
                                      </a:cubicBezTo>
                                      <a:cubicBezTo>
                                        <a:pt x="130" y="21"/>
                                        <a:pt x="130" y="21"/>
                                        <a:pt x="130" y="21"/>
                                      </a:cubicBezTo>
                                      <a:cubicBezTo>
                                        <a:pt x="130" y="21"/>
                                        <a:pt x="130" y="21"/>
                                        <a:pt x="130" y="21"/>
                                      </a:cubicBezTo>
                                      <a:close/>
                                      <a:moveTo>
                                        <a:pt x="124" y="22"/>
                                      </a:moveTo>
                                      <a:cubicBezTo>
                                        <a:pt x="116" y="40"/>
                                        <a:pt x="116" y="40"/>
                                        <a:pt x="116" y="40"/>
                                      </a:cubicBezTo>
                                      <a:cubicBezTo>
                                        <a:pt x="107" y="34"/>
                                        <a:pt x="107" y="34"/>
                                        <a:pt x="107" y="34"/>
                                      </a:cubicBezTo>
                                      <a:cubicBezTo>
                                        <a:pt x="115" y="17"/>
                                        <a:pt x="115" y="17"/>
                                        <a:pt x="115" y="17"/>
                                      </a:cubicBezTo>
                                      <a:lnTo>
                                        <a:pt x="124" y="22"/>
                                      </a:lnTo>
                                      <a:close/>
                                      <a:moveTo>
                                        <a:pt x="124" y="22"/>
                                      </a:moveTo>
                                      <a:cubicBezTo>
                                        <a:pt x="124" y="22"/>
                                        <a:pt x="124" y="22"/>
                                        <a:pt x="124" y="22"/>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3"/>
                              <wps:cNvSpPr>
                                <a:spLocks noEditPoints="1"/>
                              </wps:cNvSpPr>
                              <wps:spPr bwMode="auto">
                                <a:xfrm>
                                  <a:off x="1513840" y="190500"/>
                                  <a:ext cx="133350" cy="227965"/>
                                </a:xfrm>
                                <a:custGeom>
                                  <a:avLst/>
                                  <a:gdLst>
                                    <a:gd name="T0" fmla="*/ 4 w 46"/>
                                    <a:gd name="T1" fmla="*/ 78 h 78"/>
                                    <a:gd name="T2" fmla="*/ 1 w 46"/>
                                    <a:gd name="T3" fmla="*/ 76 h 78"/>
                                    <a:gd name="T4" fmla="*/ 1 w 46"/>
                                    <a:gd name="T5" fmla="*/ 72 h 78"/>
                                    <a:gd name="T6" fmla="*/ 23 w 46"/>
                                    <a:gd name="T7" fmla="*/ 48 h 78"/>
                                    <a:gd name="T8" fmla="*/ 18 w 46"/>
                                    <a:gd name="T9" fmla="*/ 15 h 78"/>
                                    <a:gd name="T10" fmla="*/ 18 w 46"/>
                                    <a:gd name="T11" fmla="*/ 15 h 78"/>
                                    <a:gd name="T12" fmla="*/ 26 w 46"/>
                                    <a:gd name="T13" fmla="*/ 1 h 78"/>
                                    <a:gd name="T14" fmla="*/ 35 w 46"/>
                                    <a:gd name="T15" fmla="*/ 2 h 78"/>
                                    <a:gd name="T16" fmla="*/ 41 w 46"/>
                                    <a:gd name="T17" fmla="*/ 21 h 78"/>
                                    <a:gd name="T18" fmla="*/ 31 w 46"/>
                                    <a:gd name="T19" fmla="*/ 48 h 78"/>
                                    <a:gd name="T20" fmla="*/ 44 w 46"/>
                                    <a:gd name="T21" fmla="*/ 61 h 78"/>
                                    <a:gd name="T22" fmla="*/ 45 w 46"/>
                                    <a:gd name="T23" fmla="*/ 66 h 78"/>
                                    <a:gd name="T24" fmla="*/ 40 w 46"/>
                                    <a:gd name="T25" fmla="*/ 67 h 78"/>
                                    <a:gd name="T26" fmla="*/ 26 w 46"/>
                                    <a:gd name="T27" fmla="*/ 54 h 78"/>
                                    <a:gd name="T28" fmla="*/ 6 w 46"/>
                                    <a:gd name="T29" fmla="*/ 77 h 78"/>
                                    <a:gd name="T30" fmla="*/ 4 w 46"/>
                                    <a:gd name="T31" fmla="*/ 78 h 78"/>
                                    <a:gd name="T32" fmla="*/ 31 w 46"/>
                                    <a:gd name="T33" fmla="*/ 7 h 78"/>
                                    <a:gd name="T34" fmla="*/ 29 w 46"/>
                                    <a:gd name="T35" fmla="*/ 7 h 78"/>
                                    <a:gd name="T36" fmla="*/ 25 w 46"/>
                                    <a:gd name="T37" fmla="*/ 15 h 78"/>
                                    <a:gd name="T38" fmla="*/ 25 w 46"/>
                                    <a:gd name="T39" fmla="*/ 16 h 78"/>
                                    <a:gd name="T40" fmla="*/ 27 w 46"/>
                                    <a:gd name="T41" fmla="*/ 41 h 78"/>
                                    <a:gd name="T42" fmla="*/ 34 w 46"/>
                                    <a:gd name="T43" fmla="*/ 21 h 78"/>
                                    <a:gd name="T44" fmla="*/ 31 w 46"/>
                                    <a:gd name="T45" fmla="*/ 7 h 78"/>
                                    <a:gd name="T46" fmla="*/ 31 w 46"/>
                                    <a:gd name="T47" fmla="*/ 7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6" h="78">
                                      <a:moveTo>
                                        <a:pt x="4" y="78"/>
                                      </a:moveTo>
                                      <a:cubicBezTo>
                                        <a:pt x="3" y="78"/>
                                        <a:pt x="2" y="77"/>
                                        <a:pt x="1" y="76"/>
                                      </a:cubicBezTo>
                                      <a:cubicBezTo>
                                        <a:pt x="0" y="75"/>
                                        <a:pt x="0" y="73"/>
                                        <a:pt x="1" y="72"/>
                                      </a:cubicBezTo>
                                      <a:cubicBezTo>
                                        <a:pt x="2" y="71"/>
                                        <a:pt x="13" y="61"/>
                                        <a:pt x="23" y="48"/>
                                      </a:cubicBezTo>
                                      <a:cubicBezTo>
                                        <a:pt x="17" y="35"/>
                                        <a:pt x="18" y="21"/>
                                        <a:pt x="18" y="15"/>
                                      </a:cubicBezTo>
                                      <a:cubicBezTo>
                                        <a:pt x="18" y="15"/>
                                        <a:pt x="18" y="15"/>
                                        <a:pt x="18" y="15"/>
                                      </a:cubicBezTo>
                                      <a:cubicBezTo>
                                        <a:pt x="18" y="9"/>
                                        <a:pt x="22" y="3"/>
                                        <a:pt x="26" y="1"/>
                                      </a:cubicBezTo>
                                      <a:cubicBezTo>
                                        <a:pt x="29" y="0"/>
                                        <a:pt x="33" y="0"/>
                                        <a:pt x="35" y="2"/>
                                      </a:cubicBezTo>
                                      <a:cubicBezTo>
                                        <a:pt x="38" y="4"/>
                                        <a:pt x="42" y="9"/>
                                        <a:pt x="41" y="21"/>
                                      </a:cubicBezTo>
                                      <a:cubicBezTo>
                                        <a:pt x="40" y="31"/>
                                        <a:pt x="36" y="40"/>
                                        <a:pt x="31" y="48"/>
                                      </a:cubicBezTo>
                                      <a:cubicBezTo>
                                        <a:pt x="33" y="53"/>
                                        <a:pt x="38" y="58"/>
                                        <a:pt x="44" y="61"/>
                                      </a:cubicBezTo>
                                      <a:cubicBezTo>
                                        <a:pt x="45" y="62"/>
                                        <a:pt x="46" y="64"/>
                                        <a:pt x="45" y="66"/>
                                      </a:cubicBezTo>
                                      <a:cubicBezTo>
                                        <a:pt x="44" y="67"/>
                                        <a:pt x="42" y="68"/>
                                        <a:pt x="40" y="67"/>
                                      </a:cubicBezTo>
                                      <a:cubicBezTo>
                                        <a:pt x="34" y="63"/>
                                        <a:pt x="30" y="59"/>
                                        <a:pt x="26" y="54"/>
                                      </a:cubicBezTo>
                                      <a:cubicBezTo>
                                        <a:pt x="17" y="67"/>
                                        <a:pt x="7" y="76"/>
                                        <a:pt x="6" y="77"/>
                                      </a:cubicBezTo>
                                      <a:cubicBezTo>
                                        <a:pt x="5" y="77"/>
                                        <a:pt x="4" y="78"/>
                                        <a:pt x="4" y="78"/>
                                      </a:cubicBezTo>
                                      <a:close/>
                                      <a:moveTo>
                                        <a:pt x="31" y="7"/>
                                      </a:moveTo>
                                      <a:cubicBezTo>
                                        <a:pt x="30" y="7"/>
                                        <a:pt x="30" y="7"/>
                                        <a:pt x="29" y="7"/>
                                      </a:cubicBezTo>
                                      <a:cubicBezTo>
                                        <a:pt x="27" y="8"/>
                                        <a:pt x="25" y="11"/>
                                        <a:pt x="25" y="15"/>
                                      </a:cubicBezTo>
                                      <a:cubicBezTo>
                                        <a:pt x="25" y="16"/>
                                        <a:pt x="25" y="16"/>
                                        <a:pt x="25" y="16"/>
                                      </a:cubicBezTo>
                                      <a:cubicBezTo>
                                        <a:pt x="24" y="21"/>
                                        <a:pt x="24" y="31"/>
                                        <a:pt x="27" y="41"/>
                                      </a:cubicBezTo>
                                      <a:cubicBezTo>
                                        <a:pt x="31" y="34"/>
                                        <a:pt x="33" y="27"/>
                                        <a:pt x="34" y="21"/>
                                      </a:cubicBezTo>
                                      <a:cubicBezTo>
                                        <a:pt x="35" y="13"/>
                                        <a:pt x="33" y="8"/>
                                        <a:pt x="31" y="7"/>
                                      </a:cubicBezTo>
                                      <a:cubicBezTo>
                                        <a:pt x="31" y="7"/>
                                        <a:pt x="31" y="7"/>
                                        <a:pt x="31" y="7"/>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76BBF4" id="Group 374" o:spid="_x0000_s1026" style="width:36.85pt;height:36.85pt;mso-position-horizontal-relative:char;mso-position-vertical-relative:line" coordorigin="12096" coordsize="742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">
                      <v:oval id="Oval 6" o:spid="_x0000_s1027" style="position:absolute;left:12096;width:7423;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" fillcolor="#65bbc8" stroked="f"/>
                      <v:shape id="Freeform 22" o:spid="_x0000_s1028" style="position:absolute;left:13919;top:4248;width:3772;height:1346;visibility:visible;mso-wrap-style:square;v-text-anchor:top" coordsize="1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" path="m130,21v,,,,,-1c130,20,130,20,130,20v,,,,-1,c129,20,129,20,129,20v,,,,,c129,20,129,19,129,19v,,,,,c129,19,129,19,129,19v,,,,,c129,19,129,19,128,19v,,,,,c99,4,99,4,99,4v,,,,,c99,4,87,,77,4,55,12,55,12,55,12v,,,,,c52,14,50,17,51,20v1,3,3,6,7,6c58,26,58,26,58,26v,,1,,11,-1c73,25,77,25,78,25v1,,2,-1,2,-3c80,21,79,20,78,20v,,,,-10,1c64,21,59,21,58,21v-2,,-2,-1,-2,-2c55,18,56,17,57,17,79,9,79,9,79,9v,,,,,c86,5,96,8,97,9v13,6,13,6,13,6c103,32,103,32,103,32,100,30,95,29,91,30,62,39,62,39,62,39v-3,1,-7,1,-10,-1c7,13,7,13,7,13,5,12,6,11,6,11,6,10,7,9,8,9,54,25,54,25,54,25v1,,3,,3,-2c57,22,57,21,55,20,10,5,10,5,10,5v,,,,,c6,4,3,5,1,9v-1,3,,7,3,9c50,42,50,42,50,42v4,2,9,3,14,2c93,35,93,35,93,35v2,-1,5,-1,8,1c115,45,115,45,115,45v1,,1,,1,c116,45,116,45,116,45v,,,,,c116,45,116,45,116,45v,,,,,1c116,46,116,46,116,46v,,,,,c116,46,116,46,116,46v1,,1,,1,c117,46,117,46,117,46v,,,,,c117,46,117,46,117,46v,,,,,c118,45,118,45,118,45v,,,,,c118,45,118,45,118,45v,,,,,c118,45,118,45,118,45v,,,,,c118,45,118,45,118,45v1,,1,,1,c119,45,119,45,119,45v,,,,,c119,45,119,45,119,45v,-1,,-1,,-1c119,44,119,44,119,44,129,22,129,22,129,22v,,,,,c129,22,130,21,130,21v,,,,,c130,21,130,21,130,21v,,,,,xm124,22v-8,18,-8,18,-8,18c107,34,107,34,107,34v8,-17,8,-17,8,-17l124,22xm124,22v,,,,,e" stroked="f">
                        <v:path arrowok="t" o:connecttype="custom" o:connectlocs="377190,58530;374289,58530;374289,58530;374289,55604;374289,55604;371387,55604;287245,11706;159580,35118;147975,58530;168285,76090;226314,73163;226314,58530;168285,61457;165383,49751;229215,26339;319161,43898;264033,87796;150876,111208;17409,32192;156679,73163;159580,58530;29015,14633;11606,52677;185694,128767;293048,105355;336570,131693;336570,131693;336570,134620;336570,134620;339471,134620;339471,134620;339471,134620;342372,131693;342372,131693;342372,131693;345274,131693;345274,131693;345274,128767;374289,64383;377190,61457;377190,61457;359781,64383;310456,99502;359781,64383;359781,64383" o:connectangles="0,0,0,0,0,0,0,0,0,0,0,0,0,0,0,0,0,0,0,0,0,0,0,0,0,0,0,0,0,0,0,0,0,0,0,0,0,0,0,0,0,0,0,0,0"/>
                        <o:lock v:ext="edit" verticies="t"/>
                      </v:shape>
                      <v:shape id="Freeform 23" o:spid="_x0000_s1029" style="position:absolute;left:15138;top:1905;width:1333;height:2279;visibility:visible;mso-wrap-style:square;v-text-anchor:top" coordsize="4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" path="m4,78c3,78,2,77,1,76,,75,,73,1,72,2,71,13,61,23,48,17,35,18,21,18,15v,,,,,c18,9,22,3,26,1,29,,33,,35,2v3,2,7,7,6,19c40,31,36,40,31,48v2,5,7,10,13,13c45,62,46,64,45,66v-1,1,-3,2,-5,1c34,63,30,59,26,54,17,67,7,76,6,77v-1,,-2,1,-2,1xm31,7v-1,,-1,,-2,c27,8,25,11,25,15v,1,,1,,1c24,21,24,31,27,41v4,-7,6,-14,7,-20c35,13,33,8,31,7v,,,,,xe" stroked="f">
                        <v:path arrowok="t" o:connecttype="custom" o:connectlocs="11596,227965;2899,222120;2899,210429;66675,140286;52180,43839;52180,43839;75372,2923;101462,5845;118855,61375;89866,140286;127552,178280;130451,192893;115957,195816;75372,157822;17393,225042;11596,227965;89866,20458;84068,20458;72473,43839;72473,46762;78271,119828;98563,61375;89866,20458;89866,20458" o:connectangles="0,0,0,0,0,0,0,0,0,0,0,0,0,0,0,0,0,0,0,0,0,0,0,0"/>
                        <o:lock v:ext="edit" verticies="t"/>
                      </v:shape>
                      <w10:anchorlock/>
                    </v:group>
                  </w:pict>
                </mc:Fallback>
              </mc:AlternateContent>
            </w:r>
          </w:p>
        </w:tc>
        <w:tc>
          <w:tcPr>
            <w:tcW w:w="1842" w:type="dxa"/>
            <w:shd w:val="clear" w:color="auto" w:fill="E0F1F4"/>
            <w:vAlign w:val="center"/>
          </w:tcPr>
          <w:p w14:paraId="5A6FECBE" w14:textId="77777777" w:rsidR="006C24AC" w:rsidRPr="00277538" w:rsidRDefault="006C24AC" w:rsidP="00F76EA1">
            <w:pPr>
              <w:keepNext/>
              <w:jc w:val="center"/>
              <w:rPr>
                <w:rFonts w:eastAsia="Calibri"/>
                <w:szCs w:val="20"/>
              </w:rPr>
            </w:pPr>
            <w:r w:rsidRPr="00277538">
              <w:rPr>
                <w:rFonts w:eastAsia="Calibri"/>
                <w:noProof/>
                <w:szCs w:val="20"/>
                <w:lang w:val="fr-BE" w:eastAsia="fr-BE"/>
              </w:rPr>
              <mc:AlternateContent>
                <mc:Choice Requires="wpg">
                  <w:drawing>
                    <wp:inline distT="0" distB="0" distL="0" distR="0" wp14:anchorId="413840CD" wp14:editId="2D4FA998">
                      <wp:extent cx="467995" cy="467995"/>
                      <wp:effectExtent l="0" t="0" r="8255" b="8255"/>
                      <wp:docPr id="378" name="Group 378"/>
                      <wp:cNvGraphicFramePr/>
                      <a:graphic xmlns:a="http://schemas.openxmlformats.org/drawingml/2006/main">
                        <a:graphicData uri="http://schemas.microsoft.com/office/word/2010/wordprocessingGroup">
                          <wpg:wgp>
                            <wpg:cNvGrpSpPr/>
                            <wpg:grpSpPr>
                              <a:xfrm>
                                <a:off x="0" y="0"/>
                                <a:ext cx="467995" cy="467995"/>
                                <a:chOff x="2419350" y="0"/>
                                <a:chExt cx="742315" cy="749300"/>
                              </a:xfrm>
                            </wpg:grpSpPr>
                            <wps:wsp>
                              <wps:cNvPr id="14349" name="Oval 7"/>
                              <wps:cNvSpPr>
                                <a:spLocks noChangeArrowheads="1"/>
                              </wps:cNvSpPr>
                              <wps:spPr bwMode="auto">
                                <a:xfrm>
                                  <a:off x="2419350" y="0"/>
                                  <a:ext cx="742315"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352" name="Group 14352"/>
                              <wpg:cNvGrpSpPr/>
                              <wpg:grpSpPr>
                                <a:xfrm>
                                  <a:off x="2642235" y="187325"/>
                                  <a:ext cx="293370" cy="372110"/>
                                  <a:chOff x="2642235" y="187325"/>
                                  <a:chExt cx="293370" cy="372110"/>
                                </a:xfrm>
                              </wpg:grpSpPr>
                              <wps:wsp>
                                <wps:cNvPr id="14353" name="Freeform 10"/>
                                <wps:cNvSpPr>
                                  <a:spLocks/>
                                </wps:cNvSpPr>
                                <wps:spPr bwMode="auto">
                                  <a:xfrm>
                                    <a:off x="2642235" y="485775"/>
                                    <a:ext cx="60960" cy="73660"/>
                                  </a:xfrm>
                                  <a:custGeom>
                                    <a:avLst/>
                                    <a:gdLst>
                                      <a:gd name="T0" fmla="*/ 4 w 21"/>
                                      <a:gd name="T1" fmla="*/ 25 h 25"/>
                                      <a:gd name="T2" fmla="*/ 2 w 21"/>
                                      <a:gd name="T3" fmla="*/ 25 h 25"/>
                                      <a:gd name="T4" fmla="*/ 1 w 21"/>
                                      <a:gd name="T5" fmla="*/ 21 h 25"/>
                                      <a:gd name="T6" fmla="*/ 15 w 21"/>
                                      <a:gd name="T7" fmla="*/ 2 h 25"/>
                                      <a:gd name="T8" fmla="*/ 19 w 21"/>
                                      <a:gd name="T9" fmla="*/ 1 h 25"/>
                                      <a:gd name="T10" fmla="*/ 20 w 21"/>
                                      <a:gd name="T11" fmla="*/ 5 h 25"/>
                                      <a:gd name="T12" fmla="*/ 6 w 21"/>
                                      <a:gd name="T13" fmla="*/ 24 h 25"/>
                                      <a:gd name="T14" fmla="*/ 4 w 21"/>
                                      <a:gd name="T15" fmla="*/ 25 h 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25">
                                        <a:moveTo>
                                          <a:pt x="4" y="25"/>
                                        </a:moveTo>
                                        <a:cubicBezTo>
                                          <a:pt x="3" y="25"/>
                                          <a:pt x="3" y="25"/>
                                          <a:pt x="2" y="25"/>
                                        </a:cubicBezTo>
                                        <a:cubicBezTo>
                                          <a:pt x="1" y="24"/>
                                          <a:pt x="0" y="22"/>
                                          <a:pt x="1" y="21"/>
                                        </a:cubicBezTo>
                                        <a:cubicBezTo>
                                          <a:pt x="15" y="2"/>
                                          <a:pt x="15" y="2"/>
                                          <a:pt x="15" y="2"/>
                                        </a:cubicBezTo>
                                        <a:cubicBezTo>
                                          <a:pt x="16" y="0"/>
                                          <a:pt x="18" y="0"/>
                                          <a:pt x="19" y="1"/>
                                        </a:cubicBezTo>
                                        <a:cubicBezTo>
                                          <a:pt x="21" y="2"/>
                                          <a:pt x="21" y="4"/>
                                          <a:pt x="20" y="5"/>
                                        </a:cubicBezTo>
                                        <a:cubicBezTo>
                                          <a:pt x="6" y="24"/>
                                          <a:pt x="6" y="24"/>
                                          <a:pt x="6" y="24"/>
                                        </a:cubicBezTo>
                                        <a:cubicBezTo>
                                          <a:pt x="6" y="25"/>
                                          <a:pt x="5" y="25"/>
                                          <a:pt x="4" y="2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5" name="Freeform 11"/>
                                <wps:cNvSpPr>
                                  <a:spLocks noEditPoints="1"/>
                                </wps:cNvSpPr>
                                <wps:spPr bwMode="auto">
                                  <a:xfrm>
                                    <a:off x="2804795" y="201930"/>
                                    <a:ext cx="110490" cy="117475"/>
                                  </a:xfrm>
                                  <a:custGeom>
                                    <a:avLst/>
                                    <a:gdLst>
                                      <a:gd name="T0" fmla="*/ 18 w 38"/>
                                      <a:gd name="T1" fmla="*/ 40 h 40"/>
                                      <a:gd name="T2" fmla="*/ 17 w 38"/>
                                      <a:gd name="T3" fmla="*/ 40 h 40"/>
                                      <a:gd name="T4" fmla="*/ 2 w 38"/>
                                      <a:gd name="T5" fmla="*/ 29 h 40"/>
                                      <a:gd name="T6" fmla="*/ 1 w 38"/>
                                      <a:gd name="T7" fmla="*/ 27 h 40"/>
                                      <a:gd name="T8" fmla="*/ 1 w 38"/>
                                      <a:gd name="T9" fmla="*/ 25 h 40"/>
                                      <a:gd name="T10" fmla="*/ 18 w 38"/>
                                      <a:gd name="T11" fmla="*/ 1 h 40"/>
                                      <a:gd name="T12" fmla="*/ 22 w 38"/>
                                      <a:gd name="T13" fmla="*/ 1 h 40"/>
                                      <a:gd name="T14" fmla="*/ 37 w 38"/>
                                      <a:gd name="T15" fmla="*/ 11 h 40"/>
                                      <a:gd name="T16" fmla="*/ 38 w 38"/>
                                      <a:gd name="T17" fmla="*/ 13 h 40"/>
                                      <a:gd name="T18" fmla="*/ 38 w 38"/>
                                      <a:gd name="T19" fmla="*/ 15 h 40"/>
                                      <a:gd name="T20" fmla="*/ 21 w 38"/>
                                      <a:gd name="T21" fmla="*/ 39 h 40"/>
                                      <a:gd name="T22" fmla="*/ 18 w 38"/>
                                      <a:gd name="T23" fmla="*/ 40 h 40"/>
                                      <a:gd name="T24" fmla="*/ 8 w 38"/>
                                      <a:gd name="T25" fmla="*/ 26 h 40"/>
                                      <a:gd name="T26" fmla="*/ 18 w 38"/>
                                      <a:gd name="T27" fmla="*/ 33 h 40"/>
                                      <a:gd name="T28" fmla="*/ 31 w 38"/>
                                      <a:gd name="T29" fmla="*/ 14 h 40"/>
                                      <a:gd name="T30" fmla="*/ 21 w 38"/>
                                      <a:gd name="T31" fmla="*/ 7 h 40"/>
                                      <a:gd name="T32" fmla="*/ 8 w 38"/>
                                      <a:gd name="T33" fmla="*/ 26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8" h="40">
                                        <a:moveTo>
                                          <a:pt x="18" y="40"/>
                                        </a:moveTo>
                                        <a:cubicBezTo>
                                          <a:pt x="18" y="40"/>
                                          <a:pt x="17" y="40"/>
                                          <a:pt x="17" y="40"/>
                                        </a:cubicBezTo>
                                        <a:cubicBezTo>
                                          <a:pt x="2" y="29"/>
                                          <a:pt x="2" y="29"/>
                                          <a:pt x="2" y="29"/>
                                        </a:cubicBezTo>
                                        <a:cubicBezTo>
                                          <a:pt x="1" y="28"/>
                                          <a:pt x="1" y="28"/>
                                          <a:pt x="1" y="27"/>
                                        </a:cubicBezTo>
                                        <a:cubicBezTo>
                                          <a:pt x="0" y="26"/>
                                          <a:pt x="1" y="25"/>
                                          <a:pt x="1" y="25"/>
                                        </a:cubicBezTo>
                                        <a:cubicBezTo>
                                          <a:pt x="18" y="1"/>
                                          <a:pt x="18" y="1"/>
                                          <a:pt x="18" y="1"/>
                                        </a:cubicBezTo>
                                        <a:cubicBezTo>
                                          <a:pt x="19" y="0"/>
                                          <a:pt x="21" y="0"/>
                                          <a:pt x="22" y="1"/>
                                        </a:cubicBezTo>
                                        <a:cubicBezTo>
                                          <a:pt x="37" y="11"/>
                                          <a:pt x="37" y="11"/>
                                          <a:pt x="37" y="11"/>
                                        </a:cubicBezTo>
                                        <a:cubicBezTo>
                                          <a:pt x="38" y="12"/>
                                          <a:pt x="38" y="12"/>
                                          <a:pt x="38" y="13"/>
                                        </a:cubicBezTo>
                                        <a:cubicBezTo>
                                          <a:pt x="38" y="14"/>
                                          <a:pt x="38" y="15"/>
                                          <a:pt x="38" y="15"/>
                                        </a:cubicBezTo>
                                        <a:cubicBezTo>
                                          <a:pt x="21" y="39"/>
                                          <a:pt x="21" y="39"/>
                                          <a:pt x="21" y="39"/>
                                        </a:cubicBezTo>
                                        <a:cubicBezTo>
                                          <a:pt x="20" y="40"/>
                                          <a:pt x="19" y="40"/>
                                          <a:pt x="18" y="40"/>
                                        </a:cubicBezTo>
                                        <a:close/>
                                        <a:moveTo>
                                          <a:pt x="8" y="26"/>
                                        </a:moveTo>
                                        <a:cubicBezTo>
                                          <a:pt x="18" y="33"/>
                                          <a:pt x="18" y="33"/>
                                          <a:pt x="18" y="33"/>
                                        </a:cubicBezTo>
                                        <a:cubicBezTo>
                                          <a:pt x="31" y="14"/>
                                          <a:pt x="31" y="14"/>
                                          <a:pt x="31" y="14"/>
                                        </a:cubicBezTo>
                                        <a:cubicBezTo>
                                          <a:pt x="21" y="7"/>
                                          <a:pt x="21" y="7"/>
                                          <a:pt x="21" y="7"/>
                                        </a:cubicBezTo>
                                        <a:lnTo>
                                          <a:pt x="8"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6" name="Freeform 12"/>
                                <wps:cNvSpPr>
                                  <a:spLocks noEditPoints="1"/>
                                </wps:cNvSpPr>
                                <wps:spPr bwMode="auto">
                                  <a:xfrm>
                                    <a:off x="2665730" y="374650"/>
                                    <a:ext cx="177165" cy="128905"/>
                                  </a:xfrm>
                                  <a:custGeom>
                                    <a:avLst/>
                                    <a:gdLst>
                                      <a:gd name="T0" fmla="*/ 31 w 61"/>
                                      <a:gd name="T1" fmla="*/ 44 h 44"/>
                                      <a:gd name="T2" fmla="*/ 28 w 61"/>
                                      <a:gd name="T3" fmla="*/ 43 h 44"/>
                                      <a:gd name="T4" fmla="*/ 3 w 61"/>
                                      <a:gd name="T5" fmla="*/ 24 h 44"/>
                                      <a:gd name="T6" fmla="*/ 0 w 61"/>
                                      <a:gd name="T7" fmla="*/ 20 h 44"/>
                                      <a:gd name="T8" fmla="*/ 1 w 61"/>
                                      <a:gd name="T9" fmla="*/ 17 h 44"/>
                                      <a:gd name="T10" fmla="*/ 13 w 61"/>
                                      <a:gd name="T11" fmla="*/ 1 h 44"/>
                                      <a:gd name="T12" fmla="*/ 15 w 61"/>
                                      <a:gd name="T13" fmla="*/ 0 h 44"/>
                                      <a:gd name="T14" fmla="*/ 58 w 61"/>
                                      <a:gd name="T15" fmla="*/ 3 h 44"/>
                                      <a:gd name="T16" fmla="*/ 60 w 61"/>
                                      <a:gd name="T17" fmla="*/ 4 h 44"/>
                                      <a:gd name="T18" fmla="*/ 60 w 61"/>
                                      <a:gd name="T19" fmla="*/ 7 h 44"/>
                                      <a:gd name="T20" fmla="*/ 36 w 61"/>
                                      <a:gd name="T21" fmla="*/ 41 h 44"/>
                                      <a:gd name="T22" fmla="*/ 32 w 61"/>
                                      <a:gd name="T23" fmla="*/ 43 h 44"/>
                                      <a:gd name="T24" fmla="*/ 31 w 61"/>
                                      <a:gd name="T25" fmla="*/ 44 h 44"/>
                                      <a:gd name="T26" fmla="*/ 7 w 61"/>
                                      <a:gd name="T27" fmla="*/ 19 h 44"/>
                                      <a:gd name="T28" fmla="*/ 31 w 61"/>
                                      <a:gd name="T29" fmla="*/ 37 h 44"/>
                                      <a:gd name="T30" fmla="*/ 52 w 61"/>
                                      <a:gd name="T31" fmla="*/ 8 h 44"/>
                                      <a:gd name="T32" fmla="*/ 17 w 61"/>
                                      <a:gd name="T33" fmla="*/ 6 h 44"/>
                                      <a:gd name="T34" fmla="*/ 7 w 61"/>
                                      <a:gd name="T35" fmla="*/ 1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1" h="44">
                                        <a:moveTo>
                                          <a:pt x="31" y="44"/>
                                        </a:moveTo>
                                        <a:cubicBezTo>
                                          <a:pt x="30" y="44"/>
                                          <a:pt x="29" y="43"/>
                                          <a:pt x="28" y="43"/>
                                        </a:cubicBezTo>
                                        <a:cubicBezTo>
                                          <a:pt x="3" y="24"/>
                                          <a:pt x="3" y="24"/>
                                          <a:pt x="3" y="24"/>
                                        </a:cubicBezTo>
                                        <a:cubicBezTo>
                                          <a:pt x="1" y="23"/>
                                          <a:pt x="1" y="22"/>
                                          <a:pt x="0" y="20"/>
                                        </a:cubicBezTo>
                                        <a:cubicBezTo>
                                          <a:pt x="0" y="19"/>
                                          <a:pt x="1" y="18"/>
                                          <a:pt x="1" y="17"/>
                                        </a:cubicBezTo>
                                        <a:cubicBezTo>
                                          <a:pt x="13" y="1"/>
                                          <a:pt x="13" y="1"/>
                                          <a:pt x="13" y="1"/>
                                        </a:cubicBezTo>
                                        <a:cubicBezTo>
                                          <a:pt x="13" y="0"/>
                                          <a:pt x="14" y="0"/>
                                          <a:pt x="15" y="0"/>
                                        </a:cubicBezTo>
                                        <a:cubicBezTo>
                                          <a:pt x="58" y="3"/>
                                          <a:pt x="58" y="3"/>
                                          <a:pt x="58" y="3"/>
                                        </a:cubicBezTo>
                                        <a:cubicBezTo>
                                          <a:pt x="59" y="3"/>
                                          <a:pt x="60" y="3"/>
                                          <a:pt x="60" y="4"/>
                                        </a:cubicBezTo>
                                        <a:cubicBezTo>
                                          <a:pt x="61" y="5"/>
                                          <a:pt x="61" y="7"/>
                                          <a:pt x="60" y="7"/>
                                        </a:cubicBezTo>
                                        <a:cubicBezTo>
                                          <a:pt x="36" y="41"/>
                                          <a:pt x="36" y="41"/>
                                          <a:pt x="36" y="41"/>
                                        </a:cubicBezTo>
                                        <a:cubicBezTo>
                                          <a:pt x="35" y="42"/>
                                          <a:pt x="34" y="43"/>
                                          <a:pt x="32" y="43"/>
                                        </a:cubicBezTo>
                                        <a:cubicBezTo>
                                          <a:pt x="32" y="43"/>
                                          <a:pt x="32" y="44"/>
                                          <a:pt x="31" y="44"/>
                                        </a:cubicBezTo>
                                        <a:close/>
                                        <a:moveTo>
                                          <a:pt x="7" y="19"/>
                                        </a:moveTo>
                                        <a:cubicBezTo>
                                          <a:pt x="31" y="37"/>
                                          <a:pt x="31" y="37"/>
                                          <a:pt x="31" y="37"/>
                                        </a:cubicBezTo>
                                        <a:cubicBezTo>
                                          <a:pt x="52" y="8"/>
                                          <a:pt x="52" y="8"/>
                                          <a:pt x="52" y="8"/>
                                        </a:cubicBezTo>
                                        <a:cubicBezTo>
                                          <a:pt x="17" y="6"/>
                                          <a:pt x="17" y="6"/>
                                          <a:pt x="17" y="6"/>
                                        </a:cubicBezTo>
                                        <a:lnTo>
                                          <a:pt x="7"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7" name="Freeform 13"/>
                                <wps:cNvSpPr>
                                  <a:spLocks noEditPoints="1"/>
                                </wps:cNvSpPr>
                                <wps:spPr bwMode="auto">
                                  <a:xfrm>
                                    <a:off x="2700655" y="254635"/>
                                    <a:ext cx="188595" cy="146685"/>
                                  </a:xfrm>
                                  <a:custGeom>
                                    <a:avLst/>
                                    <a:gdLst>
                                      <a:gd name="T0" fmla="*/ 46 w 65"/>
                                      <a:gd name="T1" fmla="*/ 50 h 50"/>
                                      <a:gd name="T2" fmla="*/ 45 w 65"/>
                                      <a:gd name="T3" fmla="*/ 50 h 50"/>
                                      <a:gd name="T4" fmla="*/ 3 w 65"/>
                                      <a:gd name="T5" fmla="*/ 47 h 50"/>
                                      <a:gd name="T6" fmla="*/ 0 w 65"/>
                                      <a:gd name="T7" fmla="*/ 45 h 50"/>
                                      <a:gd name="T8" fmla="*/ 1 w 65"/>
                                      <a:gd name="T9" fmla="*/ 42 h 50"/>
                                      <a:gd name="T10" fmla="*/ 30 w 65"/>
                                      <a:gd name="T11" fmla="*/ 1 h 50"/>
                                      <a:gd name="T12" fmla="*/ 34 w 65"/>
                                      <a:gd name="T13" fmla="*/ 1 h 50"/>
                                      <a:gd name="T14" fmla="*/ 63 w 65"/>
                                      <a:gd name="T15" fmla="*/ 22 h 50"/>
                                      <a:gd name="T16" fmla="*/ 65 w 65"/>
                                      <a:gd name="T17" fmla="*/ 24 h 50"/>
                                      <a:gd name="T18" fmla="*/ 64 w 65"/>
                                      <a:gd name="T19" fmla="*/ 26 h 50"/>
                                      <a:gd name="T20" fmla="*/ 48 w 65"/>
                                      <a:gd name="T21" fmla="*/ 48 h 50"/>
                                      <a:gd name="T22" fmla="*/ 46 w 65"/>
                                      <a:gd name="T23" fmla="*/ 50 h 50"/>
                                      <a:gd name="T24" fmla="*/ 9 w 65"/>
                                      <a:gd name="T25" fmla="*/ 41 h 50"/>
                                      <a:gd name="T26" fmla="*/ 44 w 65"/>
                                      <a:gd name="T27" fmla="*/ 43 h 50"/>
                                      <a:gd name="T28" fmla="*/ 57 w 65"/>
                                      <a:gd name="T29" fmla="*/ 25 h 50"/>
                                      <a:gd name="T30" fmla="*/ 33 w 65"/>
                                      <a:gd name="T31" fmla="*/ 7 h 50"/>
                                      <a:gd name="T32" fmla="*/ 9 w 65"/>
                                      <a:gd name="T33" fmla="*/ 41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50">
                                        <a:moveTo>
                                          <a:pt x="46" y="50"/>
                                        </a:moveTo>
                                        <a:cubicBezTo>
                                          <a:pt x="46" y="50"/>
                                          <a:pt x="45" y="50"/>
                                          <a:pt x="45" y="50"/>
                                        </a:cubicBezTo>
                                        <a:cubicBezTo>
                                          <a:pt x="3" y="47"/>
                                          <a:pt x="3" y="47"/>
                                          <a:pt x="3" y="47"/>
                                        </a:cubicBezTo>
                                        <a:cubicBezTo>
                                          <a:pt x="2" y="47"/>
                                          <a:pt x="1" y="46"/>
                                          <a:pt x="0" y="45"/>
                                        </a:cubicBezTo>
                                        <a:cubicBezTo>
                                          <a:pt x="0" y="44"/>
                                          <a:pt x="0" y="43"/>
                                          <a:pt x="1" y="42"/>
                                        </a:cubicBezTo>
                                        <a:cubicBezTo>
                                          <a:pt x="30" y="1"/>
                                          <a:pt x="30" y="1"/>
                                          <a:pt x="30" y="1"/>
                                        </a:cubicBezTo>
                                        <a:cubicBezTo>
                                          <a:pt x="31" y="0"/>
                                          <a:pt x="33" y="0"/>
                                          <a:pt x="34" y="1"/>
                                        </a:cubicBezTo>
                                        <a:cubicBezTo>
                                          <a:pt x="63" y="22"/>
                                          <a:pt x="63" y="22"/>
                                          <a:pt x="63" y="22"/>
                                        </a:cubicBezTo>
                                        <a:cubicBezTo>
                                          <a:pt x="64" y="22"/>
                                          <a:pt x="65" y="23"/>
                                          <a:pt x="65" y="24"/>
                                        </a:cubicBezTo>
                                        <a:cubicBezTo>
                                          <a:pt x="65" y="25"/>
                                          <a:pt x="65" y="25"/>
                                          <a:pt x="64" y="26"/>
                                        </a:cubicBezTo>
                                        <a:cubicBezTo>
                                          <a:pt x="48" y="48"/>
                                          <a:pt x="48" y="48"/>
                                          <a:pt x="48" y="48"/>
                                        </a:cubicBezTo>
                                        <a:cubicBezTo>
                                          <a:pt x="48" y="49"/>
                                          <a:pt x="47" y="50"/>
                                          <a:pt x="46" y="50"/>
                                        </a:cubicBezTo>
                                        <a:close/>
                                        <a:moveTo>
                                          <a:pt x="9" y="41"/>
                                        </a:moveTo>
                                        <a:cubicBezTo>
                                          <a:pt x="44" y="43"/>
                                          <a:pt x="44" y="43"/>
                                          <a:pt x="44" y="43"/>
                                        </a:cubicBezTo>
                                        <a:cubicBezTo>
                                          <a:pt x="57" y="25"/>
                                          <a:pt x="57" y="25"/>
                                          <a:pt x="57" y="25"/>
                                        </a:cubicBezTo>
                                        <a:cubicBezTo>
                                          <a:pt x="33" y="7"/>
                                          <a:pt x="33" y="7"/>
                                          <a:pt x="33" y="7"/>
                                        </a:cubicBezTo>
                                        <a:lnTo>
                                          <a:pt x="9"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8" name="Freeform 14"/>
                                <wps:cNvSpPr>
                                  <a:spLocks noEditPoints="1"/>
                                </wps:cNvSpPr>
                                <wps:spPr bwMode="auto">
                                  <a:xfrm>
                                    <a:off x="2662555" y="439420"/>
                                    <a:ext cx="84455" cy="78740"/>
                                  </a:xfrm>
                                  <a:custGeom>
                                    <a:avLst/>
                                    <a:gdLst>
                                      <a:gd name="T0" fmla="*/ 17 w 29"/>
                                      <a:gd name="T1" fmla="*/ 27 h 27"/>
                                      <a:gd name="T2" fmla="*/ 14 w 29"/>
                                      <a:gd name="T3" fmla="*/ 26 h 27"/>
                                      <a:gd name="T4" fmla="*/ 3 w 29"/>
                                      <a:gd name="T5" fmla="*/ 18 h 27"/>
                                      <a:gd name="T6" fmla="*/ 2 w 29"/>
                                      <a:gd name="T7" fmla="*/ 11 h 27"/>
                                      <a:gd name="T8" fmla="*/ 8 w 29"/>
                                      <a:gd name="T9" fmla="*/ 2 h 27"/>
                                      <a:gd name="T10" fmla="*/ 13 w 29"/>
                                      <a:gd name="T11" fmla="*/ 1 h 27"/>
                                      <a:gd name="T12" fmla="*/ 27 w 29"/>
                                      <a:gd name="T13" fmla="*/ 12 h 27"/>
                                      <a:gd name="T14" fmla="*/ 29 w 29"/>
                                      <a:gd name="T15" fmla="*/ 14 h 27"/>
                                      <a:gd name="T16" fmla="*/ 28 w 29"/>
                                      <a:gd name="T17" fmla="*/ 16 h 27"/>
                                      <a:gd name="T18" fmla="*/ 21 w 29"/>
                                      <a:gd name="T19" fmla="*/ 25 h 27"/>
                                      <a:gd name="T20" fmla="*/ 18 w 29"/>
                                      <a:gd name="T21" fmla="*/ 27 h 27"/>
                                      <a:gd name="T22" fmla="*/ 17 w 29"/>
                                      <a:gd name="T23" fmla="*/ 27 h 27"/>
                                      <a:gd name="T24" fmla="*/ 7 w 29"/>
                                      <a:gd name="T25" fmla="*/ 14 h 27"/>
                                      <a:gd name="T26" fmla="*/ 17 w 29"/>
                                      <a:gd name="T27" fmla="*/ 21 h 27"/>
                                      <a:gd name="T28" fmla="*/ 21 w 29"/>
                                      <a:gd name="T29" fmla="*/ 15 h 27"/>
                                      <a:gd name="T30" fmla="*/ 12 w 29"/>
                                      <a:gd name="T31" fmla="*/ 8 h 27"/>
                                      <a:gd name="T32" fmla="*/ 7 w 29"/>
                                      <a:gd name="T33" fmla="*/ 14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 h="27">
                                        <a:moveTo>
                                          <a:pt x="17" y="27"/>
                                        </a:moveTo>
                                        <a:cubicBezTo>
                                          <a:pt x="16" y="27"/>
                                          <a:pt x="15" y="27"/>
                                          <a:pt x="14" y="26"/>
                                        </a:cubicBezTo>
                                        <a:cubicBezTo>
                                          <a:pt x="3" y="18"/>
                                          <a:pt x="3" y="18"/>
                                          <a:pt x="3" y="18"/>
                                        </a:cubicBezTo>
                                        <a:cubicBezTo>
                                          <a:pt x="1" y="16"/>
                                          <a:pt x="0" y="13"/>
                                          <a:pt x="2" y="11"/>
                                        </a:cubicBezTo>
                                        <a:cubicBezTo>
                                          <a:pt x="8" y="2"/>
                                          <a:pt x="8" y="2"/>
                                          <a:pt x="8" y="2"/>
                                        </a:cubicBezTo>
                                        <a:cubicBezTo>
                                          <a:pt x="9" y="0"/>
                                          <a:pt x="11" y="0"/>
                                          <a:pt x="13" y="1"/>
                                        </a:cubicBezTo>
                                        <a:cubicBezTo>
                                          <a:pt x="27" y="12"/>
                                          <a:pt x="27" y="12"/>
                                          <a:pt x="27" y="12"/>
                                        </a:cubicBezTo>
                                        <a:cubicBezTo>
                                          <a:pt x="28" y="12"/>
                                          <a:pt x="29" y="13"/>
                                          <a:pt x="29" y="14"/>
                                        </a:cubicBezTo>
                                        <a:cubicBezTo>
                                          <a:pt x="29" y="14"/>
                                          <a:pt x="29" y="15"/>
                                          <a:pt x="28" y="16"/>
                                        </a:cubicBezTo>
                                        <a:cubicBezTo>
                                          <a:pt x="21" y="25"/>
                                          <a:pt x="21" y="25"/>
                                          <a:pt x="21" y="25"/>
                                        </a:cubicBezTo>
                                        <a:cubicBezTo>
                                          <a:pt x="21" y="26"/>
                                          <a:pt x="19" y="27"/>
                                          <a:pt x="18" y="27"/>
                                        </a:cubicBezTo>
                                        <a:cubicBezTo>
                                          <a:pt x="18" y="27"/>
                                          <a:pt x="18" y="27"/>
                                          <a:pt x="17" y="27"/>
                                        </a:cubicBezTo>
                                        <a:close/>
                                        <a:moveTo>
                                          <a:pt x="7" y="14"/>
                                        </a:moveTo>
                                        <a:cubicBezTo>
                                          <a:pt x="17" y="21"/>
                                          <a:pt x="17" y="21"/>
                                          <a:pt x="17" y="21"/>
                                        </a:cubicBezTo>
                                        <a:cubicBezTo>
                                          <a:pt x="21" y="15"/>
                                          <a:pt x="21" y="15"/>
                                          <a:pt x="21" y="15"/>
                                        </a:cubicBezTo>
                                        <a:cubicBezTo>
                                          <a:pt x="12" y="8"/>
                                          <a:pt x="12" y="8"/>
                                          <a:pt x="12" y="8"/>
                                        </a:cubicBezTo>
                                        <a:lnTo>
                                          <a:pt x="7"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9" name="Freeform 16"/>
                                <wps:cNvSpPr>
                                  <a:spLocks/>
                                </wps:cNvSpPr>
                                <wps:spPr bwMode="auto">
                                  <a:xfrm>
                                    <a:off x="2834005" y="187325"/>
                                    <a:ext cx="101600" cy="76200"/>
                                  </a:xfrm>
                                  <a:custGeom>
                                    <a:avLst/>
                                    <a:gdLst>
                                      <a:gd name="T0" fmla="*/ 32 w 35"/>
                                      <a:gd name="T1" fmla="*/ 26 h 26"/>
                                      <a:gd name="T2" fmla="*/ 30 w 35"/>
                                      <a:gd name="T3" fmla="*/ 26 h 26"/>
                                      <a:gd name="T4" fmla="*/ 2 w 35"/>
                                      <a:gd name="T5" fmla="*/ 6 h 26"/>
                                      <a:gd name="T6" fmla="*/ 1 w 35"/>
                                      <a:gd name="T7" fmla="*/ 2 h 26"/>
                                      <a:gd name="T8" fmla="*/ 6 w 35"/>
                                      <a:gd name="T9" fmla="*/ 1 h 26"/>
                                      <a:gd name="T10" fmla="*/ 33 w 35"/>
                                      <a:gd name="T11" fmla="*/ 21 h 26"/>
                                      <a:gd name="T12" fmla="*/ 34 w 35"/>
                                      <a:gd name="T13" fmla="*/ 25 h 26"/>
                                      <a:gd name="T14" fmla="*/ 32 w 35"/>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 h="26">
                                        <a:moveTo>
                                          <a:pt x="32" y="26"/>
                                        </a:moveTo>
                                        <a:cubicBezTo>
                                          <a:pt x="31" y="26"/>
                                          <a:pt x="30" y="26"/>
                                          <a:pt x="30" y="26"/>
                                        </a:cubicBezTo>
                                        <a:cubicBezTo>
                                          <a:pt x="2" y="6"/>
                                          <a:pt x="2" y="6"/>
                                          <a:pt x="2" y="6"/>
                                        </a:cubicBezTo>
                                        <a:cubicBezTo>
                                          <a:pt x="1" y="5"/>
                                          <a:pt x="0" y="3"/>
                                          <a:pt x="1" y="2"/>
                                        </a:cubicBezTo>
                                        <a:cubicBezTo>
                                          <a:pt x="2" y="0"/>
                                          <a:pt x="4" y="0"/>
                                          <a:pt x="6" y="1"/>
                                        </a:cubicBezTo>
                                        <a:cubicBezTo>
                                          <a:pt x="33" y="21"/>
                                          <a:pt x="33" y="21"/>
                                          <a:pt x="33" y="21"/>
                                        </a:cubicBezTo>
                                        <a:cubicBezTo>
                                          <a:pt x="35" y="22"/>
                                          <a:pt x="35" y="24"/>
                                          <a:pt x="34" y="25"/>
                                        </a:cubicBezTo>
                                        <a:cubicBezTo>
                                          <a:pt x="33" y="26"/>
                                          <a:pt x="32" y="26"/>
                                          <a:pt x="32" y="2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30469189" id="Group 378" o:spid="_x0000_s1026" style="width:36.85pt;height:36.85pt;mso-position-horizontal-relative:char;mso-position-vertical-relative:line" coordorigin="24193" coordsize="742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">
                      <v:oval id="Oval 7" o:spid="_x0000_s1027" style="position:absolute;left:24193;width:7423;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" fillcolor="#65bbc8" stroked="f"/>
                      <v:group id="Group 14352" o:spid="_x0000_s1028" style="position:absolute;left:26422;top:1873;width:2934;height:3721" coordorigin="26422,1873" coordsize="2933,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">
                        <v:shape id="Freeform 10" o:spid="_x0000_s1029" style="position:absolute;left:26422;top:4857;width:609;height:737;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" path="m4,25v-1,,-1,,-2,c1,24,,22,1,21,15,2,15,2,15,2,16,,18,,19,1v2,1,2,3,1,4c6,24,6,24,6,24v,1,-1,1,-2,1xe" stroked="f">
                          <v:path arrowok="t" o:connecttype="custom" o:connectlocs="11611,73660;5806,73660;2903,61874;43543,5893;55154,2946;58057,14732;17417,70714;11611,73660" o:connectangles="0,0,0,0,0,0,0,0"/>
                        </v:shape>
                        <v:shape id="Freeform 11" o:spid="_x0000_s1030" style="position:absolute;left:28047;top:2019;width:1105;height:1175;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" path="m18,40v,,-1,,-1,c2,29,2,29,2,29,1,28,1,28,1,27,,26,1,25,1,25,18,1,18,1,18,1,19,,21,,22,1,37,11,37,11,37,11v1,1,1,1,1,2c38,14,38,15,38,15,21,39,21,39,21,39v-1,1,-2,1,-3,1xm8,26v10,7,10,7,10,7c31,14,31,14,31,14,21,7,21,7,21,7l8,26xe" stroked="f">
                          <v:path arrowok="t" o:connecttype="custom" o:connectlocs="52337,117475;49430,117475;5815,85169;2908,79296;2908,73422;52337,2937;63968,2937;107582,32306;110490,38179;110490,44053;61060,114538;52337,117475;23261,76359;52337,96917;90137,41116;61060,20558;23261,76359" o:connectangles="0,0,0,0,0,0,0,0,0,0,0,0,0,0,0,0,0"/>
                          <o:lock v:ext="edit" verticies="t"/>
                        </v:shape>
                        <v:shape id="Freeform 12" o:spid="_x0000_s1031" style="position:absolute;left:26657;top:3746;width:1771;height:1289;visibility:visible;mso-wrap-style:square;v-text-anchor:top" coordsize="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" path="m31,44v-1,,-2,-1,-3,-1c3,24,3,24,3,24,1,23,1,22,,20,,19,1,18,1,17,13,1,13,1,13,1,13,,14,,15,,58,3,58,3,58,3v1,,2,,2,1c61,5,61,7,60,7,36,41,36,41,36,41v-1,1,-2,2,-4,2c32,43,32,44,31,44xm7,19c31,37,31,37,31,37,52,8,52,8,52,8,17,6,17,6,17,6l7,19xe" stroked="f">
                          <v:path arrowok="t" o:connecttype="custom" o:connectlocs="90035,128905;81322,125975;8713,70312;0,58593;2904,49804;37756,2930;43565,0;168452,8789;174261,11719;174261,20508;104556,120116;92939,125975;90035,128905;20330,55664;90035,108397;151026,23437;49374,17578;20330,55664" o:connectangles="0,0,0,0,0,0,0,0,0,0,0,0,0,0,0,0,0,0"/>
                          <o:lock v:ext="edit" verticies="t"/>
                        </v:shape>
                        <v:shape id="Freeform 13" o:spid="_x0000_s1032" style="position:absolute;left:27006;top:2546;width:1886;height:1467;visibility:visible;mso-wrap-style:square;v-text-anchor:top" coordsize="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" path="m46,50v,,-1,,-1,c3,47,3,47,3,47,2,47,1,46,,45,,44,,43,1,42,30,1,30,1,30,1,31,,33,,34,1,63,22,63,22,63,22v1,,2,1,2,2c65,25,65,25,64,26,48,48,48,48,48,48v,1,-1,2,-2,2xm9,41v35,2,35,2,35,2c57,25,57,25,57,25,33,7,33,7,33,7l9,41xe" stroked="f">
                          <v:path arrowok="t" o:connecttype="custom" o:connectlocs="133467,146685;130566,146685;8704,137884;0,132017;2901,123215;87044,2934;98650,2934;182792,64541;188595,70409;185694,76276;139270,140818;133467,146685;26113,120282;127664,126149;165383,73343;95748,20536;26113,120282" o:connectangles="0,0,0,0,0,0,0,0,0,0,0,0,0,0,0,0,0"/>
                          <o:lock v:ext="edit" verticies="t"/>
                        </v:shape>
                        <v:shape id="Freeform 14" o:spid="_x0000_s1033" style="position:absolute;left:26625;top:4394;width:845;height:787;visibility:visible;mso-wrap-style:square;v-text-anchor:top" coordsize="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" path="m17,27v-1,,-2,,-3,-1c3,18,3,18,3,18,1,16,,13,2,11,8,2,8,2,8,2,9,,11,,13,1,27,12,27,12,27,12v1,,2,1,2,2c29,14,29,15,28,16v-7,9,-7,9,-7,9c21,26,19,27,18,27v,,,,-1,xm7,14v10,7,10,7,10,7c21,15,21,15,21,15,12,8,12,8,12,8l7,14xe" stroked="f">
                          <v:path arrowok="t" o:connecttype="custom" o:connectlocs="49508,78740;40771,75824;8737,52493;5824,32079;23298,5833;37859,2916;78631,34996;84455,40828;81543,46661;61157,72907;52420,78740;49508,78740;20386,40828;49508,61242;61157,43744;34947,23330;20386,40828" o:connectangles="0,0,0,0,0,0,0,0,0,0,0,0,0,0,0,0,0"/>
                          <o:lock v:ext="edit" verticies="t"/>
                        </v:shape>
                        <v:shape id="Freeform 16" o:spid="_x0000_s1034" style="position:absolute;left:28340;top:1873;width:1016;height:762;visibility:visible;mso-wrap-style:square;v-text-anchor:top" coordsize="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" path="m32,26v-1,,-2,,-2,c2,6,2,6,2,6,1,5,,3,1,2,2,,4,,6,1,33,21,33,21,33,21v2,1,2,3,1,4c33,26,32,26,32,26xe" stroked="f">
                          <v:path arrowok="t" o:connecttype="custom" o:connectlocs="92891,76200;87086,76200;5806,17585;2903,5862;17417,2931;95794,61546;98697,73269;92891,76200" o:connectangles="0,0,0,0,0,0,0,0"/>
                        </v:shape>
                      </v:group>
                      <w10:anchorlock/>
                    </v:group>
                  </w:pict>
                </mc:Fallback>
              </mc:AlternateContent>
            </w:r>
          </w:p>
        </w:tc>
        <w:tc>
          <w:tcPr>
            <w:tcW w:w="1843" w:type="dxa"/>
            <w:shd w:val="clear" w:color="auto" w:fill="E0F1F4"/>
            <w:vAlign w:val="center"/>
          </w:tcPr>
          <w:p w14:paraId="12DA1815" w14:textId="77777777" w:rsidR="006C24AC" w:rsidRPr="00277538" w:rsidRDefault="006C24AC" w:rsidP="00F76EA1">
            <w:pPr>
              <w:keepNext/>
              <w:jc w:val="center"/>
              <w:rPr>
                <w:rFonts w:eastAsia="Calibri"/>
                <w:szCs w:val="20"/>
              </w:rPr>
            </w:pPr>
            <w:r w:rsidRPr="00277538">
              <w:rPr>
                <w:rFonts w:eastAsia="Calibri"/>
                <w:noProof/>
                <w:szCs w:val="20"/>
                <w:lang w:val="fr-BE" w:eastAsia="fr-BE"/>
              </w:rPr>
              <mc:AlternateContent>
                <mc:Choice Requires="wpg">
                  <w:drawing>
                    <wp:inline distT="0" distB="0" distL="0" distR="0" wp14:anchorId="2329296C" wp14:editId="6429E7A3">
                      <wp:extent cx="467995" cy="467995"/>
                      <wp:effectExtent l="0" t="0" r="8255" b="8255"/>
                      <wp:docPr id="14360" name="Group 14360"/>
                      <wp:cNvGraphicFramePr/>
                      <a:graphic xmlns:a="http://schemas.openxmlformats.org/drawingml/2006/main">
                        <a:graphicData uri="http://schemas.microsoft.com/office/word/2010/wordprocessingGroup">
                          <wpg:wgp>
                            <wpg:cNvGrpSpPr/>
                            <wpg:grpSpPr>
                              <a:xfrm>
                                <a:off x="0" y="0"/>
                                <a:ext cx="467995" cy="467995"/>
                                <a:chOff x="3672205" y="0"/>
                                <a:chExt cx="742315" cy="749300"/>
                              </a:xfrm>
                            </wpg:grpSpPr>
                            <wps:wsp>
                              <wps:cNvPr id="14361" name="Oval 8"/>
                              <wps:cNvSpPr>
                                <a:spLocks noChangeArrowheads="1"/>
                              </wps:cNvSpPr>
                              <wps:spPr bwMode="auto">
                                <a:xfrm>
                                  <a:off x="3672205" y="0"/>
                                  <a:ext cx="742315"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362" name="Group 14362"/>
                              <wpg:cNvGrpSpPr/>
                              <wpg:grpSpPr>
                                <a:xfrm>
                                  <a:off x="3927475" y="196215"/>
                                  <a:ext cx="229235" cy="356870"/>
                                  <a:chOff x="3927475" y="196215"/>
                                  <a:chExt cx="229235" cy="356870"/>
                                </a:xfrm>
                              </wpg:grpSpPr>
                              <wps:wsp>
                                <wps:cNvPr id="14363" name="Freeform 17"/>
                                <wps:cNvSpPr>
                                  <a:spLocks noEditPoints="1"/>
                                </wps:cNvSpPr>
                                <wps:spPr bwMode="auto">
                                  <a:xfrm>
                                    <a:off x="3990975" y="325120"/>
                                    <a:ext cx="101600" cy="172720"/>
                                  </a:xfrm>
                                  <a:custGeom>
                                    <a:avLst/>
                                    <a:gdLst>
                                      <a:gd name="T0" fmla="*/ 35 w 35"/>
                                      <a:gd name="T1" fmla="*/ 26 h 59"/>
                                      <a:gd name="T2" fmla="*/ 19 w 35"/>
                                      <a:gd name="T3" fmla="*/ 59 h 59"/>
                                      <a:gd name="T4" fmla="*/ 17 w 35"/>
                                      <a:gd name="T5" fmla="*/ 59 h 59"/>
                                      <a:gd name="T6" fmla="*/ 13 w 35"/>
                                      <a:gd name="T7" fmla="*/ 59 h 59"/>
                                      <a:gd name="T8" fmla="*/ 11 w 35"/>
                                      <a:gd name="T9" fmla="*/ 59 h 59"/>
                                      <a:gd name="T10" fmla="*/ 11 w 35"/>
                                      <a:gd name="T11" fmla="*/ 57 h 59"/>
                                      <a:gd name="T12" fmla="*/ 19 w 35"/>
                                      <a:gd name="T13" fmla="*/ 35 h 59"/>
                                      <a:gd name="T14" fmla="*/ 1 w 35"/>
                                      <a:gd name="T15" fmla="*/ 35 h 59"/>
                                      <a:gd name="T16" fmla="*/ 0 w 35"/>
                                      <a:gd name="T17" fmla="*/ 34 h 59"/>
                                      <a:gd name="T18" fmla="*/ 0 w 35"/>
                                      <a:gd name="T19" fmla="*/ 33 h 59"/>
                                      <a:gd name="T20" fmla="*/ 16 w 35"/>
                                      <a:gd name="T21" fmla="*/ 0 h 59"/>
                                      <a:gd name="T22" fmla="*/ 18 w 35"/>
                                      <a:gd name="T23" fmla="*/ 0 h 59"/>
                                      <a:gd name="T24" fmla="*/ 23 w 35"/>
                                      <a:gd name="T25" fmla="*/ 0 h 59"/>
                                      <a:gd name="T26" fmla="*/ 24 w 35"/>
                                      <a:gd name="T27" fmla="*/ 0 h 59"/>
                                      <a:gd name="T28" fmla="*/ 24 w 35"/>
                                      <a:gd name="T29" fmla="*/ 2 h 59"/>
                                      <a:gd name="T30" fmla="*/ 16 w 35"/>
                                      <a:gd name="T31" fmla="*/ 24 h 59"/>
                                      <a:gd name="T32" fmla="*/ 34 w 35"/>
                                      <a:gd name="T33" fmla="*/ 24 h 59"/>
                                      <a:gd name="T34" fmla="*/ 35 w 35"/>
                                      <a:gd name="T35" fmla="*/ 25 h 59"/>
                                      <a:gd name="T36" fmla="*/ 35 w 35"/>
                                      <a:gd name="T37" fmla="*/ 26 h 59"/>
                                      <a:gd name="T38" fmla="*/ 31 w 35"/>
                                      <a:gd name="T39" fmla="*/ 27 h 59"/>
                                      <a:gd name="T40" fmla="*/ 14 w 35"/>
                                      <a:gd name="T41" fmla="*/ 27 h 59"/>
                                      <a:gd name="T42" fmla="*/ 12 w 35"/>
                                      <a:gd name="T43" fmla="*/ 26 h 59"/>
                                      <a:gd name="T44" fmla="*/ 12 w 35"/>
                                      <a:gd name="T45" fmla="*/ 25 h 59"/>
                                      <a:gd name="T46" fmla="*/ 20 w 35"/>
                                      <a:gd name="T47" fmla="*/ 3 h 59"/>
                                      <a:gd name="T48" fmla="*/ 19 w 35"/>
                                      <a:gd name="T49" fmla="*/ 3 h 59"/>
                                      <a:gd name="T50" fmla="*/ 4 w 35"/>
                                      <a:gd name="T51" fmla="*/ 32 h 59"/>
                                      <a:gd name="T52" fmla="*/ 21 w 35"/>
                                      <a:gd name="T53" fmla="*/ 32 h 59"/>
                                      <a:gd name="T54" fmla="*/ 23 w 35"/>
                                      <a:gd name="T55" fmla="*/ 33 h 59"/>
                                      <a:gd name="T56" fmla="*/ 23 w 35"/>
                                      <a:gd name="T57" fmla="*/ 34 h 59"/>
                                      <a:gd name="T58" fmla="*/ 15 w 35"/>
                                      <a:gd name="T59" fmla="*/ 56 h 59"/>
                                      <a:gd name="T60" fmla="*/ 16 w 35"/>
                                      <a:gd name="T61" fmla="*/ 56 h 59"/>
                                      <a:gd name="T62" fmla="*/ 31 w 35"/>
                                      <a:gd name="T63" fmla="*/ 27 h 59"/>
                                      <a:gd name="T64" fmla="*/ 31 w 35"/>
                                      <a:gd name="T65" fmla="*/ 27 h 59"/>
                                      <a:gd name="T66" fmla="*/ 31 w 35"/>
                                      <a:gd name="T67" fmla="*/ 27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5" h="59">
                                        <a:moveTo>
                                          <a:pt x="35" y="26"/>
                                        </a:moveTo>
                                        <a:cubicBezTo>
                                          <a:pt x="19" y="59"/>
                                          <a:pt x="19" y="59"/>
                                          <a:pt x="19" y="59"/>
                                        </a:cubicBezTo>
                                        <a:cubicBezTo>
                                          <a:pt x="19" y="59"/>
                                          <a:pt x="18" y="59"/>
                                          <a:pt x="17" y="59"/>
                                        </a:cubicBezTo>
                                        <a:cubicBezTo>
                                          <a:pt x="13" y="59"/>
                                          <a:pt x="13" y="59"/>
                                          <a:pt x="13" y="59"/>
                                        </a:cubicBezTo>
                                        <a:cubicBezTo>
                                          <a:pt x="12" y="59"/>
                                          <a:pt x="12" y="59"/>
                                          <a:pt x="11" y="59"/>
                                        </a:cubicBezTo>
                                        <a:cubicBezTo>
                                          <a:pt x="11" y="58"/>
                                          <a:pt x="11" y="58"/>
                                          <a:pt x="11" y="57"/>
                                        </a:cubicBezTo>
                                        <a:cubicBezTo>
                                          <a:pt x="19" y="35"/>
                                          <a:pt x="19" y="35"/>
                                          <a:pt x="19" y="35"/>
                                        </a:cubicBezTo>
                                        <a:cubicBezTo>
                                          <a:pt x="1" y="35"/>
                                          <a:pt x="1" y="35"/>
                                          <a:pt x="1" y="35"/>
                                        </a:cubicBezTo>
                                        <a:cubicBezTo>
                                          <a:pt x="1" y="35"/>
                                          <a:pt x="0" y="35"/>
                                          <a:pt x="0" y="34"/>
                                        </a:cubicBezTo>
                                        <a:cubicBezTo>
                                          <a:pt x="0" y="34"/>
                                          <a:pt x="0" y="33"/>
                                          <a:pt x="0" y="33"/>
                                        </a:cubicBezTo>
                                        <a:cubicBezTo>
                                          <a:pt x="16" y="0"/>
                                          <a:pt x="16" y="0"/>
                                          <a:pt x="16" y="0"/>
                                        </a:cubicBezTo>
                                        <a:cubicBezTo>
                                          <a:pt x="16" y="0"/>
                                          <a:pt x="17" y="0"/>
                                          <a:pt x="18" y="0"/>
                                        </a:cubicBezTo>
                                        <a:cubicBezTo>
                                          <a:pt x="23" y="0"/>
                                          <a:pt x="23" y="0"/>
                                          <a:pt x="23" y="0"/>
                                        </a:cubicBezTo>
                                        <a:cubicBezTo>
                                          <a:pt x="23" y="0"/>
                                          <a:pt x="24" y="0"/>
                                          <a:pt x="24" y="0"/>
                                        </a:cubicBezTo>
                                        <a:cubicBezTo>
                                          <a:pt x="24" y="1"/>
                                          <a:pt x="24" y="1"/>
                                          <a:pt x="24" y="2"/>
                                        </a:cubicBezTo>
                                        <a:cubicBezTo>
                                          <a:pt x="16" y="24"/>
                                          <a:pt x="16" y="24"/>
                                          <a:pt x="16" y="24"/>
                                        </a:cubicBezTo>
                                        <a:cubicBezTo>
                                          <a:pt x="34" y="24"/>
                                          <a:pt x="34" y="24"/>
                                          <a:pt x="34" y="24"/>
                                        </a:cubicBezTo>
                                        <a:cubicBezTo>
                                          <a:pt x="34" y="24"/>
                                          <a:pt x="35" y="24"/>
                                          <a:pt x="35" y="25"/>
                                        </a:cubicBezTo>
                                        <a:cubicBezTo>
                                          <a:pt x="35" y="25"/>
                                          <a:pt x="35" y="26"/>
                                          <a:pt x="35" y="26"/>
                                        </a:cubicBezTo>
                                        <a:close/>
                                        <a:moveTo>
                                          <a:pt x="31" y="27"/>
                                        </a:moveTo>
                                        <a:cubicBezTo>
                                          <a:pt x="14" y="27"/>
                                          <a:pt x="14" y="27"/>
                                          <a:pt x="14" y="27"/>
                                        </a:cubicBezTo>
                                        <a:cubicBezTo>
                                          <a:pt x="13" y="27"/>
                                          <a:pt x="13" y="27"/>
                                          <a:pt x="12" y="26"/>
                                        </a:cubicBezTo>
                                        <a:cubicBezTo>
                                          <a:pt x="12" y="26"/>
                                          <a:pt x="12" y="25"/>
                                          <a:pt x="12" y="25"/>
                                        </a:cubicBezTo>
                                        <a:cubicBezTo>
                                          <a:pt x="20" y="3"/>
                                          <a:pt x="20" y="3"/>
                                          <a:pt x="20" y="3"/>
                                        </a:cubicBezTo>
                                        <a:cubicBezTo>
                                          <a:pt x="19" y="3"/>
                                          <a:pt x="19" y="3"/>
                                          <a:pt x="19" y="3"/>
                                        </a:cubicBezTo>
                                        <a:cubicBezTo>
                                          <a:pt x="4" y="32"/>
                                          <a:pt x="4" y="32"/>
                                          <a:pt x="4" y="32"/>
                                        </a:cubicBezTo>
                                        <a:cubicBezTo>
                                          <a:pt x="21" y="32"/>
                                          <a:pt x="21" y="32"/>
                                          <a:pt x="21" y="32"/>
                                        </a:cubicBezTo>
                                        <a:cubicBezTo>
                                          <a:pt x="22" y="32"/>
                                          <a:pt x="22" y="32"/>
                                          <a:pt x="23" y="33"/>
                                        </a:cubicBezTo>
                                        <a:cubicBezTo>
                                          <a:pt x="23" y="33"/>
                                          <a:pt x="23" y="34"/>
                                          <a:pt x="23" y="34"/>
                                        </a:cubicBezTo>
                                        <a:cubicBezTo>
                                          <a:pt x="15" y="56"/>
                                          <a:pt x="15" y="56"/>
                                          <a:pt x="15" y="56"/>
                                        </a:cubicBezTo>
                                        <a:cubicBezTo>
                                          <a:pt x="16" y="56"/>
                                          <a:pt x="16" y="56"/>
                                          <a:pt x="16" y="56"/>
                                        </a:cubicBezTo>
                                        <a:lnTo>
                                          <a:pt x="31" y="27"/>
                                        </a:lnTo>
                                        <a:close/>
                                        <a:moveTo>
                                          <a:pt x="31" y="27"/>
                                        </a:moveTo>
                                        <a:cubicBezTo>
                                          <a:pt x="31" y="27"/>
                                          <a:pt x="31" y="27"/>
                                          <a:pt x="31" y="27"/>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4" name="Freeform 18"/>
                                <wps:cNvSpPr>
                                  <a:spLocks noEditPoints="1"/>
                                </wps:cNvSpPr>
                                <wps:spPr bwMode="auto">
                                  <a:xfrm>
                                    <a:off x="3927475" y="196215"/>
                                    <a:ext cx="229235" cy="356870"/>
                                  </a:xfrm>
                                  <a:custGeom>
                                    <a:avLst/>
                                    <a:gdLst>
                                      <a:gd name="T0" fmla="*/ 260 w 361"/>
                                      <a:gd name="T1" fmla="*/ 83 h 562"/>
                                      <a:gd name="T2" fmla="*/ 260 w 361"/>
                                      <a:gd name="T3" fmla="*/ 51 h 562"/>
                                      <a:gd name="T4" fmla="*/ 279 w 361"/>
                                      <a:gd name="T5" fmla="*/ 51 h 562"/>
                                      <a:gd name="T6" fmla="*/ 279 w 361"/>
                                      <a:gd name="T7" fmla="*/ 0 h 562"/>
                                      <a:gd name="T8" fmla="*/ 82 w 361"/>
                                      <a:gd name="T9" fmla="*/ 0 h 562"/>
                                      <a:gd name="T10" fmla="*/ 82 w 361"/>
                                      <a:gd name="T11" fmla="*/ 51 h 562"/>
                                      <a:gd name="T12" fmla="*/ 100 w 361"/>
                                      <a:gd name="T13" fmla="*/ 51 h 562"/>
                                      <a:gd name="T14" fmla="*/ 100 w 361"/>
                                      <a:gd name="T15" fmla="*/ 83 h 562"/>
                                      <a:gd name="T16" fmla="*/ 0 w 361"/>
                                      <a:gd name="T17" fmla="*/ 83 h 562"/>
                                      <a:gd name="T18" fmla="*/ 0 w 361"/>
                                      <a:gd name="T19" fmla="*/ 148 h 562"/>
                                      <a:gd name="T20" fmla="*/ 0 w 361"/>
                                      <a:gd name="T21" fmla="*/ 148 h 562"/>
                                      <a:gd name="T22" fmla="*/ 0 w 361"/>
                                      <a:gd name="T23" fmla="*/ 562 h 562"/>
                                      <a:gd name="T24" fmla="*/ 361 w 361"/>
                                      <a:gd name="T25" fmla="*/ 562 h 562"/>
                                      <a:gd name="T26" fmla="*/ 361 w 361"/>
                                      <a:gd name="T27" fmla="*/ 148 h 562"/>
                                      <a:gd name="T28" fmla="*/ 361 w 361"/>
                                      <a:gd name="T29" fmla="*/ 148 h 562"/>
                                      <a:gd name="T30" fmla="*/ 361 w 361"/>
                                      <a:gd name="T31" fmla="*/ 83 h 562"/>
                                      <a:gd name="T32" fmla="*/ 260 w 361"/>
                                      <a:gd name="T33" fmla="*/ 83 h 562"/>
                                      <a:gd name="T34" fmla="*/ 100 w 361"/>
                                      <a:gd name="T35" fmla="*/ 32 h 562"/>
                                      <a:gd name="T36" fmla="*/ 100 w 361"/>
                                      <a:gd name="T37" fmla="*/ 14 h 562"/>
                                      <a:gd name="T38" fmla="*/ 260 w 361"/>
                                      <a:gd name="T39" fmla="*/ 14 h 562"/>
                                      <a:gd name="T40" fmla="*/ 260 w 361"/>
                                      <a:gd name="T41" fmla="*/ 32 h 562"/>
                                      <a:gd name="T42" fmla="*/ 100 w 361"/>
                                      <a:gd name="T43" fmla="*/ 32 h 562"/>
                                      <a:gd name="T44" fmla="*/ 100 w 361"/>
                                      <a:gd name="T45" fmla="*/ 32 h 562"/>
                                      <a:gd name="T46" fmla="*/ 242 w 361"/>
                                      <a:gd name="T47" fmla="*/ 51 h 562"/>
                                      <a:gd name="T48" fmla="*/ 242 w 361"/>
                                      <a:gd name="T49" fmla="*/ 83 h 562"/>
                                      <a:gd name="T50" fmla="*/ 119 w 361"/>
                                      <a:gd name="T51" fmla="*/ 83 h 562"/>
                                      <a:gd name="T52" fmla="*/ 119 w 361"/>
                                      <a:gd name="T53" fmla="*/ 51 h 562"/>
                                      <a:gd name="T54" fmla="*/ 242 w 361"/>
                                      <a:gd name="T55" fmla="*/ 51 h 562"/>
                                      <a:gd name="T56" fmla="*/ 18 w 361"/>
                                      <a:gd name="T57" fmla="*/ 180 h 562"/>
                                      <a:gd name="T58" fmla="*/ 18 w 361"/>
                                      <a:gd name="T59" fmla="*/ 148 h 562"/>
                                      <a:gd name="T60" fmla="*/ 343 w 361"/>
                                      <a:gd name="T61" fmla="*/ 148 h 562"/>
                                      <a:gd name="T62" fmla="*/ 343 w 361"/>
                                      <a:gd name="T63" fmla="*/ 544 h 562"/>
                                      <a:gd name="T64" fmla="*/ 18 w 361"/>
                                      <a:gd name="T65" fmla="*/ 544 h 562"/>
                                      <a:gd name="T66" fmla="*/ 18 w 361"/>
                                      <a:gd name="T67" fmla="*/ 198 h 562"/>
                                      <a:gd name="T68" fmla="*/ 18 w 361"/>
                                      <a:gd name="T69" fmla="*/ 180 h 562"/>
                                      <a:gd name="T70" fmla="*/ 347 w 361"/>
                                      <a:gd name="T71" fmla="*/ 198 h 562"/>
                                      <a:gd name="T72" fmla="*/ 347 w 361"/>
                                      <a:gd name="T73" fmla="*/ 180 h 562"/>
                                      <a:gd name="T74" fmla="*/ 347 w 361"/>
                                      <a:gd name="T75" fmla="*/ 198 h 562"/>
                                      <a:gd name="T76" fmla="*/ 343 w 361"/>
                                      <a:gd name="T77" fmla="*/ 129 h 562"/>
                                      <a:gd name="T78" fmla="*/ 18 w 361"/>
                                      <a:gd name="T79" fmla="*/ 129 h 562"/>
                                      <a:gd name="T80" fmla="*/ 18 w 361"/>
                                      <a:gd name="T81" fmla="*/ 97 h 562"/>
                                      <a:gd name="T82" fmla="*/ 343 w 361"/>
                                      <a:gd name="T83" fmla="*/ 97 h 562"/>
                                      <a:gd name="T84" fmla="*/ 343 w 361"/>
                                      <a:gd name="T85" fmla="*/ 129 h 562"/>
                                      <a:gd name="T86" fmla="*/ 343 w 361"/>
                                      <a:gd name="T87" fmla="*/ 129 h 562"/>
                                      <a:gd name="T88" fmla="*/ 343 w 361"/>
                                      <a:gd name="T89" fmla="*/ 129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61" h="562">
                                        <a:moveTo>
                                          <a:pt x="260" y="83"/>
                                        </a:moveTo>
                                        <a:lnTo>
                                          <a:pt x="260" y="51"/>
                                        </a:lnTo>
                                        <a:lnTo>
                                          <a:pt x="279" y="51"/>
                                        </a:lnTo>
                                        <a:lnTo>
                                          <a:pt x="279" y="0"/>
                                        </a:lnTo>
                                        <a:lnTo>
                                          <a:pt x="82" y="0"/>
                                        </a:lnTo>
                                        <a:lnTo>
                                          <a:pt x="82" y="51"/>
                                        </a:lnTo>
                                        <a:lnTo>
                                          <a:pt x="100" y="51"/>
                                        </a:lnTo>
                                        <a:lnTo>
                                          <a:pt x="100" y="83"/>
                                        </a:lnTo>
                                        <a:lnTo>
                                          <a:pt x="0" y="83"/>
                                        </a:lnTo>
                                        <a:lnTo>
                                          <a:pt x="0" y="148"/>
                                        </a:lnTo>
                                        <a:lnTo>
                                          <a:pt x="0" y="148"/>
                                        </a:lnTo>
                                        <a:lnTo>
                                          <a:pt x="0" y="562"/>
                                        </a:lnTo>
                                        <a:lnTo>
                                          <a:pt x="361" y="562"/>
                                        </a:lnTo>
                                        <a:lnTo>
                                          <a:pt x="361" y="148"/>
                                        </a:lnTo>
                                        <a:lnTo>
                                          <a:pt x="361" y="148"/>
                                        </a:lnTo>
                                        <a:lnTo>
                                          <a:pt x="361" y="83"/>
                                        </a:lnTo>
                                        <a:lnTo>
                                          <a:pt x="260" y="83"/>
                                        </a:lnTo>
                                        <a:close/>
                                        <a:moveTo>
                                          <a:pt x="100" y="32"/>
                                        </a:moveTo>
                                        <a:lnTo>
                                          <a:pt x="100" y="14"/>
                                        </a:lnTo>
                                        <a:lnTo>
                                          <a:pt x="260" y="14"/>
                                        </a:lnTo>
                                        <a:lnTo>
                                          <a:pt x="260" y="32"/>
                                        </a:lnTo>
                                        <a:lnTo>
                                          <a:pt x="100" y="32"/>
                                        </a:lnTo>
                                        <a:lnTo>
                                          <a:pt x="100" y="32"/>
                                        </a:lnTo>
                                        <a:close/>
                                        <a:moveTo>
                                          <a:pt x="242" y="51"/>
                                        </a:moveTo>
                                        <a:lnTo>
                                          <a:pt x="242" y="83"/>
                                        </a:lnTo>
                                        <a:lnTo>
                                          <a:pt x="119" y="83"/>
                                        </a:lnTo>
                                        <a:lnTo>
                                          <a:pt x="119" y="51"/>
                                        </a:lnTo>
                                        <a:lnTo>
                                          <a:pt x="242" y="51"/>
                                        </a:lnTo>
                                        <a:close/>
                                        <a:moveTo>
                                          <a:pt x="18" y="180"/>
                                        </a:moveTo>
                                        <a:lnTo>
                                          <a:pt x="18" y="148"/>
                                        </a:lnTo>
                                        <a:lnTo>
                                          <a:pt x="343" y="148"/>
                                        </a:lnTo>
                                        <a:lnTo>
                                          <a:pt x="343" y="544"/>
                                        </a:lnTo>
                                        <a:lnTo>
                                          <a:pt x="18" y="544"/>
                                        </a:lnTo>
                                        <a:lnTo>
                                          <a:pt x="18" y="198"/>
                                        </a:lnTo>
                                        <a:lnTo>
                                          <a:pt x="18" y="180"/>
                                        </a:lnTo>
                                        <a:close/>
                                        <a:moveTo>
                                          <a:pt x="347" y="198"/>
                                        </a:moveTo>
                                        <a:lnTo>
                                          <a:pt x="347" y="180"/>
                                        </a:lnTo>
                                        <a:lnTo>
                                          <a:pt x="347" y="198"/>
                                        </a:lnTo>
                                        <a:close/>
                                        <a:moveTo>
                                          <a:pt x="343" y="129"/>
                                        </a:moveTo>
                                        <a:lnTo>
                                          <a:pt x="18" y="129"/>
                                        </a:lnTo>
                                        <a:lnTo>
                                          <a:pt x="18" y="97"/>
                                        </a:lnTo>
                                        <a:lnTo>
                                          <a:pt x="343" y="97"/>
                                        </a:lnTo>
                                        <a:lnTo>
                                          <a:pt x="343" y="129"/>
                                        </a:lnTo>
                                        <a:close/>
                                        <a:moveTo>
                                          <a:pt x="343" y="129"/>
                                        </a:moveTo>
                                        <a:lnTo>
                                          <a:pt x="343" y="1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1E054FE" id="Group 14360" o:spid="_x0000_s1026" style="width:36.85pt;height:36.85pt;mso-position-horizontal-relative:char;mso-position-vertical-relative:line" coordorigin="36722" coordsize="7423,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">
                      <v:oval id="Oval 8" o:spid="_x0000_s1027" style="position:absolute;left:36722;width:7423;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" fillcolor="#65bbc8" stroked="f"/>
                      <v:group id="Group 14362" o:spid="_x0000_s1028" style="position:absolute;left:39274;top:1962;width:2293;height:3568" coordorigin="39274,1962" coordsize="2292,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">
                        <v:shape id="Freeform 17" o:spid="_x0000_s1029" style="position:absolute;left:39909;top:3251;width:1016;height:1727;visibility:visible;mso-wrap-style:square;v-text-anchor:top" coordsize="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" path="m35,26c19,59,19,59,19,59v,,-1,,-2,c13,59,13,59,13,59v-1,,-1,,-2,c11,58,11,58,11,57,19,35,19,35,19,35,1,35,1,35,1,35v,,-1,,-1,-1c,34,,33,,33,16,,16,,16,v,,1,,2,c23,,23,,23,v,,1,,1,c24,1,24,1,24,2,16,24,16,24,16,24v18,,18,,18,c34,24,35,24,35,25v,,,1,,1xm31,27v-17,,-17,,-17,c13,27,13,27,12,26v,,,-1,,-1c20,3,20,3,20,3v-1,,-1,,-1,c4,32,4,32,4,32v17,,17,,17,c22,32,22,32,23,33v,,,1,,1c15,56,15,56,15,56v1,,1,,1,l31,27xm31,27v,,,,,e" stroked="f">
                          <v:path arrowok="t" o:connecttype="custom" o:connectlocs="101600,76114;55154,172720;49349,172720;37737,172720;31931,172720;31931,166865;55154,102461;2903,102461;0,99534;0,96606;46446,0;52251,0;66766,0;69669,0;69669,5855;46446,70259;98697,70259;101600,73186;101600,76114;89989,79041;40640,79041;34834,76114;34834,73186;58057,8782;55154,8782;11611,93679;60960,93679;66766,96606;66766,99534;43543,163938;46446,163938;89989,79041;89989,79041;89989,79041" o:connectangles="0,0,0,0,0,0,0,0,0,0,0,0,0,0,0,0,0,0,0,0,0,0,0,0,0,0,0,0,0,0,0,0,0,0"/>
                          <o:lock v:ext="edit" verticies="t"/>
                        </v:shape>
                        <v:shape id="Freeform 18" o:spid="_x0000_s1030" style="position:absolute;left:39274;top:1962;width:2293;height:3568;visibility:visible;mso-wrap-style:square;v-text-anchor:top" coordsize="36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" path="m260,83r,-32l279,51,279,,82,r,51l100,51r,32l,83r,65l,148,,562r361,l361,148r,l361,83r-101,xm100,32r,-18l260,14r,18l100,32r,xm242,51r,32l119,83r,-32l242,51xm18,180r,-32l343,148r,396l18,544r,-346l18,180xm347,198r,-18l347,198xm343,129r-325,l18,97r325,l343,129xm343,129r,xe" stroked="f">
                          <v:path arrowok="t" o:connecttype="custom" o:connectlocs="165100,52705;165100,32385;177165,32385;177165,0;52070,0;52070,32385;63500,32385;63500,52705;0,52705;0,93980;0,93980;0,356870;229235,356870;229235,93980;229235,93980;229235,52705;165100,52705;63500,20320;63500,8890;165100,8890;165100,20320;63500,20320;63500,20320;153670,32385;153670,52705;75565,52705;75565,32385;153670,32385;11430,114300;11430,93980;217805,93980;217805,345440;11430,345440;11430,125730;11430,114300;220345,125730;220345,114300;220345,125730;217805,81915;11430,81915;11430,61595;217805,61595;217805,81915;217805,81915;217805,81915" o:connectangles="0,0,0,0,0,0,0,0,0,0,0,0,0,0,0,0,0,0,0,0,0,0,0,0,0,0,0,0,0,0,0,0,0,0,0,0,0,0,0,0,0,0,0,0,0"/>
                          <o:lock v:ext="edit" verticies="t"/>
                        </v:shape>
                      </v:group>
                      <w10:anchorlock/>
                    </v:group>
                  </w:pict>
                </mc:Fallback>
              </mc:AlternateContent>
            </w:r>
          </w:p>
        </w:tc>
        <w:tc>
          <w:tcPr>
            <w:tcW w:w="1843" w:type="dxa"/>
            <w:shd w:val="clear" w:color="auto" w:fill="E0F1F4"/>
            <w:vAlign w:val="center"/>
          </w:tcPr>
          <w:p w14:paraId="53DA960D" w14:textId="77777777" w:rsidR="006C24AC" w:rsidRPr="00277538" w:rsidRDefault="006C24AC" w:rsidP="00F76EA1">
            <w:pPr>
              <w:keepNext/>
              <w:jc w:val="center"/>
              <w:rPr>
                <w:rFonts w:eastAsia="Calibri"/>
                <w:szCs w:val="20"/>
              </w:rPr>
            </w:pPr>
            <w:r w:rsidRPr="00277538">
              <w:rPr>
                <w:rFonts w:eastAsia="Calibri"/>
                <w:noProof/>
                <w:szCs w:val="20"/>
                <w:lang w:val="fr-BE" w:eastAsia="fr-BE"/>
              </w:rPr>
              <mc:AlternateContent>
                <mc:Choice Requires="wpg">
                  <w:drawing>
                    <wp:inline distT="0" distB="0" distL="0" distR="0" wp14:anchorId="19D60425" wp14:editId="36A833A1">
                      <wp:extent cx="467995" cy="467995"/>
                      <wp:effectExtent l="0" t="0" r="8255" b="8255"/>
                      <wp:docPr id="14365" name="Group 14365"/>
                      <wp:cNvGraphicFramePr/>
                      <a:graphic xmlns:a="http://schemas.openxmlformats.org/drawingml/2006/main">
                        <a:graphicData uri="http://schemas.microsoft.com/office/word/2010/wordprocessingGroup">
                          <wpg:wgp>
                            <wpg:cNvGrpSpPr/>
                            <wpg:grpSpPr>
                              <a:xfrm>
                                <a:off x="0" y="0"/>
                                <a:ext cx="467995" cy="467995"/>
                                <a:chOff x="5020945" y="0"/>
                                <a:chExt cx="742950" cy="749300"/>
                              </a:xfrm>
                            </wpg:grpSpPr>
                            <wps:wsp>
                              <wps:cNvPr id="14366" name="Oval 9"/>
                              <wps:cNvSpPr>
                                <a:spLocks noChangeArrowheads="1"/>
                              </wps:cNvSpPr>
                              <wps:spPr bwMode="auto">
                                <a:xfrm>
                                  <a:off x="5020945" y="0"/>
                                  <a:ext cx="742950" cy="749300"/>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7" name="Freeform 20"/>
                              <wps:cNvSpPr>
                                <a:spLocks noEditPoints="1"/>
                              </wps:cNvSpPr>
                              <wps:spPr bwMode="auto">
                                <a:xfrm>
                                  <a:off x="5267325" y="190500"/>
                                  <a:ext cx="252730" cy="365760"/>
                                </a:xfrm>
                                <a:custGeom>
                                  <a:avLst/>
                                  <a:gdLst>
                                    <a:gd name="T0" fmla="*/ 46 w 87"/>
                                    <a:gd name="T1" fmla="*/ 1 h 125"/>
                                    <a:gd name="T2" fmla="*/ 43 w 87"/>
                                    <a:gd name="T3" fmla="*/ 0 h 125"/>
                                    <a:gd name="T4" fmla="*/ 41 w 87"/>
                                    <a:gd name="T5" fmla="*/ 2 h 125"/>
                                    <a:gd name="T6" fmla="*/ 0 w 87"/>
                                    <a:gd name="T7" fmla="*/ 82 h 125"/>
                                    <a:gd name="T8" fmla="*/ 43 w 87"/>
                                    <a:gd name="T9" fmla="*/ 125 h 125"/>
                                    <a:gd name="T10" fmla="*/ 87 w 87"/>
                                    <a:gd name="T11" fmla="*/ 82 h 125"/>
                                    <a:gd name="T12" fmla="*/ 46 w 87"/>
                                    <a:gd name="T13" fmla="*/ 1 h 125"/>
                                    <a:gd name="T14" fmla="*/ 43 w 87"/>
                                    <a:gd name="T15" fmla="*/ 118 h 125"/>
                                    <a:gd name="T16" fmla="*/ 7 w 87"/>
                                    <a:gd name="T17" fmla="*/ 82 h 125"/>
                                    <a:gd name="T18" fmla="*/ 44 w 87"/>
                                    <a:gd name="T19" fmla="*/ 9 h 125"/>
                                    <a:gd name="T20" fmla="*/ 80 w 87"/>
                                    <a:gd name="T21" fmla="*/ 82 h 125"/>
                                    <a:gd name="T22" fmla="*/ 43 w 87"/>
                                    <a:gd name="T23" fmla="*/ 11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7" h="125">
                                      <a:moveTo>
                                        <a:pt x="46" y="1"/>
                                      </a:moveTo>
                                      <a:cubicBezTo>
                                        <a:pt x="45" y="1"/>
                                        <a:pt x="44" y="0"/>
                                        <a:pt x="43" y="0"/>
                                      </a:cubicBezTo>
                                      <a:cubicBezTo>
                                        <a:pt x="42" y="0"/>
                                        <a:pt x="41" y="1"/>
                                        <a:pt x="41" y="2"/>
                                      </a:cubicBezTo>
                                      <a:cubicBezTo>
                                        <a:pt x="39" y="4"/>
                                        <a:pt x="0" y="51"/>
                                        <a:pt x="0" y="82"/>
                                      </a:cubicBezTo>
                                      <a:cubicBezTo>
                                        <a:pt x="0" y="106"/>
                                        <a:pt x="20" y="125"/>
                                        <a:pt x="43" y="125"/>
                                      </a:cubicBezTo>
                                      <a:cubicBezTo>
                                        <a:pt x="67" y="125"/>
                                        <a:pt x="87" y="106"/>
                                        <a:pt x="87" y="82"/>
                                      </a:cubicBezTo>
                                      <a:cubicBezTo>
                                        <a:pt x="87" y="48"/>
                                        <a:pt x="48" y="3"/>
                                        <a:pt x="46" y="1"/>
                                      </a:cubicBezTo>
                                      <a:close/>
                                      <a:moveTo>
                                        <a:pt x="43" y="118"/>
                                      </a:moveTo>
                                      <a:cubicBezTo>
                                        <a:pt x="23" y="118"/>
                                        <a:pt x="7" y="102"/>
                                        <a:pt x="7" y="82"/>
                                      </a:cubicBezTo>
                                      <a:cubicBezTo>
                                        <a:pt x="7" y="58"/>
                                        <a:pt x="35" y="20"/>
                                        <a:pt x="44" y="9"/>
                                      </a:cubicBezTo>
                                      <a:cubicBezTo>
                                        <a:pt x="52" y="20"/>
                                        <a:pt x="80" y="55"/>
                                        <a:pt x="80" y="82"/>
                                      </a:cubicBezTo>
                                      <a:cubicBezTo>
                                        <a:pt x="80" y="102"/>
                                        <a:pt x="64" y="118"/>
                                        <a:pt x="43" y="11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Freeform 21"/>
                              <wps:cNvSpPr>
                                <a:spLocks/>
                              </wps:cNvSpPr>
                              <wps:spPr bwMode="auto">
                                <a:xfrm>
                                  <a:off x="5354320" y="354330"/>
                                  <a:ext cx="78740" cy="108585"/>
                                </a:xfrm>
                                <a:custGeom>
                                  <a:avLst/>
                                  <a:gdLst>
                                    <a:gd name="T0" fmla="*/ 23 w 124"/>
                                    <a:gd name="T1" fmla="*/ 0 h 171"/>
                                    <a:gd name="T2" fmla="*/ 23 w 124"/>
                                    <a:gd name="T3" fmla="*/ 74 h 171"/>
                                    <a:gd name="T4" fmla="*/ 101 w 124"/>
                                    <a:gd name="T5" fmla="*/ 74 h 171"/>
                                    <a:gd name="T6" fmla="*/ 101 w 124"/>
                                    <a:gd name="T7" fmla="*/ 0 h 171"/>
                                    <a:gd name="T8" fmla="*/ 124 w 124"/>
                                    <a:gd name="T9" fmla="*/ 0 h 171"/>
                                    <a:gd name="T10" fmla="*/ 124 w 124"/>
                                    <a:gd name="T11" fmla="*/ 171 h 171"/>
                                    <a:gd name="T12" fmla="*/ 101 w 124"/>
                                    <a:gd name="T13" fmla="*/ 171 h 171"/>
                                    <a:gd name="T14" fmla="*/ 101 w 124"/>
                                    <a:gd name="T15" fmla="*/ 92 h 171"/>
                                    <a:gd name="T16" fmla="*/ 23 w 124"/>
                                    <a:gd name="T17" fmla="*/ 92 h 171"/>
                                    <a:gd name="T18" fmla="*/ 23 w 124"/>
                                    <a:gd name="T19" fmla="*/ 171 h 171"/>
                                    <a:gd name="T20" fmla="*/ 0 w 124"/>
                                    <a:gd name="T21" fmla="*/ 171 h 171"/>
                                    <a:gd name="T22" fmla="*/ 0 w 124"/>
                                    <a:gd name="T23" fmla="*/ 0 h 171"/>
                                    <a:gd name="T24" fmla="*/ 23 w 124"/>
                                    <a:gd name="T25"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171">
                                      <a:moveTo>
                                        <a:pt x="23" y="0"/>
                                      </a:moveTo>
                                      <a:lnTo>
                                        <a:pt x="23" y="74"/>
                                      </a:lnTo>
                                      <a:lnTo>
                                        <a:pt x="101" y="74"/>
                                      </a:lnTo>
                                      <a:lnTo>
                                        <a:pt x="101" y="0"/>
                                      </a:lnTo>
                                      <a:lnTo>
                                        <a:pt x="124" y="0"/>
                                      </a:lnTo>
                                      <a:lnTo>
                                        <a:pt x="124" y="171"/>
                                      </a:lnTo>
                                      <a:lnTo>
                                        <a:pt x="101" y="171"/>
                                      </a:lnTo>
                                      <a:lnTo>
                                        <a:pt x="101" y="92"/>
                                      </a:lnTo>
                                      <a:lnTo>
                                        <a:pt x="23" y="92"/>
                                      </a:lnTo>
                                      <a:lnTo>
                                        <a:pt x="23" y="171"/>
                                      </a:lnTo>
                                      <a:lnTo>
                                        <a:pt x="0" y="171"/>
                                      </a:lnTo>
                                      <a:lnTo>
                                        <a:pt x="0" y="0"/>
                                      </a:lnTo>
                                      <a:lnTo>
                                        <a:pt x="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BFCC9F" id="Group 14365" o:spid="_x0000_s1026" style="width:36.85pt;height:36.85pt;mso-position-horizontal-relative:char;mso-position-vertical-relative:line" coordorigin="50209" coordsize="7429,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">
                      <v:oval id="Oval 9" o:spid="_x0000_s1027" style="position:absolute;left:50209;width:7429;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" fillcolor="#65bbc8" stroked="f"/>
                      <v:shape id="Freeform 20" o:spid="_x0000_s1028" style="position:absolute;left:52673;top:1905;width:2527;height:3657;visibility:visible;mso-wrap-style:square;v-text-anchor:top" coordsize="8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" path="m46,1c45,1,44,,43,,42,,41,1,41,2,39,4,,51,,82v,24,20,43,43,43c67,125,87,106,87,82,87,48,48,3,46,1xm43,118c23,118,7,102,7,82,7,58,35,20,44,9v8,11,36,46,36,73c80,102,64,118,43,118xe" stroked="f">
                        <v:path arrowok="t" o:connecttype="custom" o:connectlocs="133627,2926;124913,0;119103,5852;0,239939;124913,365760;252730,239939;133627,2926;124913,345277;20335,239939;127817,26335;232395,239939;124913,345277" o:connectangles="0,0,0,0,0,0,0,0,0,0,0,0"/>
                        <o:lock v:ext="edit" verticies="t"/>
                      </v:shape>
                      <v:shape id="Freeform 21" o:spid="_x0000_s1029" style="position:absolute;left:53543;top:3543;width:787;height:1086;visibility:visible;mso-wrap-style:square;v-text-anchor:top" coordsize="12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" path="m23,r,74l101,74,101,r23,l124,171r-23,l101,92r-78,l23,171,,171,,,23,xe" stroked="f">
                        <v:path arrowok="t" o:connecttype="custom" o:connectlocs="14605,0;14605,46990;64135,46990;64135,0;78740,0;78740,108585;64135,108585;64135,58420;14605,58420;14605,108585;0,108585;0,0;14605,0" o:connectangles="0,0,0,0,0,0,0,0,0,0,0,0,0"/>
                      </v:shape>
                      <w10:anchorlock/>
                    </v:group>
                  </w:pict>
                </mc:Fallback>
              </mc:AlternateContent>
            </w:r>
          </w:p>
        </w:tc>
      </w:tr>
      <w:tr w:rsidR="006C24AC" w:rsidRPr="00A04E56" w14:paraId="5679484E" w14:textId="77777777" w:rsidTr="00F76EA1">
        <w:trPr>
          <w:trHeight w:val="1757"/>
          <w:jc w:val="center"/>
        </w:trPr>
        <w:tc>
          <w:tcPr>
            <w:tcW w:w="1842" w:type="dxa"/>
            <w:shd w:val="clear" w:color="auto" w:fill="E0F1F4"/>
            <w:vAlign w:val="center"/>
          </w:tcPr>
          <w:p w14:paraId="41DDB6DB" w14:textId="3083D2AD" w:rsidR="006C24AC" w:rsidRPr="00277538" w:rsidRDefault="006C24AC" w:rsidP="00F76EA1">
            <w:pPr>
              <w:jc w:val="center"/>
              <w:rPr>
                <w:rFonts w:eastAsia="Calibri"/>
                <w:szCs w:val="20"/>
              </w:rPr>
            </w:pPr>
            <w:r w:rsidRPr="00277538">
              <w:rPr>
                <w:rFonts w:eastAsia="Calibri"/>
                <w:szCs w:val="20"/>
              </w:rPr>
              <w:t xml:space="preserve">New planets have been </w:t>
            </w:r>
            <w:r w:rsidR="00C31025" w:rsidRPr="00277538">
              <w:rPr>
                <w:rFonts w:eastAsia="Calibri"/>
                <w:szCs w:val="20"/>
              </w:rPr>
              <w:t>discovered</w:t>
            </w:r>
          </w:p>
        </w:tc>
        <w:tc>
          <w:tcPr>
            <w:tcW w:w="1842" w:type="dxa"/>
            <w:shd w:val="clear" w:color="auto" w:fill="E0F1F4"/>
            <w:vAlign w:val="center"/>
          </w:tcPr>
          <w:p w14:paraId="71BCD682" w14:textId="77777777" w:rsidR="006C24AC" w:rsidRPr="00277538" w:rsidRDefault="006C24AC" w:rsidP="00F76EA1">
            <w:pPr>
              <w:jc w:val="center"/>
              <w:rPr>
                <w:rFonts w:eastAsia="Calibri"/>
                <w:szCs w:val="20"/>
              </w:rPr>
            </w:pPr>
            <w:r w:rsidRPr="00277538">
              <w:rPr>
                <w:rFonts w:eastAsia="Calibri"/>
                <w:szCs w:val="20"/>
              </w:rPr>
              <w:t>Major progress has been made in cancer treatment</w:t>
            </w:r>
          </w:p>
        </w:tc>
        <w:tc>
          <w:tcPr>
            <w:tcW w:w="1842" w:type="dxa"/>
            <w:shd w:val="clear" w:color="auto" w:fill="E0F1F4"/>
            <w:vAlign w:val="center"/>
          </w:tcPr>
          <w:p w14:paraId="747E2917" w14:textId="77777777" w:rsidR="006C24AC" w:rsidRPr="00277538" w:rsidRDefault="006C24AC" w:rsidP="00F76EA1">
            <w:pPr>
              <w:jc w:val="center"/>
              <w:rPr>
                <w:rFonts w:eastAsia="Calibri"/>
                <w:szCs w:val="20"/>
              </w:rPr>
            </w:pPr>
            <w:r w:rsidRPr="00277538">
              <w:rPr>
                <w:rFonts w:eastAsia="Calibri"/>
                <w:szCs w:val="20"/>
              </w:rPr>
              <w:t>1.6 million Ebola vaccine doses are now available</w:t>
            </w:r>
          </w:p>
        </w:tc>
        <w:tc>
          <w:tcPr>
            <w:tcW w:w="1843" w:type="dxa"/>
            <w:shd w:val="clear" w:color="auto" w:fill="E0F1F4"/>
            <w:vAlign w:val="center"/>
          </w:tcPr>
          <w:p w14:paraId="26FB5EE7" w14:textId="77777777" w:rsidR="006C24AC" w:rsidRPr="00277538" w:rsidRDefault="006C24AC" w:rsidP="00F76EA1">
            <w:pPr>
              <w:jc w:val="center"/>
              <w:rPr>
                <w:rFonts w:eastAsia="Calibri"/>
                <w:szCs w:val="20"/>
              </w:rPr>
            </w:pPr>
            <w:r w:rsidRPr="00277538">
              <w:rPr>
                <w:rFonts w:eastAsia="Calibri"/>
                <w:szCs w:val="20"/>
              </w:rPr>
              <w:t>A battery has been developed which is 100 times more powerful than the ordinary</w:t>
            </w:r>
          </w:p>
        </w:tc>
        <w:tc>
          <w:tcPr>
            <w:tcW w:w="1843" w:type="dxa"/>
            <w:shd w:val="clear" w:color="auto" w:fill="E0F1F4"/>
            <w:vAlign w:val="center"/>
          </w:tcPr>
          <w:p w14:paraId="14748E06" w14:textId="77777777" w:rsidR="006C24AC" w:rsidRPr="00277538" w:rsidRDefault="006C24AC" w:rsidP="00F76EA1">
            <w:pPr>
              <w:jc w:val="center"/>
              <w:rPr>
                <w:rFonts w:eastAsia="Calibri"/>
                <w:szCs w:val="20"/>
              </w:rPr>
            </w:pPr>
            <w:r w:rsidRPr="00277538">
              <w:rPr>
                <w:rFonts w:eastAsia="Calibri"/>
                <w:szCs w:val="20"/>
              </w:rPr>
              <w:t>New techniques to store energy based on hydrogen fuel cells are being tested in our cities</w:t>
            </w:r>
          </w:p>
        </w:tc>
      </w:tr>
    </w:tbl>
    <w:p w14:paraId="711661F6" w14:textId="297C255A" w:rsidR="00D4132D" w:rsidRPr="00A04E56" w:rsidRDefault="005842D4" w:rsidP="00F61961">
      <w:pPr>
        <w:pStyle w:val="BodyText1spacebeforeandafter"/>
        <w:spacing w:before="480"/>
      </w:pPr>
      <w:r w:rsidRPr="00A04E56">
        <w:t>The programme’s i</w:t>
      </w:r>
      <w:r w:rsidR="00D4132D" w:rsidRPr="00A04E56">
        <w:t xml:space="preserve">mpact ultimately </w:t>
      </w:r>
      <w:r w:rsidR="003A4678" w:rsidRPr="00A04E56">
        <w:rPr>
          <w:noProof w:val="0"/>
        </w:rPr>
        <w:t xml:space="preserve">depends </w:t>
      </w:r>
      <w:r w:rsidR="00D4132D" w:rsidRPr="00A04E56">
        <w:t xml:space="preserve">on the dissemination and exploitation of research and innovation data and results. This is why the work programme has been further fine-tuned to increase </w:t>
      </w:r>
      <w:r w:rsidR="00D8111A" w:rsidRPr="00A04E56">
        <w:rPr>
          <w:noProof w:val="0"/>
        </w:rPr>
        <w:t xml:space="preserve">the </w:t>
      </w:r>
      <w:r w:rsidR="00D4132D" w:rsidRPr="00A04E56">
        <w:t xml:space="preserve">availability of such data and results. </w:t>
      </w:r>
      <w:r w:rsidR="00D8111A" w:rsidRPr="00A04E56">
        <w:rPr>
          <w:noProof w:val="0"/>
        </w:rPr>
        <w:t>I</w:t>
      </w:r>
      <w:r w:rsidR="00D4132D" w:rsidRPr="00A04E56">
        <w:rPr>
          <w:noProof w:val="0"/>
        </w:rPr>
        <w:t>nitiatives</w:t>
      </w:r>
      <w:r w:rsidR="00D4132D" w:rsidRPr="00A04E56">
        <w:t xml:space="preserve"> to boost marketable innovations have </w:t>
      </w:r>
      <w:r w:rsidR="00D8111A" w:rsidRPr="00A04E56">
        <w:rPr>
          <w:noProof w:val="0"/>
        </w:rPr>
        <w:t xml:space="preserve">also </w:t>
      </w:r>
      <w:r w:rsidR="00D4132D" w:rsidRPr="00A04E56">
        <w:t>been introduced</w:t>
      </w:r>
      <w:r w:rsidR="00036BEB" w:rsidRPr="00A04E56">
        <w:t xml:space="preserve"> </w:t>
      </w:r>
      <w:r w:rsidR="008C1D39" w:rsidRPr="00A04E56">
        <w:rPr>
          <w:i/>
          <w:u w:val="single"/>
        </w:rPr>
        <w:t>in 2018</w:t>
      </w:r>
      <w:r w:rsidR="00D4132D" w:rsidRPr="00A04E56">
        <w:t>, most notably the introduction of the European Innovation Council pilot</w:t>
      </w:r>
      <w:r w:rsidR="00D8111A" w:rsidRPr="00A04E56">
        <w:rPr>
          <w:noProof w:val="0"/>
        </w:rPr>
        <w:t>,</w:t>
      </w:r>
      <w:r w:rsidR="00D4132D" w:rsidRPr="00A04E56">
        <w:t xml:space="preserve"> with a budget of EUR</w:t>
      </w:r>
      <w:r w:rsidR="009F559A" w:rsidRPr="00A04E56">
        <w:rPr>
          <w:rFonts w:cs="Calibri"/>
          <w:noProof w:val="0"/>
        </w:rPr>
        <w:t> </w:t>
      </w:r>
      <w:r w:rsidR="00D4132D" w:rsidRPr="00A04E56">
        <w:t>2.7</w:t>
      </w:r>
      <w:r w:rsidR="009F559A" w:rsidRPr="00A04E56">
        <w:rPr>
          <w:rFonts w:cs="Calibri"/>
          <w:noProof w:val="0"/>
        </w:rPr>
        <w:t> </w:t>
      </w:r>
      <w:r w:rsidR="00D4132D" w:rsidRPr="00A04E56">
        <w:t>billion.</w:t>
      </w:r>
    </w:p>
    <w:tbl>
      <w:tblPr>
        <w:tblW w:w="0" w:type="auto"/>
        <w:tblBorders>
          <w:top w:val="dashSmallGap" w:sz="12" w:space="0" w:color="65BBC8" w:themeColor="accent1"/>
          <w:left w:val="dashSmallGap" w:sz="12" w:space="0" w:color="65BBC8" w:themeColor="accent1"/>
          <w:bottom w:val="dashSmallGap" w:sz="12" w:space="0" w:color="65BBC8" w:themeColor="accent1"/>
          <w:right w:val="dashSmallGap" w:sz="12" w:space="0" w:color="65BBC8" w:themeColor="accent1"/>
        </w:tblBorders>
        <w:tblLook w:val="04A0" w:firstRow="1" w:lastRow="0" w:firstColumn="1" w:lastColumn="0" w:noHBand="0" w:noVBand="1"/>
      </w:tblPr>
      <w:tblGrid>
        <w:gridCol w:w="9166"/>
      </w:tblGrid>
      <w:tr w:rsidR="00C01D29" w:rsidRPr="00A04E56" w14:paraId="46978B3D" w14:textId="77777777" w:rsidTr="00B513F6">
        <w:tc>
          <w:tcPr>
            <w:tcW w:w="9166" w:type="dxa"/>
          </w:tcPr>
          <w:p w14:paraId="1E6B11E3" w14:textId="1AB1B2C8" w:rsidR="00C01D29" w:rsidRPr="00A04E56" w:rsidRDefault="007323E2" w:rsidP="00C257BF">
            <w:pPr>
              <w:pStyle w:val="BOX3builtastableBluedashedborderBluetext-Bold"/>
              <w:rPr>
                <w:i/>
                <w:color w:val="65BBC8" w:themeColor="accent1"/>
                <w:szCs w:val="20"/>
              </w:rPr>
            </w:pPr>
            <w:r w:rsidRPr="00A04E56">
              <w:t xml:space="preserve">Thousands of </w:t>
            </w:r>
            <w:r w:rsidRPr="00A04E56" w:rsidDel="009F0415">
              <w:t>Horizon</w:t>
            </w:r>
            <w:r w:rsidR="009F0415" w:rsidRPr="00A04E56">
              <w:rPr>
                <w:rFonts w:ascii="Calibri" w:hAnsi="Calibri" w:cs="Calibri"/>
              </w:rPr>
              <w:t> </w:t>
            </w:r>
            <w:r w:rsidR="009F0415" w:rsidRPr="00A04E56">
              <w:t>2020</w:t>
            </w:r>
            <w:r w:rsidRPr="00A04E56">
              <w:t xml:space="preserve"> projects have a direct tangible impact</w:t>
            </w:r>
          </w:p>
          <w:p w14:paraId="44729A5F" w14:textId="7853AD71" w:rsidR="00C01D29" w:rsidRPr="00A04E56" w:rsidRDefault="00C01D29" w:rsidP="00C257BF">
            <w:pPr>
              <w:pStyle w:val="BOX3builtastableBluedashedborderBluetext-Bold"/>
              <w:rPr>
                <w:i/>
                <w:color w:val="65BBC8" w:themeColor="accent1"/>
                <w:szCs w:val="20"/>
              </w:rPr>
            </w:pPr>
            <w:r w:rsidRPr="00A04E56">
              <w:t xml:space="preserve">Quantum </w:t>
            </w:r>
            <w:r w:rsidR="00D8111A" w:rsidRPr="00A04E56">
              <w:t>t</w:t>
            </w:r>
            <w:r w:rsidRPr="00A04E56">
              <w:t>echnologies</w:t>
            </w:r>
          </w:p>
          <w:p w14:paraId="3A8E8319" w14:textId="0EC472C7" w:rsidR="00C01D29" w:rsidRPr="00A04E56" w:rsidRDefault="0053690D" w:rsidP="00C257BF">
            <w:pPr>
              <w:pStyle w:val="BOX3builtastableBluedashedborderBluetext"/>
            </w:pPr>
            <w:r w:rsidRPr="00A04E56">
              <w:t xml:space="preserve">Quantum technologies use the properties of quantum effects </w:t>
            </w:r>
            <w:r w:rsidR="00EC0B83" w:rsidRPr="00A04E56">
              <w:t>—</w:t>
            </w:r>
            <w:r w:rsidRPr="00A04E56">
              <w:t xml:space="preserve"> the interactions of molecules, atoms and even smaller particles known as quantum objects </w:t>
            </w:r>
            <w:r w:rsidR="00EC0B83" w:rsidRPr="00A04E56">
              <w:t>—</w:t>
            </w:r>
            <w:r w:rsidRPr="00A04E56">
              <w:t xml:space="preserve"> to create practical applications in many different fields. </w:t>
            </w:r>
            <w:r w:rsidR="00C01D29" w:rsidRPr="00A04E56">
              <w:t xml:space="preserve">The </w:t>
            </w:r>
            <w:r w:rsidR="00D8111A" w:rsidRPr="00A04E56">
              <w:t>‘q</w:t>
            </w:r>
            <w:r w:rsidR="00C01D29" w:rsidRPr="00A04E56">
              <w:t xml:space="preserve">uantum </w:t>
            </w:r>
            <w:r w:rsidR="00D8111A" w:rsidRPr="00A04E56">
              <w:t>f</w:t>
            </w:r>
            <w:r w:rsidR="00C01D29" w:rsidRPr="00A04E56">
              <w:t>lagship</w:t>
            </w:r>
            <w:r w:rsidR="00D8111A" w:rsidRPr="00A04E56">
              <w:t>’</w:t>
            </w:r>
            <w:r w:rsidR="00C01D29" w:rsidRPr="00A04E56">
              <w:t xml:space="preserve"> was launched in October 2018. It is one of the most ambitious long-term and large-scale research and innovation initiatives of the European Commission </w:t>
            </w:r>
            <w:r w:rsidR="00D8111A" w:rsidRPr="00A04E56">
              <w:t xml:space="preserve">and </w:t>
            </w:r>
            <w:r w:rsidR="00C01D29" w:rsidRPr="00A04E56">
              <w:t>involv</w:t>
            </w:r>
            <w:r w:rsidR="00D8111A" w:rsidRPr="00A04E56">
              <w:t>es</w:t>
            </w:r>
            <w:r w:rsidR="00C01D29" w:rsidRPr="00A04E56">
              <w:t xml:space="preserve"> over 5</w:t>
            </w:r>
            <w:r w:rsidR="00D8111A" w:rsidRPr="00A04E56">
              <w:rPr>
                <w:rFonts w:ascii="Calibri" w:hAnsi="Calibri" w:cs="Calibri"/>
              </w:rPr>
              <w:t> </w:t>
            </w:r>
            <w:r w:rsidR="006221A4" w:rsidRPr="00A04E56">
              <w:t>000</w:t>
            </w:r>
            <w:r w:rsidR="00C01D29" w:rsidRPr="00A04E56">
              <w:t xml:space="preserve"> researchers.</w:t>
            </w:r>
            <w:r w:rsidR="00C01D29" w:rsidRPr="00A04E56" w:rsidDel="00603676">
              <w:t xml:space="preserve"> </w:t>
            </w:r>
            <w:r w:rsidR="00C01D29" w:rsidRPr="00A04E56">
              <w:t xml:space="preserve">It aims to place Europe’s research at the forefront of the second quantum revolution and kick-start a competitive European industry in </w:t>
            </w:r>
            <w:r w:rsidR="00D8111A" w:rsidRPr="00A04E56">
              <w:t>q</w:t>
            </w:r>
            <w:r w:rsidR="00C01D29" w:rsidRPr="00A04E56">
              <w:t xml:space="preserve">uantum </w:t>
            </w:r>
            <w:r w:rsidR="00D8111A" w:rsidRPr="00A04E56">
              <w:t>t</w:t>
            </w:r>
            <w:r w:rsidR="00C01D29" w:rsidRPr="00A04E56">
              <w:t xml:space="preserve">echnologies, bringing transformative advances to science, industry and society. </w:t>
            </w:r>
          </w:p>
          <w:p w14:paraId="08482F53" w14:textId="77777777" w:rsidR="00C01D29" w:rsidRPr="00A04E56" w:rsidRDefault="00C01D29" w:rsidP="00C257BF">
            <w:pPr>
              <w:pStyle w:val="BOX3builtastableBluedashedborderBluetext-Bold"/>
              <w:rPr>
                <w:i/>
                <w:color w:val="65BBC8" w:themeColor="accent1"/>
                <w:szCs w:val="20"/>
              </w:rPr>
            </w:pPr>
            <w:r w:rsidRPr="00A04E56">
              <w:t>Space technology</w:t>
            </w:r>
          </w:p>
          <w:p w14:paraId="544C4371" w14:textId="59C6F481" w:rsidR="00C01D29" w:rsidRPr="00A04E56" w:rsidRDefault="00C01D29" w:rsidP="00C257BF">
            <w:pPr>
              <w:pStyle w:val="BOX3builtastableBluedashedborderBluetext"/>
            </w:pPr>
            <w:r w:rsidRPr="00A04E56">
              <w:t>Space technology, data and services have become indispensable in the daily lives of Europeans and for Europe to pursue its strategic interests. Small, light satellites are crucial for improving space-based connectivity, internet services</w:t>
            </w:r>
            <w:r w:rsidR="00FE7FBB" w:rsidRPr="00A04E56">
              <w:t xml:space="preserve"> and</w:t>
            </w:r>
            <w:r w:rsidR="00D8111A" w:rsidRPr="00A04E56">
              <w:t xml:space="preserve"> </w:t>
            </w:r>
            <w:r w:rsidRPr="00A04E56">
              <w:t xml:space="preserve">Earth imaging and positioning. </w:t>
            </w:r>
            <w:r w:rsidR="0053690D" w:rsidRPr="00A04E56">
              <w:t xml:space="preserve">This is why the </w:t>
            </w:r>
            <w:r w:rsidR="009A0795" w:rsidRPr="00A04E56">
              <w:t>EU</w:t>
            </w:r>
            <w:r w:rsidR="0053690D" w:rsidRPr="00A04E56">
              <w:t xml:space="preserve"> </w:t>
            </w:r>
            <w:r w:rsidR="00655667" w:rsidRPr="00A04E56">
              <w:t>launched</w:t>
            </w:r>
            <w:r w:rsidR="0053690D" w:rsidRPr="00A04E56">
              <w:t xml:space="preserve"> a EUR</w:t>
            </w:r>
            <w:r w:rsidR="000A23D5" w:rsidRPr="00A04E56">
              <w:rPr>
                <w:rFonts w:ascii="Calibri" w:hAnsi="Calibri" w:cs="Calibri"/>
              </w:rPr>
              <w:t> </w:t>
            </w:r>
            <w:r w:rsidR="0053690D" w:rsidRPr="00A04E56">
              <w:t>10</w:t>
            </w:r>
            <w:r w:rsidR="00D8111A" w:rsidRPr="00A04E56">
              <w:rPr>
                <w:rFonts w:cs="Calibri"/>
              </w:rPr>
              <w:t>-</w:t>
            </w:r>
            <w:r w:rsidR="00217A6F" w:rsidRPr="00A04E56">
              <w:t>million</w:t>
            </w:r>
            <w:r w:rsidR="0053690D" w:rsidRPr="00A04E56">
              <w:t xml:space="preserve"> prize for an innovative and commercially viable solution offering low-cost launch services for light satellites. </w:t>
            </w:r>
            <w:r w:rsidRPr="00A04E56">
              <w:t xml:space="preserve">The </w:t>
            </w:r>
            <w:r w:rsidR="00D8111A" w:rsidRPr="00A04E56">
              <w:t>p</w:t>
            </w:r>
            <w:r w:rsidRPr="00A04E56">
              <w:t xml:space="preserve">rize will contribute to the objectives of the Commission’s </w:t>
            </w:r>
            <w:hyperlink r:id="rId107" w:tgtFrame="_blank" w:history="1">
              <w:r w:rsidR="00D8111A" w:rsidRPr="00A04E56">
                <w:t>space strategy for Europe</w:t>
              </w:r>
            </w:hyperlink>
            <w:r w:rsidRPr="00A04E56">
              <w:t>, which aims at reinforcing Europe</w:t>
            </w:r>
            <w:r w:rsidR="00D8111A" w:rsidRPr="00A04E56">
              <w:t>’</w:t>
            </w:r>
            <w:r w:rsidRPr="00A04E56">
              <w:t>s autonomy in accessing space and at encouraging the development of commercial markets for low-cost launch services.</w:t>
            </w:r>
          </w:p>
          <w:p w14:paraId="3202D616" w14:textId="77777777" w:rsidR="00967D21" w:rsidRPr="00A04E56" w:rsidRDefault="00967D21" w:rsidP="00FE3BB0">
            <w:pPr>
              <w:pStyle w:val="BOXE3GREEN"/>
              <w:keepLines/>
              <w:pBdr>
                <w:top w:val="none" w:sz="0" w:space="0" w:color="auto"/>
                <w:left w:val="none" w:sz="0" w:space="0" w:color="auto"/>
                <w:bottom w:val="none" w:sz="0" w:space="0" w:color="auto"/>
                <w:right w:val="none" w:sz="0" w:space="0" w:color="auto"/>
              </w:pBdr>
              <w:rPr>
                <w:color w:val="65BBC8" w:themeColor="accent1"/>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90"/>
            </w:tblGrid>
            <w:tr w:rsidR="008A0358" w:rsidRPr="00A04E56" w14:paraId="0861D2E6" w14:textId="46FEC89F" w:rsidTr="00AA32B3">
              <w:tc>
                <w:tcPr>
                  <w:tcW w:w="4467" w:type="dxa"/>
                </w:tcPr>
                <w:p w14:paraId="05A7AC26" w14:textId="3FD55F93" w:rsidR="008A0358" w:rsidRPr="00A04E56" w:rsidRDefault="008A0358" w:rsidP="008A0358">
                  <w:pPr>
                    <w:pStyle w:val="BOX3builtastableBluedashedborderBluetext-Bold"/>
                  </w:pPr>
                  <w:r w:rsidRPr="00A04E56">
                    <w:t>European public transport solutions</w:t>
                  </w:r>
                </w:p>
                <w:p w14:paraId="51ABA209" w14:textId="77777777" w:rsidR="00052B9C" w:rsidRPr="00A04E56" w:rsidRDefault="008A0358" w:rsidP="005B41D2">
                  <w:pPr>
                    <w:pStyle w:val="BOX3builtastableBluedashedborderBluetext"/>
                    <w:spacing w:after="0"/>
                  </w:pPr>
                  <w:r w:rsidRPr="00A04E56">
                    <w:t xml:space="preserve">By 2050, two thirds of the world’s population will live in cities. Road traffic pollution is a major problem in many cities but we cannot eliminate passenger vehicles altogether. </w:t>
                  </w:r>
                </w:p>
                <w:p w14:paraId="4EFCA204" w14:textId="77777777" w:rsidR="00052B9C" w:rsidRPr="00A04E56" w:rsidRDefault="00052B9C" w:rsidP="005B41D2">
                  <w:pPr>
                    <w:pStyle w:val="BOX3builtastableBluedashedborderBluetext"/>
                    <w:spacing w:after="0"/>
                  </w:pPr>
                </w:p>
                <w:p w14:paraId="73E59ECC" w14:textId="5542CE4F" w:rsidR="001F760F" w:rsidRPr="00A04E56" w:rsidRDefault="009E0C7E" w:rsidP="00052B9C">
                  <w:pPr>
                    <w:pStyle w:val="BOX3builtastableBluedashedborderBluetext"/>
                    <w:spacing w:after="0"/>
                  </w:pPr>
                  <w:r>
                    <w:t>D</w:t>
                  </w:r>
                  <w:r w:rsidR="001F760F" w:rsidRPr="00A04E56">
                    <w:t>riverless vehicles will change our lives, just as steam trains and motor cars did before them. AVENUE is an EU funded project under Horizon</w:t>
                  </w:r>
                  <w:r>
                    <w:rPr>
                      <w:rFonts w:ascii="Calibri" w:hAnsi="Calibri" w:cs="Calibri"/>
                    </w:rPr>
                    <w:t> </w:t>
                  </w:r>
                  <w:r w:rsidR="001F760F" w:rsidRPr="00A04E56">
                    <w:t xml:space="preserve">2020 </w:t>
                  </w:r>
                  <w:r>
                    <w:t xml:space="preserve">that </w:t>
                  </w:r>
                  <w:r w:rsidR="001F760F" w:rsidRPr="00A04E56">
                    <w:t xml:space="preserve">started on </w:t>
                  </w:r>
                  <w:r w:rsidR="001F760F" w:rsidRPr="009E0C7E">
                    <w:rPr>
                      <w:i/>
                      <w:u w:val="single"/>
                    </w:rPr>
                    <w:t>1 May 2018</w:t>
                  </w:r>
                  <w:r w:rsidR="001F760F" w:rsidRPr="00A04E56">
                    <w:t>. The AVENUE project demonstrates the economic, environmental and social potential of autonomous vehicles - for both companies and public commuters - while assessing the vehicle road behaviour safety.</w:t>
                  </w:r>
                </w:p>
                <w:p w14:paraId="532332D4" w14:textId="577643BD" w:rsidR="008A0358" w:rsidRPr="00A04E56" w:rsidRDefault="008A0358" w:rsidP="001F760F">
                  <w:pPr>
                    <w:pStyle w:val="BOX3builtastableBluedashedborderBluetext"/>
                  </w:pPr>
                </w:p>
              </w:tc>
              <w:tc>
                <w:tcPr>
                  <w:tcW w:w="4468" w:type="dxa"/>
                </w:tcPr>
                <w:p w14:paraId="46CC2E73" w14:textId="4FF695D6" w:rsidR="008A0358" w:rsidRPr="00A04E56" w:rsidRDefault="006B48CC" w:rsidP="008A0358">
                  <w:pPr>
                    <w:pStyle w:val="BOX3builtastableBluedashedborderBluetext"/>
                  </w:pPr>
                  <w:r>
                    <w:rPr>
                      <w:noProof/>
                      <w:lang w:val="fr-BE"/>
                    </w:rPr>
                    <w:drawing>
                      <wp:anchor distT="0" distB="0" distL="114300" distR="114300" simplePos="0" relativeHeight="251755520" behindDoc="0" locked="0" layoutInCell="1" allowOverlap="1" wp14:anchorId="689E6F24" wp14:editId="6DD1720A">
                        <wp:simplePos x="3793490" y="4865370"/>
                        <wp:positionH relativeFrom="margin">
                          <wp:align>right</wp:align>
                        </wp:positionH>
                        <wp:positionV relativeFrom="margin">
                          <wp:posOffset>269875</wp:posOffset>
                        </wp:positionV>
                        <wp:extent cx="2714400" cy="1526400"/>
                        <wp:effectExtent l="0" t="0" r="0" b="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European_public_transport- scaled down.jpg"/>
                                <pic:cNvPicPr/>
                              </pic:nvPicPr>
                              <pic:blipFill>
                                <a:blip r:embed="rId108" cstate="email">
                                  <a:extLst>
                                    <a:ext uri="{28A0092B-C50C-407E-A947-70E740481C1C}">
                                      <a14:useLocalDpi xmlns:a14="http://schemas.microsoft.com/office/drawing/2010/main"/>
                                    </a:ext>
                                  </a:extLst>
                                </a:blip>
                                <a:stretch>
                                  <a:fillRect/>
                                </a:stretch>
                              </pic:blipFill>
                              <pic:spPr>
                                <a:xfrm>
                                  <a:off x="0" y="0"/>
                                  <a:ext cx="2714400" cy="1526400"/>
                                </a:xfrm>
                                <a:prstGeom prst="rect">
                                  <a:avLst/>
                                </a:prstGeom>
                              </pic:spPr>
                            </pic:pic>
                          </a:graphicData>
                        </a:graphic>
                        <wp14:sizeRelH relativeFrom="margin">
                          <wp14:pctWidth>0</wp14:pctWidth>
                        </wp14:sizeRelH>
                        <wp14:sizeRelV relativeFrom="margin">
                          <wp14:pctHeight>0</wp14:pctHeight>
                        </wp14:sizeRelV>
                      </wp:anchor>
                    </w:drawing>
                  </w:r>
                  <w:r w:rsidR="008A0358" w:rsidRPr="00A04E56">
                    <w:t xml:space="preserve"> </w:t>
                  </w:r>
                </w:p>
                <w:p w14:paraId="37635261" w14:textId="69D31409" w:rsidR="008A0358" w:rsidRPr="00A04E56" w:rsidRDefault="008D3B72" w:rsidP="00107DA0">
                  <w:pPr>
                    <w:pStyle w:val="Source-Table-Chart-PhotoCaption"/>
                    <w:rPr>
                      <w:color w:val="65BBC8"/>
                    </w:rPr>
                  </w:pPr>
                  <w:r w:rsidRPr="00107DA0">
                    <w:rPr>
                      <w:rStyle w:val="italics"/>
                      <w:color w:val="65BBC8"/>
                    </w:rPr>
                    <w:t>Photo:</w:t>
                  </w:r>
                  <w:r w:rsidRPr="00A04E56">
                    <w:rPr>
                      <w:color w:val="65BBC8"/>
                    </w:rPr>
                    <w:t xml:space="preserve"> </w:t>
                  </w:r>
                  <w:r w:rsidR="008A0358" w:rsidRPr="00A04E56">
                    <w:rPr>
                      <w:color w:val="65BBC8"/>
                    </w:rPr>
                    <w:t>© European Union</w:t>
                  </w:r>
                </w:p>
              </w:tc>
            </w:tr>
            <w:tr w:rsidR="00967D21" w:rsidRPr="00A04E56" w14:paraId="1B9382A3" w14:textId="77777777" w:rsidTr="00967D21">
              <w:tc>
                <w:tcPr>
                  <w:tcW w:w="8935" w:type="dxa"/>
                  <w:gridSpan w:val="2"/>
                </w:tcPr>
                <w:p w14:paraId="2855A82E" w14:textId="00BF2D6E" w:rsidR="001F760F" w:rsidRPr="00A04E56" w:rsidRDefault="001F760F" w:rsidP="00C257BF">
                  <w:pPr>
                    <w:pStyle w:val="BOX3builtastableBluedashedborderBluetext"/>
                  </w:pPr>
                  <w:r w:rsidRPr="00A04E56">
                    <w:t xml:space="preserve">One carbon-free approach being tested in cities across Europe is a fleet of hydrogen fuel cell-powered buses. They are just like normal buses but are powered by electricity generated using fuel cell technology developed by industry with EU support. These cells only need hydrogen and air and emit harmless water vapour. </w:t>
                  </w:r>
                </w:p>
                <w:p w14:paraId="2DE18ED4" w14:textId="77777777" w:rsidR="001F760F" w:rsidRPr="00A04E56" w:rsidRDefault="001F760F" w:rsidP="00C257BF">
                  <w:pPr>
                    <w:pStyle w:val="BOX3builtastableBluedashedborderBluetext"/>
                  </w:pPr>
                  <w:r w:rsidRPr="00A04E56">
                    <w:t>The fuel cells and hydrogen joint undertaking has allocated considerable resources to the refinement of the electrolysis process, with the result that Europe is now a world leader in the key technology, the proton exchange membrane. Now green hydrogen-production sites are setting up all over Europe.</w:t>
                  </w:r>
                </w:p>
                <w:p w14:paraId="22E9F0DA" w14:textId="3BD8E6B2" w:rsidR="00967D21" w:rsidRPr="00A04E56" w:rsidRDefault="00967D21" w:rsidP="00C257BF">
                  <w:pPr>
                    <w:pStyle w:val="BOX3builtastableBluedashedborderBluetext"/>
                  </w:pPr>
                  <w:r w:rsidRPr="00A04E56">
                    <w:t>In Gothenburg, Sweden, project partners demonstrated the feasibility and potential of an ‘indoor’ bus stop, which provides a welcoming</w:t>
                  </w:r>
                  <w:r w:rsidRPr="00A04E56" w:rsidDel="00603676">
                    <w:t xml:space="preserve"> </w:t>
                  </w:r>
                  <w:r w:rsidRPr="00A04E56">
                    <w:t xml:space="preserve">interior and shelter from the weather. This means that a specific destination like a library, hospital or shopping </w:t>
                  </w:r>
                  <w:r w:rsidR="00D8111A" w:rsidRPr="00A04E56">
                    <w:t xml:space="preserve">centre </w:t>
                  </w:r>
                  <w:r w:rsidRPr="00A04E56">
                    <w:t>could in the future act as a bus stop. Revolutionary changes in the design, operation and maintenance of buses will dramatically alter the way we use public transport.</w:t>
                  </w:r>
                </w:p>
                <w:p w14:paraId="1D172281" w14:textId="203BEE80" w:rsidR="003E1B1F" w:rsidRPr="00A04E56" w:rsidRDefault="003E1B1F" w:rsidP="003A3192">
                  <w:pPr>
                    <w:pStyle w:val="BOX3builtastableBluedashedborderBluetext"/>
                    <w:rPr>
                      <w:color w:val="65BBC8" w:themeColor="accent1"/>
                      <w:szCs w:val="20"/>
                    </w:rPr>
                  </w:pPr>
                </w:p>
              </w:tc>
            </w:tr>
          </w:tbl>
          <w:p w14:paraId="621026E5" w14:textId="10BFE6EC" w:rsidR="00C01D29" w:rsidRPr="00A04E56" w:rsidRDefault="00C01D29" w:rsidP="003A3192">
            <w:pPr>
              <w:pStyle w:val="BOXE3GREEN"/>
              <w:keepLines/>
              <w:pBdr>
                <w:top w:val="none" w:sz="0" w:space="0" w:color="auto"/>
                <w:left w:val="none" w:sz="0" w:space="0" w:color="auto"/>
                <w:bottom w:val="none" w:sz="0" w:space="0" w:color="auto"/>
                <w:right w:val="none" w:sz="0" w:space="0" w:color="auto"/>
              </w:pBdr>
              <w:spacing w:after="0"/>
              <w:rPr>
                <w:color w:val="65BBC8" w:themeColor="accent1"/>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0"/>
              <w:gridCol w:w="4490"/>
            </w:tblGrid>
            <w:tr w:rsidR="00B74845" w:rsidRPr="00A04E56" w14:paraId="6BF55DBD" w14:textId="67923BEC" w:rsidTr="00AA32B3">
              <w:tc>
                <w:tcPr>
                  <w:tcW w:w="4470" w:type="dxa"/>
                </w:tcPr>
                <w:p w14:paraId="6F902852" w14:textId="29B6AA6A" w:rsidR="00B74845" w:rsidRPr="00A04E56" w:rsidRDefault="00B74845" w:rsidP="00C257BF">
                  <w:pPr>
                    <w:pStyle w:val="BOX3builtastableBluedashedborderBluetext-Bold"/>
                  </w:pPr>
                  <w:r w:rsidRPr="00A04E56">
                    <w:t>First image of a black hole</w:t>
                  </w:r>
                </w:p>
                <w:p w14:paraId="6957E4E7" w14:textId="6BCA7FCE" w:rsidR="00B74845" w:rsidRPr="00A04E56" w:rsidRDefault="00B74845" w:rsidP="00EB773C">
                  <w:pPr>
                    <w:pStyle w:val="BOX3builtastableBluedashedborderBluetext"/>
                  </w:pPr>
                  <w:r w:rsidRPr="00A04E56">
                    <w:t>The EU supported several years of research and an unprecedented international cooperation of scientists to form part of the Event Horizon Telescope Consortium. They were able</w:t>
                  </w:r>
                  <w:r w:rsidRPr="00A04E56" w:rsidDel="00603676">
                    <w:t xml:space="preserve"> </w:t>
                  </w:r>
                  <w:r w:rsidRPr="00A04E56">
                    <w:t>to obtain the first image of a black hole using Event Horizon Telescope observations. The image shows a bright ring formed as light bends in the intense gravity around a black hole that is 6.5</w:t>
                  </w:r>
                  <w:r w:rsidRPr="00A04E56">
                    <w:rPr>
                      <w:rFonts w:ascii="Calibri" w:hAnsi="Calibri" w:cs="Calibri"/>
                    </w:rPr>
                    <w:t> </w:t>
                  </w:r>
                  <w:r w:rsidRPr="00A04E56">
                    <w:t xml:space="preserve">billion times more massive than the Sun. This long-sought image provides the strongest evidence to date of the existence of supermassive black holes and opens a new window onto the study of black holes, their event horizons and gravity. </w:t>
                  </w:r>
                </w:p>
              </w:tc>
              <w:tc>
                <w:tcPr>
                  <w:tcW w:w="4470" w:type="dxa"/>
                </w:tcPr>
                <w:p w14:paraId="2145F74C" w14:textId="41DF22AF" w:rsidR="00526DB0" w:rsidRPr="00A04E56" w:rsidRDefault="00803134" w:rsidP="00EB773C">
                  <w:pPr>
                    <w:pStyle w:val="BOX3builtastableBluedashedborderBluetext"/>
                  </w:pPr>
                  <w:r>
                    <w:rPr>
                      <w:noProof/>
                      <w:lang w:val="fr-BE"/>
                    </w:rPr>
                    <w:drawing>
                      <wp:anchor distT="0" distB="0" distL="114300" distR="114300" simplePos="0" relativeHeight="251759616" behindDoc="0" locked="0" layoutInCell="1" allowOverlap="1" wp14:anchorId="2B80BD3F" wp14:editId="1710DF93">
                        <wp:simplePos x="3793490" y="920750"/>
                        <wp:positionH relativeFrom="margin">
                          <wp:align>right</wp:align>
                        </wp:positionH>
                        <wp:positionV relativeFrom="margin">
                          <wp:posOffset>269875</wp:posOffset>
                        </wp:positionV>
                        <wp:extent cx="2714400" cy="1580400"/>
                        <wp:effectExtent l="0" t="0" r="0" b="127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lack_hole-scaled down.jpg"/>
                                <pic:cNvPicPr/>
                              </pic:nvPicPr>
                              <pic:blipFill>
                                <a:blip r:embed="rId109" cstate="email">
                                  <a:extLst>
                                    <a:ext uri="{28A0092B-C50C-407E-A947-70E740481C1C}">
                                      <a14:useLocalDpi xmlns:a14="http://schemas.microsoft.com/office/drawing/2010/main"/>
                                    </a:ext>
                                  </a:extLst>
                                </a:blip>
                                <a:stretch>
                                  <a:fillRect/>
                                </a:stretch>
                              </pic:blipFill>
                              <pic:spPr>
                                <a:xfrm>
                                  <a:off x="0" y="0"/>
                                  <a:ext cx="2714400" cy="1580400"/>
                                </a:xfrm>
                                <a:prstGeom prst="rect">
                                  <a:avLst/>
                                </a:prstGeom>
                              </pic:spPr>
                            </pic:pic>
                          </a:graphicData>
                        </a:graphic>
                        <wp14:sizeRelH relativeFrom="margin">
                          <wp14:pctWidth>0</wp14:pctWidth>
                        </wp14:sizeRelH>
                        <wp14:sizeRelV relativeFrom="margin">
                          <wp14:pctHeight>0</wp14:pctHeight>
                        </wp14:sizeRelV>
                      </wp:anchor>
                    </w:drawing>
                  </w:r>
                  <w:r w:rsidR="00526DB0" w:rsidRPr="00A04E56">
                    <w:t xml:space="preserve"> </w:t>
                  </w:r>
                </w:p>
                <w:p w14:paraId="7011BD20" w14:textId="35DF0669" w:rsidR="00B74845" w:rsidRPr="00A04E56" w:rsidRDefault="00526DB0" w:rsidP="00107DA0">
                  <w:pPr>
                    <w:pStyle w:val="Source-Table-Chart-PhotoCaption"/>
                    <w:rPr>
                      <w:color w:val="65BBC8"/>
                      <w:lang w:eastAsia="en-GB"/>
                    </w:rPr>
                  </w:pPr>
                  <w:r w:rsidRPr="00107DA0">
                    <w:rPr>
                      <w:rStyle w:val="italics"/>
                      <w:color w:val="65BBC8"/>
                    </w:rPr>
                    <w:t>Photo:</w:t>
                  </w:r>
                  <w:r w:rsidRPr="00A04E56">
                    <w:rPr>
                      <w:color w:val="65BBC8"/>
                    </w:rPr>
                    <w:t xml:space="preserve"> © </w:t>
                  </w:r>
                  <w:r w:rsidR="00547E41" w:rsidRPr="00547E41">
                    <w:rPr>
                      <w:color w:val="65BBC8"/>
                    </w:rPr>
                    <w:t xml:space="preserve">Event Horizon Telescope (EHT) Collaboration. Licensed under </w:t>
                  </w:r>
                  <w:r w:rsidR="00E46C10">
                    <w:rPr>
                      <w:color w:val="65BBC8"/>
                    </w:rPr>
                    <w:t>Creative Commons Attribution (</w:t>
                  </w:r>
                  <w:r w:rsidR="00547E41" w:rsidRPr="00547E41">
                    <w:rPr>
                      <w:color w:val="65BBC8"/>
                    </w:rPr>
                    <w:t>CC-BY</w:t>
                  </w:r>
                  <w:r w:rsidR="00E46C10">
                    <w:rPr>
                      <w:color w:val="65BBC8"/>
                    </w:rPr>
                    <w:t>)</w:t>
                  </w:r>
                  <w:r w:rsidR="00547E41" w:rsidRPr="00547E41">
                    <w:rPr>
                      <w:color w:val="65BBC8"/>
                    </w:rPr>
                    <w:t>, 2018</w:t>
                  </w:r>
                </w:p>
              </w:tc>
            </w:tr>
          </w:tbl>
          <w:p w14:paraId="4D04A76B" w14:textId="2E8F6905" w:rsidR="007323E2" w:rsidRPr="00A04E56" w:rsidRDefault="007323E2" w:rsidP="00FE3BB0">
            <w:pPr>
              <w:pStyle w:val="BOXE3GREEN"/>
              <w:keepLines/>
              <w:pBdr>
                <w:top w:val="none" w:sz="0" w:space="0" w:color="auto"/>
                <w:left w:val="none" w:sz="0" w:space="0" w:color="auto"/>
                <w:bottom w:val="none" w:sz="0" w:space="0" w:color="auto"/>
                <w:right w:val="none" w:sz="0" w:space="0" w:color="auto"/>
              </w:pBdr>
            </w:pPr>
          </w:p>
        </w:tc>
      </w:tr>
    </w:tbl>
    <w:p w14:paraId="3A3A12FA" w14:textId="6D66F21F" w:rsidR="008C1D39" w:rsidRPr="00A04E56" w:rsidRDefault="00232499" w:rsidP="00AA0340">
      <w:pPr>
        <w:pStyle w:val="Title3NumberedReport"/>
      </w:pPr>
      <w:r w:rsidRPr="00A04E56">
        <w:t>Assessment and evaluation</w:t>
      </w:r>
    </w:p>
    <w:p w14:paraId="24CD0E2F" w14:textId="41F1AF2F" w:rsidR="009D152F" w:rsidRPr="00A04E56" w:rsidRDefault="009D152F" w:rsidP="005D6D6C">
      <w:pPr>
        <w:pStyle w:val="BodyText1spaceafter"/>
      </w:pPr>
      <w:r w:rsidRPr="00A04E56">
        <w:t>The 2017 interim evaluation</w:t>
      </w:r>
      <w:r w:rsidR="005128AA" w:rsidRPr="00A04E56">
        <w:rPr>
          <w:rStyle w:val="fnRef"/>
          <w:rFonts w:ascii="Arial" w:hAnsi="Arial" w:cs="Arial"/>
        </w:rPr>
        <w:t> </w:t>
      </w:r>
      <w:r w:rsidR="0035678A" w:rsidRPr="00A04E56">
        <w:rPr>
          <w:rStyle w:val="fnRef"/>
        </w:rPr>
        <w:t>(</w:t>
      </w:r>
      <w:r w:rsidR="0035678A" w:rsidRPr="00A04E56">
        <w:rPr>
          <w:rStyle w:val="fnRefNo"/>
        </w:rPr>
        <w:footnoteReference w:id="41"/>
      </w:r>
      <w:r w:rsidR="0035678A" w:rsidRPr="00A04E56">
        <w:rPr>
          <w:rStyle w:val="fnRef"/>
        </w:rPr>
        <w:t>)</w:t>
      </w:r>
      <w:r w:rsidRPr="00A04E56">
        <w:t xml:space="preserve"> highlighted that </w:t>
      </w:r>
      <w:r w:rsidRPr="00A04E56" w:rsidDel="009F0415">
        <w:t>Horizon</w:t>
      </w:r>
      <w:r w:rsidR="009F0415" w:rsidRPr="00A04E56">
        <w:rPr>
          <w:rFonts w:ascii="Calibri" w:hAnsi="Calibri" w:cs="Calibri"/>
          <w:noProof w:val="0"/>
        </w:rPr>
        <w:t> </w:t>
      </w:r>
      <w:r w:rsidR="009F0415" w:rsidRPr="00A04E56">
        <w:rPr>
          <w:noProof w:val="0"/>
        </w:rPr>
        <w:t>2020</w:t>
      </w:r>
      <w:r w:rsidRPr="00A04E56">
        <w:t xml:space="preserve"> is a very attractive, relevant research</w:t>
      </w:r>
      <w:r w:rsidR="0084665A" w:rsidRPr="00A04E56">
        <w:t>-</w:t>
      </w:r>
      <w:r w:rsidRPr="00A04E56">
        <w:t xml:space="preserve">funding programme. This attractiveness and continued relevance has, however, resulted in </w:t>
      </w:r>
      <w:r w:rsidRPr="00A04E56">
        <w:rPr>
          <w:rStyle w:val="BOLDLIGHTBLUEReport"/>
          <w:rFonts w:eastAsia="Calibri"/>
        </w:rPr>
        <w:t>large-scale oversubscription</w:t>
      </w:r>
      <w:r w:rsidRPr="00A04E56">
        <w:t xml:space="preserve">. The evaluation found a success rate of only 11.6% compared to 18.5% for </w:t>
      </w:r>
      <w:r w:rsidR="0084665A" w:rsidRPr="00A04E56">
        <w:t xml:space="preserve">its </w:t>
      </w:r>
      <w:r w:rsidRPr="00A04E56">
        <w:t>predecessor</w:t>
      </w:r>
      <w:r w:rsidR="0084665A" w:rsidRPr="00A04E56">
        <w:t>,</w:t>
      </w:r>
      <w:r w:rsidRPr="00A04E56">
        <w:t xml:space="preserve"> </w:t>
      </w:r>
      <w:r w:rsidR="0084665A" w:rsidRPr="00A04E56">
        <w:t xml:space="preserve">the </w:t>
      </w:r>
      <w:r w:rsidR="00835302" w:rsidRPr="00A04E56">
        <w:t>S</w:t>
      </w:r>
      <w:r w:rsidR="00FE7FBB" w:rsidRPr="00A04E56">
        <w:t xml:space="preserve">eventh </w:t>
      </w:r>
      <w:r w:rsidR="00835302" w:rsidRPr="00A04E56">
        <w:t>F</w:t>
      </w:r>
      <w:r w:rsidR="00FE7FBB" w:rsidRPr="00A04E56">
        <w:t xml:space="preserve">ramework </w:t>
      </w:r>
      <w:r w:rsidR="00835302" w:rsidRPr="00A04E56">
        <w:t>P</w:t>
      </w:r>
      <w:r w:rsidR="00FE7FBB" w:rsidRPr="00A04E56">
        <w:t>rogramme</w:t>
      </w:r>
      <w:r w:rsidRPr="00A04E56">
        <w:t>. An additional EUR</w:t>
      </w:r>
      <w:r w:rsidR="00217A6F" w:rsidRPr="00A04E56">
        <w:rPr>
          <w:rFonts w:ascii="Calibri" w:hAnsi="Calibri" w:cs="Calibri"/>
          <w:noProof w:val="0"/>
        </w:rPr>
        <w:t> </w:t>
      </w:r>
      <w:r w:rsidRPr="00A04E56">
        <w:t>62.4</w:t>
      </w:r>
      <w:r w:rsidR="0012629F" w:rsidRPr="00A04E56">
        <w:rPr>
          <w:rFonts w:ascii="Calibri" w:hAnsi="Calibri" w:cs="Calibri"/>
          <w:noProof w:val="0"/>
        </w:rPr>
        <w:t> </w:t>
      </w:r>
      <w:r w:rsidR="0012629F" w:rsidRPr="00A04E56">
        <w:rPr>
          <w:noProof w:val="0"/>
        </w:rPr>
        <w:t>billion</w:t>
      </w:r>
      <w:r w:rsidRPr="00A04E56">
        <w:t xml:space="preserve"> would be needed to fund all proposals independently evaluated above the stringent quality threshold. </w:t>
      </w:r>
      <w:r w:rsidR="006B0C5E" w:rsidRPr="00A04E56">
        <w:t>The opportunity cost in terms of the</w:t>
      </w:r>
      <w:r w:rsidRPr="00A04E56">
        <w:t xml:space="preserve"> waste of resources for applicants </w:t>
      </w:r>
      <w:r w:rsidR="006B0C5E" w:rsidRPr="00A04E56">
        <w:t xml:space="preserve">submitting </w:t>
      </w:r>
      <w:r w:rsidR="00B1535E" w:rsidRPr="00A04E56">
        <w:t>high</w:t>
      </w:r>
      <w:r w:rsidR="00B1535E" w:rsidRPr="00A04E56">
        <w:rPr>
          <w:noProof w:val="0"/>
        </w:rPr>
        <w:t xml:space="preserve"> quality</w:t>
      </w:r>
      <w:r w:rsidR="006B0C5E" w:rsidRPr="00A04E56">
        <w:t xml:space="preserve"> but unsuccessful projects is estimated at </w:t>
      </w:r>
      <w:r w:rsidRPr="00A04E56">
        <w:t>EUR</w:t>
      </w:r>
      <w:r w:rsidR="00217A6F" w:rsidRPr="00A04E56">
        <w:rPr>
          <w:rFonts w:ascii="Calibri" w:hAnsi="Calibri" w:cs="Calibri"/>
          <w:noProof w:val="0"/>
        </w:rPr>
        <w:t> </w:t>
      </w:r>
      <w:r w:rsidRPr="00A04E56">
        <w:t>636</w:t>
      </w:r>
      <w:r w:rsidR="00217A6F" w:rsidRPr="00A04E56">
        <w:rPr>
          <w:rFonts w:ascii="Calibri" w:hAnsi="Calibri" w:cs="Calibri"/>
          <w:noProof w:val="0"/>
        </w:rPr>
        <w:t> </w:t>
      </w:r>
      <w:r w:rsidR="00217A6F" w:rsidRPr="00A04E56">
        <w:rPr>
          <w:noProof w:val="0"/>
        </w:rPr>
        <w:t>million</w:t>
      </w:r>
      <w:r w:rsidRPr="00A04E56">
        <w:t xml:space="preserve"> a year</w:t>
      </w:r>
      <w:r w:rsidR="005128AA" w:rsidRPr="00A04E56">
        <w:rPr>
          <w:rStyle w:val="fnRef"/>
          <w:rFonts w:ascii="Arial" w:hAnsi="Arial" w:cs="Arial"/>
        </w:rPr>
        <w:t> </w:t>
      </w:r>
      <w:r w:rsidR="0035678A" w:rsidRPr="00A04E56">
        <w:rPr>
          <w:rStyle w:val="fnRef"/>
        </w:rPr>
        <w:t>(</w:t>
      </w:r>
      <w:r w:rsidR="0035678A" w:rsidRPr="00A04E56">
        <w:rPr>
          <w:rStyle w:val="fnRefNo"/>
        </w:rPr>
        <w:footnoteReference w:id="42"/>
      </w:r>
      <w:r w:rsidR="0035678A" w:rsidRPr="00A04E56">
        <w:rPr>
          <w:rStyle w:val="fnRef"/>
        </w:rPr>
        <w:t>)</w:t>
      </w:r>
      <w:r w:rsidRPr="00A04E56">
        <w:t>.</w:t>
      </w:r>
    </w:p>
    <w:p w14:paraId="35E779E7" w14:textId="2D369FE9" w:rsidR="00036BEB" w:rsidRPr="00A04E56" w:rsidRDefault="00036BEB" w:rsidP="00036BEB">
      <w:pPr>
        <w:pStyle w:val="BodyText1spaceafter"/>
        <w:rPr>
          <w:rFonts w:cstheme="minorHAnsi"/>
          <w:b/>
          <w:szCs w:val="20"/>
        </w:rPr>
      </w:pPr>
      <w:r w:rsidRPr="00A04E56">
        <w:t xml:space="preserve">The interim evaluation also suggested that the </w:t>
      </w:r>
      <w:r w:rsidRPr="00A04E56">
        <w:rPr>
          <w:rStyle w:val="BOLDLIGHTBLUEReport"/>
          <w:rFonts w:eastAsia="Calibri"/>
        </w:rPr>
        <w:t>programme could be further simplified</w:t>
      </w:r>
      <w:r w:rsidRPr="00A04E56">
        <w:rPr>
          <w:noProof w:val="0"/>
        </w:rPr>
        <w:t>.</w:t>
      </w:r>
      <w:r w:rsidRPr="00A04E56">
        <w:t xml:space="preserve"> The European Court of Auditors acknowledged in its </w:t>
      </w:r>
      <w:r w:rsidRPr="00A04E56">
        <w:rPr>
          <w:i/>
        </w:rPr>
        <w:t>Special report No</w:t>
      </w:r>
      <w:r w:rsidRPr="00A04E56">
        <w:rPr>
          <w:rFonts w:ascii="Calibri" w:hAnsi="Calibri" w:cs="Calibri"/>
          <w:i/>
        </w:rPr>
        <w:t> </w:t>
      </w:r>
      <w:r w:rsidRPr="00A04E56">
        <w:rPr>
          <w:i/>
        </w:rPr>
        <w:t>28/2018</w:t>
      </w:r>
      <w:r w:rsidRPr="00A04E56">
        <w:rPr>
          <w:rStyle w:val="fnRef"/>
          <w:rFonts w:ascii="Arial" w:hAnsi="Arial" w:cs="Arial"/>
        </w:rPr>
        <w:t> </w:t>
      </w:r>
      <w:r w:rsidRPr="00A04E56">
        <w:rPr>
          <w:rStyle w:val="fnRef"/>
        </w:rPr>
        <w:t>(</w:t>
      </w:r>
      <w:r w:rsidRPr="00A04E56">
        <w:rPr>
          <w:rStyle w:val="fnRefNo"/>
        </w:rPr>
        <w:footnoteReference w:id="43"/>
      </w:r>
      <w:r w:rsidRPr="00A04E56">
        <w:rPr>
          <w:rStyle w:val="fnRef"/>
        </w:rPr>
        <w:t>)</w:t>
      </w:r>
      <w:r w:rsidRPr="00A04E56">
        <w:t xml:space="preserve"> that </w:t>
      </w:r>
      <w:r w:rsidRPr="00A04E56" w:rsidDel="009F0415">
        <w:t>Horizon</w:t>
      </w:r>
      <w:r w:rsidRPr="00A04E56">
        <w:rPr>
          <w:rFonts w:ascii="Calibri" w:hAnsi="Calibri" w:cs="Calibri"/>
          <w:noProof w:val="0"/>
        </w:rPr>
        <w:t> </w:t>
      </w:r>
      <w:r w:rsidRPr="00A04E56">
        <w:rPr>
          <w:noProof w:val="0"/>
        </w:rPr>
        <w:t>2020</w:t>
      </w:r>
      <w:r w:rsidRPr="00A04E56">
        <w:t xml:space="preserve"> has made great progress in terms of simplification compared to the </w:t>
      </w:r>
      <w:r w:rsidR="00835302" w:rsidRPr="00A04E56">
        <w:t>Seventh Framework Programme</w:t>
      </w:r>
      <w:r w:rsidRPr="00A04E56">
        <w:t>. The administrative burden on those applying for and managing research grants has been reduced and further</w:t>
      </w:r>
      <w:r w:rsidRPr="00A04E56" w:rsidDel="0013077B">
        <w:t xml:space="preserve"> </w:t>
      </w:r>
      <w:r w:rsidRPr="00A04E56">
        <w:t xml:space="preserve">simplification suggestions have been incorporated into the new Horizon Europe programme proposal. Simplifying funding rules under the new multiannual financial framework is the major feature of the new generation of programmes. For example through ‘lump-sum funding’, would allow for payment based on the achievement of agreed targets rather than based on eligible costs. This simplification will make administration more light and will lower the risk of error. This method was tested in pilot calls </w:t>
      </w:r>
      <w:r w:rsidR="008C1D39" w:rsidRPr="00A04E56">
        <w:rPr>
          <w:i/>
          <w:u w:val="single"/>
        </w:rPr>
        <w:t>in 2018</w:t>
      </w:r>
      <w:r w:rsidRPr="00A04E56">
        <w:t xml:space="preserve"> and testing will continue in 2019. </w:t>
      </w:r>
    </w:p>
    <w:p w14:paraId="69A5E4CF" w14:textId="1089CF63" w:rsidR="009D152F" w:rsidRPr="00A04E56" w:rsidRDefault="008C1D39" w:rsidP="005D6D6C">
      <w:pPr>
        <w:pStyle w:val="BodyText1spaceafter"/>
      </w:pPr>
      <w:r w:rsidRPr="00A04E56">
        <w:rPr>
          <w:i/>
          <w:u w:val="single"/>
        </w:rPr>
        <w:t>In 2018</w:t>
      </w:r>
      <w:r w:rsidR="0053690D" w:rsidRPr="00A04E56">
        <w:t xml:space="preserve">, the Commission proposed a </w:t>
      </w:r>
      <w:r w:rsidR="00FC5652" w:rsidRPr="00A04E56">
        <w:t xml:space="preserve">policy package for the future </w:t>
      </w:r>
      <w:r w:rsidR="0084665A" w:rsidRPr="00A04E56">
        <w:rPr>
          <w:noProof w:val="0"/>
        </w:rPr>
        <w:t>f</w:t>
      </w:r>
      <w:r w:rsidR="00FC5652" w:rsidRPr="00A04E56">
        <w:rPr>
          <w:noProof w:val="0"/>
        </w:rPr>
        <w:t xml:space="preserve">ramework </w:t>
      </w:r>
      <w:r w:rsidR="0084665A" w:rsidRPr="00A04E56">
        <w:rPr>
          <w:noProof w:val="0"/>
        </w:rPr>
        <w:t>p</w:t>
      </w:r>
      <w:r w:rsidR="00FC5652" w:rsidRPr="00A04E56">
        <w:rPr>
          <w:noProof w:val="0"/>
        </w:rPr>
        <w:t>rogramm</w:t>
      </w:r>
      <w:r w:rsidR="0053690D" w:rsidRPr="00A04E56">
        <w:rPr>
          <w:noProof w:val="0"/>
        </w:rPr>
        <w:t xml:space="preserve">e </w:t>
      </w:r>
      <w:r w:rsidR="0053690D" w:rsidRPr="00A04E56">
        <w:t xml:space="preserve">for </w:t>
      </w:r>
      <w:r w:rsidR="0084665A" w:rsidRPr="00A04E56">
        <w:rPr>
          <w:noProof w:val="0"/>
        </w:rPr>
        <w:t>r</w:t>
      </w:r>
      <w:r w:rsidR="0053690D" w:rsidRPr="00A04E56">
        <w:rPr>
          <w:noProof w:val="0"/>
        </w:rPr>
        <w:t xml:space="preserve">esearch and </w:t>
      </w:r>
      <w:r w:rsidR="0084665A" w:rsidRPr="00A04E56">
        <w:rPr>
          <w:noProof w:val="0"/>
        </w:rPr>
        <w:t>i</w:t>
      </w:r>
      <w:r w:rsidR="0053690D" w:rsidRPr="00A04E56">
        <w:rPr>
          <w:noProof w:val="0"/>
        </w:rPr>
        <w:t>nnovation</w:t>
      </w:r>
      <w:r w:rsidR="0053690D" w:rsidRPr="00A04E56">
        <w:t xml:space="preserve">, </w:t>
      </w:r>
      <w:r w:rsidR="009D152F" w:rsidRPr="00A04E56">
        <w:t xml:space="preserve">called </w:t>
      </w:r>
      <w:r w:rsidR="009D152F" w:rsidRPr="00A04E56">
        <w:rPr>
          <w:rStyle w:val="BOLDLIGHTBLUEReport"/>
          <w:rFonts w:eastAsia="Calibri"/>
        </w:rPr>
        <w:t>Horizon Europe</w:t>
      </w:r>
      <w:r w:rsidR="005128AA" w:rsidRPr="00A04E56">
        <w:rPr>
          <w:rStyle w:val="fnRef"/>
          <w:rFonts w:ascii="Arial" w:hAnsi="Arial" w:cs="Arial"/>
        </w:rPr>
        <w:t> </w:t>
      </w:r>
      <w:r w:rsidR="0035678A" w:rsidRPr="00A04E56">
        <w:rPr>
          <w:rStyle w:val="fnRef"/>
        </w:rPr>
        <w:t>(</w:t>
      </w:r>
      <w:r w:rsidR="0035678A" w:rsidRPr="00A04E56">
        <w:rPr>
          <w:rStyle w:val="fnRefNo"/>
        </w:rPr>
        <w:footnoteReference w:id="44"/>
      </w:r>
      <w:r w:rsidR="0035678A" w:rsidRPr="00A04E56">
        <w:rPr>
          <w:rStyle w:val="fnRef"/>
        </w:rPr>
        <w:t>)</w:t>
      </w:r>
      <w:r w:rsidR="0053690D" w:rsidRPr="00A04E56">
        <w:rPr>
          <w:rFonts w:cstheme="minorHAnsi"/>
          <w:szCs w:val="20"/>
        </w:rPr>
        <w:t xml:space="preserve">. It </w:t>
      </w:r>
      <w:r w:rsidR="00FC5652" w:rsidRPr="00A04E56">
        <w:t>will help Europe remain at the forefront of global research and innovation. As highlighted in the report</w:t>
      </w:r>
      <w:r w:rsidR="005128AA" w:rsidRPr="00A04E56">
        <w:rPr>
          <w:rStyle w:val="fnRef"/>
          <w:rFonts w:ascii="Arial" w:hAnsi="Arial" w:cs="Arial"/>
        </w:rPr>
        <w:t> </w:t>
      </w:r>
      <w:r w:rsidR="0035678A" w:rsidRPr="00A04E56">
        <w:rPr>
          <w:rStyle w:val="fnRef"/>
        </w:rPr>
        <w:t>(</w:t>
      </w:r>
      <w:r w:rsidR="0035678A" w:rsidRPr="00A04E56">
        <w:rPr>
          <w:rStyle w:val="fnRefNo"/>
        </w:rPr>
        <w:footnoteReference w:id="45"/>
      </w:r>
      <w:r w:rsidR="0035678A" w:rsidRPr="00A04E56">
        <w:rPr>
          <w:rStyle w:val="fnRef"/>
        </w:rPr>
        <w:t>)</w:t>
      </w:r>
      <w:r w:rsidR="00FC5652" w:rsidRPr="00A04E56">
        <w:t xml:space="preserve"> of the High</w:t>
      </w:r>
      <w:r w:rsidR="0019228F" w:rsidRPr="00A04E56">
        <w:rPr>
          <w:noProof w:val="0"/>
        </w:rPr>
        <w:t>-Level</w:t>
      </w:r>
      <w:r w:rsidR="00FC5652" w:rsidRPr="00A04E56" w:rsidDel="0019228F">
        <w:t xml:space="preserve"> </w:t>
      </w:r>
      <w:r w:rsidR="00FC5652" w:rsidRPr="00A04E56">
        <w:t>Group</w:t>
      </w:r>
      <w:r w:rsidR="0084665A" w:rsidRPr="00A04E56">
        <w:rPr>
          <w:noProof w:val="0"/>
        </w:rPr>
        <w:t>,</w:t>
      </w:r>
      <w:r w:rsidR="00FC5652" w:rsidRPr="00A04E56">
        <w:t xml:space="preserve"> chaired by Pascal Lamy, investment in research will allow the </w:t>
      </w:r>
      <w:r w:rsidR="009A0795" w:rsidRPr="00A04E56">
        <w:rPr>
          <w:noProof w:val="0"/>
        </w:rPr>
        <w:t>EU</w:t>
      </w:r>
      <w:r w:rsidR="00FC5652" w:rsidRPr="00A04E56">
        <w:t xml:space="preserve"> to compete with other developed and emerging economies, ensure a prosperous future for its citizens and preserve its unique social model. Building on the success of </w:t>
      </w:r>
      <w:r w:rsidR="00FC5652" w:rsidRPr="00A04E56" w:rsidDel="009F0415">
        <w:t>Horizon</w:t>
      </w:r>
      <w:r w:rsidR="009F0415" w:rsidRPr="00A04E56">
        <w:rPr>
          <w:rFonts w:ascii="Calibri" w:hAnsi="Calibri" w:cs="Calibri"/>
          <w:noProof w:val="0"/>
        </w:rPr>
        <w:t> </w:t>
      </w:r>
      <w:r w:rsidR="009F0415" w:rsidRPr="00A04E56">
        <w:rPr>
          <w:noProof w:val="0"/>
        </w:rPr>
        <w:t>2020</w:t>
      </w:r>
      <w:r w:rsidR="00FC5652" w:rsidRPr="00A04E56">
        <w:t xml:space="preserve">, the new programme will continue to promote research excellence and strengthen the focus on innovation, for instance through the development of prototypes, intangible assets, knowledge and technology transfer. </w:t>
      </w:r>
    </w:p>
    <w:p w14:paraId="06D74ADC" w14:textId="75D636AB" w:rsidR="009D152F" w:rsidRPr="00A04E56" w:rsidRDefault="00E12F7D" w:rsidP="00BB3C69">
      <w:pPr>
        <w:pStyle w:val="BodyText1spaceafter"/>
        <w:rPr>
          <w:b/>
          <w:color w:val="auto"/>
          <w:szCs w:val="20"/>
        </w:rPr>
      </w:pPr>
      <w:r w:rsidRPr="00A04E56">
        <w:t>A new European Innovation Council will provide a one-stop shop for high potential and disruptive innovators, aiming to make Europe a front</w:t>
      </w:r>
      <w:r w:rsidRPr="00A04E56">
        <w:rPr>
          <w:noProof w:val="0"/>
        </w:rPr>
        <w:t>-</w:t>
      </w:r>
      <w:r w:rsidRPr="00A04E56">
        <w:t>runner in market-creating innovation.</w:t>
      </w:r>
    </w:p>
    <w:p w14:paraId="47B21FE2" w14:textId="1C8FE2B0" w:rsidR="009D152F" w:rsidRPr="00A04E56" w:rsidRDefault="009D152F" w:rsidP="00607628">
      <w:pPr>
        <w:pStyle w:val="Title2Report"/>
      </w:pPr>
      <w:bookmarkStart w:id="30" w:name="_Toc12020994"/>
      <w:r w:rsidRPr="00A04E56">
        <w:t>Euratom</w:t>
      </w:r>
      <w:bookmarkEnd w:id="30"/>
    </w:p>
    <w:p w14:paraId="177DFE3D" w14:textId="77777777" w:rsidR="009D152F" w:rsidRPr="00A04E56" w:rsidRDefault="009D152F" w:rsidP="00AA0340">
      <w:pPr>
        <w:pStyle w:val="Title3NumberedReport"/>
      </w:pPr>
      <w:r w:rsidRPr="00A04E56">
        <w:t xml:space="preserve">Programme objectives </w:t>
      </w:r>
    </w:p>
    <w:p w14:paraId="00D63DCF" w14:textId="15FA4BD7" w:rsidR="00282257" w:rsidRPr="00A04E56" w:rsidRDefault="00282257" w:rsidP="00BB3C69">
      <w:pPr>
        <w:pStyle w:val="BodyText1spaceafter"/>
      </w:pPr>
      <w:r w:rsidRPr="00A04E56">
        <w:t xml:space="preserve">Nuclear and ionising radiation technologies continue to play an important role, whether this concerns energy and </w:t>
      </w:r>
      <w:r w:rsidR="001A6C94" w:rsidRPr="00A04E56">
        <w:t>contributing to the</w:t>
      </w:r>
      <w:r w:rsidRPr="00A04E56">
        <w:t xml:space="preserve"> security of supply, the use of radiation in medical and industrial applications or </w:t>
      </w:r>
      <w:r w:rsidR="00732387" w:rsidRPr="00A04E56">
        <w:rPr>
          <w:noProof w:val="0"/>
        </w:rPr>
        <w:t xml:space="preserve">the </w:t>
      </w:r>
      <w:r w:rsidRPr="00A04E56">
        <w:t xml:space="preserve">management of spent fuel and radioactive waste. Safe and secure use of these technologies is of paramount importance and research programmes help maintain the highest </w:t>
      </w:r>
      <w:r w:rsidR="001A6C94" w:rsidRPr="00A04E56">
        <w:t xml:space="preserve">standards of </w:t>
      </w:r>
      <w:r w:rsidRPr="00A04E56">
        <w:t xml:space="preserve">safety, security and safeguards in this field. The Euratom </w:t>
      </w:r>
      <w:r w:rsidR="00732387" w:rsidRPr="00A04E56">
        <w:rPr>
          <w:noProof w:val="0"/>
        </w:rPr>
        <w:t>p</w:t>
      </w:r>
      <w:r w:rsidRPr="00A04E56">
        <w:t>rogramme</w:t>
      </w:r>
      <w:r w:rsidR="005128AA" w:rsidRPr="00A04E56">
        <w:rPr>
          <w:rStyle w:val="fnRef"/>
          <w:rFonts w:ascii="Arial" w:hAnsi="Arial" w:cs="Arial"/>
        </w:rPr>
        <w:t> </w:t>
      </w:r>
      <w:r w:rsidR="0035678A" w:rsidRPr="00A04E56">
        <w:rPr>
          <w:rStyle w:val="fnRef"/>
        </w:rPr>
        <w:t>(</w:t>
      </w:r>
      <w:r w:rsidR="0035678A" w:rsidRPr="00A04E56">
        <w:rPr>
          <w:rStyle w:val="fnRefNo"/>
        </w:rPr>
        <w:footnoteReference w:id="46"/>
      </w:r>
      <w:r w:rsidR="0035678A" w:rsidRPr="00A04E56">
        <w:rPr>
          <w:rStyle w:val="fnRef"/>
        </w:rPr>
        <w:t>)</w:t>
      </w:r>
      <w:r w:rsidR="00603676" w:rsidRPr="00A04E56">
        <w:t xml:space="preserve"> </w:t>
      </w:r>
      <w:r w:rsidR="00732387" w:rsidRPr="00A04E56">
        <w:rPr>
          <w:noProof w:val="0"/>
        </w:rPr>
        <w:t xml:space="preserve">also </w:t>
      </w:r>
      <w:r w:rsidRPr="00A04E56">
        <w:t>focuses on the development of fusion energy, a potentially inexhaustible and climate-friendly energy source.</w:t>
      </w:r>
    </w:p>
    <w:p w14:paraId="695D6FEB" w14:textId="77777777" w:rsidR="002A1A6E" w:rsidRPr="00A04E56" w:rsidRDefault="00C01D29" w:rsidP="00BB3C69">
      <w:pPr>
        <w:pStyle w:val="BodyText1spaceafter"/>
      </w:pPr>
      <w:r w:rsidRPr="00A04E56">
        <w:t xml:space="preserve">The programme </w:t>
      </w:r>
      <w:r w:rsidRPr="00A04E56">
        <w:rPr>
          <w:rFonts w:cstheme="minorHAnsi"/>
          <w:szCs w:val="20"/>
        </w:rPr>
        <w:t>operat</w:t>
      </w:r>
      <w:r w:rsidR="00365862" w:rsidRPr="00A04E56">
        <w:rPr>
          <w:rFonts w:cstheme="minorHAnsi"/>
          <w:szCs w:val="20"/>
        </w:rPr>
        <w:t>es</w:t>
      </w:r>
      <w:r w:rsidRPr="00A04E56">
        <w:t xml:space="preserve"> through ‘indirect action’ funding to third parties and </w:t>
      </w:r>
      <w:r w:rsidR="009D42BE" w:rsidRPr="00A04E56">
        <w:t>through</w:t>
      </w:r>
      <w:r w:rsidRPr="00A04E56">
        <w:t xml:space="preserve"> ‘direct’ actions carried out by the Commission’s Joint Research Centre. </w:t>
      </w:r>
    </w:p>
    <w:p w14:paraId="106A28B1" w14:textId="1A9DBF0F" w:rsidR="00C01D29" w:rsidRPr="00A04E56" w:rsidRDefault="008C1D39" w:rsidP="00AA0340">
      <w:pPr>
        <w:pStyle w:val="Title3NumberedReport"/>
      </w:pPr>
      <w:r w:rsidRPr="00A04E56">
        <w:t>Implementation and latest achievements</w:t>
      </w:r>
    </w:p>
    <w:p w14:paraId="7060AC53" w14:textId="2971C4FF" w:rsidR="00282257" w:rsidRPr="00A04E56" w:rsidRDefault="00C01D29" w:rsidP="00BB3C69">
      <w:pPr>
        <w:pStyle w:val="BodyText1spaceafter"/>
      </w:pPr>
      <w:r w:rsidRPr="00A04E56">
        <w:t>Most of the fission projects selected are in the areas of nuclear safety (41%), research infrastructures (22%), waste management (15%) and radiation protection (13%).</w:t>
      </w:r>
      <w:r w:rsidR="00282257" w:rsidRPr="00A04E56">
        <w:t xml:space="preserve"> </w:t>
      </w:r>
    </w:p>
    <w:p w14:paraId="6ACC6FC4" w14:textId="6C2CD8A4" w:rsidR="00E96896" w:rsidRPr="00A04E56" w:rsidRDefault="00E96896" w:rsidP="00FE3BB0">
      <w:pPr>
        <w:pStyle w:val="BOXE3GREEN"/>
        <w:keepNext/>
        <w:keepLines/>
        <w:rPr>
          <w:rFonts w:eastAsia="Calibri"/>
          <w:noProof w:val="0"/>
          <w:color w:val="65BBC8"/>
        </w:rPr>
      </w:pPr>
      <w:r w:rsidRPr="00A04E56">
        <w:rPr>
          <w:rFonts w:eastAsia="Calibri"/>
          <w:noProof w:val="0"/>
          <w:color w:val="65BBC8"/>
        </w:rPr>
        <w:t>The development of a high</w:t>
      </w:r>
      <w:r w:rsidR="00732387" w:rsidRPr="00A04E56">
        <w:rPr>
          <w:rFonts w:eastAsia="Calibri"/>
          <w:noProof w:val="0"/>
          <w:color w:val="65BBC8"/>
        </w:rPr>
        <w:t>-</w:t>
      </w:r>
      <w:r w:rsidRPr="00A04E56">
        <w:rPr>
          <w:rFonts w:eastAsia="Calibri"/>
          <w:noProof w:val="0"/>
          <w:color w:val="65BBC8"/>
        </w:rPr>
        <w:t>temperature superconductor won the</w:t>
      </w:r>
      <w:r w:rsidRPr="00A04E56" w:rsidDel="00655667">
        <w:rPr>
          <w:rFonts w:eastAsia="Calibri"/>
          <w:noProof w:val="0"/>
          <w:color w:val="65BBC8"/>
        </w:rPr>
        <w:t xml:space="preserve"> </w:t>
      </w:r>
      <w:r w:rsidRPr="00A04E56">
        <w:rPr>
          <w:rFonts w:eastAsia="Calibri"/>
          <w:noProof w:val="0"/>
          <w:color w:val="65BBC8"/>
        </w:rPr>
        <w:t xml:space="preserve">2016 Euratom </w:t>
      </w:r>
      <w:r w:rsidR="00732387" w:rsidRPr="00A04E56">
        <w:rPr>
          <w:rFonts w:eastAsia="Calibri"/>
          <w:noProof w:val="0"/>
          <w:color w:val="65BBC8"/>
        </w:rPr>
        <w:t>Prize</w:t>
      </w:r>
      <w:r w:rsidRPr="00A04E56">
        <w:rPr>
          <w:rFonts w:eastAsia="Calibri"/>
          <w:noProof w:val="0"/>
          <w:color w:val="65BBC8"/>
        </w:rPr>
        <w:t xml:space="preserve"> for </w:t>
      </w:r>
      <w:r w:rsidR="00732387" w:rsidRPr="00A04E56">
        <w:rPr>
          <w:rFonts w:eastAsia="Calibri"/>
          <w:noProof w:val="0"/>
          <w:color w:val="65BBC8"/>
        </w:rPr>
        <w:t>Innovation</w:t>
      </w:r>
      <w:r w:rsidRPr="00A04E56">
        <w:rPr>
          <w:rFonts w:eastAsia="Calibri"/>
          <w:noProof w:val="0"/>
          <w:color w:val="65BBC8"/>
        </w:rPr>
        <w:t xml:space="preserve"> in </w:t>
      </w:r>
      <w:r w:rsidR="00732387" w:rsidRPr="00A04E56">
        <w:rPr>
          <w:rFonts w:eastAsia="Calibri"/>
          <w:noProof w:val="0"/>
          <w:color w:val="65BBC8"/>
        </w:rPr>
        <w:t>Fusion R</w:t>
      </w:r>
      <w:r w:rsidRPr="00A04E56">
        <w:rPr>
          <w:rFonts w:eastAsia="Calibri"/>
          <w:noProof w:val="0"/>
          <w:color w:val="65BBC8"/>
        </w:rPr>
        <w:t>esearch</w:t>
      </w:r>
      <w:r w:rsidR="00732387" w:rsidRPr="00A04E56">
        <w:rPr>
          <w:rFonts w:eastAsia="Calibri"/>
          <w:noProof w:val="0"/>
          <w:color w:val="65BBC8"/>
        </w:rPr>
        <w:t>.</w:t>
      </w:r>
      <w:r w:rsidRPr="00A04E56">
        <w:rPr>
          <w:rFonts w:eastAsia="Calibri"/>
          <w:noProof w:val="0"/>
          <w:color w:val="65BBC8"/>
        </w:rPr>
        <w:t xml:space="preserve"> It can now be fabricated in 7</w:t>
      </w:r>
      <w:r w:rsidR="00732387" w:rsidRPr="00A04E56">
        <w:rPr>
          <w:rFonts w:eastAsia="Calibri"/>
          <w:noProof w:val="0"/>
          <w:color w:val="65BBC8"/>
        </w:rPr>
        <w:t>-</w:t>
      </w:r>
      <w:r w:rsidRPr="00A04E56">
        <w:rPr>
          <w:rFonts w:eastAsia="Calibri"/>
          <w:noProof w:val="0"/>
          <w:color w:val="65BBC8"/>
        </w:rPr>
        <w:t>metre lengths. It has also been cold</w:t>
      </w:r>
      <w:r w:rsidR="00732387" w:rsidRPr="00A04E56">
        <w:rPr>
          <w:rFonts w:eastAsia="Calibri"/>
          <w:noProof w:val="0"/>
          <w:color w:val="65BBC8"/>
        </w:rPr>
        <w:t xml:space="preserve"> </w:t>
      </w:r>
      <w:r w:rsidRPr="00A04E56">
        <w:rPr>
          <w:rFonts w:eastAsia="Calibri"/>
          <w:noProof w:val="0"/>
          <w:color w:val="65BBC8"/>
        </w:rPr>
        <w:t>tested at liquid nitrogen temperature and high current, i.e. under fusion conditions.</w:t>
      </w:r>
    </w:p>
    <w:p w14:paraId="1F2E8280" w14:textId="0FD5A465" w:rsidR="00C01D29" w:rsidRPr="00A04E56" w:rsidRDefault="00E96896" w:rsidP="00FE3BB0">
      <w:pPr>
        <w:pStyle w:val="BOXE3GREEN"/>
        <w:keepLines/>
        <w:rPr>
          <w:rFonts w:eastAsia="Calibri"/>
          <w:noProof w:val="0"/>
          <w:color w:val="65BBC8"/>
        </w:rPr>
      </w:pPr>
      <w:r w:rsidRPr="00A04E56">
        <w:rPr>
          <w:rFonts w:eastAsia="Calibri"/>
          <w:noProof w:val="0"/>
          <w:color w:val="65BBC8"/>
        </w:rPr>
        <w:t xml:space="preserve">The Joint Research </w:t>
      </w:r>
      <w:r w:rsidR="00655667" w:rsidRPr="00A04E56">
        <w:rPr>
          <w:rFonts w:eastAsia="Calibri"/>
          <w:noProof w:val="0"/>
          <w:color w:val="65BBC8"/>
        </w:rPr>
        <w:t>Centre</w:t>
      </w:r>
      <w:r w:rsidRPr="00A04E56">
        <w:rPr>
          <w:rFonts w:eastAsia="Calibri"/>
          <w:noProof w:val="0"/>
          <w:color w:val="65BBC8"/>
        </w:rPr>
        <w:t xml:space="preserve"> has been contributing to the </w:t>
      </w:r>
      <w:r w:rsidR="00DF1542" w:rsidRPr="00A04E56">
        <w:rPr>
          <w:rFonts w:eastAsia="Calibri"/>
          <w:noProof w:val="0"/>
          <w:color w:val="65BBC8"/>
        </w:rPr>
        <w:t>Collaborative International Evaluated Library Organisation</w:t>
      </w:r>
      <w:r w:rsidRPr="00A04E56">
        <w:rPr>
          <w:rFonts w:eastAsia="Calibri"/>
          <w:noProof w:val="0"/>
          <w:color w:val="65BBC8"/>
        </w:rPr>
        <w:t xml:space="preserve">, an initiative which aims at </w:t>
      </w:r>
      <w:r w:rsidR="00732387" w:rsidRPr="00A04E56">
        <w:rPr>
          <w:rFonts w:eastAsia="Calibri"/>
          <w:noProof w:val="0"/>
          <w:color w:val="65BBC8"/>
        </w:rPr>
        <w:t xml:space="preserve">the </w:t>
      </w:r>
      <w:r w:rsidRPr="00A04E56">
        <w:rPr>
          <w:rFonts w:eastAsia="Calibri"/>
          <w:noProof w:val="0"/>
          <w:color w:val="65BBC8"/>
        </w:rPr>
        <w:t>world</w:t>
      </w:r>
      <w:r w:rsidR="00E9307F" w:rsidRPr="00A04E56">
        <w:rPr>
          <w:rFonts w:eastAsia="Calibri"/>
          <w:noProof w:val="0"/>
          <w:color w:val="65BBC8"/>
        </w:rPr>
        <w:t>wide</w:t>
      </w:r>
      <w:r w:rsidRPr="00A04E56">
        <w:rPr>
          <w:rFonts w:eastAsia="Calibri"/>
          <w:noProof w:val="0"/>
          <w:color w:val="65BBC8"/>
        </w:rPr>
        <w:t xml:space="preserve"> standardisation of evaluated nuclear data for harmoni</w:t>
      </w:r>
      <w:r w:rsidR="00E9307F" w:rsidRPr="00A04E56">
        <w:rPr>
          <w:rFonts w:eastAsia="Calibri"/>
          <w:noProof w:val="0"/>
          <w:color w:val="65BBC8"/>
        </w:rPr>
        <w:t>sed</w:t>
      </w:r>
      <w:r w:rsidRPr="00A04E56">
        <w:rPr>
          <w:rFonts w:eastAsia="Calibri"/>
          <w:noProof w:val="0"/>
          <w:color w:val="65BBC8"/>
        </w:rPr>
        <w:t xml:space="preserve"> safety assessments in nuclear energy. </w:t>
      </w:r>
    </w:p>
    <w:p w14:paraId="3554F65D" w14:textId="62FC1E88" w:rsidR="009D152F" w:rsidRPr="00A04E56" w:rsidRDefault="009D152F" w:rsidP="00AA0340">
      <w:pPr>
        <w:pStyle w:val="Title3NumberedReport"/>
      </w:pPr>
      <w:r w:rsidRPr="00A04E56">
        <w:t xml:space="preserve">Assessment and </w:t>
      </w:r>
      <w:r w:rsidR="00232499" w:rsidRPr="00A04E56">
        <w:t>evaluation</w:t>
      </w:r>
    </w:p>
    <w:p w14:paraId="177C0C81" w14:textId="481F2D00" w:rsidR="009D152F" w:rsidRPr="00A04E56" w:rsidRDefault="009D152F" w:rsidP="004C5292">
      <w:pPr>
        <w:pStyle w:val="BodyText1spaceafter"/>
        <w:rPr>
          <w:rFonts w:cstheme="minorHAnsi"/>
        </w:rPr>
      </w:pPr>
      <w:r w:rsidRPr="00A04E56">
        <w:t>The 2017 interim evaluation</w:t>
      </w:r>
      <w:r w:rsidR="004A719B" w:rsidRPr="00A04E56">
        <w:rPr>
          <w:rStyle w:val="fnRef"/>
          <w:rFonts w:ascii="Arial" w:hAnsi="Arial" w:cs="Arial"/>
        </w:rPr>
        <w:t> </w:t>
      </w:r>
      <w:r w:rsidR="0035678A" w:rsidRPr="00A04E56">
        <w:rPr>
          <w:rStyle w:val="fnRef"/>
        </w:rPr>
        <w:t>(</w:t>
      </w:r>
      <w:r w:rsidR="0035678A" w:rsidRPr="00A04E56">
        <w:rPr>
          <w:rStyle w:val="fnRefNo"/>
        </w:rPr>
        <w:footnoteReference w:id="47"/>
      </w:r>
      <w:r w:rsidR="0035678A" w:rsidRPr="00A04E56">
        <w:rPr>
          <w:rStyle w:val="fnRef"/>
        </w:rPr>
        <w:t>)</w:t>
      </w:r>
      <w:r w:rsidRPr="00A04E56">
        <w:rPr>
          <w:rFonts w:cstheme="minorHAnsi"/>
        </w:rPr>
        <w:t xml:space="preserve"> show</w:t>
      </w:r>
      <w:r w:rsidR="00732387" w:rsidRPr="00A04E56">
        <w:rPr>
          <w:rFonts w:cstheme="minorHAnsi"/>
          <w:noProof w:val="0"/>
        </w:rPr>
        <w:t>s</w:t>
      </w:r>
      <w:r w:rsidRPr="00A04E56">
        <w:rPr>
          <w:rFonts w:cstheme="minorHAnsi"/>
        </w:rPr>
        <w:t xml:space="preserve"> that a key part of the European added value of</w:t>
      </w:r>
      <w:r w:rsidRPr="00A04E56">
        <w:rPr>
          <w:rFonts w:cstheme="minorHAnsi"/>
          <w:b/>
        </w:rPr>
        <w:t xml:space="preserve"> </w:t>
      </w:r>
      <w:r w:rsidRPr="00A04E56">
        <w:rPr>
          <w:rStyle w:val="BOLDLIGHTBLUEReport"/>
          <w:rFonts w:eastAsia="Calibri"/>
        </w:rPr>
        <w:t>Euratom indirect actions</w:t>
      </w:r>
      <w:r w:rsidRPr="00A04E56">
        <w:rPr>
          <w:rFonts w:cstheme="minorHAnsi"/>
        </w:rPr>
        <w:t xml:space="preserve"> is the </w:t>
      </w:r>
      <w:r w:rsidRPr="00A04E56">
        <w:rPr>
          <w:rFonts w:cstheme="minorHAnsi"/>
          <w:noProof w:val="0"/>
        </w:rPr>
        <w:t>EU</w:t>
      </w:r>
      <w:r w:rsidR="0079562A" w:rsidRPr="00A04E56">
        <w:rPr>
          <w:rFonts w:cstheme="minorHAnsi"/>
          <w:noProof w:val="0"/>
        </w:rPr>
        <w:t>’</w:t>
      </w:r>
      <w:r w:rsidRPr="00A04E56">
        <w:rPr>
          <w:rFonts w:cstheme="minorHAnsi"/>
          <w:noProof w:val="0"/>
        </w:rPr>
        <w:t>s</w:t>
      </w:r>
      <w:r w:rsidRPr="00A04E56">
        <w:rPr>
          <w:rFonts w:cstheme="minorHAnsi"/>
        </w:rPr>
        <w:t xml:space="preserve"> ability to mobilise a wider pool of excellence, expertise and multi-disciplinarity in nuclear research than individual Member States could. Through cooperative research and innovation, the Euratom programme also enables a Europe-wide approach to the improvement of nuclear safety and radiation protection in all areas of application. This complements the Euratom </w:t>
      </w:r>
      <w:r w:rsidR="001A6C94" w:rsidRPr="00A04E56">
        <w:rPr>
          <w:rFonts w:cstheme="minorHAnsi"/>
          <w:noProof w:val="0"/>
        </w:rPr>
        <w:t>d</w:t>
      </w:r>
      <w:r w:rsidRPr="00A04E56">
        <w:rPr>
          <w:rFonts w:cstheme="minorHAnsi"/>
          <w:noProof w:val="0"/>
        </w:rPr>
        <w:t>irectives</w:t>
      </w:r>
      <w:r w:rsidRPr="00A04E56">
        <w:rPr>
          <w:rFonts w:cstheme="minorHAnsi"/>
        </w:rPr>
        <w:t xml:space="preserve"> on nuclear safety, radioactive</w:t>
      </w:r>
      <w:r w:rsidR="006406DB" w:rsidRPr="00A04E56">
        <w:rPr>
          <w:rFonts w:cstheme="minorHAnsi"/>
        </w:rPr>
        <w:t>-</w:t>
      </w:r>
      <w:r w:rsidRPr="00A04E56">
        <w:rPr>
          <w:rFonts w:cstheme="minorHAnsi"/>
        </w:rPr>
        <w:t>waste management and basic safety standards and involves demonstrable scientific and technological progress in all areas that would not have been possible without a collaborative pan-European approach. The Euratom programme also enables a much more broad-based coordination of education and training</w:t>
      </w:r>
      <w:r w:rsidR="00CC7783" w:rsidRPr="00A04E56">
        <w:rPr>
          <w:rFonts w:cstheme="minorHAnsi"/>
        </w:rPr>
        <w:t xml:space="preserve"> throughout Europe</w:t>
      </w:r>
      <w:r w:rsidRPr="00A04E56">
        <w:rPr>
          <w:rFonts w:cstheme="minorHAnsi"/>
        </w:rPr>
        <w:t xml:space="preserve">, the use of research infrastructures and international cooperation. This is particular </w:t>
      </w:r>
      <w:r w:rsidR="00732387" w:rsidRPr="00A04E56">
        <w:rPr>
          <w:rFonts w:cstheme="minorHAnsi"/>
          <w:noProof w:val="0"/>
        </w:rPr>
        <w:t>beneficial</w:t>
      </w:r>
      <w:r w:rsidRPr="00A04E56">
        <w:rPr>
          <w:rFonts w:cstheme="minorHAnsi"/>
        </w:rPr>
        <w:t xml:space="preserve"> </w:t>
      </w:r>
      <w:r w:rsidR="00732387" w:rsidRPr="00A04E56">
        <w:rPr>
          <w:rFonts w:cstheme="minorHAnsi"/>
          <w:noProof w:val="0"/>
        </w:rPr>
        <w:t>for</w:t>
      </w:r>
      <w:r w:rsidRPr="00A04E56">
        <w:rPr>
          <w:rFonts w:cstheme="minorHAnsi"/>
        </w:rPr>
        <w:t xml:space="preserve"> smaller Member States, which can then take advantage of economies of scale afforded by the Europe-wide pooling effect. </w:t>
      </w:r>
    </w:p>
    <w:p w14:paraId="0CF8659E" w14:textId="70FA03CC" w:rsidR="009D152F" w:rsidRPr="00A04E56" w:rsidRDefault="00AD366E" w:rsidP="00501343">
      <w:pPr>
        <w:pStyle w:val="BodyText1spaceafter"/>
        <w:keepLines/>
      </w:pPr>
      <w:r w:rsidRPr="00A04E56">
        <w:t xml:space="preserve">Preparatory work for the future Euratom research and training programme included </w:t>
      </w:r>
      <w:r w:rsidR="009D152F" w:rsidRPr="00A04E56">
        <w:t xml:space="preserve">two evaluation studies, two high-level expert groups </w:t>
      </w:r>
      <w:r w:rsidR="009D152F" w:rsidRPr="00A04E56">
        <w:rPr>
          <w:rFonts w:cstheme="minorHAnsi"/>
        </w:rPr>
        <w:t>assisting the Commission,</w:t>
      </w:r>
      <w:r w:rsidR="009D152F" w:rsidRPr="00A04E56">
        <w:t xml:space="preserve"> a public stakeholder consultation and contributions to the Horizon Europe impact assessment</w:t>
      </w:r>
      <w:r w:rsidR="004A719B" w:rsidRPr="00A04E56">
        <w:rPr>
          <w:rStyle w:val="fnRef"/>
          <w:rFonts w:ascii="Arial" w:hAnsi="Arial" w:cs="Arial"/>
        </w:rPr>
        <w:t> </w:t>
      </w:r>
      <w:r w:rsidR="0035678A" w:rsidRPr="00A04E56">
        <w:rPr>
          <w:rStyle w:val="fnRef"/>
        </w:rPr>
        <w:t>(</w:t>
      </w:r>
      <w:r w:rsidR="0035678A" w:rsidRPr="00A04E56">
        <w:rPr>
          <w:rStyle w:val="fnRefNo"/>
        </w:rPr>
        <w:footnoteReference w:id="48"/>
      </w:r>
      <w:r w:rsidR="0035678A" w:rsidRPr="00A04E56">
        <w:rPr>
          <w:rStyle w:val="fnRef"/>
        </w:rPr>
        <w:t>)</w:t>
      </w:r>
      <w:r w:rsidR="009D152F" w:rsidRPr="00A04E56">
        <w:t>. In addressing</w:t>
      </w:r>
      <w:r w:rsidR="009D152F" w:rsidRPr="00A04E56" w:rsidDel="00CC7783">
        <w:t xml:space="preserve"> </w:t>
      </w:r>
      <w:r w:rsidR="009D152F" w:rsidRPr="00A04E56">
        <w:t xml:space="preserve">the programme’s shortcomings </w:t>
      </w:r>
      <w:r w:rsidR="00CC7783" w:rsidRPr="00A04E56">
        <w:t xml:space="preserve">identified </w:t>
      </w:r>
      <w:r w:rsidR="009D152F" w:rsidRPr="00A04E56">
        <w:t xml:space="preserve">in the evaluation, the proposal for the new </w:t>
      </w:r>
      <w:r w:rsidR="009D152F" w:rsidRPr="00A04E56">
        <w:rPr>
          <w:rStyle w:val="BOLDLIGHTBLUEReport"/>
          <w:rFonts w:eastAsia="Calibri"/>
        </w:rPr>
        <w:t>Euratom programme has been simplified</w:t>
      </w:r>
      <w:r w:rsidR="009D152F" w:rsidRPr="00A04E56">
        <w:t xml:space="preserve"> (through, for example, a reduction in the number of objectives from 14 to four) and </w:t>
      </w:r>
      <w:r w:rsidR="009D152F" w:rsidRPr="00A04E56">
        <w:rPr>
          <w:rStyle w:val="BOLDLIGHTBLUEReport"/>
          <w:rFonts w:eastAsia="Calibri"/>
        </w:rPr>
        <w:t>synergies with Horizon Europe</w:t>
      </w:r>
      <w:r w:rsidR="009D152F" w:rsidRPr="00A04E56">
        <w:t xml:space="preserve"> will be better exploited (e.g. in health research and the Marie Skłodowska-Curie actions).</w:t>
      </w:r>
    </w:p>
    <w:p w14:paraId="14D9AD6F" w14:textId="200B8DA9" w:rsidR="001B412E" w:rsidRPr="00A04E56" w:rsidRDefault="001B412E" w:rsidP="00880A7F">
      <w:pPr>
        <w:pStyle w:val="Title2Report"/>
      </w:pPr>
      <w:bookmarkStart w:id="31" w:name="_Toc4603965"/>
      <w:bookmarkStart w:id="32" w:name="_Toc12020995"/>
      <w:r w:rsidRPr="00A04E56">
        <w:t>ITER</w:t>
      </w:r>
      <w:bookmarkEnd w:id="31"/>
      <w:bookmarkEnd w:id="32"/>
    </w:p>
    <w:p w14:paraId="7DDF27C1" w14:textId="77777777" w:rsidR="001B412E" w:rsidRPr="00A04E56" w:rsidRDefault="001B412E" w:rsidP="00AA0340">
      <w:pPr>
        <w:pStyle w:val="Title3NumberedReport"/>
      </w:pPr>
      <w:bookmarkStart w:id="33" w:name="_Toc4680700"/>
      <w:bookmarkStart w:id="34" w:name="_Toc4682974"/>
      <w:r w:rsidRPr="00A04E56">
        <w:t>Programme objectives</w:t>
      </w:r>
      <w:bookmarkEnd w:id="33"/>
      <w:bookmarkEnd w:id="34"/>
      <w:r w:rsidRPr="00A04E56">
        <w:t xml:space="preserve"> </w:t>
      </w:r>
    </w:p>
    <w:p w14:paraId="75050C4C" w14:textId="19BA4C19" w:rsidR="001B412E" w:rsidRPr="00A04E56" w:rsidRDefault="001B412E" w:rsidP="0021512B">
      <w:pPr>
        <w:pStyle w:val="BodyText1spaceafter"/>
      </w:pPr>
      <w:r w:rsidRPr="00A04E56">
        <w:t xml:space="preserve">ITER is one of the most </w:t>
      </w:r>
      <w:r w:rsidRPr="00A04E56">
        <w:rPr>
          <w:rStyle w:val="BOLDLIGHTBLUEReport"/>
          <w:rFonts w:eastAsia="Calibri"/>
        </w:rPr>
        <w:t>ambitious energy projects</w:t>
      </w:r>
      <w:r w:rsidRPr="00A04E56">
        <w:t xml:space="preserve"> in the world today. The project was brought about through the collaboration of seven parties: the EU, China, India, Japan, Korea, Russia and the United States. The aim is to build and operate an experimental fusion reactor which will be used to explore and demonstrate the scientific and technological feasibility of using fusion as an energy source</w:t>
      </w:r>
      <w:r w:rsidR="004A719B" w:rsidRPr="00A04E56">
        <w:rPr>
          <w:rStyle w:val="fnRef"/>
          <w:rFonts w:ascii="Arial" w:hAnsi="Arial" w:cs="Arial"/>
        </w:rPr>
        <w:t> </w:t>
      </w:r>
      <w:r w:rsidR="0035678A" w:rsidRPr="00A04E56">
        <w:rPr>
          <w:rStyle w:val="fnRef"/>
        </w:rPr>
        <w:t>(</w:t>
      </w:r>
      <w:r w:rsidR="0035678A" w:rsidRPr="00A04E56">
        <w:rPr>
          <w:rStyle w:val="fnRefNo"/>
        </w:rPr>
        <w:footnoteReference w:id="49"/>
      </w:r>
      <w:r w:rsidR="0035678A" w:rsidRPr="00A04E56">
        <w:rPr>
          <w:rStyle w:val="fnRef"/>
        </w:rPr>
        <w:t>)</w:t>
      </w:r>
      <w:r w:rsidRPr="00A04E56">
        <w:t>. ITER will not produce electricity</w:t>
      </w:r>
      <w:r w:rsidR="00156DE2" w:rsidRPr="00A04E56">
        <w:t xml:space="preserve"> as its purpose is more of an experimental nature: resolving </w:t>
      </w:r>
      <w:r w:rsidRPr="00A04E56">
        <w:t xml:space="preserve">critical scientific and technical issues </w:t>
      </w:r>
      <w:r w:rsidR="00156DE2" w:rsidRPr="00A04E56">
        <w:t xml:space="preserve">in order to </w:t>
      </w:r>
      <w:r w:rsidRPr="00A04E56">
        <w:t xml:space="preserve">take fusion to the point where industrial applications can be designed. </w:t>
      </w:r>
      <w:r w:rsidR="00156DE2" w:rsidRPr="00A04E56">
        <w:t>ITER is</w:t>
      </w:r>
      <w:r w:rsidR="00B450DB" w:rsidRPr="00A04E56">
        <w:t xml:space="preserve"> expected to be</w:t>
      </w:r>
      <w:r w:rsidRPr="00A04E56">
        <w:t xml:space="preserve"> the first fusion device in the world </w:t>
      </w:r>
      <w:r w:rsidR="00B450DB" w:rsidRPr="00A04E56">
        <w:t xml:space="preserve">that generates more power </w:t>
      </w:r>
      <w:r w:rsidRPr="00A04E56">
        <w:t>than is put into it</w:t>
      </w:r>
      <w:r w:rsidR="00B450DB" w:rsidRPr="00A04E56">
        <w:t xml:space="preserve"> and thus </w:t>
      </w:r>
      <w:r w:rsidRPr="00A04E56">
        <w:t>will be the proof of principle open</w:t>
      </w:r>
      <w:r w:rsidR="00B450DB" w:rsidRPr="00A04E56">
        <w:t>ing</w:t>
      </w:r>
      <w:r w:rsidRPr="00A04E56">
        <w:t xml:space="preserve"> the way </w:t>
      </w:r>
      <w:r w:rsidR="007C39F3" w:rsidRPr="00A04E56">
        <w:t>for</w:t>
      </w:r>
      <w:r w:rsidRPr="00A04E56">
        <w:t xml:space="preserve"> the next step: a demonstration fusion power plant</w:t>
      </w:r>
      <w:r w:rsidR="004A719B" w:rsidRPr="00A04E56">
        <w:rPr>
          <w:rStyle w:val="fnRef"/>
          <w:rFonts w:ascii="Arial" w:hAnsi="Arial" w:cs="Arial"/>
        </w:rPr>
        <w:t> </w:t>
      </w:r>
      <w:r w:rsidR="0035678A" w:rsidRPr="00A04E56">
        <w:rPr>
          <w:rStyle w:val="fnRef"/>
        </w:rPr>
        <w:t>(</w:t>
      </w:r>
      <w:r w:rsidR="0035678A" w:rsidRPr="00A04E56">
        <w:rPr>
          <w:rStyle w:val="fnRefNo"/>
        </w:rPr>
        <w:footnoteReference w:id="50"/>
      </w:r>
      <w:r w:rsidR="0035678A" w:rsidRPr="00A04E56">
        <w:rPr>
          <w:rStyle w:val="fnRef"/>
        </w:rPr>
        <w:t>)</w:t>
      </w:r>
      <w:r w:rsidRPr="00A04E56">
        <w:t>.</w:t>
      </w:r>
    </w:p>
    <w:p w14:paraId="5DB5C31B" w14:textId="68D3D2E6" w:rsidR="001B412E" w:rsidRPr="00A04E56" w:rsidRDefault="00D60064" w:rsidP="00AA0340">
      <w:pPr>
        <w:pStyle w:val="Title3NumberedReport"/>
      </w:pPr>
      <w:bookmarkStart w:id="35" w:name="_Toc4680701"/>
      <w:bookmarkStart w:id="36" w:name="_Toc4682975"/>
      <w:r w:rsidRPr="00A04E56">
        <w:t>Implementation and latest achievements</w:t>
      </w:r>
      <w:bookmarkEnd w:id="35"/>
      <w:bookmarkEnd w:id="36"/>
      <w:r w:rsidR="00A40F7F">
        <w:rPr>
          <w:rFonts w:ascii="Calibri" w:hAnsi="Calibri" w:cs="Calibri"/>
        </w:rPr>
        <w:t> </w:t>
      </w:r>
      <w:r w:rsidR="0035678A" w:rsidRPr="00A04E56">
        <w:rPr>
          <w:rStyle w:val="fnRef"/>
          <w:b w:val="0"/>
        </w:rPr>
        <w:t>(</w:t>
      </w:r>
      <w:r w:rsidR="0035678A" w:rsidRPr="00A04E56">
        <w:rPr>
          <w:rStyle w:val="fnRefNo"/>
          <w:b w:val="0"/>
        </w:rPr>
        <w:footnoteReference w:id="51"/>
      </w:r>
      <w:r w:rsidR="0035678A" w:rsidRPr="00A04E56">
        <w:rPr>
          <w:rStyle w:val="fnRef"/>
          <w:b w:val="0"/>
        </w:rPr>
        <w:t>)</w:t>
      </w:r>
    </w:p>
    <w:p w14:paraId="210ADA9F" w14:textId="069635ED" w:rsidR="001B412E" w:rsidRPr="00A04E56" w:rsidRDefault="00F7048B" w:rsidP="00532120">
      <w:pPr>
        <w:pStyle w:val="BodyText1spaceafter"/>
      </w:pPr>
      <w:r w:rsidRPr="00A04E56">
        <w:t>The c</w:t>
      </w:r>
      <w:r w:rsidR="001B412E" w:rsidRPr="00A04E56">
        <w:t>onst</w:t>
      </w:r>
      <w:r w:rsidRPr="00A04E56">
        <w:t xml:space="preserve">ruction of ITER started </w:t>
      </w:r>
      <w:r w:rsidRPr="00A04E56">
        <w:rPr>
          <w:i/>
          <w:u w:val="single"/>
        </w:rPr>
        <w:t>in 2007</w:t>
      </w:r>
      <w:r w:rsidRPr="00A04E56">
        <w:t xml:space="preserve">. The </w:t>
      </w:r>
      <w:r w:rsidR="001B412E" w:rsidRPr="00A04E56">
        <w:t>EU</w:t>
      </w:r>
      <w:r w:rsidRPr="00A04E56">
        <w:t xml:space="preserve"> </w:t>
      </w:r>
      <w:r w:rsidR="001B412E" w:rsidRPr="00A04E56">
        <w:t>is responsible for 4</w:t>
      </w:r>
      <w:r w:rsidR="00FA6855" w:rsidRPr="00A04E56">
        <w:t>5%</w:t>
      </w:r>
      <w:r w:rsidR="001B412E" w:rsidRPr="00A04E56">
        <w:t xml:space="preserve"> of the construction. </w:t>
      </w:r>
      <w:r w:rsidRPr="00A04E56">
        <w:t>H</w:t>
      </w:r>
      <w:r w:rsidR="001B412E" w:rsidRPr="00A04E56">
        <w:t>igh-tech and advanced civil</w:t>
      </w:r>
      <w:r w:rsidR="007C39F3" w:rsidRPr="00A04E56">
        <w:t>-</w:t>
      </w:r>
      <w:r w:rsidR="001B412E" w:rsidRPr="00A04E56">
        <w:t>engineering industries</w:t>
      </w:r>
      <w:r w:rsidRPr="00A04E56">
        <w:t xml:space="preserve"> are involved in its development. </w:t>
      </w:r>
      <w:r w:rsidR="001B412E" w:rsidRPr="00A04E56">
        <w:t xml:space="preserve">To date, over 700 contracts and grants </w:t>
      </w:r>
      <w:r w:rsidR="007C39F3" w:rsidRPr="00A04E56">
        <w:t xml:space="preserve">have been </w:t>
      </w:r>
      <w:r w:rsidR="001B412E" w:rsidRPr="00A04E56">
        <w:t>awarded to companies, including small and medium-sized enterprises, in 24 countries, for a value of almost EUR</w:t>
      </w:r>
      <w:r w:rsidR="0012629F" w:rsidRPr="00A04E56">
        <w:rPr>
          <w:rFonts w:cs="Calibri"/>
          <w:noProof w:val="0"/>
        </w:rPr>
        <w:t> </w:t>
      </w:r>
      <w:r w:rsidR="001B412E" w:rsidRPr="00A04E56">
        <w:t>5</w:t>
      </w:r>
      <w:r w:rsidR="0012629F" w:rsidRPr="00A04E56">
        <w:rPr>
          <w:rFonts w:cs="Calibri"/>
          <w:noProof w:val="0"/>
        </w:rPr>
        <w:t> </w:t>
      </w:r>
      <w:r w:rsidR="001B412E" w:rsidRPr="00A04E56">
        <w:t>billion</w:t>
      </w:r>
      <w:r w:rsidR="004B77F2" w:rsidRPr="00A04E56">
        <w:t>.</w:t>
      </w:r>
    </w:p>
    <w:p w14:paraId="3871CA3F" w14:textId="38AFD6D4" w:rsidR="001B412E" w:rsidRPr="00A04E56" w:rsidRDefault="001B412E" w:rsidP="00532120">
      <w:pPr>
        <w:pStyle w:val="BodyText1spaceafter"/>
      </w:pPr>
      <w:r w:rsidRPr="00A04E56">
        <w:rPr>
          <w:rStyle w:val="BOLDLIGHTBLUEReport"/>
          <w:rFonts w:eastAsia="Calibri"/>
        </w:rPr>
        <w:t>Construction is now progressing visibly and steadily on-site</w:t>
      </w:r>
      <w:r w:rsidRPr="00A04E56">
        <w:t xml:space="preserve"> and completion</w:t>
      </w:r>
      <w:r w:rsidR="00F7048B" w:rsidRPr="00A04E56">
        <w:t xml:space="preserve"> as </w:t>
      </w:r>
      <w:r w:rsidR="00F7048B" w:rsidRPr="00A04E56">
        <w:rPr>
          <w:noProof w:val="0"/>
        </w:rPr>
        <w:t>o</w:t>
      </w:r>
      <w:r w:rsidR="007C39F3" w:rsidRPr="00A04E56">
        <w:rPr>
          <w:noProof w:val="0"/>
        </w:rPr>
        <w:t>f</w:t>
      </w:r>
      <w:r w:rsidR="00F7048B" w:rsidRPr="00A04E56">
        <w:t xml:space="preserve"> November 2018</w:t>
      </w:r>
      <w:r w:rsidRPr="00A04E56">
        <w:t xml:space="preserve"> is at 6</w:t>
      </w:r>
      <w:r w:rsidR="00FA6855" w:rsidRPr="00A04E56">
        <w:t>0%</w:t>
      </w:r>
      <w:r w:rsidRPr="00A04E56">
        <w:t xml:space="preserve">. The bioshield of the Tokamak building is complete and its scaffolding was removed in February </w:t>
      </w:r>
      <w:r w:rsidR="00AB32F3" w:rsidRPr="00A04E56">
        <w:t>2018</w:t>
      </w:r>
      <w:r w:rsidR="004B77F2" w:rsidRPr="00A04E56">
        <w:t>.</w:t>
      </w:r>
      <w:r w:rsidR="00AB32F3" w:rsidRPr="00A04E56">
        <w:t xml:space="preserve"> </w:t>
      </w:r>
      <w:r w:rsidRPr="00A04E56">
        <w:t>At its base the construction of the crown, a vital component under Euratom’s responsibility, was completed on schedule in August. Three U</w:t>
      </w:r>
      <w:r w:rsidR="007C39F3" w:rsidRPr="00A04E56">
        <w:t xml:space="preserve">nited </w:t>
      </w:r>
      <w:r w:rsidRPr="00A04E56">
        <w:t>S</w:t>
      </w:r>
      <w:r w:rsidR="007C39F3" w:rsidRPr="00A04E56">
        <w:t>tates</w:t>
      </w:r>
      <w:r w:rsidRPr="00A04E56">
        <w:t>-supplied drain tanks and four Chinese-supplied vapour suppression tanks were installed the same month. The first vacuum vessel sector, under construction in Korea, is more than 8</w:t>
      </w:r>
      <w:r w:rsidR="00FA6855" w:rsidRPr="00A04E56">
        <w:t>0%</w:t>
      </w:r>
      <w:r w:rsidRPr="00A04E56">
        <w:t xml:space="preserve"> finished. Russia has completed its production of </w:t>
      </w:r>
      <w:r w:rsidR="007C39F3" w:rsidRPr="00A04E56">
        <w:t xml:space="preserve">a </w:t>
      </w:r>
      <w:r w:rsidRPr="00A04E56">
        <w:t>poloidal field conductor for the ITER magnet system, and India has nearly completed fabrication of the cryostat lower cylinder and base on-site in Cadarache. The manufacturing of toroidal field coil winding packs, as well as cold testing and insertion into precision-fabricated cases, is well advanced in Europe and Japan. Overall, substantial progress is being made for every major ITER component, system and structure</w:t>
      </w:r>
      <w:r w:rsidR="004A719B" w:rsidRPr="00A04E56">
        <w:rPr>
          <w:rStyle w:val="fnRef"/>
          <w:rFonts w:ascii="Arial" w:hAnsi="Arial" w:cs="Arial"/>
        </w:rPr>
        <w:t> </w:t>
      </w:r>
      <w:r w:rsidR="0035678A" w:rsidRPr="00A04E56">
        <w:rPr>
          <w:rStyle w:val="fnRef"/>
        </w:rPr>
        <w:t>(</w:t>
      </w:r>
      <w:r w:rsidR="0035678A" w:rsidRPr="00A04E56">
        <w:rPr>
          <w:rStyle w:val="fnRefNo"/>
        </w:rPr>
        <w:footnoteReference w:id="52"/>
      </w:r>
      <w:r w:rsidR="0035678A" w:rsidRPr="00A04E56">
        <w:rPr>
          <w:rStyle w:val="fnRef"/>
        </w:rPr>
        <w:t>)</w:t>
      </w:r>
      <w:r w:rsidRPr="00A04E56">
        <w:t>.</w:t>
      </w:r>
    </w:p>
    <w:p w14:paraId="3363B58B" w14:textId="1F401906" w:rsidR="00B765DE" w:rsidRPr="00A04E56" w:rsidRDefault="00B765DE" w:rsidP="00B765DE">
      <w:pPr>
        <w:pStyle w:val="BodyText1spaceafter"/>
      </w:pPr>
      <w:r w:rsidRPr="00A04E56">
        <w:t xml:space="preserve">ITER is a technologically complex, first-of-a-kind, large-scale international project and as such it has faced significant challenges which have led to increased costs and delays. However, the progress made </w:t>
      </w:r>
      <w:r w:rsidR="008C1D39" w:rsidRPr="00A04E56">
        <w:rPr>
          <w:i/>
          <w:u w:val="single"/>
        </w:rPr>
        <w:t>in 2018</w:t>
      </w:r>
      <w:r w:rsidRPr="00A04E56">
        <w:t xml:space="preserve"> confirmed the robustness of the actions undertaken to address these issues</w:t>
      </w:r>
      <w:r w:rsidRPr="00A04E56">
        <w:rPr>
          <w:rStyle w:val="fnRef"/>
          <w:rFonts w:ascii="Arial" w:hAnsi="Arial" w:cs="Arial"/>
        </w:rPr>
        <w:t> </w:t>
      </w:r>
      <w:r w:rsidRPr="00A04E56">
        <w:rPr>
          <w:rStyle w:val="fnRef"/>
        </w:rPr>
        <w:t>(</w:t>
      </w:r>
      <w:r w:rsidRPr="00A04E56">
        <w:rPr>
          <w:rStyle w:val="fnRefNo"/>
        </w:rPr>
        <w:footnoteReference w:id="53"/>
      </w:r>
      <w:r w:rsidRPr="00A04E56">
        <w:rPr>
          <w:rStyle w:val="fnRef"/>
        </w:rPr>
        <w:t>)</w:t>
      </w:r>
      <w:r w:rsidRPr="00A04E56">
        <w:t>.</w:t>
      </w:r>
    </w:p>
    <w:p w14:paraId="3EE922BD" w14:textId="77777777" w:rsidR="00232499" w:rsidRPr="00A04E56" w:rsidRDefault="00232499" w:rsidP="00AA0340">
      <w:pPr>
        <w:pStyle w:val="Title3NumberedReport"/>
      </w:pPr>
      <w:r w:rsidRPr="00A04E56">
        <w:t>Assessment and evaluation</w:t>
      </w:r>
    </w:p>
    <w:p w14:paraId="63E2C17A" w14:textId="408091D7" w:rsidR="00B765DE" w:rsidRDefault="00B765DE" w:rsidP="00501343">
      <w:pPr>
        <w:pStyle w:val="BodyText1"/>
        <w:keepLines/>
        <w:rPr>
          <w:lang w:val="en-GB"/>
        </w:rPr>
      </w:pPr>
      <w:r w:rsidRPr="00A04E56">
        <w:rPr>
          <w:lang w:val="en-GB"/>
        </w:rPr>
        <w:t>The recently concluded evaluation of ITER</w:t>
      </w:r>
      <w:r w:rsidRPr="00A04E56">
        <w:rPr>
          <w:rStyle w:val="fnRef"/>
          <w:rFonts w:ascii="Arial" w:hAnsi="Arial" w:cs="Arial"/>
          <w:lang w:val="en-GB"/>
        </w:rPr>
        <w:t> </w:t>
      </w:r>
      <w:r w:rsidRPr="00A04E56">
        <w:rPr>
          <w:rStyle w:val="fnRef"/>
          <w:lang w:val="en-GB"/>
        </w:rPr>
        <w:t>(</w:t>
      </w:r>
      <w:r w:rsidRPr="00A04E56">
        <w:rPr>
          <w:rStyle w:val="fnRefNo"/>
          <w:lang w:val="en-GB"/>
        </w:rPr>
        <w:footnoteReference w:id="54"/>
      </w:r>
      <w:r w:rsidRPr="00A04E56">
        <w:rPr>
          <w:rStyle w:val="fnRef"/>
          <w:lang w:val="en-GB"/>
        </w:rPr>
        <w:t>)</w:t>
      </w:r>
      <w:r w:rsidRPr="00A04E56">
        <w:rPr>
          <w:lang w:val="en-GB"/>
        </w:rPr>
        <w:t xml:space="preserve"> underlined an improvement in project management. First, the European agency in charge of the EU’s contribution to ITER (</w:t>
      </w:r>
      <w:r w:rsidR="00AE4B2D" w:rsidRPr="00A04E56">
        <w:rPr>
          <w:lang w:val="en-GB"/>
        </w:rPr>
        <w:t>fusion for energy</w:t>
      </w:r>
      <w:r w:rsidRPr="00A04E56">
        <w:rPr>
          <w:lang w:val="en-GB"/>
        </w:rPr>
        <w:t>, or F4E) improved its control and monitoring practices. A number of key performance indicators measuring project progress and cost</w:t>
      </w:r>
      <w:r w:rsidRPr="00A04E56">
        <w:rPr>
          <w:noProof w:val="0"/>
          <w:lang w:val="en-GB"/>
        </w:rPr>
        <w:t>-</w:t>
      </w:r>
      <w:r w:rsidRPr="00A04E56" w:rsidDel="006E7B4A">
        <w:rPr>
          <w:lang w:val="en-GB"/>
        </w:rPr>
        <w:t>efficiency</w:t>
      </w:r>
      <w:r w:rsidRPr="00A04E56">
        <w:rPr>
          <w:lang w:val="en-GB"/>
        </w:rPr>
        <w:t xml:space="preserve"> are now being closely monitored</w:t>
      </w:r>
      <w:r w:rsidRPr="00A04E56">
        <w:rPr>
          <w:rStyle w:val="fnRef"/>
          <w:rFonts w:ascii="Arial" w:hAnsi="Arial" w:cs="Arial"/>
          <w:lang w:val="en-GB"/>
        </w:rPr>
        <w:t> </w:t>
      </w:r>
      <w:r w:rsidRPr="00A04E56">
        <w:rPr>
          <w:rStyle w:val="fnRef"/>
          <w:lang w:val="en-GB"/>
        </w:rPr>
        <w:t>(</w:t>
      </w:r>
      <w:r w:rsidRPr="00A04E56">
        <w:rPr>
          <w:rStyle w:val="fnRefNo"/>
          <w:lang w:val="en-GB"/>
        </w:rPr>
        <w:footnoteReference w:id="55"/>
      </w:r>
      <w:r w:rsidRPr="00A04E56">
        <w:rPr>
          <w:rStyle w:val="fnRef"/>
          <w:lang w:val="en-GB"/>
        </w:rPr>
        <w:t>)</w:t>
      </w:r>
      <w:r w:rsidRPr="00A04E56">
        <w:rPr>
          <w:lang w:val="en-GB"/>
        </w:rPr>
        <w:t xml:space="preserve">. Second, the so-called </w:t>
      </w:r>
      <w:r w:rsidRPr="00A04E56">
        <w:rPr>
          <w:noProof w:val="0"/>
          <w:lang w:val="en-GB"/>
        </w:rPr>
        <w:t xml:space="preserve">staged approach </w:t>
      </w:r>
      <w:r w:rsidRPr="00A04E56">
        <w:rPr>
          <w:lang w:val="en-GB"/>
        </w:rPr>
        <w:t>is one of the most crucial parts of the management turnaround as it divides the work into four stages, each building towards a key goal. During each stage of the project, only activities that are critical to achieving that stage’s goal are carried out</w:t>
      </w:r>
      <w:r w:rsidRPr="00A04E56">
        <w:rPr>
          <w:rStyle w:val="fnRef"/>
          <w:rFonts w:ascii="Arial" w:hAnsi="Arial" w:cs="Arial"/>
          <w:lang w:val="en-GB"/>
        </w:rPr>
        <w:t> </w:t>
      </w:r>
      <w:r w:rsidRPr="00A04E56">
        <w:rPr>
          <w:rStyle w:val="fnRef"/>
          <w:lang w:val="en-GB"/>
        </w:rPr>
        <w:t>(</w:t>
      </w:r>
      <w:r w:rsidRPr="00A04E56">
        <w:rPr>
          <w:rStyle w:val="fnRefNo"/>
          <w:lang w:val="en-GB"/>
        </w:rPr>
        <w:footnoteReference w:id="56"/>
      </w:r>
      <w:r w:rsidRPr="00A04E56">
        <w:rPr>
          <w:rStyle w:val="fnRef"/>
          <w:lang w:val="en-GB"/>
        </w:rPr>
        <w:t>)</w:t>
      </w:r>
      <w:r w:rsidRPr="00A04E56">
        <w:rPr>
          <w:lang w:val="en-GB"/>
        </w:rPr>
        <w:t>.</w:t>
      </w:r>
    </w:p>
    <w:p w14:paraId="1F67AB8A" w14:textId="77777777" w:rsidR="001F5593" w:rsidRPr="00277538" w:rsidRDefault="001F5593" w:rsidP="00277538">
      <w:pPr>
        <w:pStyle w:val="BodyText"/>
        <w:rPr>
          <w:lang w:eastAsia="fr-BE"/>
        </w:rPr>
      </w:pPr>
    </w:p>
    <w:p w14:paraId="6AE29EFE" w14:textId="4D3C5971" w:rsidR="001B412E" w:rsidRPr="00A04E56" w:rsidRDefault="00E323E6" w:rsidP="00532120">
      <w:pPr>
        <w:pStyle w:val="BodyText1spaceafter"/>
      </w:pPr>
      <w:r w:rsidRPr="00A04E56">
        <w:t xml:space="preserve">Under the next </w:t>
      </w:r>
      <w:r w:rsidR="00547D53" w:rsidRPr="00A04E56">
        <w:t xml:space="preserve">multiannual </w:t>
      </w:r>
      <w:r w:rsidR="00547D53" w:rsidRPr="00A04E56">
        <w:rPr>
          <w:noProof w:val="0"/>
        </w:rPr>
        <w:t>financial</w:t>
      </w:r>
      <w:r w:rsidR="00547D53" w:rsidRPr="00A04E56">
        <w:t xml:space="preserve"> framework</w:t>
      </w:r>
      <w:r w:rsidRPr="00A04E56">
        <w:t xml:space="preserve">, the </w:t>
      </w:r>
      <w:r w:rsidR="00B35B54" w:rsidRPr="00A04E56">
        <w:t xml:space="preserve">EU will continue its support of ITER through </w:t>
      </w:r>
      <w:r w:rsidRPr="00A04E56">
        <w:t>F</w:t>
      </w:r>
      <w:r w:rsidR="00F2129F" w:rsidRPr="00A04E56">
        <w:t>4</w:t>
      </w:r>
      <w:r w:rsidRPr="00A04E56">
        <w:t>E, ensuring that the disbursement of funding is based on performance and actual delivery on the ground.</w:t>
      </w:r>
    </w:p>
    <w:p w14:paraId="06A805FF" w14:textId="77777777" w:rsidR="001A4A14" w:rsidRPr="00A04E56" w:rsidRDefault="001A4A14" w:rsidP="0083276E">
      <w:pPr>
        <w:pStyle w:val="Title2Report"/>
      </w:pPr>
      <w:bookmarkStart w:id="37" w:name="_Toc12020996"/>
      <w:bookmarkStart w:id="38" w:name="_Toc4603967"/>
      <w:r w:rsidRPr="00A04E56">
        <w:t>European Fund for Strategic Investments</w:t>
      </w:r>
      <w:bookmarkEnd w:id="37"/>
    </w:p>
    <w:p w14:paraId="76FAC453" w14:textId="77777777" w:rsidR="001A4A14" w:rsidRPr="00A04E56" w:rsidRDefault="001A4A14" w:rsidP="00AA0340">
      <w:pPr>
        <w:pStyle w:val="Title3NumberedReport"/>
      </w:pPr>
      <w:r w:rsidRPr="00A04E56">
        <w:t xml:space="preserve">Programme objectives </w:t>
      </w:r>
    </w:p>
    <w:p w14:paraId="696D7EFC" w14:textId="147A0B0A" w:rsidR="00B6018D" w:rsidRPr="00A04E56" w:rsidRDefault="001A4A14" w:rsidP="0072580D">
      <w:pPr>
        <w:pStyle w:val="BodyText1spaceafter"/>
      </w:pPr>
      <w:r w:rsidRPr="00A04E56">
        <w:t xml:space="preserve">The </w:t>
      </w:r>
      <w:r w:rsidR="00744A14" w:rsidRPr="00A04E56">
        <w:rPr>
          <w:rStyle w:val="BOLDLIGHTBLUEReport"/>
          <w:rFonts w:eastAsia="Calibri"/>
        </w:rPr>
        <w:t>i</w:t>
      </w:r>
      <w:r w:rsidRPr="00A04E56">
        <w:rPr>
          <w:rStyle w:val="BOLDLIGHTBLUEReport"/>
          <w:rFonts w:eastAsia="Calibri"/>
        </w:rPr>
        <w:t xml:space="preserve">nvestment </w:t>
      </w:r>
      <w:r w:rsidR="00744A14" w:rsidRPr="00A04E56">
        <w:rPr>
          <w:rStyle w:val="BOLDLIGHTBLUEReport"/>
          <w:rFonts w:eastAsia="Calibri"/>
        </w:rPr>
        <w:t>p</w:t>
      </w:r>
      <w:r w:rsidRPr="00A04E56">
        <w:rPr>
          <w:rStyle w:val="BOLDLIGHTBLUEReport"/>
          <w:rFonts w:eastAsia="Calibri"/>
        </w:rPr>
        <w:t>lan for Europe</w:t>
      </w:r>
      <w:r w:rsidRPr="00A04E56">
        <w:t xml:space="preserve">, </w:t>
      </w:r>
      <w:r w:rsidR="00AD1176" w:rsidRPr="00A04E56">
        <w:t>also known as ‘the Juncker Plan’</w:t>
      </w:r>
      <w:r w:rsidRPr="00A04E56">
        <w:t>, launched by President Jean-Claude Juncker in 2015</w:t>
      </w:r>
      <w:r w:rsidR="00744A14" w:rsidRPr="00A04E56">
        <w:t>,</w:t>
      </w:r>
      <w:r w:rsidRPr="00A04E56">
        <w:t xml:space="preserve"> </w:t>
      </w:r>
      <w:r w:rsidR="0083440C" w:rsidRPr="00A04E56">
        <w:t>was a key</w:t>
      </w:r>
      <w:r w:rsidRPr="00A04E56">
        <w:t xml:space="preserve"> response to the economic and financial crisis and its negative impact on th</w:t>
      </w:r>
      <w:r w:rsidR="0083440C" w:rsidRPr="00A04E56">
        <w:t>e level of investment in the EU. The plan</w:t>
      </w:r>
      <w:r w:rsidRPr="00A04E56">
        <w:t xml:space="preserve"> </w:t>
      </w:r>
      <w:r w:rsidR="00E12F7D" w:rsidRPr="00A04E56">
        <w:t>remained</w:t>
      </w:r>
      <w:r w:rsidRPr="00A04E56">
        <w:t xml:space="preserve"> one of the main priorities for the Commission </w:t>
      </w:r>
      <w:r w:rsidR="008C1D39" w:rsidRPr="00A04E56">
        <w:t>in 2018</w:t>
      </w:r>
      <w:r w:rsidRPr="00A04E56">
        <w:t xml:space="preserve">. </w:t>
      </w:r>
      <w:r w:rsidR="000F5590" w:rsidRPr="00A04E56">
        <w:t xml:space="preserve">It is composed of three pillars: </w:t>
      </w:r>
      <w:r w:rsidRPr="00A04E56">
        <w:t>the E</w:t>
      </w:r>
      <w:r w:rsidR="000F5590" w:rsidRPr="00A04E56">
        <w:t xml:space="preserve">uropean </w:t>
      </w:r>
      <w:r w:rsidR="00CB0051" w:rsidRPr="00A04E56">
        <w:t xml:space="preserve">Fund for Strategic Investments provides an EU guarantee to mobilise private investment; the European </w:t>
      </w:r>
      <w:r w:rsidR="000F5590" w:rsidRPr="00A04E56">
        <w:t>Investment Advisory Hub</w:t>
      </w:r>
      <w:r w:rsidR="00CB0051" w:rsidRPr="00A04E56">
        <w:t xml:space="preserve"> and</w:t>
      </w:r>
      <w:r w:rsidR="000F5590" w:rsidRPr="00A04E56">
        <w:t xml:space="preserve"> </w:t>
      </w:r>
      <w:r w:rsidRPr="00A04E56">
        <w:t>the European Investm</w:t>
      </w:r>
      <w:r w:rsidR="000F5590" w:rsidRPr="00A04E56">
        <w:t xml:space="preserve">ent Project Portal </w:t>
      </w:r>
      <w:r w:rsidR="00CB0051" w:rsidRPr="00A04E56">
        <w:t>provide technical assistance and greater visibility of investment opportunities. The third pillar aims at improving the business environment by removing regulatory barriers to investment EU wide.</w:t>
      </w:r>
    </w:p>
    <w:p w14:paraId="50857050" w14:textId="5F0EA229" w:rsidR="0072580D" w:rsidRDefault="000D18FB" w:rsidP="0072580D">
      <w:pPr>
        <w:pStyle w:val="BodyText1spaceafter"/>
        <w:rPr>
          <w:lang w:eastAsia="en-GB"/>
        </w:rPr>
      </w:pPr>
      <w:r w:rsidRPr="00A04E56">
        <w:t>T</w:t>
      </w:r>
      <w:r w:rsidR="001A4A14" w:rsidRPr="00A04E56">
        <w:t xml:space="preserve">he </w:t>
      </w:r>
      <w:r w:rsidR="001A4A14" w:rsidRPr="00A04E56">
        <w:rPr>
          <w:rStyle w:val="BOLDLIGHTBLUEReport"/>
          <w:rFonts w:eastAsia="Calibri"/>
        </w:rPr>
        <w:t>European Fund for Strategic Investments</w:t>
      </w:r>
      <w:r w:rsidR="000569BD" w:rsidRPr="00A04E56">
        <w:t>, also known as ‘</w:t>
      </w:r>
      <w:r w:rsidR="000569BD" w:rsidRPr="00A04E56">
        <w:rPr>
          <w:i/>
        </w:rPr>
        <w:t>the Juncker Fund’</w:t>
      </w:r>
      <w:r w:rsidR="000569BD" w:rsidRPr="00A04E56">
        <w:t>,</w:t>
      </w:r>
      <w:r w:rsidR="000569BD" w:rsidRPr="00A04E56">
        <w:rPr>
          <w:rStyle w:val="BOLDGREENExecutiveSummary"/>
          <w:rFonts w:ascii="Arial" w:hAnsi="Arial" w:cs="Arial"/>
        </w:rPr>
        <w:t xml:space="preserve"> </w:t>
      </w:r>
      <w:r w:rsidRPr="00A04E56">
        <w:t xml:space="preserve">aims </w:t>
      </w:r>
      <w:r w:rsidR="001A4A14" w:rsidRPr="00A04E56">
        <w:t xml:space="preserve">at mobilising </w:t>
      </w:r>
      <w:r w:rsidR="000569BD" w:rsidRPr="00A04E56">
        <w:t xml:space="preserve">by 2020 </w:t>
      </w:r>
      <w:r w:rsidR="001A4A14" w:rsidRPr="00A04E56">
        <w:t>EUR</w:t>
      </w:r>
      <w:r w:rsidR="0012629F" w:rsidRPr="00A04E56">
        <w:rPr>
          <w:rFonts w:cs="Calibri"/>
          <w:noProof w:val="0"/>
        </w:rPr>
        <w:t> </w:t>
      </w:r>
      <w:r w:rsidRPr="00A04E56">
        <w:t>500</w:t>
      </w:r>
      <w:r w:rsidR="0012629F" w:rsidRPr="00A04E56">
        <w:rPr>
          <w:rFonts w:cs="Calibri"/>
          <w:noProof w:val="0"/>
        </w:rPr>
        <w:t> </w:t>
      </w:r>
      <w:r w:rsidR="001A4A14" w:rsidRPr="00A04E56">
        <w:t>billion</w:t>
      </w:r>
      <w:r w:rsidR="005128AA" w:rsidRPr="00A04E56">
        <w:rPr>
          <w:rStyle w:val="fnRef"/>
          <w:rFonts w:ascii="Arial" w:hAnsi="Arial" w:cs="Arial"/>
        </w:rPr>
        <w:t> </w:t>
      </w:r>
      <w:r w:rsidR="0035678A" w:rsidRPr="00A04E56">
        <w:rPr>
          <w:rStyle w:val="fnRef"/>
        </w:rPr>
        <w:t>(</w:t>
      </w:r>
      <w:r w:rsidR="0035678A" w:rsidRPr="00A04E56">
        <w:rPr>
          <w:rStyle w:val="fnRefNo"/>
        </w:rPr>
        <w:footnoteReference w:id="57"/>
      </w:r>
      <w:r w:rsidR="0035678A" w:rsidRPr="00A04E56">
        <w:rPr>
          <w:rStyle w:val="fnRef"/>
        </w:rPr>
        <w:t>)</w:t>
      </w:r>
      <w:r w:rsidR="001A4A14" w:rsidRPr="00A04E56">
        <w:t xml:space="preserve"> of additional public and private investment in strategic areas such as infrastructure, research and innovation, education, renewable energy and energy efficiency, </w:t>
      </w:r>
      <w:r w:rsidR="00CB0051" w:rsidRPr="00A04E56">
        <w:t xml:space="preserve">environment </w:t>
      </w:r>
      <w:r w:rsidR="001A4A14" w:rsidRPr="00A04E56">
        <w:t xml:space="preserve">as well as risk finance for small and medium-sized enterprises. This </w:t>
      </w:r>
      <w:r w:rsidRPr="00A04E56">
        <w:t xml:space="preserve">is </w:t>
      </w:r>
      <w:r w:rsidR="001A4A14" w:rsidRPr="00A04E56">
        <w:t>achieved via an EU budgetary guarantee to the European Investment Bank Group</w:t>
      </w:r>
      <w:r w:rsidR="00744A14" w:rsidRPr="00A04E56">
        <w:rPr>
          <w:noProof w:val="0"/>
        </w:rPr>
        <w:t>, which</w:t>
      </w:r>
      <w:r w:rsidR="001A4A14" w:rsidRPr="00A04E56">
        <w:t xml:space="preserve"> allows them to increase the financing of projects with a higher</w:t>
      </w:r>
      <w:r w:rsidR="00744A14" w:rsidRPr="00A04E56">
        <w:rPr>
          <w:noProof w:val="0"/>
        </w:rPr>
        <w:t>-</w:t>
      </w:r>
      <w:r w:rsidR="001A4A14" w:rsidRPr="00A04E56">
        <w:t>risk</w:t>
      </w:r>
      <w:r w:rsidR="0019228F" w:rsidRPr="00A04E56">
        <w:rPr>
          <w:noProof w:val="0"/>
        </w:rPr>
        <w:t xml:space="preserve"> </w:t>
      </w:r>
      <w:r w:rsidR="001A4A14" w:rsidRPr="00A04E56">
        <w:t>profile.</w:t>
      </w:r>
      <w:r w:rsidR="007E0174" w:rsidRPr="00A04E56">
        <w:t xml:space="preserve"> </w:t>
      </w:r>
      <w:r w:rsidR="000F5590" w:rsidRPr="00A04E56">
        <w:t xml:space="preserve">The </w:t>
      </w:r>
      <w:r w:rsidR="00AE4B2D" w:rsidRPr="00A04E56">
        <w:rPr>
          <w:rStyle w:val="BodyText1Char"/>
          <w:lang w:val="en-GB"/>
        </w:rPr>
        <w:t>f</w:t>
      </w:r>
      <w:r w:rsidR="00A018C2" w:rsidRPr="00A04E56">
        <w:rPr>
          <w:rStyle w:val="BodyText1Char"/>
          <w:lang w:val="en-GB"/>
        </w:rPr>
        <w:t>und</w:t>
      </w:r>
      <w:r w:rsidR="000F5590" w:rsidRPr="00A04E56">
        <w:rPr>
          <w:rStyle w:val="BodyText1Char"/>
          <w:lang w:val="en-GB"/>
        </w:rPr>
        <w:t xml:space="preserve"> supports growth-enhancing investments, especially in the following </w:t>
      </w:r>
      <w:r w:rsidR="000F5590" w:rsidRPr="00A04E56">
        <w:rPr>
          <w:rStyle w:val="BodyText1Char"/>
          <w:noProof w:val="0"/>
          <w:lang w:val="en-GB"/>
        </w:rPr>
        <w:t>areas</w:t>
      </w:r>
      <w:r w:rsidR="00596BF4" w:rsidRPr="00A04E56">
        <w:rPr>
          <w:rStyle w:val="BodyText1Char"/>
          <w:noProof w:val="0"/>
          <w:lang w:val="en-GB"/>
        </w:rPr>
        <w:t>:</w:t>
      </w:r>
      <w:r w:rsidR="0072580D" w:rsidRPr="00A04E56">
        <w:rPr>
          <w:lang w:eastAsia="en-GB"/>
        </w:rPr>
        <w:t xml:space="preserve"> </w:t>
      </w:r>
    </w:p>
    <w:p w14:paraId="14497E0A" w14:textId="77777777" w:rsidR="00293404" w:rsidRDefault="00293404" w:rsidP="00DA74FD">
      <w:pPr>
        <w:pStyle w:val="Source-Table-Chart-PhotoCaption"/>
        <w:spacing w:before="0"/>
        <w:rPr>
          <w:rStyle w:val="italics"/>
        </w:rPr>
      </w:pPr>
    </w:p>
    <w:p w14:paraId="3F261A95" w14:textId="77777777" w:rsidR="00293404" w:rsidRDefault="00293404">
      <w:pPr>
        <w:rPr>
          <w:rStyle w:val="italics"/>
          <w:rFonts w:eastAsia="Calibri"/>
          <w:iCs/>
          <w:sz w:val="16"/>
          <w:szCs w:val="16"/>
          <w:lang w:eastAsia="fr-BE"/>
        </w:rPr>
      </w:pPr>
      <w:r>
        <w:rPr>
          <w:rStyle w:val="italics"/>
        </w:rPr>
        <w:br w:type="page"/>
      </w:r>
    </w:p>
    <w:p w14:paraId="2D2C4AE9" w14:textId="014F9A7B" w:rsidR="00764615" w:rsidRPr="00A04E56" w:rsidRDefault="00064C43" w:rsidP="00107DA0">
      <w:pPr>
        <w:pStyle w:val="Source-Table-Chart-PhotoCaption"/>
        <w:rPr>
          <w:i/>
        </w:rPr>
      </w:pPr>
      <w:r w:rsidRPr="00064C43">
        <w:rPr>
          <w:rStyle w:val="italics"/>
          <w:i w:val="0"/>
          <w:noProof/>
          <w:lang w:val="fr-BE"/>
        </w:rPr>
        <w:drawing>
          <wp:inline distT="0" distB="0" distL="0" distR="0" wp14:anchorId="4095881D" wp14:editId="6AE3DDCD">
            <wp:extent cx="5759450" cy="393085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5759450" cy="3930852"/>
                    </a:xfrm>
                    <a:prstGeom prst="rect">
                      <a:avLst/>
                    </a:prstGeom>
                    <a:noFill/>
                    <a:ln>
                      <a:noFill/>
                    </a:ln>
                  </pic:spPr>
                </pic:pic>
              </a:graphicData>
            </a:graphic>
          </wp:inline>
        </w:drawing>
      </w:r>
      <w:r w:rsidR="00955DAB" w:rsidRPr="00107DA0">
        <w:rPr>
          <w:rStyle w:val="italics"/>
        </w:rPr>
        <w:t>Chart:</w:t>
      </w:r>
      <w:r w:rsidR="00955DAB" w:rsidRPr="00A04E56">
        <w:t xml:space="preserve"> </w:t>
      </w:r>
      <w:r w:rsidR="00764615" w:rsidRPr="00A04E56">
        <w:t xml:space="preserve">investment by sector as of 15 </w:t>
      </w:r>
      <w:r w:rsidR="001F5593">
        <w:t>M</w:t>
      </w:r>
      <w:r w:rsidR="00764615" w:rsidRPr="00A04E56">
        <w:t>ay 2019.</w:t>
      </w:r>
    </w:p>
    <w:p w14:paraId="30FBF3B5" w14:textId="5C6638E0" w:rsidR="00AB63C7" w:rsidRPr="00A04E56" w:rsidRDefault="00AB63C7" w:rsidP="00107DA0">
      <w:pPr>
        <w:pStyle w:val="Source-Table-Chart-PhotoCaption"/>
      </w:pPr>
      <w:r w:rsidRPr="00107DA0">
        <w:rPr>
          <w:rStyle w:val="italics"/>
        </w:rPr>
        <w:t>Source:</w:t>
      </w:r>
      <w:r w:rsidRPr="00A04E56">
        <w:t xml:space="preserve"> E</w:t>
      </w:r>
      <w:r w:rsidR="00764615" w:rsidRPr="00A04E56">
        <w:t>uropean Investment</w:t>
      </w:r>
      <w:r w:rsidR="003D6477">
        <w:t xml:space="preserve"> Bank</w:t>
      </w:r>
      <w:r w:rsidR="00764615" w:rsidRPr="00A04E56">
        <w:t xml:space="preserve"> Group – </w:t>
      </w:r>
      <w:hyperlink r:id="rId111" w:history="1">
        <w:r w:rsidR="00764615" w:rsidRPr="00A04E56">
          <w:rPr>
            <w:rStyle w:val="Hyperlink"/>
          </w:rPr>
          <w:t>http://www.eib.org/efsi/</w:t>
        </w:r>
      </w:hyperlink>
    </w:p>
    <w:p w14:paraId="6C90C803" w14:textId="77777777" w:rsidR="00D60064" w:rsidRPr="00A04E56" w:rsidRDefault="00D60064" w:rsidP="00AA0340">
      <w:pPr>
        <w:pStyle w:val="Title3NumberedReport"/>
      </w:pPr>
      <w:r w:rsidRPr="00A04E56">
        <w:t>Implementation and latest achievements</w:t>
      </w:r>
      <w:r w:rsidRPr="00A04E56" w:rsidDel="00D60064">
        <w:t xml:space="preserve"> </w:t>
      </w:r>
    </w:p>
    <w:p w14:paraId="668403F0" w14:textId="5AF755F9" w:rsidR="001A4A14" w:rsidRPr="00A04E56" w:rsidRDefault="001F5593" w:rsidP="00641C48">
      <w:pPr>
        <w:pStyle w:val="BodyText1spaceafter"/>
        <w:rPr>
          <w:szCs w:val="20"/>
        </w:rPr>
      </w:pPr>
      <w:r>
        <w:rPr>
          <w:i/>
          <w:u w:val="single"/>
        </w:rPr>
        <w:t>By</w:t>
      </w:r>
      <w:r w:rsidR="001A4A14" w:rsidRPr="00A04E56">
        <w:rPr>
          <w:i/>
          <w:u w:val="single"/>
        </w:rPr>
        <w:t xml:space="preserve"> </w:t>
      </w:r>
      <w:r>
        <w:rPr>
          <w:i/>
          <w:u w:val="single"/>
        </w:rPr>
        <w:t xml:space="preserve">the end of </w:t>
      </w:r>
      <w:r w:rsidR="001A4A14" w:rsidRPr="00A04E56">
        <w:rPr>
          <w:i/>
          <w:u w:val="single"/>
        </w:rPr>
        <w:t>2018</w:t>
      </w:r>
      <w:r w:rsidR="001A4A14" w:rsidRPr="00A04E56">
        <w:t xml:space="preserve">, the </w:t>
      </w:r>
      <w:r w:rsidR="005842D4" w:rsidRPr="00A04E56">
        <w:t xml:space="preserve">European Fund for Strategic Investments </w:t>
      </w:r>
      <w:r w:rsidR="00744A14" w:rsidRPr="00A04E56">
        <w:t xml:space="preserve">had </w:t>
      </w:r>
      <w:r w:rsidR="001A4A14" w:rsidRPr="00A04E56">
        <w:t>successfully supported innovative and strategic projects and ha</w:t>
      </w:r>
      <w:r w:rsidR="00744A14" w:rsidRPr="00A04E56">
        <w:t>d</w:t>
      </w:r>
      <w:r w:rsidR="001A4A14" w:rsidRPr="00A04E56">
        <w:t xml:space="preserve"> helped mobilise </w:t>
      </w:r>
      <w:r w:rsidR="00CB0051" w:rsidRPr="00A04E56">
        <w:t xml:space="preserve">more than </w:t>
      </w:r>
      <w:r w:rsidR="001A4A14" w:rsidRPr="00A04E56">
        <w:t>EUR</w:t>
      </w:r>
      <w:r w:rsidR="0012629F" w:rsidRPr="00A04E56">
        <w:rPr>
          <w:rFonts w:ascii="Calibri" w:hAnsi="Calibri" w:cs="Calibri"/>
          <w:noProof w:val="0"/>
        </w:rPr>
        <w:t> </w:t>
      </w:r>
      <w:r w:rsidR="000D18FB" w:rsidRPr="00A04E56">
        <w:t>37</w:t>
      </w:r>
      <w:r w:rsidR="00CB0051" w:rsidRPr="00A04E56">
        <w:t>0</w:t>
      </w:r>
      <w:r w:rsidR="0012629F" w:rsidRPr="00A04E56">
        <w:rPr>
          <w:rFonts w:ascii="Calibri" w:hAnsi="Calibri" w:cs="Calibri"/>
          <w:noProof w:val="0"/>
        </w:rPr>
        <w:t> </w:t>
      </w:r>
      <w:r w:rsidR="001A4A14" w:rsidRPr="00A04E56">
        <w:t>billion</w:t>
      </w:r>
      <w:r w:rsidR="00B36C54">
        <w:rPr>
          <w:rFonts w:ascii="Calibri" w:hAnsi="Calibri" w:cs="Calibri"/>
        </w:rPr>
        <w:t> (</w:t>
      </w:r>
      <w:r w:rsidR="00F10338">
        <w:rPr>
          <w:rStyle w:val="FootnoteReference"/>
        </w:rPr>
        <w:footnoteReference w:id="58"/>
      </w:r>
      <w:r w:rsidR="00B36C54">
        <w:rPr>
          <w:rFonts w:ascii="Calibri" w:hAnsi="Calibri" w:cs="Calibri"/>
        </w:rPr>
        <w:t>)</w:t>
      </w:r>
      <w:r w:rsidR="001A4A14" w:rsidRPr="00A04E56">
        <w:t xml:space="preserve"> of private and public investment. </w:t>
      </w:r>
      <w:r w:rsidR="000D18FB" w:rsidRPr="00A04E56">
        <w:t xml:space="preserve">This already </w:t>
      </w:r>
      <w:r w:rsidR="00CB0051" w:rsidRPr="00A04E56">
        <w:t xml:space="preserve">represents almost </w:t>
      </w:r>
      <w:r w:rsidR="000D18FB" w:rsidRPr="00A04E56">
        <w:t>75% of the target for 2020.</w:t>
      </w:r>
      <w:r w:rsidR="00F10338">
        <w:t xml:space="preserve"> </w:t>
      </w:r>
    </w:p>
    <w:p w14:paraId="0716EF46" w14:textId="3FCEDE5B" w:rsidR="001A4A14" w:rsidRPr="00A04E56" w:rsidRDefault="001A4A14" w:rsidP="000A0989">
      <w:pPr>
        <w:pStyle w:val="BodyText1spaceafter"/>
      </w:pPr>
      <w:r w:rsidRPr="00A04E56">
        <w:t xml:space="preserve">In the </w:t>
      </w:r>
      <w:r w:rsidR="00744A14" w:rsidRPr="00A04E56">
        <w:rPr>
          <w:rStyle w:val="BOLDLIGHTBLUEReport"/>
          <w:rFonts w:eastAsia="Calibri"/>
        </w:rPr>
        <w:t>i</w:t>
      </w:r>
      <w:r w:rsidRPr="00A04E56">
        <w:rPr>
          <w:rStyle w:val="BOLDLIGHTBLUEReport"/>
          <w:rFonts w:eastAsia="Calibri"/>
        </w:rPr>
        <w:t xml:space="preserve">nfrastructure and </w:t>
      </w:r>
      <w:r w:rsidR="00744A14" w:rsidRPr="00A04E56">
        <w:rPr>
          <w:rStyle w:val="BOLDLIGHTBLUEReport"/>
          <w:rFonts w:eastAsia="Calibri"/>
        </w:rPr>
        <w:t>i</w:t>
      </w:r>
      <w:r w:rsidRPr="00A04E56">
        <w:rPr>
          <w:rStyle w:val="BOLDLIGHTBLUEReport"/>
          <w:rFonts w:eastAsia="Calibri"/>
        </w:rPr>
        <w:t xml:space="preserve">nnovation </w:t>
      </w:r>
      <w:r w:rsidR="00744A14" w:rsidRPr="00A04E56">
        <w:rPr>
          <w:rStyle w:val="BOLDLIGHTBLUEReport"/>
          <w:rFonts w:eastAsia="Calibri"/>
        </w:rPr>
        <w:t>w</w:t>
      </w:r>
      <w:r w:rsidRPr="00A04E56">
        <w:rPr>
          <w:rStyle w:val="BOLDLIGHTBLUEReport"/>
          <w:rFonts w:eastAsia="Calibri"/>
        </w:rPr>
        <w:t>indow</w:t>
      </w:r>
      <w:r w:rsidRPr="00A04E56">
        <w:t>, the European Investment Bank</w:t>
      </w:r>
      <w:r w:rsidR="00D450B4" w:rsidRPr="00A04E56">
        <w:rPr>
          <w:rFonts w:cs="Calibri"/>
          <w:noProof w:val="0"/>
        </w:rPr>
        <w:t> </w:t>
      </w:r>
      <w:r w:rsidR="0049716E" w:rsidRPr="00A04E56">
        <w:rPr>
          <w:rFonts w:cs="Calibri"/>
          <w:noProof w:val="0"/>
        </w:rPr>
        <w:t xml:space="preserve">has </w:t>
      </w:r>
      <w:r w:rsidRPr="00A04E56">
        <w:t>approved 514 projects of around EUR</w:t>
      </w:r>
      <w:r w:rsidR="0012629F" w:rsidRPr="00A04E56">
        <w:rPr>
          <w:rFonts w:cs="Calibri"/>
          <w:noProof w:val="0"/>
        </w:rPr>
        <w:t> </w:t>
      </w:r>
      <w:r w:rsidRPr="00A04E56">
        <w:t>244</w:t>
      </w:r>
      <w:r w:rsidRPr="00A04E56" w:rsidDel="0070523B">
        <w:t>.3</w:t>
      </w:r>
      <w:r w:rsidR="0012629F" w:rsidRPr="00A04E56">
        <w:rPr>
          <w:rFonts w:cs="Calibri"/>
          <w:noProof w:val="0"/>
        </w:rPr>
        <w:t> </w:t>
      </w:r>
      <w:r w:rsidRPr="00A04E56">
        <w:t xml:space="preserve">billion in investment value, with financing </w:t>
      </w:r>
      <w:r w:rsidR="005842D4" w:rsidRPr="00A04E56">
        <w:t>from the European Investment Bank guaranteed by the European Fund for Strategic Investments</w:t>
      </w:r>
      <w:r w:rsidRPr="00A04E56">
        <w:t xml:space="preserve"> expected to amount to EUR</w:t>
      </w:r>
      <w:r w:rsidR="0012629F" w:rsidRPr="00A04E56">
        <w:rPr>
          <w:rFonts w:cs="Calibri"/>
          <w:noProof w:val="0"/>
        </w:rPr>
        <w:t> </w:t>
      </w:r>
      <w:r w:rsidRPr="00A04E56" w:rsidDel="0070523B">
        <w:t>52.9</w:t>
      </w:r>
      <w:r w:rsidR="0012629F" w:rsidRPr="00A04E56">
        <w:rPr>
          <w:rFonts w:cs="Calibri"/>
          <w:noProof w:val="0"/>
        </w:rPr>
        <w:t> </w:t>
      </w:r>
      <w:r w:rsidRPr="00A04E56">
        <w:t xml:space="preserve">billion. </w:t>
      </w:r>
    </w:p>
    <w:p w14:paraId="15E6051B" w14:textId="136794BE" w:rsidR="001A4A14" w:rsidRPr="00A04E56" w:rsidRDefault="001A4A14" w:rsidP="000A0989">
      <w:pPr>
        <w:pStyle w:val="BodyText1spaceafter"/>
      </w:pPr>
      <w:r w:rsidRPr="00A04E56">
        <w:t xml:space="preserve">In the </w:t>
      </w:r>
      <w:r w:rsidR="00236F7C" w:rsidRPr="00A04E56">
        <w:rPr>
          <w:rStyle w:val="BOLDLIGHTBLUEReport"/>
          <w:rFonts w:eastAsia="Calibri"/>
        </w:rPr>
        <w:t>small and medium-sized enterprises</w:t>
      </w:r>
      <w:r w:rsidR="00533493" w:rsidRPr="00A04E56">
        <w:rPr>
          <w:rStyle w:val="BOLDLIGHTBLUEReport"/>
          <w:rFonts w:eastAsia="Calibri"/>
        </w:rPr>
        <w:t xml:space="preserve"> </w:t>
      </w:r>
      <w:r w:rsidR="00236F7C" w:rsidRPr="00A04E56">
        <w:rPr>
          <w:rStyle w:val="BOLDLIGHTBLUEReport"/>
          <w:rFonts w:eastAsia="Calibri"/>
        </w:rPr>
        <w:t>win</w:t>
      </w:r>
      <w:r w:rsidRPr="00A04E56">
        <w:rPr>
          <w:rStyle w:val="BOLDLIGHTBLUEReport"/>
          <w:rFonts w:eastAsia="Calibri"/>
        </w:rPr>
        <w:t>dow</w:t>
      </w:r>
      <w:r w:rsidRPr="00A04E56">
        <w:t>, 517 operations have been approved by the European Investment Fund for a total investment value of EUR</w:t>
      </w:r>
      <w:r w:rsidR="0012629F" w:rsidRPr="00A04E56">
        <w:rPr>
          <w:rFonts w:cs="Calibri"/>
          <w:noProof w:val="0"/>
        </w:rPr>
        <w:t> </w:t>
      </w:r>
      <w:r w:rsidRPr="00A04E56">
        <w:t>131.2</w:t>
      </w:r>
      <w:r w:rsidR="0012629F" w:rsidRPr="00A04E56">
        <w:rPr>
          <w:rFonts w:cs="Calibri"/>
          <w:noProof w:val="0"/>
        </w:rPr>
        <w:t> </w:t>
      </w:r>
      <w:r w:rsidRPr="00A04E56">
        <w:t>billion. About 858</w:t>
      </w:r>
      <w:r w:rsidR="0070523B" w:rsidRPr="00A04E56" w:rsidDel="006221A4">
        <w:rPr>
          <w:rFonts w:cs="Calibri"/>
          <w:szCs w:val="20"/>
        </w:rPr>
        <w:t> </w:t>
      </w:r>
      <w:r w:rsidRPr="00A04E56" w:rsidDel="006221A4">
        <w:rPr>
          <w:rFonts w:cs="Calibri"/>
          <w:szCs w:val="20"/>
        </w:rPr>
        <w:t>000</w:t>
      </w:r>
      <w:r w:rsidRPr="00A04E56">
        <w:t xml:space="preserve"> </w:t>
      </w:r>
      <w:r w:rsidR="00533493" w:rsidRPr="00A04E56">
        <w:t>small</w:t>
      </w:r>
      <w:r w:rsidRPr="00A04E56">
        <w:t xml:space="preserve"> and mid-caps in all Member States are expected to benefit. Out of the 1</w:t>
      </w:r>
      <w:r w:rsidR="00744A14" w:rsidRPr="00A04E56">
        <w:rPr>
          <w:rFonts w:cs="Calibri"/>
          <w:noProof w:val="0"/>
        </w:rPr>
        <w:t> </w:t>
      </w:r>
      <w:r w:rsidRPr="00A04E56">
        <w:t xml:space="preserve">031 approved operations, 869 were signed in all Member States. </w:t>
      </w:r>
      <w:r w:rsidR="0070523B" w:rsidRPr="00A04E56">
        <w:t>T</w:t>
      </w:r>
      <w:r w:rsidRPr="00A04E56">
        <w:t xml:space="preserve">he </w:t>
      </w:r>
      <w:r w:rsidR="005842D4" w:rsidRPr="00A04E56">
        <w:t xml:space="preserve">European Fund for Strategic Investments </w:t>
      </w:r>
      <w:r w:rsidRPr="00A04E56">
        <w:t xml:space="preserve">is </w:t>
      </w:r>
      <w:r w:rsidR="00CB0051" w:rsidRPr="00A04E56">
        <w:t>well</w:t>
      </w:r>
      <w:r w:rsidRPr="00A04E56">
        <w:t xml:space="preserve"> on track</w:t>
      </w:r>
      <w:r w:rsidR="00CB0051" w:rsidRPr="00A04E56">
        <w:t xml:space="preserve"> to deliver on its objectives</w:t>
      </w:r>
      <w:r w:rsidRPr="00A04E56">
        <w:t>.</w:t>
      </w:r>
    </w:p>
    <w:p w14:paraId="055AEC4B" w14:textId="7232C8B8" w:rsidR="00070BCE" w:rsidRPr="00A04E56" w:rsidRDefault="00070BCE" w:rsidP="007C3099">
      <w:pPr>
        <w:pStyle w:val="BOX2Blue0"/>
      </w:pPr>
      <w:r w:rsidRPr="00A04E56">
        <w:t xml:space="preserve">The </w:t>
      </w:r>
      <w:r w:rsidR="005842D4" w:rsidRPr="00A04E56">
        <w:t>European Fund for Strategic Investments</w:t>
      </w:r>
      <w:r w:rsidRPr="00A04E56">
        <w:t xml:space="preserve"> ha</w:t>
      </w:r>
      <w:r w:rsidR="00CB0051" w:rsidRPr="00A04E56">
        <w:t>d</w:t>
      </w:r>
      <w:r w:rsidRPr="00A04E56">
        <w:t xml:space="preserve"> an aggregate multiplier effect of 13</w:t>
      </w:r>
      <w:r w:rsidR="00F3267C" w:rsidRPr="00A04E56">
        <w:rPr>
          <w:noProof w:val="0"/>
        </w:rPr>
        <w:t>.</w:t>
      </w:r>
      <w:r w:rsidRPr="00A04E56">
        <w:t>5</w:t>
      </w:r>
      <w:r w:rsidR="005128AA" w:rsidRPr="00A04E56">
        <w:rPr>
          <w:rFonts w:ascii="Arial" w:hAnsi="Arial" w:cs="Arial"/>
        </w:rPr>
        <w:t> </w:t>
      </w:r>
      <w:r w:rsidR="0035678A" w:rsidRPr="00A04E56">
        <w:t>(</w:t>
      </w:r>
      <w:r w:rsidR="0035678A" w:rsidRPr="00A04E56">
        <w:rPr>
          <w:vertAlign w:val="superscript"/>
        </w:rPr>
        <w:footnoteReference w:id="59"/>
      </w:r>
      <w:r w:rsidR="0035678A" w:rsidRPr="00A04E56">
        <w:t>)</w:t>
      </w:r>
      <w:r w:rsidR="007F67E4" w:rsidRPr="00A04E56">
        <w:t xml:space="preserve"> </w:t>
      </w:r>
      <w:r w:rsidR="0099177F" w:rsidRPr="00A04E56">
        <w:t>of 2018</w:t>
      </w:r>
      <w:r w:rsidR="00F3267C" w:rsidRPr="00A04E56">
        <w:t>, which</w:t>
      </w:r>
      <w:r w:rsidR="007E0174" w:rsidRPr="00A04E56">
        <w:t xml:space="preserve"> </w:t>
      </w:r>
      <w:r w:rsidRPr="00A04E56">
        <w:t xml:space="preserve">means </w:t>
      </w:r>
      <w:r w:rsidR="00F3267C" w:rsidRPr="00A04E56">
        <w:rPr>
          <w:noProof w:val="0"/>
        </w:rPr>
        <w:t>that</w:t>
      </w:r>
      <w:r w:rsidRPr="00A04E56">
        <w:t xml:space="preserve"> </w:t>
      </w:r>
      <w:r w:rsidR="000A23D5" w:rsidRPr="00A04E56">
        <w:rPr>
          <w:noProof w:val="0"/>
        </w:rPr>
        <w:t xml:space="preserve">every </w:t>
      </w:r>
      <w:r w:rsidR="0012629F" w:rsidRPr="00A04E56">
        <w:rPr>
          <w:noProof w:val="0"/>
        </w:rPr>
        <w:t>EUR</w:t>
      </w:r>
      <w:r w:rsidR="0012629F" w:rsidRPr="00A04E56">
        <w:rPr>
          <w:rFonts w:ascii="Calibri" w:hAnsi="Calibri" w:cs="Calibri"/>
        </w:rPr>
        <w:t> </w:t>
      </w:r>
      <w:r w:rsidR="000A23D5" w:rsidRPr="00A04E56">
        <w:rPr>
          <w:noProof w:val="0"/>
        </w:rPr>
        <w:t>1</w:t>
      </w:r>
      <w:r w:rsidRPr="00A04E56">
        <w:t xml:space="preserve"> of the EU budget leverages </w:t>
      </w:r>
      <w:r w:rsidR="0012629F" w:rsidRPr="00A04E56">
        <w:rPr>
          <w:noProof w:val="0"/>
        </w:rPr>
        <w:t>EUR</w:t>
      </w:r>
      <w:r w:rsidR="0012629F" w:rsidRPr="00A04E56">
        <w:rPr>
          <w:rFonts w:ascii="Calibri" w:hAnsi="Calibri" w:cs="Calibri"/>
        </w:rPr>
        <w:t> </w:t>
      </w:r>
      <w:r w:rsidR="0099177F" w:rsidRPr="00A04E56">
        <w:t>14.96</w:t>
      </w:r>
      <w:r w:rsidRPr="00A04E56" w:rsidDel="0012629F">
        <w:t xml:space="preserve"> </w:t>
      </w:r>
      <w:r w:rsidRPr="00A04E56">
        <w:t xml:space="preserve">of additional investment (calculation for the </w:t>
      </w:r>
      <w:r w:rsidR="00F3267C" w:rsidRPr="00A04E56">
        <w:rPr>
          <w:noProof w:val="0"/>
        </w:rPr>
        <w:t>f</w:t>
      </w:r>
      <w:r w:rsidRPr="00A04E56">
        <w:rPr>
          <w:noProof w:val="0"/>
        </w:rPr>
        <w:t>und</w:t>
      </w:r>
      <w:r w:rsidRPr="00A04E56">
        <w:t xml:space="preserve"> as a whole)</w:t>
      </w:r>
      <w:r w:rsidR="00F3267C" w:rsidRPr="00A04E56">
        <w:rPr>
          <w:noProof w:val="0"/>
        </w:rPr>
        <w:t>.</w:t>
      </w:r>
    </w:p>
    <w:p w14:paraId="0076D045" w14:textId="2CE1E5D4" w:rsidR="00070BCE" w:rsidRPr="00A04E56" w:rsidRDefault="00070BCE" w:rsidP="00AF6153">
      <w:pPr>
        <w:pStyle w:val="BodyText1spacebeforeandafter"/>
        <w:keepLines/>
      </w:pPr>
      <w:r w:rsidRPr="00A04E56">
        <w:t xml:space="preserve">The </w:t>
      </w:r>
      <w:r w:rsidR="005842D4" w:rsidRPr="00A04E56">
        <w:t>European Fund for Strategic Investments</w:t>
      </w:r>
      <w:r w:rsidRPr="00A04E56">
        <w:t xml:space="preserve"> has also played an important role in channelling investment towards the fulfilment of the EU</w:t>
      </w:r>
      <w:r w:rsidR="000D4C7B" w:rsidRPr="00A04E56">
        <w:t>’</w:t>
      </w:r>
      <w:r w:rsidRPr="00A04E56">
        <w:t xml:space="preserve">s strategic objectives. One third of the </w:t>
      </w:r>
      <w:r w:rsidR="005842D4" w:rsidRPr="00A04E56">
        <w:t>European Fund’s for Strategic Investments</w:t>
      </w:r>
      <w:r w:rsidRPr="00A04E56">
        <w:t xml:space="preserve"> total investments support small and medium-sized enterprises; </w:t>
      </w:r>
      <w:r w:rsidR="003A3E17" w:rsidRPr="00A04E56">
        <w:t>2</w:t>
      </w:r>
      <w:r w:rsidR="00C2181A">
        <w:t>5</w:t>
      </w:r>
      <w:r w:rsidRPr="00A04E56">
        <w:t xml:space="preserve">% research and development; </w:t>
      </w:r>
      <w:r w:rsidR="0099177F" w:rsidRPr="00A04E56">
        <w:t>18</w:t>
      </w:r>
      <w:r w:rsidRPr="00A04E56">
        <w:t>% support energy projects; 11% digital projects</w:t>
      </w:r>
      <w:r w:rsidR="000D4C7B" w:rsidRPr="00A04E56">
        <w:t>;</w:t>
      </w:r>
      <w:r w:rsidRPr="00A04E56">
        <w:t xml:space="preserve"> </w:t>
      </w:r>
      <w:r w:rsidR="0099177F" w:rsidRPr="00A04E56">
        <w:t xml:space="preserve">7% transport projects; </w:t>
      </w:r>
      <w:r w:rsidR="00C2181A">
        <w:t>4</w:t>
      </w:r>
      <w:r w:rsidR="0099177F" w:rsidRPr="00A04E56">
        <w:t>% social infrastructure</w:t>
      </w:r>
      <w:r w:rsidR="00C2181A">
        <w:t xml:space="preserve"> and</w:t>
      </w:r>
      <w:r w:rsidR="0099177F" w:rsidRPr="00A04E56">
        <w:t xml:space="preserve"> 4% environment and resource efficiency</w:t>
      </w:r>
      <w:r w:rsidR="00C2181A" w:rsidRPr="00A04E56" w:rsidDel="00C2181A">
        <w:t xml:space="preserve"> </w:t>
      </w:r>
      <w:r w:rsidR="003A3E17">
        <w:t>(</w:t>
      </w:r>
      <w:r w:rsidR="003A3E17">
        <w:rPr>
          <w:rStyle w:val="FootnoteReference"/>
        </w:rPr>
        <w:footnoteReference w:id="60"/>
      </w:r>
      <w:r w:rsidR="003A3E17">
        <w:t>)</w:t>
      </w:r>
      <w:r w:rsidR="0099177F" w:rsidRPr="00A04E56">
        <w:t>.</w:t>
      </w:r>
    </w:p>
    <w:p w14:paraId="72AAC201" w14:textId="3EACFAF2" w:rsidR="001A4A14" w:rsidRPr="00A04E56" w:rsidRDefault="001A4A14" w:rsidP="00C257BF">
      <w:pPr>
        <w:pStyle w:val="BOX3BluedashedborderBluetext-Bold"/>
      </w:pPr>
      <w:r w:rsidRPr="00A04E56">
        <w:t>Providing new facilities for patients in Poland</w:t>
      </w:r>
      <w:r w:rsidR="005128AA" w:rsidRPr="00277538">
        <w:rPr>
          <w:rStyle w:val="fnRef"/>
          <w:rFonts w:ascii="Arial" w:hAnsi="Arial" w:cs="Arial"/>
          <w:b w:val="0"/>
        </w:rPr>
        <w:t> </w:t>
      </w:r>
      <w:r w:rsidR="0035678A" w:rsidRPr="00277538">
        <w:rPr>
          <w:rStyle w:val="fnRef"/>
          <w:b w:val="0"/>
        </w:rPr>
        <w:t>(</w:t>
      </w:r>
      <w:r w:rsidR="0035678A" w:rsidRPr="00277538">
        <w:rPr>
          <w:rStyle w:val="fnRefNo"/>
          <w:b w:val="0"/>
        </w:rPr>
        <w:footnoteReference w:id="61"/>
      </w:r>
      <w:r w:rsidR="0035678A" w:rsidRPr="00277538">
        <w:rPr>
          <w:rStyle w:val="fnRef"/>
          <w:b w:val="0"/>
        </w:rPr>
        <w:t>)</w:t>
      </w:r>
      <w:r w:rsidRPr="00277538">
        <w:rPr>
          <w:b w:val="0"/>
        </w:rPr>
        <w:t xml:space="preserve"> </w:t>
      </w:r>
    </w:p>
    <w:p w14:paraId="1BE19614" w14:textId="7101AB55" w:rsidR="001A4A14" w:rsidRPr="00A04E56" w:rsidRDefault="001A4A14" w:rsidP="00C257BF">
      <w:pPr>
        <w:pStyle w:val="BOX3BluedashedborderBluetext"/>
      </w:pPr>
      <w:r w:rsidRPr="00A04E56">
        <w:t>Hospitals often</w:t>
      </w:r>
      <w:r w:rsidR="007E0174" w:rsidRPr="00A04E56">
        <w:t xml:space="preserve"> lack funds to </w:t>
      </w:r>
      <w:r w:rsidRPr="00A04E56">
        <w:t xml:space="preserve">invest </w:t>
      </w:r>
      <w:r w:rsidR="000D4C7B" w:rsidRPr="00A04E56">
        <w:t>in</w:t>
      </w:r>
      <w:r w:rsidRPr="00A04E56">
        <w:t xml:space="preserve"> improv</w:t>
      </w:r>
      <w:r w:rsidR="000D4C7B" w:rsidRPr="00A04E56">
        <w:t>ing</w:t>
      </w:r>
      <w:r w:rsidRPr="00A04E56">
        <w:t xml:space="preserve"> their standard of health</w:t>
      </w:r>
      <w:r w:rsidR="003B6127" w:rsidRPr="00A04E56">
        <w:t xml:space="preserve"> </w:t>
      </w:r>
      <w:r w:rsidRPr="00A04E56">
        <w:t>care.</w:t>
      </w:r>
      <w:r w:rsidRPr="00A04E56" w:rsidDel="00603676">
        <w:t xml:space="preserve"> </w:t>
      </w:r>
      <w:r w:rsidRPr="00A04E56">
        <w:t>The Kujawsko-Pomorskie Region was the first in Poland to get a loan for a public</w:t>
      </w:r>
      <w:r w:rsidR="000D4C7B" w:rsidRPr="00A04E56">
        <w:t>-</w:t>
      </w:r>
      <w:r w:rsidRPr="00A04E56">
        <w:t xml:space="preserve">sector project under the </w:t>
      </w:r>
      <w:r w:rsidR="005842D4" w:rsidRPr="00A04E56">
        <w:t>European Fund for Strategic Investments</w:t>
      </w:r>
      <w:r w:rsidRPr="00A04E56">
        <w:t xml:space="preserve">. By combining a </w:t>
      </w:r>
      <w:r w:rsidR="000A5553" w:rsidRPr="00A04E56">
        <w:t>EUR</w:t>
      </w:r>
      <w:r w:rsidR="009E3512" w:rsidRPr="00A04E56">
        <w:rPr>
          <w:rFonts w:ascii="Calibri" w:hAnsi="Calibri" w:cs="Calibri"/>
          <w:noProof w:val="0"/>
        </w:rPr>
        <w:t> </w:t>
      </w:r>
      <w:r w:rsidRPr="00A04E56">
        <w:t>57</w:t>
      </w:r>
      <w:r w:rsidR="000D4C7B" w:rsidRPr="00A04E56">
        <w:rPr>
          <w:rFonts w:cs="Calibri"/>
          <w:noProof w:val="0"/>
        </w:rPr>
        <w:t>-</w:t>
      </w:r>
      <w:r w:rsidRPr="00A04E56">
        <w:t xml:space="preserve">million </w:t>
      </w:r>
      <w:r w:rsidR="005842D4" w:rsidRPr="00A04E56">
        <w:t>European Investment Bank</w:t>
      </w:r>
      <w:r w:rsidRPr="00A04E56">
        <w:t xml:space="preserve"> loan with money from its own budget and other EU financing, the region is extending Toruń’s Rydygier hospital.</w:t>
      </w:r>
      <w:r w:rsidR="000D4C7B" w:rsidRPr="00A04E56">
        <w:rPr>
          <w:rFonts w:cs="Calibri"/>
        </w:rPr>
        <w:t xml:space="preserve"> </w:t>
      </w:r>
      <w:r w:rsidRPr="00A04E56">
        <w:t>With a focus on research and modern technology, this project will provide residents with a full range of treatments and access to the latest medical procedures. The number of beds for patients will double, rising from 551 to 1</w:t>
      </w:r>
      <w:r w:rsidR="000D4C7B" w:rsidRPr="00A04E56">
        <w:rPr>
          <w:rFonts w:ascii="Calibri" w:hAnsi="Calibri" w:cs="Calibri"/>
          <w:noProof w:val="0"/>
        </w:rPr>
        <w:t> </w:t>
      </w:r>
      <w:r w:rsidRPr="00A04E56">
        <w:t>059. The floor space will increase from 20</w:t>
      </w:r>
      <w:r w:rsidR="00E91F65" w:rsidRPr="00A04E56">
        <w:rPr>
          <w:rFonts w:ascii="Calibri" w:hAnsi="Calibri" w:cs="Calibri"/>
          <w:noProof w:val="0"/>
        </w:rPr>
        <w:t> </w:t>
      </w:r>
      <w:r w:rsidR="00E91F65" w:rsidRPr="00A04E56">
        <w:rPr>
          <w:noProof w:val="0"/>
        </w:rPr>
        <w:t>0</w:t>
      </w:r>
      <w:r w:rsidR="006221A4" w:rsidRPr="00A04E56">
        <w:rPr>
          <w:noProof w:val="0"/>
        </w:rPr>
        <w:t>00</w:t>
      </w:r>
      <w:r w:rsidR="00E9307F" w:rsidRPr="00A04E56">
        <w:rPr>
          <w:rFonts w:ascii="Calibri" w:hAnsi="Calibri" w:cs="Calibri"/>
          <w:noProof w:val="0"/>
        </w:rPr>
        <w:t> </w:t>
      </w:r>
      <w:r w:rsidR="00E9307F" w:rsidRPr="00A04E56">
        <w:rPr>
          <w:noProof w:val="0"/>
        </w:rPr>
        <w:t>m</w:t>
      </w:r>
      <w:r w:rsidR="00E9307F" w:rsidRPr="00A04E56">
        <w:rPr>
          <w:vertAlign w:val="superscript"/>
        </w:rPr>
        <w:t>2</w:t>
      </w:r>
      <w:r w:rsidR="007E0174" w:rsidRPr="00A04E56" w:rsidDel="00E9307F">
        <w:rPr>
          <w:vertAlign w:val="superscript"/>
        </w:rPr>
        <w:t xml:space="preserve"> </w:t>
      </w:r>
      <w:r w:rsidRPr="00A04E56">
        <w:t>to more than 50</w:t>
      </w:r>
      <w:r w:rsidR="00E91F65" w:rsidRPr="00A04E56">
        <w:rPr>
          <w:rFonts w:ascii="Calibri" w:hAnsi="Calibri" w:cs="Calibri"/>
          <w:noProof w:val="0"/>
        </w:rPr>
        <w:t> </w:t>
      </w:r>
      <w:r w:rsidR="00E91F65" w:rsidRPr="00A04E56">
        <w:rPr>
          <w:noProof w:val="0"/>
        </w:rPr>
        <w:t>0</w:t>
      </w:r>
      <w:r w:rsidR="006221A4" w:rsidRPr="00A04E56">
        <w:rPr>
          <w:noProof w:val="0"/>
        </w:rPr>
        <w:t>00</w:t>
      </w:r>
      <w:r w:rsidR="00E9307F" w:rsidRPr="00A04E56">
        <w:rPr>
          <w:rFonts w:ascii="Calibri" w:hAnsi="Calibri" w:cs="Calibri"/>
          <w:noProof w:val="0"/>
        </w:rPr>
        <w:t> </w:t>
      </w:r>
      <w:r w:rsidR="00E9307F" w:rsidRPr="00A04E56">
        <w:rPr>
          <w:noProof w:val="0"/>
        </w:rPr>
        <w:t>m</w:t>
      </w:r>
      <w:r w:rsidR="00E9307F" w:rsidRPr="00A04E56">
        <w:rPr>
          <w:noProof w:val="0"/>
          <w:vertAlign w:val="superscript"/>
        </w:rPr>
        <w:t>2</w:t>
      </w:r>
      <w:r w:rsidR="000D4C7B" w:rsidRPr="00A04E56">
        <w:rPr>
          <w:noProof w:val="0"/>
        </w:rPr>
        <w:t>,</w:t>
      </w:r>
      <w:r w:rsidRPr="00A04E56">
        <w:t xml:space="preserve"> and 57</w:t>
      </w:r>
      <w:r w:rsidR="00E91F65" w:rsidRPr="00A04E56">
        <w:rPr>
          <w:rFonts w:ascii="Calibri" w:hAnsi="Calibri" w:cs="Calibri"/>
          <w:noProof w:val="0"/>
        </w:rPr>
        <w:t> </w:t>
      </w:r>
      <w:r w:rsidR="00E91F65" w:rsidRPr="00A04E56">
        <w:rPr>
          <w:noProof w:val="0"/>
        </w:rPr>
        <w:t>0</w:t>
      </w:r>
      <w:r w:rsidR="006221A4" w:rsidRPr="00A04E56">
        <w:rPr>
          <w:noProof w:val="0"/>
        </w:rPr>
        <w:t>00</w:t>
      </w:r>
      <w:r w:rsidR="00E9307F" w:rsidRPr="00A04E56">
        <w:rPr>
          <w:rFonts w:ascii="Calibri" w:hAnsi="Calibri" w:cs="Calibri"/>
          <w:noProof w:val="0"/>
        </w:rPr>
        <w:t> </w:t>
      </w:r>
      <w:r w:rsidR="00E9307F" w:rsidRPr="00A04E56">
        <w:rPr>
          <w:noProof w:val="0"/>
        </w:rPr>
        <w:t>m</w:t>
      </w:r>
      <w:r w:rsidR="00E9307F" w:rsidRPr="00A04E56">
        <w:rPr>
          <w:vertAlign w:val="superscript"/>
        </w:rPr>
        <w:t>2</w:t>
      </w:r>
      <w:r w:rsidR="00A84C75" w:rsidRPr="00A04E56" w:rsidDel="00E9307F">
        <w:t xml:space="preserve"> </w:t>
      </w:r>
      <w:r w:rsidRPr="00A04E56">
        <w:t xml:space="preserve">of green space will be created. The hospital will make savings by </w:t>
      </w:r>
      <w:r w:rsidR="007E0174" w:rsidRPr="00A04E56">
        <w:t>improved efficiency of the administration</w:t>
      </w:r>
      <w:r w:rsidRPr="00A04E56">
        <w:t xml:space="preserve"> and</w:t>
      </w:r>
      <w:r w:rsidR="007E0174" w:rsidRPr="00A04E56">
        <w:t xml:space="preserve"> by</w:t>
      </w:r>
      <w:r w:rsidRPr="00A04E56">
        <w:t xml:space="preserve"> introducing environmentally</w:t>
      </w:r>
      <w:r w:rsidR="000D4C7B" w:rsidRPr="00A04E56">
        <w:t xml:space="preserve"> </w:t>
      </w:r>
      <w:r w:rsidRPr="00A04E56">
        <w:t>friendly and energy-saving measures. The new parts of the hospital will open to patients in 2019.</w:t>
      </w:r>
      <w:r w:rsidR="00603676" w:rsidRPr="00A04E56">
        <w:rPr>
          <w:rFonts w:cs="Calibri"/>
          <w:noProof w:val="0"/>
        </w:rPr>
        <w:t xml:space="preserve"> </w:t>
      </w:r>
    </w:p>
    <w:p w14:paraId="6B1433EF" w14:textId="7BC42067" w:rsidR="001A4A14" w:rsidRPr="00A04E56" w:rsidRDefault="001A4A14" w:rsidP="003A3192">
      <w:pPr>
        <w:pStyle w:val="BodyText1spaceafter"/>
        <w:spacing w:after="0"/>
      </w:pPr>
    </w:p>
    <w:p w14:paraId="011944A0" w14:textId="3821803B" w:rsidR="001A4A14" w:rsidRPr="00A04E56" w:rsidRDefault="007E0174" w:rsidP="00C257BF">
      <w:pPr>
        <w:pStyle w:val="BOX3BluedashedborderBluetext-Bold"/>
      </w:pPr>
      <w:r w:rsidRPr="00A04E56">
        <w:t>Upgrading energy networks in Italy</w:t>
      </w:r>
      <w:r w:rsidR="005128AA" w:rsidRPr="00277538">
        <w:rPr>
          <w:rStyle w:val="fnRef"/>
          <w:rFonts w:ascii="Arial" w:hAnsi="Arial" w:cs="Arial"/>
          <w:b w:val="0"/>
        </w:rPr>
        <w:t> </w:t>
      </w:r>
      <w:r w:rsidR="0035678A" w:rsidRPr="00277538">
        <w:rPr>
          <w:rStyle w:val="fnRef"/>
          <w:b w:val="0"/>
        </w:rPr>
        <w:t>(</w:t>
      </w:r>
      <w:r w:rsidR="0035678A" w:rsidRPr="00277538">
        <w:rPr>
          <w:rStyle w:val="fnRefNo"/>
          <w:b w:val="0"/>
        </w:rPr>
        <w:footnoteReference w:id="62"/>
      </w:r>
      <w:r w:rsidR="0035678A" w:rsidRPr="00277538">
        <w:rPr>
          <w:rStyle w:val="fnRef"/>
          <w:b w:val="0"/>
        </w:rPr>
        <w:t>)</w:t>
      </w:r>
    </w:p>
    <w:p w14:paraId="340152AF" w14:textId="2900E856" w:rsidR="001A4A14" w:rsidRPr="00A04E56" w:rsidRDefault="001A4A14" w:rsidP="00C257BF">
      <w:pPr>
        <w:pStyle w:val="BOX3BluedashedborderBluetext"/>
      </w:pPr>
      <w:r w:rsidRPr="00A04E56">
        <w:t xml:space="preserve">The </w:t>
      </w:r>
      <w:r w:rsidR="005842D4" w:rsidRPr="00A04E56">
        <w:t>European Investment Bank</w:t>
      </w:r>
      <w:r w:rsidRPr="00A04E56">
        <w:t xml:space="preserve"> is lending Dolomiti Energia </w:t>
      </w:r>
      <w:r w:rsidR="000A5553" w:rsidRPr="00A04E56">
        <w:t>EUR</w:t>
      </w:r>
      <w:r w:rsidR="009E3512" w:rsidRPr="00A04E56">
        <w:rPr>
          <w:rFonts w:ascii="Calibri" w:hAnsi="Calibri" w:cs="Calibri"/>
          <w:noProof w:val="0"/>
        </w:rPr>
        <w:t> </w:t>
      </w:r>
      <w:r w:rsidRPr="00A04E56">
        <w:t>100</w:t>
      </w:r>
      <w:r w:rsidR="009E3512" w:rsidRPr="00A04E56">
        <w:rPr>
          <w:rFonts w:ascii="Calibri" w:hAnsi="Calibri" w:cs="Calibri"/>
          <w:noProof w:val="0"/>
        </w:rPr>
        <w:t> </w:t>
      </w:r>
      <w:r w:rsidRPr="00A04E56">
        <w:t>million to renew and develop its gas and electricity distribution networks. The financing will strengthen and maintain hydroelectric plants in the province of Trento in northern Italy, where Dolomiti Energia operates and employs 1</w:t>
      </w:r>
      <w:r w:rsidR="000D4C7B" w:rsidRPr="00A04E56">
        <w:rPr>
          <w:rFonts w:ascii="Calibri" w:hAnsi="Calibri" w:cs="Calibri"/>
          <w:noProof w:val="0"/>
        </w:rPr>
        <w:t> </w:t>
      </w:r>
      <w:r w:rsidRPr="00A04E56">
        <w:t xml:space="preserve">400 people. </w:t>
      </w:r>
    </w:p>
    <w:p w14:paraId="42D92FFD" w14:textId="77777777" w:rsidR="001A4A14" w:rsidRPr="00A04E56" w:rsidRDefault="001A4A14" w:rsidP="003A3192">
      <w:pPr>
        <w:pStyle w:val="BodyText1spaceafter"/>
        <w:spacing w:after="0"/>
      </w:pPr>
    </w:p>
    <w:p w14:paraId="572D3739" w14:textId="3B2CF39F" w:rsidR="001A4A14" w:rsidRPr="00A04E56" w:rsidRDefault="00F7048B" w:rsidP="00C257BF">
      <w:pPr>
        <w:pStyle w:val="BOX3BluedashedborderBluetext-Bold"/>
      </w:pPr>
      <w:r w:rsidRPr="00A04E56">
        <w:t xml:space="preserve">Connecting Europe Broadband </w:t>
      </w:r>
      <w:r w:rsidR="00C958D1" w:rsidRPr="00A04E56">
        <w:t>Fund</w:t>
      </w:r>
      <w:r w:rsidR="00C958D1" w:rsidRPr="00277538">
        <w:rPr>
          <w:rFonts w:ascii="Calibri" w:hAnsi="Calibri" w:cs="Calibri"/>
          <w:b w:val="0"/>
        </w:rPr>
        <w:t> </w:t>
      </w:r>
      <w:r w:rsidR="0035678A" w:rsidRPr="00277538">
        <w:rPr>
          <w:rStyle w:val="fnRef"/>
          <w:b w:val="0"/>
        </w:rPr>
        <w:t>(</w:t>
      </w:r>
      <w:r w:rsidR="0035678A" w:rsidRPr="00277538">
        <w:rPr>
          <w:rStyle w:val="fnRefNo"/>
          <w:b w:val="0"/>
        </w:rPr>
        <w:footnoteReference w:id="63"/>
      </w:r>
      <w:r w:rsidR="0035678A" w:rsidRPr="00277538">
        <w:rPr>
          <w:rStyle w:val="fnRef"/>
          <w:b w:val="0"/>
        </w:rPr>
        <w:t>)</w:t>
      </w:r>
      <w:r w:rsidR="001A4A14" w:rsidRPr="00A04E56">
        <w:rPr>
          <w:noProof w:val="0"/>
        </w:rPr>
        <w:t>:</w:t>
      </w:r>
      <w:r w:rsidR="001A4A14" w:rsidRPr="00A04E56">
        <w:t xml:space="preserve"> broadband reaches less-populated areas of the EU</w:t>
      </w:r>
      <w:r w:rsidR="005128AA" w:rsidRPr="00277538">
        <w:rPr>
          <w:rStyle w:val="fnRef"/>
          <w:rFonts w:ascii="Arial" w:hAnsi="Arial" w:cs="Arial"/>
          <w:b w:val="0"/>
        </w:rPr>
        <w:t> </w:t>
      </w:r>
      <w:r w:rsidR="0035678A" w:rsidRPr="00277538">
        <w:rPr>
          <w:rStyle w:val="fnRef"/>
          <w:b w:val="0"/>
        </w:rPr>
        <w:t>(</w:t>
      </w:r>
      <w:r w:rsidR="0035678A" w:rsidRPr="00277538">
        <w:rPr>
          <w:rStyle w:val="fnRefNo"/>
          <w:b w:val="0"/>
        </w:rPr>
        <w:footnoteReference w:id="64"/>
      </w:r>
      <w:r w:rsidR="0035678A" w:rsidRPr="00277538">
        <w:rPr>
          <w:rStyle w:val="fnRef"/>
          <w:b w:val="0"/>
        </w:rPr>
        <w:t>)</w:t>
      </w:r>
      <w:r w:rsidR="001A4A14" w:rsidRPr="00A04E56">
        <w:t xml:space="preserve"> </w:t>
      </w:r>
    </w:p>
    <w:p w14:paraId="5B4CFE02" w14:textId="1CAF9119" w:rsidR="00FE7C50" w:rsidRPr="00A04E56" w:rsidRDefault="00F7048B" w:rsidP="0005798F">
      <w:pPr>
        <w:pStyle w:val="BOX3BluedashedborderBluetext"/>
      </w:pPr>
      <w:r w:rsidRPr="00A04E56">
        <w:t xml:space="preserve">The Connecting Europe Broadband Fund is the first investment platform to invest in broadband infrastructure under the Juncker </w:t>
      </w:r>
      <w:r w:rsidR="00A87D00" w:rsidRPr="00A04E56">
        <w:rPr>
          <w:noProof w:val="0"/>
        </w:rPr>
        <w:t>p</w:t>
      </w:r>
      <w:r w:rsidRPr="00A04E56">
        <w:rPr>
          <w:noProof w:val="0"/>
        </w:rPr>
        <w:t>lan.</w:t>
      </w:r>
      <w:r w:rsidR="00603676" w:rsidRPr="00A04E56">
        <w:rPr>
          <w:noProof w:val="0"/>
        </w:rPr>
        <w:t xml:space="preserve"> </w:t>
      </w:r>
      <w:r w:rsidRPr="00A04E56">
        <w:t>The</w:t>
      </w:r>
      <w:r w:rsidR="008C153A" w:rsidRPr="00A04E56">
        <w:t xml:space="preserve"> fund</w:t>
      </w:r>
      <w:r w:rsidRPr="00A04E56">
        <w:t xml:space="preserve"> combines </w:t>
      </w:r>
      <w:r w:rsidR="001A4A14" w:rsidRPr="00A04E56">
        <w:t>financing from the E</w:t>
      </w:r>
      <w:r w:rsidR="008C153A" w:rsidRPr="00A04E56">
        <w:t xml:space="preserve">uropean </w:t>
      </w:r>
      <w:r w:rsidR="001A4A14" w:rsidRPr="00A04E56">
        <w:t>I</w:t>
      </w:r>
      <w:r w:rsidR="008C153A" w:rsidRPr="00A04E56">
        <w:t xml:space="preserve">nvestment </w:t>
      </w:r>
      <w:r w:rsidR="001A4A14" w:rsidRPr="00A04E56">
        <w:t>B</w:t>
      </w:r>
      <w:r w:rsidR="008C153A" w:rsidRPr="00A04E56">
        <w:t>ank</w:t>
      </w:r>
      <w:r w:rsidR="001A4A14" w:rsidRPr="00A04E56">
        <w:t xml:space="preserve">, the Connecting Europe Facility, </w:t>
      </w:r>
      <w:r w:rsidR="008C153A" w:rsidRPr="00A04E56">
        <w:t xml:space="preserve">national promotional banks </w:t>
      </w:r>
      <w:r w:rsidRPr="00A04E56">
        <w:t xml:space="preserve">and private investors. </w:t>
      </w:r>
      <w:r w:rsidR="001A4A14" w:rsidRPr="00A04E56">
        <w:t xml:space="preserve">The new </w:t>
      </w:r>
      <w:r w:rsidR="00A87D00" w:rsidRPr="00A04E56">
        <w:t>b</w:t>
      </w:r>
      <w:r w:rsidR="001A4A14" w:rsidRPr="00A04E56">
        <w:t xml:space="preserve">roadband </w:t>
      </w:r>
      <w:r w:rsidR="00A87D00" w:rsidRPr="00A04E56">
        <w:t>f</w:t>
      </w:r>
      <w:r w:rsidR="001A4A14" w:rsidRPr="00A04E56">
        <w:t>und will help the EU meet the target that all European households should have access to internet connections of 30</w:t>
      </w:r>
      <w:r w:rsidR="00A87D00" w:rsidRPr="00161740">
        <w:rPr>
          <w:rFonts w:ascii="Calibri" w:hAnsi="Calibri" w:cs="Calibri"/>
        </w:rPr>
        <w:t> </w:t>
      </w:r>
      <w:r w:rsidR="001A4A14" w:rsidRPr="00A04E56">
        <w:t xml:space="preserve">Megabits per second by 2020 and </w:t>
      </w:r>
      <w:r w:rsidR="00A87D00" w:rsidRPr="00A04E56">
        <w:t>that</w:t>
      </w:r>
      <w:r w:rsidR="001A4A14" w:rsidRPr="00A04E56">
        <w:t xml:space="preserve"> all schools, transport hubs, main providers of public services and digitally intensive enterprises should have access to internet connections of 1</w:t>
      </w:r>
      <w:r w:rsidR="00A87D00" w:rsidRPr="00161740">
        <w:rPr>
          <w:rFonts w:ascii="Calibri" w:hAnsi="Calibri" w:cs="Calibri"/>
        </w:rPr>
        <w:t> </w:t>
      </w:r>
      <w:r w:rsidR="001A4A14" w:rsidRPr="00A04E56">
        <w:t>Gigabit per second</w:t>
      </w:r>
      <w:r w:rsidR="00A87D00" w:rsidRPr="00A04E56">
        <w:t xml:space="preserve"> by 2025</w:t>
      </w:r>
      <w:r w:rsidR="00651E53" w:rsidRPr="00A04E56">
        <w:t xml:space="preserve"> (European Gigabit Society objectives). It responds to the growing demand of financing of smaller-scale, higher-risk broadband projects across Europe, which currently do not have access to EU funds. The fund aims to raise EUR 500 million for broadband investment by 2020 and is expected to unlock total investments of EUR 1.0-1.7 billion.</w:t>
      </w:r>
      <w:r w:rsidR="00AD7125">
        <w:t xml:space="preserve"> </w:t>
      </w:r>
      <w:r w:rsidR="00651E53" w:rsidRPr="00A04E56">
        <w:t>The fund’s first project was signed in January 2019 to deploy high-quality fibr</w:t>
      </w:r>
      <w:r w:rsidR="00FE7C50" w:rsidRPr="00A04E56">
        <w:t>e</w:t>
      </w:r>
      <w:r w:rsidR="00651E53" w:rsidRPr="00A04E56">
        <w:t>-to-the-home (FTTH), open-access network for residential, business and public administration in the rural areas of the Primorje-Gorski Kotar and Istria regions (Croatia) to cover over 135</w:t>
      </w:r>
      <w:r w:rsidR="00FE7C50" w:rsidRPr="000F0FE1">
        <w:rPr>
          <w:rFonts w:ascii="Calibri" w:hAnsi="Calibri" w:cs="Calibri"/>
        </w:rPr>
        <w:t> </w:t>
      </w:r>
      <w:r w:rsidR="00651E53" w:rsidRPr="00A04E56">
        <w:t>000 locations.</w:t>
      </w:r>
      <w:r w:rsidR="00FE7C50" w:rsidRPr="00A04E56">
        <w:t xml:space="preserve"> </w:t>
      </w:r>
    </w:p>
    <w:p w14:paraId="78494503" w14:textId="2193CEBF" w:rsidR="0049716E" w:rsidRPr="00A04E56" w:rsidRDefault="00E10BCF" w:rsidP="00C257BF">
      <w:pPr>
        <w:pStyle w:val="Title3NumberedReport"/>
      </w:pPr>
      <w:r w:rsidRPr="00A04E56">
        <w:t>Assessment</w:t>
      </w:r>
      <w:r w:rsidR="00775D33" w:rsidRPr="00A04E56">
        <w:t xml:space="preserve"> and evaluation</w:t>
      </w:r>
    </w:p>
    <w:p w14:paraId="43915A28" w14:textId="77777777" w:rsidR="003A3E17" w:rsidRDefault="001A4A14" w:rsidP="005D69A2">
      <w:pPr>
        <w:pStyle w:val="BodyText1spaceafter"/>
      </w:pPr>
      <w:r w:rsidRPr="00A04E56">
        <w:t xml:space="preserve">Evidence from the </w:t>
      </w:r>
      <w:r w:rsidRPr="00A04E56">
        <w:rPr>
          <w:rStyle w:val="BOLDLIGHTBLUEReport"/>
          <w:rFonts w:eastAsia="Calibri"/>
        </w:rPr>
        <w:t>2018 evaluation</w:t>
      </w:r>
      <w:r w:rsidRPr="00A04E56">
        <w:t xml:space="preserve"> suggests clear value added in terms of the </w:t>
      </w:r>
      <w:r w:rsidR="005842D4" w:rsidRPr="00A04E56">
        <w:t xml:space="preserve">European Fund for Strategic Investments </w:t>
      </w:r>
      <w:r w:rsidRPr="00A04E56">
        <w:t xml:space="preserve">responding to unmet investment needs and supporting the need for counter-cyclical investment. From a political perspective, the </w:t>
      </w:r>
      <w:r w:rsidR="005B26AE" w:rsidRPr="00A04E56">
        <w:t>f</w:t>
      </w:r>
      <w:r w:rsidRPr="00A04E56">
        <w:t xml:space="preserve">und has managed to shift the debate from austerity to investment support measures. </w:t>
      </w:r>
      <w:r w:rsidR="003A3E17" w:rsidRPr="003A3E17">
        <w:t xml:space="preserve">Based on operations up until the end of 2017, the European Fund for Strategic Investments has </w:t>
      </w:r>
      <w:r w:rsidR="003A3E17" w:rsidRPr="0005798F">
        <w:rPr>
          <w:rStyle w:val="BOLDLIGHTBLUEReport"/>
          <w:rFonts w:eastAsia="Calibri"/>
        </w:rPr>
        <w:t>supported more than 750 000 jobs with the figure set to rise to 1.4 million jobs by 2020</w:t>
      </w:r>
      <w:r w:rsidR="003A3E17" w:rsidRPr="003A3E17">
        <w:t>. It has increased gross domestic product in the EU by 0.6% and it is set to increase EU gross domestic product by 1.3% by 2020.</w:t>
      </w:r>
    </w:p>
    <w:p w14:paraId="0286B796" w14:textId="52F9B239" w:rsidR="001A4A14" w:rsidRPr="00A04E56" w:rsidRDefault="001A4A14" w:rsidP="005D69A2">
      <w:pPr>
        <w:pStyle w:val="BodyText1spaceafter"/>
      </w:pPr>
      <w:r w:rsidRPr="00A04E56">
        <w:t xml:space="preserve">Although the overall picture has improved at a macro level, in terms of the scale of the financing gap and of the financing conditions (especially for </w:t>
      </w:r>
      <w:r w:rsidR="00806AE3" w:rsidRPr="00A04E56">
        <w:t>s</w:t>
      </w:r>
      <w:r w:rsidRPr="00A04E56">
        <w:t xml:space="preserve">mall and </w:t>
      </w:r>
      <w:r w:rsidR="00806AE3" w:rsidRPr="00A04E56">
        <w:t>m</w:t>
      </w:r>
      <w:r w:rsidRPr="00A04E56">
        <w:t xml:space="preserve">edium-sized </w:t>
      </w:r>
      <w:r w:rsidR="00806AE3" w:rsidRPr="00A04E56">
        <w:t>e</w:t>
      </w:r>
      <w:r w:rsidRPr="00A04E56">
        <w:t xml:space="preserve">nterprises), </w:t>
      </w:r>
      <w:r w:rsidRPr="00A04E56">
        <w:rPr>
          <w:rStyle w:val="BOLDLIGHTBLUEReport"/>
          <w:rFonts w:eastAsia="Calibri"/>
        </w:rPr>
        <w:t>there remain substantial and pressing investment needs</w:t>
      </w:r>
      <w:r w:rsidRPr="00A04E56">
        <w:t>. Evidence from the evaluation suggests that persistent market gaps holding back investment are still observed in different policy areas. The recent acceleration of investment in the EU has not yet managed to bring investment rates up to historical averages. Moreover, efforts will need to continue beyond 2020 to bring investment back to its long-term sustainable trend with particular focus on current and emerging EU policy priorities.</w:t>
      </w:r>
    </w:p>
    <w:p w14:paraId="053D9B2F" w14:textId="3CBCE3D3" w:rsidR="001A4A14" w:rsidRPr="00A04E56" w:rsidRDefault="001A4A14" w:rsidP="005D69A2">
      <w:pPr>
        <w:pStyle w:val="BodyText1spaceafter"/>
      </w:pPr>
      <w:r w:rsidRPr="00A04E56">
        <w:t xml:space="preserve">Among the </w:t>
      </w:r>
      <w:r w:rsidRPr="00A04E56">
        <w:rPr>
          <w:rStyle w:val="BOLDLIGHTBLUEReport"/>
          <w:rFonts w:eastAsia="Calibri"/>
        </w:rPr>
        <w:t>shortcomings</w:t>
      </w:r>
      <w:r w:rsidRPr="00A04E56">
        <w:t xml:space="preserve"> highlighted in the 2018 evaluation is the need to focus more on EU’s long-term climate goals. This is being addressed</w:t>
      </w:r>
      <w:r w:rsidR="00E33856" w:rsidRPr="00A04E56">
        <w:t xml:space="preserve"> when</w:t>
      </w:r>
      <w:r w:rsidRPr="00A04E56">
        <w:t xml:space="preserve"> </w:t>
      </w:r>
      <w:r w:rsidR="00F53A49" w:rsidRPr="00A04E56">
        <w:t xml:space="preserve">the </w:t>
      </w:r>
      <w:r w:rsidR="005842D4" w:rsidRPr="00A04E56">
        <w:t xml:space="preserve">European Fund for Strategic Investments </w:t>
      </w:r>
      <w:r w:rsidR="00E33856" w:rsidRPr="00A04E56">
        <w:t xml:space="preserve">was extended </w:t>
      </w:r>
      <w:r w:rsidR="008C1D39" w:rsidRPr="00A04E56">
        <w:t>in 2018</w:t>
      </w:r>
      <w:r w:rsidR="00E33856" w:rsidRPr="00A04E56">
        <w:t xml:space="preserve">. </w:t>
      </w:r>
      <w:r w:rsidR="00060384" w:rsidRPr="00A04E56">
        <w:t>A</w:t>
      </w:r>
      <w:r w:rsidR="00E33856" w:rsidRPr="00A04E56">
        <w:t xml:space="preserve"> </w:t>
      </w:r>
      <w:r w:rsidRPr="00A04E56">
        <w:t>minimum 40</w:t>
      </w:r>
      <w:r w:rsidR="005B26AE" w:rsidRPr="00A04E56">
        <w:t>%</w:t>
      </w:r>
      <w:r w:rsidRPr="00A04E56">
        <w:t xml:space="preserve"> of </w:t>
      </w:r>
      <w:r w:rsidR="005842D4" w:rsidRPr="00A04E56">
        <w:t xml:space="preserve">European Fund for Strategic Investments </w:t>
      </w:r>
      <w:r w:rsidRPr="00A04E56">
        <w:t xml:space="preserve">infrastructure and innovation </w:t>
      </w:r>
      <w:r w:rsidR="0099177F" w:rsidRPr="00A04E56">
        <w:t xml:space="preserve">window </w:t>
      </w:r>
      <w:r w:rsidR="00E33856" w:rsidRPr="00A04E56">
        <w:t xml:space="preserve">should </w:t>
      </w:r>
      <w:r w:rsidRPr="00A04E56">
        <w:t xml:space="preserve">contribute to climate action in line with the Paris Agreement. In addition, the Commission has used its representation in the governance bodies of the European Investment Bank and </w:t>
      </w:r>
      <w:r w:rsidR="005B26AE" w:rsidRPr="00A04E56">
        <w:t xml:space="preserve">of the </w:t>
      </w:r>
      <w:r w:rsidRPr="00A04E56">
        <w:t xml:space="preserve">European Investment Fund and in </w:t>
      </w:r>
      <w:r w:rsidR="005B26AE" w:rsidRPr="00A04E56">
        <w:t>s</w:t>
      </w:r>
      <w:r w:rsidRPr="00A04E56">
        <w:t xml:space="preserve">teering </w:t>
      </w:r>
      <w:r w:rsidR="005B26AE" w:rsidRPr="00A04E56">
        <w:t>c</w:t>
      </w:r>
      <w:r w:rsidRPr="00A04E56">
        <w:t>ommittees for these instruments to ensure that the European Investment Bank and the European Investment Fund adhere closely to EU policy objectives in implementing financial instruments, including support for social entrepreneurship, the fight against youth unemployment, the fight against climate change</w:t>
      </w:r>
      <w:r w:rsidR="00AC77AA" w:rsidRPr="00A04E56">
        <w:t>,</w:t>
      </w:r>
      <w:r w:rsidRPr="00A04E56">
        <w:t xml:space="preserve"> </w:t>
      </w:r>
      <w:r w:rsidR="00AC77AA" w:rsidRPr="00A04E56">
        <w:t>the fight against tax avoidance and the promotion of international tax good governance standards</w:t>
      </w:r>
      <w:r w:rsidRPr="00A04E56">
        <w:t>.</w:t>
      </w:r>
    </w:p>
    <w:p w14:paraId="27771B91" w14:textId="4A0D4467" w:rsidR="001A4A14" w:rsidRPr="00A04E56" w:rsidRDefault="001A4A14" w:rsidP="005D69A2">
      <w:pPr>
        <w:pStyle w:val="BodyText1spaceafter"/>
      </w:pPr>
      <w:r w:rsidRPr="00A04E56">
        <w:t xml:space="preserve">In the past, </w:t>
      </w:r>
      <w:r w:rsidR="00F53A49" w:rsidRPr="00A04E56">
        <w:t>the</w:t>
      </w:r>
      <w:r w:rsidRPr="00A04E56">
        <w:t xml:space="preserve"> </w:t>
      </w:r>
      <w:r w:rsidR="005842D4" w:rsidRPr="00A04E56">
        <w:t>European Fund for Strategic Investments</w:t>
      </w:r>
      <w:r w:rsidRPr="00A04E56">
        <w:t xml:space="preserve"> supported only a limited number of cross-border projects which typically have a high EU value added dimension. Ensuring wide geographical coverage across the EU continues to be important, </w:t>
      </w:r>
      <w:r w:rsidR="005B26AE" w:rsidRPr="00A04E56">
        <w:t>which is something that has</w:t>
      </w:r>
      <w:r w:rsidRPr="00A04E56">
        <w:t xml:space="preserve"> improved over the years of the </w:t>
      </w:r>
      <w:r w:rsidR="005B26AE" w:rsidRPr="00A04E56">
        <w:t>f</w:t>
      </w:r>
      <w:r w:rsidRPr="00A04E56">
        <w:t xml:space="preserve">und’s operation. In terms of </w:t>
      </w:r>
      <w:r w:rsidR="00276B51" w:rsidRPr="00A04E56">
        <w:rPr>
          <w:noProof w:val="0"/>
        </w:rPr>
        <w:t>consistence</w:t>
      </w:r>
      <w:r w:rsidRPr="00A04E56">
        <w:t xml:space="preserve">, there is still scope for further improving the complementarity and mutual support between the </w:t>
      </w:r>
      <w:r w:rsidR="005B26AE" w:rsidRPr="00A04E56">
        <w:t>f</w:t>
      </w:r>
      <w:r w:rsidRPr="00A04E56">
        <w:t xml:space="preserve">und’s three pillars as well as mitigating potential risks of competition between the </w:t>
      </w:r>
      <w:r w:rsidR="005B26AE" w:rsidRPr="00A04E56">
        <w:t>f</w:t>
      </w:r>
      <w:r w:rsidRPr="00A04E56">
        <w:t xml:space="preserve">und and other EU </w:t>
      </w:r>
      <w:r w:rsidR="00806AE3" w:rsidRPr="00A04E56">
        <w:t xml:space="preserve">financial </w:t>
      </w:r>
      <w:r w:rsidRPr="00A04E56">
        <w:t>instruments</w:t>
      </w:r>
      <w:r w:rsidR="0099177F" w:rsidRPr="00A04E56">
        <w:t xml:space="preserve">. </w:t>
      </w:r>
    </w:p>
    <w:p w14:paraId="1F694AB5" w14:textId="6B24B3BD" w:rsidR="001A4A14" w:rsidRPr="00A04E56" w:rsidRDefault="001A4A14" w:rsidP="005D69A2">
      <w:pPr>
        <w:pStyle w:val="BodyText1spaceafter"/>
        <w:rPr>
          <w:szCs w:val="20"/>
        </w:rPr>
      </w:pPr>
      <w:r w:rsidRPr="00A04E56">
        <w:t xml:space="preserve">In January 2019, the </w:t>
      </w:r>
      <w:r w:rsidRPr="00A04E56">
        <w:rPr>
          <w:rStyle w:val="BOLDLIGHTBLUEReport"/>
          <w:rFonts w:eastAsia="Calibri"/>
        </w:rPr>
        <w:t>European Court of Auditors</w:t>
      </w:r>
      <w:r w:rsidRPr="00A04E56">
        <w:rPr>
          <w:szCs w:val="20"/>
        </w:rPr>
        <w:t xml:space="preserve"> published a </w:t>
      </w:r>
      <w:r w:rsidR="005B26AE" w:rsidRPr="00A04E56">
        <w:rPr>
          <w:noProof w:val="0"/>
          <w:szCs w:val="20"/>
        </w:rPr>
        <w:t>s</w:t>
      </w:r>
      <w:r w:rsidRPr="00A04E56">
        <w:rPr>
          <w:noProof w:val="0"/>
          <w:szCs w:val="20"/>
        </w:rPr>
        <w:t xml:space="preserve">pecial </w:t>
      </w:r>
      <w:r w:rsidR="005B26AE" w:rsidRPr="00A04E56">
        <w:rPr>
          <w:noProof w:val="0"/>
          <w:szCs w:val="20"/>
        </w:rPr>
        <w:t>r</w:t>
      </w:r>
      <w:r w:rsidRPr="00A04E56">
        <w:rPr>
          <w:noProof w:val="0"/>
          <w:szCs w:val="20"/>
        </w:rPr>
        <w:t>eport</w:t>
      </w:r>
      <w:r w:rsidRPr="00A04E56">
        <w:rPr>
          <w:szCs w:val="20"/>
        </w:rPr>
        <w:t xml:space="preserve"> (No</w:t>
      </w:r>
      <w:r w:rsidR="005B26AE" w:rsidRPr="00A04E56">
        <w:rPr>
          <w:rFonts w:cs="Calibri"/>
          <w:noProof w:val="0"/>
          <w:szCs w:val="20"/>
        </w:rPr>
        <w:t> </w:t>
      </w:r>
      <w:r w:rsidRPr="00A04E56">
        <w:rPr>
          <w:szCs w:val="20"/>
        </w:rPr>
        <w:t xml:space="preserve">03/2019) on the </w:t>
      </w:r>
      <w:r w:rsidR="005842D4" w:rsidRPr="00A04E56">
        <w:t>European Fund for Strategic Investments</w:t>
      </w:r>
      <w:r w:rsidRPr="00A04E56">
        <w:rPr>
          <w:noProof w:val="0"/>
          <w:szCs w:val="20"/>
        </w:rPr>
        <w:t>.</w:t>
      </w:r>
      <w:r w:rsidRPr="00A04E56">
        <w:rPr>
          <w:szCs w:val="20"/>
        </w:rPr>
        <w:t xml:space="preserve"> Although the overall conclusion of the audit is that the </w:t>
      </w:r>
      <w:r w:rsidR="005B26AE" w:rsidRPr="00A04E56">
        <w:rPr>
          <w:noProof w:val="0"/>
          <w:szCs w:val="20"/>
        </w:rPr>
        <w:t>fund</w:t>
      </w:r>
      <w:r w:rsidRPr="00A04E56">
        <w:rPr>
          <w:szCs w:val="20"/>
        </w:rPr>
        <w:t xml:space="preserve"> has been effective in raising finance to support substantial additional investment in the EU, the Court also raised some concerns. These include whether some </w:t>
      </w:r>
      <w:r w:rsidR="005B26AE" w:rsidRPr="00A04E56">
        <w:t>fund</w:t>
      </w:r>
      <w:r w:rsidRPr="00A04E56">
        <w:rPr>
          <w:szCs w:val="20"/>
        </w:rPr>
        <w:t xml:space="preserve"> operations have replaced other European Investment Bank operations and EU financial instruments, and whether a part of the </w:t>
      </w:r>
      <w:r w:rsidR="005B26AE" w:rsidRPr="00A04E56">
        <w:rPr>
          <w:noProof w:val="0"/>
          <w:szCs w:val="20"/>
        </w:rPr>
        <w:t>fund</w:t>
      </w:r>
      <w:r w:rsidRPr="00A04E56">
        <w:rPr>
          <w:szCs w:val="20"/>
        </w:rPr>
        <w:t xml:space="preserve"> support went to projects that could have been financed from other sources, albeit on different terms. The Court also </w:t>
      </w:r>
      <w:r w:rsidRPr="00A04E56">
        <w:rPr>
          <w:noProof w:val="0"/>
          <w:szCs w:val="20"/>
        </w:rPr>
        <w:t>emphasi</w:t>
      </w:r>
      <w:r w:rsidR="00E9307F" w:rsidRPr="00A04E56">
        <w:rPr>
          <w:noProof w:val="0"/>
          <w:szCs w:val="20"/>
        </w:rPr>
        <w:t>sed</w:t>
      </w:r>
      <w:r w:rsidRPr="00A04E56">
        <w:rPr>
          <w:szCs w:val="20"/>
        </w:rPr>
        <w:t xml:space="preserve"> the continuing need to ensure a balanced geographic spread of </w:t>
      </w:r>
      <w:r w:rsidR="005B26AE" w:rsidRPr="00A04E56">
        <w:rPr>
          <w:noProof w:val="0"/>
          <w:szCs w:val="20"/>
        </w:rPr>
        <w:t>fund-</w:t>
      </w:r>
      <w:r w:rsidRPr="00A04E56">
        <w:rPr>
          <w:szCs w:val="20"/>
        </w:rPr>
        <w:t>supported investment.</w:t>
      </w:r>
    </w:p>
    <w:p w14:paraId="2563BF76" w14:textId="468AF965" w:rsidR="001A4A14" w:rsidRPr="00A04E56" w:rsidRDefault="009A0795" w:rsidP="005D69A2">
      <w:pPr>
        <w:pStyle w:val="BodyText1spaceafter"/>
      </w:pPr>
      <w:r w:rsidRPr="00A04E56">
        <w:rPr>
          <w:noProof w:val="0"/>
        </w:rPr>
        <w:t>Under</w:t>
      </w:r>
      <w:r w:rsidR="001A4A14" w:rsidRPr="00A04E56">
        <w:t xml:space="preserve"> the </w:t>
      </w:r>
      <w:r w:rsidR="00AA1FB8" w:rsidRPr="00A04E56">
        <w:t xml:space="preserve">multiannual financial framework </w:t>
      </w:r>
      <w:r w:rsidR="001A4A14" w:rsidRPr="00A04E56">
        <w:t xml:space="preserve">package and building on the success of the Juncker </w:t>
      </w:r>
      <w:r w:rsidR="005B26AE" w:rsidRPr="00A04E56">
        <w:t>p</w:t>
      </w:r>
      <w:r w:rsidR="001A4A14" w:rsidRPr="00A04E56">
        <w:t xml:space="preserve">lan and the </w:t>
      </w:r>
      <w:r w:rsidR="005842D4" w:rsidRPr="00A04E56">
        <w:t>European Fund for Strategic Investments</w:t>
      </w:r>
      <w:r w:rsidR="001A4A14" w:rsidRPr="00A04E56">
        <w:t xml:space="preserve">, the Commission has proposed a new initiative to mobilise private and public investment for the 2021-2027 period </w:t>
      </w:r>
      <w:r w:rsidR="00EC0B83" w:rsidRPr="00A04E56">
        <w:rPr>
          <w:noProof w:val="0"/>
        </w:rPr>
        <w:t>—</w:t>
      </w:r>
      <w:r w:rsidR="001A4A14" w:rsidRPr="00A04E56">
        <w:t xml:space="preserve"> the </w:t>
      </w:r>
      <w:r w:rsidR="001A4A14" w:rsidRPr="00A04E56">
        <w:rPr>
          <w:rStyle w:val="BOLDLIGHTBLUEReport"/>
          <w:rFonts w:eastAsia="Calibri"/>
        </w:rPr>
        <w:t xml:space="preserve">InvestEU </w:t>
      </w:r>
      <w:r w:rsidR="005B26AE" w:rsidRPr="00A04E56">
        <w:rPr>
          <w:rStyle w:val="BOLDLIGHTBLUEReport"/>
          <w:rFonts w:eastAsia="Calibri"/>
        </w:rPr>
        <w:t>p</w:t>
      </w:r>
      <w:r w:rsidR="001A4A14" w:rsidRPr="00A04E56">
        <w:rPr>
          <w:rStyle w:val="BOLDLIGHTBLUEReport"/>
          <w:rFonts w:eastAsia="Calibri"/>
        </w:rPr>
        <w:t>rogramme</w:t>
      </w:r>
      <w:r w:rsidR="001A4A14" w:rsidRPr="00A04E56">
        <w:t xml:space="preserve">. The new programme has introduced changes tackling issues raised by the European Court of Auditors in order to make EU funding for investment projects in Europe simpler, more efficient and more flexible. The InvestEU </w:t>
      </w:r>
      <w:r w:rsidR="00D2758A" w:rsidRPr="00A04E56">
        <w:t>p</w:t>
      </w:r>
      <w:r w:rsidR="001A4A14" w:rsidRPr="00A04E56">
        <w:t xml:space="preserve">rogramme </w:t>
      </w:r>
      <w:r w:rsidRPr="00A04E56">
        <w:rPr>
          <w:noProof w:val="0"/>
        </w:rPr>
        <w:t>is to</w:t>
      </w:r>
      <w:r w:rsidR="001A4A14" w:rsidRPr="00A04E56" w:rsidDel="009A0795">
        <w:t xml:space="preserve"> </w:t>
      </w:r>
      <w:r w:rsidR="001A4A14" w:rsidRPr="00A04E56">
        <w:t xml:space="preserve">focus on addressing the large investment gaps in key areas of the future through an EU budget guarantee of </w:t>
      </w:r>
      <w:r w:rsidR="001A4A14" w:rsidRPr="00A04E56" w:rsidDel="00543763">
        <w:t>EUR</w:t>
      </w:r>
      <w:r w:rsidR="00543763" w:rsidRPr="00A04E56">
        <w:rPr>
          <w:rFonts w:ascii="Calibri" w:hAnsi="Calibri" w:cs="Calibri"/>
          <w:noProof w:val="0"/>
        </w:rPr>
        <w:t> </w:t>
      </w:r>
      <w:r w:rsidR="001A4A14" w:rsidRPr="00A04E56">
        <w:t>38</w:t>
      </w:r>
      <w:r w:rsidR="006B7032" w:rsidRPr="00A04E56">
        <w:rPr>
          <w:rFonts w:ascii="Calibri" w:hAnsi="Calibri" w:cs="Calibri"/>
          <w:noProof w:val="0"/>
        </w:rPr>
        <w:t> </w:t>
      </w:r>
      <w:r w:rsidR="001A4A14" w:rsidRPr="00A04E56" w:rsidDel="006B7032">
        <w:t>billion</w:t>
      </w:r>
      <w:r w:rsidR="001A4A14" w:rsidRPr="00A04E56">
        <w:rPr>
          <w:noProof w:val="0"/>
        </w:rPr>
        <w:t>.</w:t>
      </w:r>
      <w:r w:rsidR="001A4A14" w:rsidRPr="00A04E56">
        <w:t xml:space="preserve"> It will thus further boost job creation and support investment and innovation in the EU. It is expected to mobilise around </w:t>
      </w:r>
      <w:r w:rsidR="001A4A14" w:rsidRPr="00A04E56" w:rsidDel="00543763">
        <w:t>EUR</w:t>
      </w:r>
      <w:r w:rsidR="00543763" w:rsidRPr="00A04E56">
        <w:rPr>
          <w:rFonts w:ascii="Calibri" w:hAnsi="Calibri" w:cs="Calibri"/>
          <w:noProof w:val="0"/>
        </w:rPr>
        <w:t> </w:t>
      </w:r>
      <w:r w:rsidR="001A4A14" w:rsidRPr="00A04E56">
        <w:t>650</w:t>
      </w:r>
      <w:r w:rsidR="006B7032" w:rsidRPr="00A04E56">
        <w:rPr>
          <w:rFonts w:ascii="Calibri" w:hAnsi="Calibri" w:cs="Calibri"/>
          <w:noProof w:val="0"/>
        </w:rPr>
        <w:t> </w:t>
      </w:r>
      <w:r w:rsidR="006B7032" w:rsidRPr="00A04E56">
        <w:rPr>
          <w:noProof w:val="0"/>
        </w:rPr>
        <w:t>billion</w:t>
      </w:r>
      <w:r w:rsidR="001A4A14" w:rsidRPr="00A04E56">
        <w:t xml:space="preserve"> of private and public investment across the EU by end-2027</w:t>
      </w:r>
      <w:r w:rsidR="0099177F" w:rsidRPr="00A04E56">
        <w:t xml:space="preserve"> and provide support through four policy windows: </w:t>
      </w:r>
      <w:r w:rsidR="001F5593">
        <w:t>sustainable</w:t>
      </w:r>
      <w:r w:rsidR="001F5593" w:rsidRPr="00A04E56">
        <w:t xml:space="preserve"> </w:t>
      </w:r>
      <w:r w:rsidR="0099177F" w:rsidRPr="00A04E56">
        <w:t xml:space="preserve">infrastructure, research, innovation and digitisation, </w:t>
      </w:r>
      <w:r w:rsidR="00950FF5" w:rsidRPr="00A04E56">
        <w:t>small and medium-sized enterprises (SMEs)</w:t>
      </w:r>
      <w:r w:rsidR="0099177F" w:rsidRPr="00A04E56">
        <w:t>, and social investment and skills</w:t>
      </w:r>
      <w:r w:rsidR="001A4A14" w:rsidRPr="00A04E56">
        <w:t>.</w:t>
      </w:r>
    </w:p>
    <w:p w14:paraId="7F2CF08F" w14:textId="6C69AEB6" w:rsidR="001B412E" w:rsidRPr="00A04E56" w:rsidRDefault="001B412E" w:rsidP="0083276E">
      <w:pPr>
        <w:pStyle w:val="Title2Report"/>
      </w:pPr>
      <w:bookmarkStart w:id="39" w:name="_Toc12020997"/>
      <w:r w:rsidRPr="00A04E56">
        <w:t>Connecting Europe Facility</w:t>
      </w:r>
      <w:bookmarkEnd w:id="38"/>
      <w:bookmarkEnd w:id="39"/>
      <w:r w:rsidRPr="00A04E56">
        <w:t xml:space="preserve"> </w:t>
      </w:r>
    </w:p>
    <w:p w14:paraId="7A159216" w14:textId="77777777" w:rsidR="001B412E" w:rsidRPr="00A04E56" w:rsidRDefault="001B412E" w:rsidP="00AA0340">
      <w:pPr>
        <w:pStyle w:val="Title3NumberedReport"/>
      </w:pPr>
      <w:bookmarkStart w:id="40" w:name="_Toc4680707"/>
      <w:bookmarkStart w:id="41" w:name="_Toc4682981"/>
      <w:r w:rsidRPr="00A04E56">
        <w:t>Programme objectives</w:t>
      </w:r>
      <w:bookmarkEnd w:id="40"/>
      <w:bookmarkEnd w:id="41"/>
      <w:r w:rsidRPr="00A04E56">
        <w:t xml:space="preserve"> </w:t>
      </w:r>
    </w:p>
    <w:p w14:paraId="289244D0" w14:textId="14CA3B4C" w:rsidR="001B412E" w:rsidRPr="00A04E56" w:rsidRDefault="001B412E" w:rsidP="005D69A2">
      <w:pPr>
        <w:pStyle w:val="BodyText1spaceafter"/>
      </w:pPr>
      <w:r w:rsidRPr="00A04E56">
        <w:t xml:space="preserve">In order to stimulate job creation and </w:t>
      </w:r>
      <w:r w:rsidR="009803D7" w:rsidRPr="00A04E56">
        <w:t xml:space="preserve">boost </w:t>
      </w:r>
      <w:r w:rsidRPr="00A04E56">
        <w:t>growth</w:t>
      </w:r>
      <w:r w:rsidR="009803D7" w:rsidRPr="00A04E56">
        <w:t xml:space="preserve"> rates</w:t>
      </w:r>
      <w:r w:rsidRPr="00A04E56">
        <w:t xml:space="preserve">, the </w:t>
      </w:r>
      <w:r w:rsidR="009A0795" w:rsidRPr="00A04E56">
        <w:rPr>
          <w:noProof w:val="0"/>
        </w:rPr>
        <w:t>EU</w:t>
      </w:r>
      <w:r w:rsidRPr="00A04E56">
        <w:t xml:space="preserve"> needs an up-to-date, high-performance infrastructure to help connect and integrate the </w:t>
      </w:r>
      <w:r w:rsidR="009A0795" w:rsidRPr="00A04E56">
        <w:rPr>
          <w:noProof w:val="0"/>
        </w:rPr>
        <w:t>EU</w:t>
      </w:r>
      <w:r w:rsidRPr="00A04E56">
        <w:t xml:space="preserve"> and all its regions in the transport, telecommunications and energy sectors. </w:t>
      </w:r>
      <w:r w:rsidR="002C4F86" w:rsidRPr="00A04E56">
        <w:t>Such</w:t>
      </w:r>
      <w:r w:rsidRPr="00A04E56">
        <w:t xml:space="preserve"> connections are essential for the free movement of persons, goods, capital and services. </w:t>
      </w:r>
    </w:p>
    <w:p w14:paraId="63095D71" w14:textId="1F452F14" w:rsidR="00853719" w:rsidRPr="00A04E56" w:rsidRDefault="001B412E" w:rsidP="00BC75BD">
      <w:pPr>
        <w:pStyle w:val="BodyText1spaceafter"/>
      </w:pPr>
      <w:r w:rsidRPr="00A04E56">
        <w:t>The Connecting Europe Facility therefore supports investment in transport, energy and digital infrastructure through the development of trans-European networks. The</w:t>
      </w:r>
      <w:r w:rsidR="00ED7662" w:rsidRPr="00A04E56">
        <w:t>se</w:t>
      </w:r>
      <w:r w:rsidRPr="00A04E56">
        <w:t xml:space="preserve"> networks facilitate cross-border connections</w:t>
      </w:r>
      <w:r w:rsidR="007A7126" w:rsidRPr="00A04E56">
        <w:t xml:space="preserve"> and interoperability</w:t>
      </w:r>
      <w:r w:rsidRPr="00A04E56">
        <w:t xml:space="preserve">, foster greater economic, social and territorial cohesion and contribute to a more competitive social market economy. </w:t>
      </w:r>
    </w:p>
    <w:p w14:paraId="482BB104" w14:textId="25297318" w:rsidR="00F7048B" w:rsidRPr="00A04E56" w:rsidRDefault="00F7048B" w:rsidP="00392493">
      <w:pPr>
        <w:pStyle w:val="BodyText1spaceafter"/>
        <w:keepNext/>
        <w:rPr>
          <w:noProof w:val="0"/>
          <w:szCs w:val="20"/>
        </w:rPr>
      </w:pPr>
      <w:r w:rsidRPr="00A04E56">
        <w:t>The specific</w:t>
      </w:r>
      <w:r w:rsidRPr="00A04E56" w:rsidDel="00655667">
        <w:rPr>
          <w:szCs w:val="20"/>
        </w:rPr>
        <w:t xml:space="preserve"> </w:t>
      </w:r>
      <w:r w:rsidRPr="00A04E56">
        <w:rPr>
          <w:szCs w:val="20"/>
        </w:rPr>
        <w:t>objectives</w:t>
      </w:r>
      <w:r w:rsidR="005128AA" w:rsidRPr="00A04E56">
        <w:rPr>
          <w:rStyle w:val="fnRef"/>
        </w:rPr>
        <w:t xml:space="preserve"> </w:t>
      </w:r>
      <w:r w:rsidRPr="00A04E56">
        <w:rPr>
          <w:szCs w:val="20"/>
        </w:rPr>
        <w:t>of the Connecting Europe Facility</w:t>
      </w:r>
      <w:r w:rsidRPr="00A04E56" w:rsidDel="00DD253B">
        <w:rPr>
          <w:szCs w:val="20"/>
        </w:rPr>
        <w:t xml:space="preserve"> are</w:t>
      </w:r>
      <w:r w:rsidR="00533493" w:rsidRPr="00A04E56">
        <w:rPr>
          <w:noProof w:val="0"/>
          <w:szCs w:val="20"/>
        </w:rPr>
        <w:t xml:space="preserve"> the following:</w:t>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86"/>
      </w:tblGrid>
      <w:tr w:rsidR="00F06F46" w:rsidRPr="00A04E56" w14:paraId="2F09C001" w14:textId="77777777" w:rsidTr="00D60064">
        <w:trPr>
          <w:cantSplit/>
        </w:trPr>
        <w:tc>
          <w:tcPr>
            <w:tcW w:w="9286" w:type="dxa"/>
          </w:tcPr>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701"/>
              <w:gridCol w:w="7370"/>
            </w:tblGrid>
            <w:tr w:rsidR="002E684B" w:rsidRPr="00A04E56" w14:paraId="4E6499AA" w14:textId="77777777" w:rsidTr="00421B85">
              <w:trPr>
                <w:trHeight w:val="3175"/>
              </w:trPr>
              <w:tc>
                <w:tcPr>
                  <w:tcW w:w="170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E2DBC92" w14:textId="4224562C" w:rsidR="00E370D1" w:rsidRPr="00A04E56" w:rsidRDefault="00BE7A6E" w:rsidP="00277538">
                  <w:pPr>
                    <w:spacing w:after="120" w:line="276" w:lineRule="auto"/>
                    <w:jc w:val="right"/>
                    <w:rPr>
                      <w:rFonts w:cstheme="minorHAnsi"/>
                      <w:szCs w:val="20"/>
                    </w:rPr>
                  </w:pPr>
                  <w:r w:rsidRPr="00A04E56">
                    <w:rPr>
                      <w:noProof/>
                      <w:lang w:val="fr-BE" w:eastAsia="fr-BE"/>
                    </w:rPr>
                    <w:drawing>
                      <wp:inline distT="0" distB="0" distL="0" distR="0" wp14:anchorId="1186B73F" wp14:editId="0878C139">
                        <wp:extent cx="468000" cy="468000"/>
                        <wp:effectExtent l="0" t="0" r="8255" b="8255"/>
                        <wp:docPr id="21" name="Picture 21" descr="G:\Production\B2 prepresse\Raimonds\2019.1745 AMPR\50 - work on images\AMPR Icons\AMPR Icons_Send1\AMPR Icons_Send1\Icon_10202_CE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roduction\B2 prepresse\Raimonds\2019.1745 AMPR\50 - work on images\AMPR Icons\AMPR Icons_Send1\AMPR Icons_Send1\Icon_10202_CEF_01.emf"/>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37" w:type="dxa"/>
                  </w:tcMar>
                  <w:vAlign w:val="center"/>
                </w:tcPr>
                <w:p w14:paraId="499D32CE" w14:textId="16707C83" w:rsidR="00E370D1" w:rsidRPr="00A04E56" w:rsidRDefault="00E370D1" w:rsidP="00A52500">
                  <w:pPr>
                    <w:pStyle w:val="BodyText1spaceafter"/>
                    <w:spacing w:after="120"/>
                    <w:rPr>
                      <w:b/>
                    </w:rPr>
                  </w:pPr>
                  <w:r w:rsidRPr="00A04E56">
                    <w:rPr>
                      <w:b/>
                    </w:rPr>
                    <w:t>Connecting Europe Facility</w:t>
                  </w:r>
                  <w:r w:rsidRPr="00A04E56" w:rsidDel="00EC0B83">
                    <w:rPr>
                      <w:b/>
                    </w:rPr>
                    <w:t xml:space="preserve"> </w:t>
                  </w:r>
                  <w:r w:rsidR="00EC0B83" w:rsidRPr="00A04E56">
                    <w:rPr>
                      <w:b/>
                      <w:noProof w:val="0"/>
                    </w:rPr>
                    <w:t xml:space="preserve">— </w:t>
                  </w:r>
                  <w:r w:rsidRPr="00A04E56">
                    <w:rPr>
                      <w:b/>
                    </w:rPr>
                    <w:t>Transport</w:t>
                  </w:r>
                </w:p>
                <w:p w14:paraId="5B2A68C0" w14:textId="74657944" w:rsidR="00E370D1" w:rsidRPr="00A04E56" w:rsidRDefault="00DD253B" w:rsidP="00107DA0">
                  <w:pPr>
                    <w:pStyle w:val="BulletsblueNew"/>
                  </w:pPr>
                  <w:r w:rsidRPr="00A04E56">
                    <w:t>R</w:t>
                  </w:r>
                  <w:r w:rsidR="00E370D1" w:rsidRPr="00A04E56">
                    <w:t>emoving bottlenecks, enhancing rail interoperability, bridging missing links and, in particular, improving cross-border sections</w:t>
                  </w:r>
                  <w:r w:rsidRPr="00A04E56">
                    <w:t>.</w:t>
                  </w:r>
                </w:p>
                <w:p w14:paraId="22D03A62" w14:textId="77777777" w:rsidR="00E370D1" w:rsidRPr="00A04E56" w:rsidRDefault="00DD253B" w:rsidP="00107DA0">
                  <w:pPr>
                    <w:pStyle w:val="BulletsblueNew"/>
                  </w:pPr>
                  <w:r w:rsidRPr="00A04E56">
                    <w:t>E</w:t>
                  </w:r>
                  <w:r w:rsidR="00E370D1" w:rsidRPr="00A04E56">
                    <w:t xml:space="preserve">nsuring sustainable and efficient transport systems in the long run with a view to preparing for expected future transport flows as well as enabling all modes of transport to be decarbonised through </w:t>
                  </w:r>
                  <w:r w:rsidR="00ED7662" w:rsidRPr="00A04E56">
                    <w:t xml:space="preserve">the </w:t>
                  </w:r>
                  <w:r w:rsidR="00E370D1" w:rsidRPr="00A04E56">
                    <w:t>transition to innovative low-carbon and energy-efficient transport technologies while optimising safety</w:t>
                  </w:r>
                  <w:r w:rsidRPr="00A04E56">
                    <w:t>.</w:t>
                  </w:r>
                </w:p>
                <w:p w14:paraId="6BA80CCC" w14:textId="15A4F16B" w:rsidR="00B74D06" w:rsidRPr="00A04E56" w:rsidRDefault="00B74D06" w:rsidP="00107DA0">
                  <w:pPr>
                    <w:pStyle w:val="BulletsblueNew"/>
                  </w:pPr>
                  <w:r w:rsidRPr="00A04E56">
                    <w:t>Optimising the integration and interconnection of transport modes and enhancing the interoperability of transport services, while ensuring the accessibility of transport infrastructures.</w:t>
                  </w:r>
                </w:p>
              </w:tc>
            </w:tr>
            <w:tr w:rsidR="002E684B" w:rsidRPr="00A04E56" w14:paraId="2EDEA2B3" w14:textId="77777777" w:rsidTr="00421B85">
              <w:trPr>
                <w:trHeight w:val="2721"/>
              </w:trPr>
              <w:tc>
                <w:tcPr>
                  <w:tcW w:w="170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0467F3FD" w14:textId="7FD5C8C9" w:rsidR="00E370D1" w:rsidRPr="00A04E56" w:rsidRDefault="00BE7A6E" w:rsidP="00277538">
                  <w:pPr>
                    <w:spacing w:after="120" w:line="276" w:lineRule="auto"/>
                    <w:jc w:val="right"/>
                    <w:rPr>
                      <w:rFonts w:cstheme="minorHAnsi"/>
                      <w:szCs w:val="20"/>
                    </w:rPr>
                  </w:pPr>
                  <w:r w:rsidRPr="00A04E56">
                    <w:rPr>
                      <w:noProof/>
                      <w:lang w:val="fr-BE" w:eastAsia="fr-BE"/>
                    </w:rPr>
                    <w:drawing>
                      <wp:inline distT="0" distB="0" distL="0" distR="0" wp14:anchorId="353ECA90" wp14:editId="1B995DE2">
                        <wp:extent cx="468000" cy="468000"/>
                        <wp:effectExtent l="0" t="0" r="8255" b="8255"/>
                        <wp:docPr id="23" name="Picture 23" descr="G:\Production\B2 prepresse\Raimonds\2019.1745 AMPR\50 - work on images\AMPR Icons\AMPR Icons_Send1\AMPR Icons_Send1\Icon_10202_CE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roduction\B2 prepresse\Raimonds\2019.1745 AMPR\50 - work on images\AMPR Icons\AMPR Icons_Send1\AMPR Icons_Send1\Icon_10202_CEF_02.emf"/>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37" w:type="dxa"/>
                  </w:tcMar>
                  <w:vAlign w:val="center"/>
                </w:tcPr>
                <w:p w14:paraId="72D69E7A" w14:textId="7EFF6A98" w:rsidR="00E370D1" w:rsidRPr="00A04E56" w:rsidRDefault="00E370D1" w:rsidP="00A52500">
                  <w:pPr>
                    <w:pStyle w:val="BodyText1spacebeforeandafter"/>
                    <w:spacing w:before="0" w:after="120"/>
                    <w:rPr>
                      <w:b/>
                    </w:rPr>
                  </w:pPr>
                  <w:r w:rsidRPr="00A04E56">
                    <w:rPr>
                      <w:b/>
                    </w:rPr>
                    <w:t>Connecting Europe Facility</w:t>
                  </w:r>
                  <w:r w:rsidRPr="00A04E56" w:rsidDel="00EC0B83">
                    <w:rPr>
                      <w:b/>
                    </w:rPr>
                    <w:t xml:space="preserve"> </w:t>
                  </w:r>
                  <w:r w:rsidR="00EC0B83" w:rsidRPr="00A04E56">
                    <w:rPr>
                      <w:b/>
                      <w:noProof w:val="0"/>
                    </w:rPr>
                    <w:t xml:space="preserve">— </w:t>
                  </w:r>
                  <w:r w:rsidRPr="00A04E56">
                    <w:rPr>
                      <w:b/>
                    </w:rPr>
                    <w:t>Energy</w:t>
                  </w:r>
                </w:p>
                <w:p w14:paraId="2E8AA53C" w14:textId="60FD1C0F" w:rsidR="00E370D1" w:rsidRPr="00A04E56" w:rsidRDefault="00DD253B" w:rsidP="00107DA0">
                  <w:pPr>
                    <w:pStyle w:val="BulletsblueNew"/>
                  </w:pPr>
                  <w:r w:rsidRPr="00A04E56">
                    <w:t>I</w:t>
                  </w:r>
                  <w:r w:rsidR="00E370D1" w:rsidRPr="00A04E56">
                    <w:t>ncreasing competitiveness by promoting the further integration of the internal energy market and the interoperability of electricity and gas networks across borders</w:t>
                  </w:r>
                  <w:r w:rsidRPr="00A04E56">
                    <w:t>.</w:t>
                  </w:r>
                </w:p>
                <w:p w14:paraId="17F1AC77" w14:textId="27A9527D" w:rsidR="00E370D1" w:rsidRPr="00A04E56" w:rsidRDefault="00DD253B" w:rsidP="00107DA0">
                  <w:pPr>
                    <w:pStyle w:val="BulletsblueNew"/>
                  </w:pPr>
                  <w:r w:rsidRPr="00A04E56">
                    <w:t>E</w:t>
                  </w:r>
                  <w:r w:rsidR="00E370D1" w:rsidRPr="00A04E56">
                    <w:t xml:space="preserve">nhancing </w:t>
                  </w:r>
                  <w:r w:rsidR="00ED7662" w:rsidRPr="00A04E56">
                    <w:t xml:space="preserve">the </w:t>
                  </w:r>
                  <w:r w:rsidR="009A0795" w:rsidRPr="00A04E56">
                    <w:t>EU</w:t>
                  </w:r>
                  <w:r w:rsidR="00E370D1" w:rsidRPr="00A04E56">
                    <w:t xml:space="preserve"> security of energy supply</w:t>
                  </w:r>
                  <w:r w:rsidRPr="00A04E56">
                    <w:t>.</w:t>
                  </w:r>
                </w:p>
                <w:p w14:paraId="2307F399" w14:textId="25CE5642" w:rsidR="00E370D1" w:rsidRPr="00A04E56" w:rsidRDefault="00DD253B" w:rsidP="00107DA0">
                  <w:pPr>
                    <w:pStyle w:val="BulletsblueNew"/>
                  </w:pPr>
                  <w:r w:rsidRPr="00A04E56">
                    <w:t>C</w:t>
                  </w:r>
                  <w:r w:rsidR="00E370D1" w:rsidRPr="00A04E56">
                    <w:t>ontributing to sustainable development and protection of the environment, inter alia</w:t>
                  </w:r>
                  <w:r w:rsidR="00ED7662" w:rsidRPr="00A04E56">
                    <w:t>,</w:t>
                  </w:r>
                  <w:r w:rsidR="00E370D1" w:rsidRPr="00A04E56">
                    <w:t xml:space="preserve"> by the integration of energy from renewable sources into the transmission network and by the development of smart energy networks and carbon dioxide networks</w:t>
                  </w:r>
                  <w:r w:rsidRPr="00A04E56">
                    <w:t>.</w:t>
                  </w:r>
                </w:p>
              </w:tc>
            </w:tr>
            <w:tr w:rsidR="002E684B" w:rsidRPr="00A04E56" w14:paraId="2D3EACA9" w14:textId="77777777" w:rsidTr="00421B85">
              <w:trPr>
                <w:trHeight w:val="2608"/>
              </w:trPr>
              <w:tc>
                <w:tcPr>
                  <w:tcW w:w="1701"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14:paraId="37EEAA11" w14:textId="40D478A1" w:rsidR="00E370D1" w:rsidRPr="00A04E56" w:rsidRDefault="00BE7A6E" w:rsidP="00277538">
                  <w:pPr>
                    <w:spacing w:after="120" w:line="276" w:lineRule="auto"/>
                    <w:jc w:val="right"/>
                    <w:rPr>
                      <w:rFonts w:cstheme="minorHAnsi"/>
                      <w:szCs w:val="20"/>
                      <w:lang w:eastAsia="fr-BE"/>
                    </w:rPr>
                  </w:pPr>
                  <w:r w:rsidRPr="00A04E56">
                    <w:rPr>
                      <w:noProof/>
                      <w:lang w:val="fr-BE" w:eastAsia="fr-BE"/>
                    </w:rPr>
                    <w:drawing>
                      <wp:inline distT="0" distB="0" distL="0" distR="0" wp14:anchorId="0C78397F" wp14:editId="65B36717">
                        <wp:extent cx="468000" cy="468000"/>
                        <wp:effectExtent l="0" t="0" r="8255" b="8255"/>
                        <wp:docPr id="25" name="Picture 25" descr="G:\Production\B2 prepresse\Raimonds\2019.1745 AMPR\50 - work on images\AMPR Icons\AMPR Icons_Send1\AMPR Icons_Send1\Icon_10202_CE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roduction\B2 prepresse\Raimonds\2019.1745 AMPR\50 - work on images\AMPR Icons\AMPR Icons_Send1\AMPR Icons_Send1\Icon_10202_CEF_03.emf"/>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tcMar>
                    <w:right w:w="737" w:type="dxa"/>
                  </w:tcMar>
                  <w:vAlign w:val="center"/>
                </w:tcPr>
                <w:p w14:paraId="684BB5F8" w14:textId="77CFFB70" w:rsidR="00E370D1" w:rsidRPr="00A04E56" w:rsidRDefault="00E370D1" w:rsidP="00A52500">
                  <w:pPr>
                    <w:pStyle w:val="BodyText1spacebeforeandafter"/>
                    <w:spacing w:before="0" w:after="120"/>
                    <w:rPr>
                      <w:b/>
                    </w:rPr>
                  </w:pPr>
                  <w:r w:rsidRPr="00A04E56">
                    <w:rPr>
                      <w:b/>
                    </w:rPr>
                    <w:t xml:space="preserve">Connecting Europe Facility </w:t>
                  </w:r>
                  <w:r w:rsidR="00EC0B83" w:rsidRPr="00A04E56">
                    <w:rPr>
                      <w:b/>
                      <w:noProof w:val="0"/>
                    </w:rPr>
                    <w:t>—</w:t>
                  </w:r>
                  <w:r w:rsidRPr="00A04E56">
                    <w:rPr>
                      <w:b/>
                    </w:rPr>
                    <w:t xml:space="preserve"> Telecommunications</w:t>
                  </w:r>
                </w:p>
                <w:p w14:paraId="12F94A5A" w14:textId="6D2C9A3A" w:rsidR="00E370D1" w:rsidRPr="00A04E56" w:rsidRDefault="00E370D1" w:rsidP="00107DA0">
                  <w:pPr>
                    <w:pStyle w:val="BulletsblueNew"/>
                  </w:pPr>
                  <w:r w:rsidRPr="00A04E56">
                    <w:t>Contribut</w:t>
                  </w:r>
                  <w:r w:rsidR="00ED7662" w:rsidRPr="00A04E56">
                    <w:t>ing</w:t>
                  </w:r>
                  <w:r w:rsidRPr="00A04E56">
                    <w:t xml:space="preserve"> to interoperability, connectivity, sustainable deployment</w:t>
                  </w:r>
                  <w:r w:rsidR="007A7126" w:rsidRPr="00A04E56">
                    <w:t>,</w:t>
                  </w:r>
                  <w:r w:rsidRPr="00A04E56">
                    <w:t>operation</w:t>
                  </w:r>
                  <w:r w:rsidR="00FE7FBB" w:rsidRPr="00A04E56">
                    <w:t>,</w:t>
                  </w:r>
                  <w:r w:rsidRPr="00A04E56">
                    <w:t xml:space="preserve"> and</w:t>
                  </w:r>
                  <w:r w:rsidR="007A7126" w:rsidRPr="00A04E56">
                    <w:t xml:space="preserve"> evolutive maintenance </w:t>
                  </w:r>
                  <w:r w:rsidRPr="00A04E56">
                    <w:t>of trans-European digital service infrastructures, as well as coordination at European level</w:t>
                  </w:r>
                  <w:r w:rsidR="00ED7662" w:rsidRPr="00A04E56">
                    <w:t>.</w:t>
                  </w:r>
                </w:p>
                <w:p w14:paraId="59FF2BC3" w14:textId="429FCF86" w:rsidR="00E370D1" w:rsidRPr="00A04E56" w:rsidRDefault="00E370D1" w:rsidP="00107DA0">
                  <w:pPr>
                    <w:pStyle w:val="BulletsblueNew"/>
                  </w:pPr>
                  <w:r w:rsidRPr="00A04E56">
                    <w:t>Contribut</w:t>
                  </w:r>
                  <w:r w:rsidR="00ED7662" w:rsidRPr="00A04E56">
                    <w:t>ing</w:t>
                  </w:r>
                  <w:r w:rsidRPr="00A04E56">
                    <w:t xml:space="preserve"> to </w:t>
                  </w:r>
                  <w:r w:rsidR="00ED7662" w:rsidRPr="00A04E56">
                    <w:t>the</w:t>
                  </w:r>
                  <w:r w:rsidRPr="00A04E56">
                    <w:t xml:space="preserve"> efficient flow of private and public investments to stimulate deployment and modernisation of broadband networks with a view to contributing to achieving the broadband targets of the </w:t>
                  </w:r>
                  <w:r w:rsidR="00ED7662" w:rsidRPr="00A04E56">
                    <w:t>d</w:t>
                  </w:r>
                  <w:r w:rsidRPr="00A04E56">
                    <w:t xml:space="preserve">igital </w:t>
                  </w:r>
                  <w:r w:rsidR="00ED7662" w:rsidRPr="00A04E56">
                    <w:t>a</w:t>
                  </w:r>
                  <w:r w:rsidRPr="00A04E56">
                    <w:t>genda for Europe.</w:t>
                  </w:r>
                </w:p>
              </w:tc>
            </w:tr>
          </w:tbl>
          <w:p w14:paraId="3EFDF0C0" w14:textId="654A72B4" w:rsidR="00F06F46" w:rsidRPr="00A04E56" w:rsidRDefault="00F06F46" w:rsidP="001B412E">
            <w:pPr>
              <w:pStyle w:val="BodyText"/>
              <w:jc w:val="both"/>
              <w:rPr>
                <w:szCs w:val="20"/>
                <w:lang w:eastAsia="fr-BE"/>
              </w:rPr>
            </w:pPr>
          </w:p>
        </w:tc>
      </w:tr>
    </w:tbl>
    <w:p w14:paraId="305777C6" w14:textId="35ECE67E" w:rsidR="00D60064" w:rsidRPr="00A04E56" w:rsidRDefault="00D60064" w:rsidP="00AA0340">
      <w:pPr>
        <w:pStyle w:val="Title3NumberedReport"/>
      </w:pPr>
      <w:bookmarkStart w:id="42" w:name="_Toc4680708"/>
      <w:bookmarkStart w:id="43" w:name="_Toc4682982"/>
      <w:r w:rsidRPr="00A04E56">
        <w:t>Implementation and latest achievements</w:t>
      </w:r>
    </w:p>
    <w:bookmarkEnd w:id="42"/>
    <w:bookmarkEnd w:id="43"/>
    <w:p w14:paraId="65B83233" w14:textId="293DC167" w:rsidR="001B412E" w:rsidRPr="00A04E56" w:rsidRDefault="001B412E" w:rsidP="00936D55">
      <w:pPr>
        <w:pStyle w:val="BodyText1spaceafter"/>
      </w:pPr>
      <w:r w:rsidRPr="00A04E56">
        <w:t xml:space="preserve">The Connecting Europe Facility provides support for the development of the </w:t>
      </w:r>
      <w:r w:rsidR="00ED7662" w:rsidRPr="00A04E56">
        <w:t>T</w:t>
      </w:r>
      <w:r w:rsidRPr="00A04E56">
        <w:t xml:space="preserve">rans-European </w:t>
      </w:r>
      <w:r w:rsidR="00ED7662" w:rsidRPr="00A04E56">
        <w:t>T</w:t>
      </w:r>
      <w:r w:rsidRPr="00A04E56">
        <w:t xml:space="preserve">ransport </w:t>
      </w:r>
      <w:r w:rsidR="00ED7662" w:rsidRPr="00A04E56">
        <w:t>N</w:t>
      </w:r>
      <w:r w:rsidRPr="00A04E56">
        <w:t xml:space="preserve">etwork completing cross-border connections, bridging missing links and removing bottlenecks. </w:t>
      </w:r>
      <w:r w:rsidR="00161740" w:rsidRPr="0005798F">
        <w:rPr>
          <w:i/>
          <w:u w:val="single"/>
        </w:rPr>
        <w:t>Between 2014 and 2018</w:t>
      </w:r>
      <w:r w:rsidR="00161740" w:rsidRPr="00161740">
        <w:t xml:space="preserve">, 688 projects were selected for funding under the </w:t>
      </w:r>
      <w:r w:rsidR="00161740" w:rsidRPr="0005798F">
        <w:rPr>
          <w:rStyle w:val="BOLDLIGHTBLUEReport"/>
          <w:rFonts w:eastAsia="Calibri"/>
        </w:rPr>
        <w:t>transport</w:t>
      </w:r>
      <w:r w:rsidR="00161740" w:rsidRPr="00161740">
        <w:t xml:space="preserve"> strand of the Connecting Europe Facility, providing EUR 22.8 billion EU funds leveraging an investment volume of EUR 48 billion. </w:t>
      </w:r>
      <w:r w:rsidR="00161740" w:rsidRPr="0005798F">
        <w:rPr>
          <w:i/>
          <w:u w:val="single"/>
        </w:rPr>
        <w:t>In 2018</w:t>
      </w:r>
      <w:r w:rsidR="00161740" w:rsidRPr="00161740">
        <w:t>, the Connecting Europe Facility provided EUR 1.7 billion funds leveraging an overall investment of almost EUR 7</w:t>
      </w:r>
      <w:r w:rsidR="00161740">
        <w:t xml:space="preserve"> </w:t>
      </w:r>
      <w:r w:rsidR="00161740" w:rsidRPr="00161740">
        <w:t xml:space="preserve"> billion for 88 transport projects focusing on Trans-European Networks (TEN). In addition, a specific call was launched to mobilise funds in favour of transport safety, digitalisation and multimodality with EUR 450 million funds available.</w:t>
      </w:r>
    </w:p>
    <w:p w14:paraId="24E3B680" w14:textId="67446C1C" w:rsidR="00720C99" w:rsidRPr="00A04E56" w:rsidRDefault="00720C99" w:rsidP="00720C99">
      <w:pPr>
        <w:pStyle w:val="BodyText1spaceafter"/>
      </w:pPr>
      <w:r w:rsidRPr="00A04E56">
        <w:t xml:space="preserve">The </w:t>
      </w:r>
      <w:r w:rsidRPr="00A04E56">
        <w:rPr>
          <w:rStyle w:val="BOLDLIGHTBLUEReport"/>
          <w:rFonts w:eastAsia="Calibri"/>
        </w:rPr>
        <w:t>telecommunications</w:t>
      </w:r>
      <w:r w:rsidRPr="00A04E56">
        <w:t xml:space="preserve"> strand of the </w:t>
      </w:r>
      <w:r w:rsidRPr="00A04E56">
        <w:rPr>
          <w:szCs w:val="20"/>
        </w:rPr>
        <w:t>Connecting Europe Facility</w:t>
      </w:r>
      <w:r w:rsidRPr="00A04E56">
        <w:t xml:space="preserve"> </w:t>
      </w:r>
      <w:r w:rsidR="007A7126" w:rsidRPr="00A04E56">
        <w:t xml:space="preserve">enables the </w:t>
      </w:r>
      <w:r w:rsidR="001F5593" w:rsidRPr="00A04E56">
        <w:t>intero</w:t>
      </w:r>
      <w:r w:rsidR="001F5593">
        <w:t>p</w:t>
      </w:r>
      <w:r w:rsidR="001F5593" w:rsidRPr="00A04E56">
        <w:t xml:space="preserve">erability </w:t>
      </w:r>
      <w:r w:rsidR="007A7126" w:rsidRPr="00A04E56">
        <w:t xml:space="preserve">by deploying an ecosystem of </w:t>
      </w:r>
      <w:r w:rsidRPr="00A04E56">
        <w:t>trusted cross-border digital service infrastructures that are essential to trigger the digital transformation of the Member States</w:t>
      </w:r>
      <w:r w:rsidR="007A7126" w:rsidRPr="00A04E56">
        <w:t xml:space="preserve">. In terms of connectivity the </w:t>
      </w:r>
      <w:r w:rsidR="007A7126" w:rsidRPr="00A04E56">
        <w:rPr>
          <w:szCs w:val="20"/>
        </w:rPr>
        <w:t>Connecting Europe Facility</w:t>
      </w:r>
      <w:r w:rsidR="007A7126" w:rsidRPr="00A04E56">
        <w:t xml:space="preserve"> stimulates investemnt for deploying and modernising broadband networks, and provides high-quality local wireless connectivity in local communitites (Wifi4EU). Digital </w:t>
      </w:r>
      <w:r w:rsidR="008E12FB" w:rsidRPr="00A04E56">
        <w:t>s</w:t>
      </w:r>
      <w:r w:rsidR="007A7126" w:rsidRPr="00A04E56">
        <w:t>ervice</w:t>
      </w:r>
      <w:r w:rsidR="008E12FB" w:rsidRPr="00A04E56">
        <w:t xml:space="preserve"> </w:t>
      </w:r>
      <w:r w:rsidRPr="00A04E56">
        <w:t>infrastructures</w:t>
      </w:r>
      <w:r w:rsidR="008E12FB" w:rsidRPr="00A04E56">
        <w:t xml:space="preserve"> facilitate cross-border interaction between public administrations, businesses and citisens in a wide range of areas such as </w:t>
      </w:r>
      <w:r w:rsidR="003D55F2" w:rsidRPr="00A04E56">
        <w:t>cybersecurity</w:t>
      </w:r>
      <w:r w:rsidR="008E12FB" w:rsidRPr="00A04E56">
        <w:t>, open data and e-health.</w:t>
      </w:r>
      <w:r w:rsidRPr="00A04E56">
        <w:t xml:space="preserve">The work programme for 2018 supported the deployment, operation and evolutive maintenance of </w:t>
      </w:r>
      <w:r w:rsidRPr="00A04E56">
        <w:rPr>
          <w:noProof w:val="0"/>
        </w:rPr>
        <w:t>16</w:t>
      </w:r>
      <w:r w:rsidRPr="00A04E56">
        <w:t xml:space="preserve"> digital infrastructures, building on the investment </w:t>
      </w:r>
      <w:r w:rsidRPr="00A04E56">
        <w:rPr>
          <w:noProof w:val="0"/>
        </w:rPr>
        <w:t>made</w:t>
      </w:r>
      <w:r w:rsidRPr="00A04E56">
        <w:t xml:space="preserve"> in previous years. In addition, three new building blocks were added to the Connecting Europe Facility ecosystem, namely eArchiving, the Context Broker, and </w:t>
      </w:r>
      <w:r w:rsidR="00F504A4" w:rsidRPr="00A04E56">
        <w:t>big data</w:t>
      </w:r>
      <w:r w:rsidRPr="00A04E56">
        <w:t xml:space="preserve"> Test Infrastructure</w:t>
      </w:r>
      <w:r w:rsidRPr="00A04E56">
        <w:rPr>
          <w:rStyle w:val="fnRef"/>
          <w:rFonts w:ascii="Arial" w:hAnsi="Arial" w:cs="Arial"/>
        </w:rPr>
        <w:t> </w:t>
      </w:r>
      <w:r w:rsidRPr="00A04E56">
        <w:rPr>
          <w:rStyle w:val="fnRef"/>
        </w:rPr>
        <w:t>(</w:t>
      </w:r>
      <w:r w:rsidRPr="00A04E56">
        <w:rPr>
          <w:rStyle w:val="fnRefNo"/>
        </w:rPr>
        <w:footnoteReference w:id="65"/>
      </w:r>
      <w:r w:rsidRPr="00A04E56">
        <w:rPr>
          <w:rStyle w:val="fnRef"/>
        </w:rPr>
        <w:t>)</w:t>
      </w:r>
      <w:r w:rsidRPr="00A04E56">
        <w:t>.</w:t>
      </w:r>
    </w:p>
    <w:p w14:paraId="26C921D4" w14:textId="1FB3418C" w:rsidR="00720C99" w:rsidRPr="00A04E56" w:rsidRDefault="00720C99" w:rsidP="00C257BF">
      <w:pPr>
        <w:pStyle w:val="BOXE3GREEN"/>
      </w:pPr>
      <w:r w:rsidRPr="00A04E56">
        <w:rPr>
          <w:noProof w:val="0"/>
          <w:color w:val="65BBC8"/>
        </w:rPr>
        <w:t>The</w:t>
      </w:r>
      <w:r w:rsidRPr="00A04E56">
        <w:t xml:space="preserve"> </w:t>
      </w:r>
      <w:r w:rsidRPr="00A04E56">
        <w:rPr>
          <w:rStyle w:val="BOLDLIGHTBLUEReport"/>
          <w:rFonts w:eastAsiaTheme="minorHAnsi"/>
        </w:rPr>
        <w:t>e-Identification building block</w:t>
      </w:r>
      <w:r w:rsidRPr="00A04E56">
        <w:rPr>
          <w:b/>
        </w:rPr>
        <w:t xml:space="preserve"> </w:t>
      </w:r>
      <w:r w:rsidRPr="00A04E56">
        <w:rPr>
          <w:noProof w:val="0"/>
          <w:color w:val="65BBC8"/>
        </w:rPr>
        <w:t xml:space="preserve">addresses the challenge of cross-border recognition of nationally issued electronic identification documents. Once this is deployed in a Member State, the mutual recognition of such national identification documents becomes possible between participating Member States. This means that, for example, an EU citizen will be able to access a public service of another Member State using his or her own national means of identification. </w:t>
      </w:r>
      <w:r w:rsidR="008E12FB" w:rsidRPr="00A04E56">
        <w:rPr>
          <w:i/>
          <w:noProof w:val="0"/>
          <w:color w:val="65BBC8"/>
          <w:u w:val="single"/>
        </w:rPr>
        <w:t>In 2018</w:t>
      </w:r>
      <w:r w:rsidR="008E12FB" w:rsidRPr="00A04E56">
        <w:rPr>
          <w:noProof w:val="0"/>
          <w:color w:val="65BBC8"/>
        </w:rPr>
        <w:t>, t</w:t>
      </w:r>
      <w:r w:rsidRPr="00A04E56">
        <w:rPr>
          <w:noProof w:val="0"/>
          <w:color w:val="65BBC8"/>
        </w:rPr>
        <w:t xml:space="preserve">he Connecting Europe Facility is financing an ambitious project laying the groundwork for the actual use of electronic identification documents in the Netherlands, enabling EU citizens to prove their identity electronically with their nationally issued documents when seeking access to </w:t>
      </w:r>
      <w:r w:rsidR="008E12FB" w:rsidRPr="00A04E56">
        <w:rPr>
          <w:noProof w:val="0"/>
          <w:color w:val="65BBC8"/>
        </w:rPr>
        <w:t>more than 200 public services in 90 municipalities.</w:t>
      </w:r>
      <w:r w:rsidRPr="00A04E56">
        <w:rPr>
          <w:noProof w:val="0"/>
          <w:color w:val="65BBC8"/>
        </w:rPr>
        <w:t xml:space="preserve"> The solution is currently available for Austrian, German and Belgian electronic identification documents holders and should progressively be extended to other countries</w:t>
      </w:r>
      <w:r w:rsidRPr="00277538">
        <w:rPr>
          <w:rStyle w:val="fnRef"/>
          <w:rFonts w:ascii="Calibri" w:hAnsi="Calibri"/>
        </w:rPr>
        <w:t> </w:t>
      </w:r>
      <w:r w:rsidRPr="00277538">
        <w:rPr>
          <w:rStyle w:val="fnRef"/>
          <w:color w:val="65BBC8"/>
        </w:rPr>
        <w:t>(</w:t>
      </w:r>
      <w:r w:rsidRPr="00277538">
        <w:rPr>
          <w:rStyle w:val="fnRefNo"/>
          <w:color w:val="65BBC8"/>
        </w:rPr>
        <w:footnoteReference w:id="66"/>
      </w:r>
      <w:r w:rsidRPr="00277538">
        <w:rPr>
          <w:rStyle w:val="fnRef"/>
          <w:color w:val="65BBC8"/>
        </w:rPr>
        <w:t>).</w:t>
      </w:r>
    </w:p>
    <w:p w14:paraId="666AB780" w14:textId="56AB6B06" w:rsidR="001B412E" w:rsidRPr="00A04E56" w:rsidRDefault="001B412E" w:rsidP="00705BA0">
      <w:pPr>
        <w:pStyle w:val="BodyText1spacebeforeandafter"/>
      </w:pPr>
      <w:r w:rsidRPr="00A04E56">
        <w:rPr>
          <w:i/>
          <w:u w:val="single"/>
        </w:rPr>
        <w:t>2018</w:t>
      </w:r>
      <w:r w:rsidRPr="00A04E56">
        <w:t xml:space="preserve"> saw the completion of the 2017 Connecting Europe Facility </w:t>
      </w:r>
      <w:r w:rsidR="00ED7662" w:rsidRPr="00A04E56">
        <w:t>t</w:t>
      </w:r>
      <w:r w:rsidRPr="00A04E56">
        <w:t xml:space="preserve">ransport blending call that took an innovative approach, making available a total indicative budget of </w:t>
      </w:r>
      <w:r w:rsidRPr="00A04E56" w:rsidDel="00543763">
        <w:t>EUR</w:t>
      </w:r>
      <w:r w:rsidR="00543763" w:rsidRPr="00A04E56">
        <w:rPr>
          <w:rFonts w:ascii="Calibri" w:hAnsi="Calibri" w:cs="Calibri"/>
          <w:noProof w:val="0"/>
        </w:rPr>
        <w:t> </w:t>
      </w:r>
      <w:r w:rsidRPr="00A04E56">
        <w:rPr>
          <w:noProof w:val="0"/>
        </w:rPr>
        <w:t>1.</w:t>
      </w:r>
      <w:r w:rsidR="002B2F15" w:rsidRPr="00A04E56">
        <w:rPr>
          <w:noProof w:val="0"/>
        </w:rPr>
        <w:t>40</w:t>
      </w:r>
      <w:r w:rsidR="006B7032" w:rsidRPr="00A04E56">
        <w:rPr>
          <w:rFonts w:ascii="Calibri" w:hAnsi="Calibri" w:cs="Calibri"/>
          <w:noProof w:val="0"/>
        </w:rPr>
        <w:t> </w:t>
      </w:r>
      <w:r w:rsidR="006B7032" w:rsidRPr="00A04E56">
        <w:rPr>
          <w:noProof w:val="0"/>
        </w:rPr>
        <w:t>billion</w:t>
      </w:r>
      <w:r w:rsidRPr="00A04E56">
        <w:t xml:space="preserve"> of EU grants, to be combined with financing from the </w:t>
      </w:r>
      <w:r w:rsidR="005842D4" w:rsidRPr="00A04E56">
        <w:t>European Fund for Strategic Investments</w:t>
      </w:r>
      <w:r w:rsidRPr="00A04E56">
        <w:t xml:space="preserve">, the </w:t>
      </w:r>
      <w:r w:rsidR="005842D4" w:rsidRPr="00A04E56">
        <w:t>European Investment Bank</w:t>
      </w:r>
      <w:r w:rsidRPr="00A04E56">
        <w:t xml:space="preserve">, </w:t>
      </w:r>
      <w:r w:rsidR="00BC4EE8" w:rsidRPr="00A04E56">
        <w:t xml:space="preserve">national promotional banks </w:t>
      </w:r>
      <w:r w:rsidRPr="00A04E56">
        <w:t>or private</w:t>
      </w:r>
      <w:r w:rsidR="00ED7662" w:rsidRPr="00A04E56">
        <w:t>-</w:t>
      </w:r>
      <w:r w:rsidRPr="00A04E56">
        <w:t>sector investors. Over EUR</w:t>
      </w:r>
      <w:r w:rsidR="00543763" w:rsidRPr="00A04E56">
        <w:rPr>
          <w:rFonts w:ascii="Calibri" w:hAnsi="Calibri" w:cs="Calibri"/>
          <w:noProof w:val="0"/>
        </w:rPr>
        <w:t> </w:t>
      </w:r>
      <w:r w:rsidRPr="00A04E56">
        <w:t>250</w:t>
      </w:r>
      <w:r w:rsidR="009E3512" w:rsidRPr="00A04E56">
        <w:rPr>
          <w:rFonts w:ascii="Calibri" w:hAnsi="Calibri" w:cs="Calibri"/>
          <w:noProof w:val="0"/>
        </w:rPr>
        <w:t> </w:t>
      </w:r>
      <w:r w:rsidR="009E3512" w:rsidRPr="00A04E56">
        <w:rPr>
          <w:noProof w:val="0"/>
        </w:rPr>
        <w:t>million</w:t>
      </w:r>
      <w:r w:rsidRPr="00A04E56">
        <w:t xml:space="preserve"> of co-funding will be dedicated to promoting alternative fuels in transport. These projects include:</w:t>
      </w:r>
    </w:p>
    <w:p w14:paraId="270E95B3" w14:textId="76CF96AB" w:rsidR="001B412E" w:rsidRPr="00A04E56" w:rsidRDefault="00ED7662" w:rsidP="00107DA0">
      <w:pPr>
        <w:pStyle w:val="BulletsblueNew"/>
      </w:pPr>
      <w:r w:rsidRPr="00A04E56">
        <w:t>g</w:t>
      </w:r>
      <w:r w:rsidR="001B412E" w:rsidRPr="00A04E56">
        <w:t xml:space="preserve">reening the maritime transport link between </w:t>
      </w:r>
      <w:r w:rsidRPr="00A04E56">
        <w:t xml:space="preserve">the </w:t>
      </w:r>
      <w:r w:rsidR="001B412E" w:rsidRPr="00A04E56">
        <w:t xml:space="preserve">Swinoujscie port in Poland and </w:t>
      </w:r>
      <w:r w:rsidRPr="00A04E56">
        <w:t xml:space="preserve">the </w:t>
      </w:r>
      <w:r w:rsidR="001B412E" w:rsidRPr="00A04E56">
        <w:t>Ystad port in Sweden;</w:t>
      </w:r>
    </w:p>
    <w:p w14:paraId="7591B297" w14:textId="0F67C785" w:rsidR="001B412E" w:rsidRPr="00A04E56" w:rsidRDefault="00ED7662" w:rsidP="00107DA0">
      <w:pPr>
        <w:pStyle w:val="BulletsblueNew"/>
      </w:pPr>
      <w:r w:rsidRPr="00A04E56">
        <w:t>d</w:t>
      </w:r>
      <w:r w:rsidR="001B412E" w:rsidRPr="00A04E56">
        <w:t>eploying hydrogen public transport infrastructure in Denmark, Latvia</w:t>
      </w:r>
      <w:r w:rsidRPr="00A04E56">
        <w:t xml:space="preserve"> and </w:t>
      </w:r>
      <w:r w:rsidR="001B412E" w:rsidRPr="00A04E56">
        <w:t>the U</w:t>
      </w:r>
      <w:r w:rsidRPr="00A04E56">
        <w:t xml:space="preserve">nited </w:t>
      </w:r>
      <w:r w:rsidR="001B412E" w:rsidRPr="00A04E56">
        <w:t>K</w:t>
      </w:r>
      <w:r w:rsidRPr="00A04E56">
        <w:t>ingdom</w:t>
      </w:r>
      <w:r w:rsidR="001B412E" w:rsidRPr="00A04E56">
        <w:t>;</w:t>
      </w:r>
    </w:p>
    <w:p w14:paraId="717D3E64" w14:textId="11277BB9" w:rsidR="001B412E" w:rsidRPr="00A04E56" w:rsidRDefault="00ED7662" w:rsidP="00107DA0">
      <w:pPr>
        <w:pStyle w:val="BulletsblueNew"/>
      </w:pPr>
      <w:r w:rsidRPr="00A04E56">
        <w:t>b</w:t>
      </w:r>
      <w:r w:rsidR="001B412E" w:rsidRPr="00A04E56">
        <w:t xml:space="preserve">uilding a network of bio-liquefied natural gas stations on roads connecting southern Spain and eastern Poland via Belgium, </w:t>
      </w:r>
      <w:r w:rsidR="009B686E" w:rsidRPr="00A04E56">
        <w:t xml:space="preserve">Germany, France and </w:t>
      </w:r>
      <w:r w:rsidR="001B412E" w:rsidRPr="00A04E56">
        <w:t>the Netherlands;</w:t>
      </w:r>
    </w:p>
    <w:p w14:paraId="6CCF8620" w14:textId="6E8D9B68" w:rsidR="001B412E" w:rsidRPr="00A04E56" w:rsidRDefault="001B412E" w:rsidP="00107DA0">
      <w:pPr>
        <w:pStyle w:val="BulletsblueNew-Spaceafter"/>
      </w:pPr>
      <w:r w:rsidRPr="00A04E56">
        <w:t>electrifying urban and regional bus routes in Croatia, Italy, Slovenia and Slovakia</w:t>
      </w:r>
      <w:r w:rsidR="003325E3" w:rsidRPr="00A04E56">
        <w:rPr>
          <w:rStyle w:val="fnRef"/>
          <w:rFonts w:ascii="Arial" w:hAnsi="Arial" w:cs="Arial"/>
        </w:rPr>
        <w:t> </w:t>
      </w:r>
      <w:r w:rsidR="0035678A" w:rsidRPr="00A04E56">
        <w:rPr>
          <w:rStyle w:val="fnRef"/>
        </w:rPr>
        <w:t>(</w:t>
      </w:r>
      <w:r w:rsidR="0035678A" w:rsidRPr="00A04E56">
        <w:rPr>
          <w:rStyle w:val="fnRefNo"/>
        </w:rPr>
        <w:footnoteReference w:id="67"/>
      </w:r>
      <w:r w:rsidR="0035678A" w:rsidRPr="00A04E56">
        <w:rPr>
          <w:rStyle w:val="fnRef"/>
        </w:rPr>
        <w:t>)</w:t>
      </w:r>
      <w:r w:rsidRPr="00A04E56">
        <w:t>.</w:t>
      </w:r>
    </w:p>
    <w:p w14:paraId="5F948025" w14:textId="25DEA9DF" w:rsidR="000B4046" w:rsidRPr="00A04E56" w:rsidRDefault="000B4046" w:rsidP="000B4046">
      <w:pPr>
        <w:pStyle w:val="BOX3BluedashedborderBluetext"/>
      </w:pPr>
      <w:r w:rsidRPr="00A04E56">
        <w:t xml:space="preserve">Under the blending call, the project for </w:t>
      </w:r>
      <w:r w:rsidRPr="00A04E56">
        <w:rPr>
          <w:rStyle w:val="BOLDLIGHTBLUEReport"/>
          <w:rFonts w:eastAsia="Calibri"/>
        </w:rPr>
        <w:t>Zero Emission service network for public transport</w:t>
      </w:r>
      <w:r w:rsidRPr="00A04E56">
        <w:t xml:space="preserve"> connecting Amsterdam and Schiphol Amsterdam Airport was selected. This will contribute to increase multi-modality and shifting consequently from fossil to alternative fuels in the Urban Nodes of the Trans-European Transport Network</w:t>
      </w:r>
      <w:r w:rsidRPr="00A04E56" w:rsidDel="00270AAB">
        <w:t xml:space="preserve"> </w:t>
      </w:r>
      <w:r w:rsidRPr="00A04E56">
        <w:t>around Amsterdam (</w:t>
      </w:r>
      <w:r w:rsidR="00835302" w:rsidRPr="00A04E56">
        <w:t>North</w:t>
      </w:r>
      <w:r w:rsidRPr="00A04E56">
        <w:t xml:space="preserve"> Sea - Baltic, North Sea - Mediterranean and Rhine</w:t>
      </w:r>
      <w:r w:rsidR="00CB6A77" w:rsidRPr="00A04E56">
        <w:t xml:space="preserve"> — </w:t>
      </w:r>
      <w:r w:rsidRPr="00A04E56">
        <w:t>Alpine).</w:t>
      </w:r>
    </w:p>
    <w:p w14:paraId="705966F1" w14:textId="55B2F461" w:rsidR="001B412E" w:rsidRPr="00A04E56" w:rsidRDefault="001B412E" w:rsidP="00157DFD">
      <w:pPr>
        <w:pStyle w:val="BodyText1spacebeforeandafter"/>
      </w:pPr>
      <w:r w:rsidRPr="00A04E56">
        <w:t>The multi</w:t>
      </w:r>
      <w:r w:rsidR="00E9307F" w:rsidRPr="00A04E56">
        <w:t>annual</w:t>
      </w:r>
      <w:r w:rsidRPr="00A04E56">
        <w:t xml:space="preserve"> work programmes </w:t>
      </w:r>
      <w:r w:rsidR="00B35B54" w:rsidRPr="00A04E56">
        <w:t xml:space="preserve">for </w:t>
      </w:r>
      <w:r w:rsidRPr="00A04E56">
        <w:t xml:space="preserve">the </w:t>
      </w:r>
      <w:r w:rsidR="009B686E" w:rsidRPr="00A04E56">
        <w:rPr>
          <w:rStyle w:val="BOLDLIGHTBLUEReport"/>
          <w:rFonts w:eastAsia="Calibri"/>
        </w:rPr>
        <w:t>e</w:t>
      </w:r>
      <w:r w:rsidR="00CF080B" w:rsidRPr="00A04E56">
        <w:rPr>
          <w:rStyle w:val="BOLDLIGHTBLUEReport"/>
          <w:rFonts w:eastAsia="Calibri"/>
        </w:rPr>
        <w:t>nergy</w:t>
      </w:r>
      <w:r w:rsidR="00CF080B" w:rsidRPr="00A04E56">
        <w:t xml:space="preserve"> strand of the </w:t>
      </w:r>
      <w:r w:rsidRPr="00A04E56">
        <w:rPr>
          <w:szCs w:val="20"/>
        </w:rPr>
        <w:t xml:space="preserve">Connecting Europe Facility </w:t>
      </w:r>
      <w:r w:rsidRPr="00A04E56">
        <w:t xml:space="preserve">between 2014 and 2018 have led to a total of </w:t>
      </w:r>
      <w:r w:rsidRPr="00A04E56" w:rsidDel="00543763">
        <w:t>EUR</w:t>
      </w:r>
      <w:r w:rsidR="00543763" w:rsidRPr="00A04E56">
        <w:rPr>
          <w:rFonts w:ascii="Calibri" w:hAnsi="Calibri" w:cs="Calibri"/>
        </w:rPr>
        <w:t> </w:t>
      </w:r>
      <w:r w:rsidRPr="00A04E56">
        <w:t>3.4</w:t>
      </w:r>
      <w:r w:rsidR="006B7032" w:rsidRPr="00A04E56">
        <w:rPr>
          <w:rFonts w:ascii="Calibri" w:hAnsi="Calibri" w:cs="Calibri"/>
        </w:rPr>
        <w:t> </w:t>
      </w:r>
      <w:r w:rsidR="006B7032" w:rsidRPr="00A04E56">
        <w:t>billion</w:t>
      </w:r>
      <w:r w:rsidRPr="00A04E56">
        <w:t xml:space="preserve"> allocated to 122 actions contributing to 91 projects of common interest</w:t>
      </w:r>
      <w:r w:rsidR="003325E3" w:rsidRPr="00A04E56">
        <w:rPr>
          <w:rStyle w:val="fnRef"/>
          <w:rFonts w:ascii="Arial" w:hAnsi="Arial" w:cs="Arial"/>
        </w:rPr>
        <w:t> </w:t>
      </w:r>
      <w:r w:rsidR="0035678A" w:rsidRPr="00A04E56">
        <w:rPr>
          <w:rStyle w:val="fnRef"/>
        </w:rPr>
        <w:t>(</w:t>
      </w:r>
      <w:r w:rsidR="0035678A" w:rsidRPr="00A04E56">
        <w:rPr>
          <w:rStyle w:val="fnRefNo"/>
        </w:rPr>
        <w:footnoteReference w:id="68"/>
      </w:r>
      <w:r w:rsidR="0035678A" w:rsidRPr="00A04E56">
        <w:rPr>
          <w:rStyle w:val="fnRef"/>
        </w:rPr>
        <w:t>)</w:t>
      </w:r>
      <w:r w:rsidRPr="00A04E56">
        <w:t>.</w:t>
      </w:r>
    </w:p>
    <w:p w14:paraId="30CF2C5B" w14:textId="588D37E3" w:rsidR="001B412E" w:rsidRPr="00A04E56" w:rsidRDefault="008C1D39" w:rsidP="006F4995">
      <w:pPr>
        <w:pStyle w:val="BodyText1spaceafter"/>
      </w:pPr>
      <w:r w:rsidRPr="00A04E56">
        <w:rPr>
          <w:i/>
          <w:u w:val="single"/>
        </w:rPr>
        <w:t>In 2018</w:t>
      </w:r>
      <w:r w:rsidR="001B412E" w:rsidRPr="00A04E56">
        <w:t xml:space="preserve"> the award for SuedOstLink was signed, one of the largest German energy infrastructure projects. The project consists of 580</w:t>
      </w:r>
      <w:r w:rsidR="009B686E" w:rsidRPr="00A04E56">
        <w:rPr>
          <w:rFonts w:ascii="Calibri" w:hAnsi="Calibri" w:cs="Calibri"/>
        </w:rPr>
        <w:t> </w:t>
      </w:r>
      <w:r w:rsidR="001B412E" w:rsidRPr="00A04E56">
        <w:t xml:space="preserve">kilometres of high-voltage cables laid fully underground. The power line will create an urgently needed link between the wind power generated in the north </w:t>
      </w:r>
      <w:r w:rsidR="009B686E" w:rsidRPr="00A04E56">
        <w:t xml:space="preserve">of Germany </w:t>
      </w:r>
      <w:r w:rsidR="001B412E" w:rsidRPr="00A04E56">
        <w:t xml:space="preserve">and the consumption centres in the south of </w:t>
      </w:r>
      <w:r w:rsidR="009B686E" w:rsidRPr="00A04E56">
        <w:t>the country</w:t>
      </w:r>
      <w:r w:rsidR="001B412E" w:rsidRPr="00A04E56">
        <w:t>. It will thus ensure better integration of renewable energies as well as enhance the cross-border exchange of energy with neighbouring EU Member States.</w:t>
      </w:r>
    </w:p>
    <w:p w14:paraId="16E55BD4" w14:textId="4B4755E6" w:rsidR="001B412E" w:rsidRPr="00A04E56" w:rsidRDefault="001B412E" w:rsidP="006F4995">
      <w:pPr>
        <w:pStyle w:val="BodyText1spaceafter"/>
      </w:pPr>
      <w:r w:rsidRPr="00A04E56">
        <w:t xml:space="preserve">A grant of </w:t>
      </w:r>
      <w:r w:rsidRPr="00A04E56" w:rsidDel="00543763">
        <w:t>EUR</w:t>
      </w:r>
      <w:r w:rsidR="00543763" w:rsidRPr="00A04E56">
        <w:rPr>
          <w:rFonts w:cs="Calibri"/>
          <w:noProof w:val="0"/>
        </w:rPr>
        <w:t> </w:t>
      </w:r>
      <w:r w:rsidRPr="00A04E56">
        <w:t>27</w:t>
      </w:r>
      <w:r w:rsidR="009E3512" w:rsidRPr="00A04E56">
        <w:rPr>
          <w:rFonts w:cs="Calibri"/>
          <w:noProof w:val="0"/>
        </w:rPr>
        <w:t> </w:t>
      </w:r>
      <w:r w:rsidR="009E3512" w:rsidRPr="00A04E56">
        <w:rPr>
          <w:noProof w:val="0"/>
        </w:rPr>
        <w:t>million</w:t>
      </w:r>
      <w:r w:rsidRPr="00A04E56">
        <w:t xml:space="preserve"> has also been allocated to support the construction of a new 400</w:t>
      </w:r>
      <w:r w:rsidR="009B686E" w:rsidRPr="00A04E56">
        <w:rPr>
          <w:rFonts w:cs="Calibri"/>
        </w:rPr>
        <w:t> </w:t>
      </w:r>
      <w:r w:rsidRPr="00A04E56">
        <w:t>kV internal power line between Cernavoda and Stalpu in Romania, which will contribute to increas</w:t>
      </w:r>
      <w:r w:rsidR="009B686E" w:rsidRPr="00A04E56">
        <w:t>ing</w:t>
      </w:r>
      <w:r w:rsidRPr="00A04E56">
        <w:t xml:space="preserve"> the interconnection capacity between Bulgaria and Romania and help integrate wind power from the Black Sea coast.</w:t>
      </w:r>
    </w:p>
    <w:p w14:paraId="78009367" w14:textId="430F85AE" w:rsidR="001B412E" w:rsidRPr="00A04E56" w:rsidRDefault="001B412E" w:rsidP="006F4995">
      <w:pPr>
        <w:pStyle w:val="BodyText1spaceafter"/>
      </w:pPr>
      <w:r w:rsidRPr="00A04E56">
        <w:t xml:space="preserve">Moreover, a grant agreement was signed to support the introduction of natural gas in Cyprus through the CyprusGas2EU project (EU support </w:t>
      </w:r>
      <w:r w:rsidR="009B686E" w:rsidRPr="00A04E56">
        <w:t>of</w:t>
      </w:r>
      <w:r w:rsidRPr="00A04E56" w:rsidDel="00543763">
        <w:t xml:space="preserve"> </w:t>
      </w:r>
      <w:r w:rsidR="00543763" w:rsidRPr="00A04E56">
        <w:rPr>
          <w:noProof w:val="0"/>
        </w:rPr>
        <w:t>EUR</w:t>
      </w:r>
      <w:r w:rsidR="00543763" w:rsidRPr="00A04E56">
        <w:rPr>
          <w:rFonts w:cs="Calibri"/>
          <w:noProof w:val="0"/>
        </w:rPr>
        <w:t> </w:t>
      </w:r>
      <w:r w:rsidRPr="00A04E56">
        <w:t>101</w:t>
      </w:r>
      <w:r w:rsidR="009E3512" w:rsidRPr="00A04E56">
        <w:rPr>
          <w:rFonts w:cs="Calibri"/>
          <w:noProof w:val="0"/>
        </w:rPr>
        <w:t> </w:t>
      </w:r>
      <w:r w:rsidRPr="00A04E56" w:rsidDel="009E3512">
        <w:t>million</w:t>
      </w:r>
      <w:r w:rsidRPr="00A04E56">
        <w:t>)</w:t>
      </w:r>
      <w:r w:rsidR="009B686E" w:rsidRPr="00A04E56">
        <w:t>,</w:t>
      </w:r>
      <w:r w:rsidRPr="00A04E56">
        <w:t xml:space="preserve"> which will end the current energy isolation of Cyprus, bringing diversification to a region mostly dominated by one single source of supply and helping </w:t>
      </w:r>
      <w:r w:rsidR="009B686E" w:rsidRPr="00A04E56">
        <w:t xml:space="preserve">to </w:t>
      </w:r>
      <w:r w:rsidRPr="00A04E56">
        <w:t>reduc</w:t>
      </w:r>
      <w:r w:rsidR="009B686E" w:rsidRPr="00A04E56">
        <w:t>e</w:t>
      </w:r>
      <w:r w:rsidRPr="00A04E56">
        <w:t xml:space="preserve"> air pollution and emissions by </w:t>
      </w:r>
      <w:r w:rsidR="00EA5DBD" w:rsidRPr="00A04E56">
        <w:t>making it possible to</w:t>
      </w:r>
      <w:r w:rsidR="009B686E" w:rsidRPr="00A04E56">
        <w:t xml:space="preserve"> </w:t>
      </w:r>
      <w:r w:rsidRPr="00A04E56">
        <w:t>switch from heavy fuel oil to gas for power generation. It will also improve energy security and price competitiveness</w:t>
      </w:r>
      <w:r w:rsidR="003325E3" w:rsidRPr="00A04E56">
        <w:rPr>
          <w:rStyle w:val="fnRef"/>
          <w:rFonts w:ascii="Arial" w:hAnsi="Arial" w:cs="Arial"/>
        </w:rPr>
        <w:t> </w:t>
      </w:r>
      <w:r w:rsidR="0035678A" w:rsidRPr="00A04E56">
        <w:rPr>
          <w:rStyle w:val="fnRef"/>
        </w:rPr>
        <w:t>(</w:t>
      </w:r>
      <w:r w:rsidR="0035678A" w:rsidRPr="00A04E56">
        <w:rPr>
          <w:rStyle w:val="fnRefNo"/>
        </w:rPr>
        <w:footnoteReference w:id="69"/>
      </w:r>
      <w:r w:rsidR="0035678A" w:rsidRPr="00A04E56">
        <w:rPr>
          <w:rStyle w:val="fnRef"/>
        </w:rPr>
        <w:t>)</w:t>
      </w:r>
      <w:r w:rsidRPr="00A04E56">
        <w:t>.</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34" w:type="dxa"/>
          <w:left w:w="136" w:type="dxa"/>
          <w:bottom w:w="34" w:type="dxa"/>
          <w:right w:w="136" w:type="dxa"/>
        </w:tblCellMar>
        <w:tblLook w:val="04A0" w:firstRow="1" w:lastRow="0" w:firstColumn="1" w:lastColumn="0" w:noHBand="0" w:noVBand="1"/>
      </w:tblPr>
      <w:tblGrid>
        <w:gridCol w:w="9213"/>
      </w:tblGrid>
      <w:tr w:rsidR="00353B28" w:rsidRPr="00A04E56" w14:paraId="6FBC9490" w14:textId="77777777" w:rsidTr="00C257BF">
        <w:trPr>
          <w:cantSplit/>
        </w:trPr>
        <w:tc>
          <w:tcPr>
            <w:tcW w:w="9213" w:type="dxa"/>
          </w:tcPr>
          <w:p w14:paraId="768CB673" w14:textId="1B8F2D4B" w:rsidR="00353B28" w:rsidRPr="00A04E56" w:rsidRDefault="008C1D39" w:rsidP="00C257BF">
            <w:pPr>
              <w:pStyle w:val="BOX3builtastableBluedashedborderBluetext"/>
              <w:keepLines/>
            </w:pPr>
            <w:r w:rsidRPr="00A04E56">
              <w:rPr>
                <w:i/>
                <w:u w:val="single"/>
              </w:rPr>
              <w:t>In 2018</w:t>
            </w:r>
            <w:r w:rsidR="00353B28" w:rsidRPr="00A04E56">
              <w:t xml:space="preserve"> a grant of </w:t>
            </w:r>
            <w:r w:rsidR="00353B28" w:rsidRPr="00A04E56" w:rsidDel="00543763">
              <w:t>EUR</w:t>
            </w:r>
            <w:r w:rsidR="00353B28" w:rsidRPr="00A04E56">
              <w:rPr>
                <w:rFonts w:ascii="Calibri" w:hAnsi="Calibri" w:cs="Calibri"/>
              </w:rPr>
              <w:t> </w:t>
            </w:r>
            <w:r w:rsidR="00353B28" w:rsidRPr="00A04E56">
              <w:t>578</w:t>
            </w:r>
            <w:r w:rsidR="00353B28" w:rsidRPr="00A04E56">
              <w:rPr>
                <w:rFonts w:ascii="Calibri" w:hAnsi="Calibri" w:cs="Calibri"/>
              </w:rPr>
              <w:t> </w:t>
            </w:r>
            <w:r w:rsidR="00353B28" w:rsidRPr="00A04E56">
              <w:t>million, the largest Connecting Europe Facility energy grant ever, was awarded to support the construction of the Biscay Gulf France</w:t>
            </w:r>
            <w:r w:rsidR="00CB6A77" w:rsidRPr="00A04E56">
              <w:t>-</w:t>
            </w:r>
            <w:r w:rsidR="00353B28" w:rsidRPr="00A04E56">
              <w:t>Spain interconnection. The new electricity link will better integrate the Iberian Peninsula into the internal electricity market. The project, with a 280</w:t>
            </w:r>
            <w:r w:rsidR="00353B28" w:rsidRPr="00A04E56">
              <w:rPr>
                <w:rFonts w:cs="Calibri"/>
              </w:rPr>
              <w:t>-</w:t>
            </w:r>
            <w:r w:rsidR="00353B28" w:rsidRPr="00A04E56">
              <w:t>km-long off-shore section, incorporates technologically innovative solutions on the design of the route over the Capbreton Canyon and the French land section, which is fully underground. This new link will nearly double the interconnection capacity between both countries — increasing it from 2</w:t>
            </w:r>
            <w:r w:rsidR="00353B28" w:rsidRPr="00A04E56">
              <w:rPr>
                <w:rFonts w:ascii="Calibri" w:hAnsi="Calibri" w:cs="Calibri"/>
              </w:rPr>
              <w:t> </w:t>
            </w:r>
            <w:r w:rsidR="00353B28" w:rsidRPr="00A04E56">
              <w:t>800</w:t>
            </w:r>
            <w:r w:rsidR="00353B28" w:rsidRPr="00A04E56">
              <w:rPr>
                <w:rFonts w:ascii="Calibri" w:hAnsi="Calibri" w:cs="Calibri"/>
              </w:rPr>
              <w:t> </w:t>
            </w:r>
            <w:r w:rsidR="00CA2B92">
              <w:t>megawatts</w:t>
            </w:r>
            <w:r w:rsidR="00CA2B92" w:rsidRPr="00A04E56" w:rsidDel="00E9307F">
              <w:t xml:space="preserve"> </w:t>
            </w:r>
            <w:r w:rsidR="00353B28" w:rsidRPr="00A04E56">
              <w:t>to 5</w:t>
            </w:r>
            <w:r w:rsidR="00353B28" w:rsidRPr="00A04E56">
              <w:rPr>
                <w:rFonts w:ascii="Calibri" w:hAnsi="Calibri" w:cs="Calibri"/>
              </w:rPr>
              <w:t> </w:t>
            </w:r>
            <w:r w:rsidR="00353B28" w:rsidRPr="00A04E56" w:rsidDel="006221A4">
              <w:t>000</w:t>
            </w:r>
            <w:r w:rsidR="00353B28" w:rsidRPr="00A04E56">
              <w:rPr>
                <w:rFonts w:ascii="Calibri" w:hAnsi="Calibri" w:cs="Calibri"/>
              </w:rPr>
              <w:t> </w:t>
            </w:r>
            <w:r w:rsidR="00CA2B92">
              <w:t>megawatts</w:t>
            </w:r>
            <w:r w:rsidR="00353B28" w:rsidRPr="00A04E56">
              <w:t>, and will bring Spain closer to the 10% interconnection target from its current level of 6%. Such a leap will allow for an enhanced incorporation of renewable energies, thus strongly contributing to the clean energy transition and to the EU’s related policy.</w:t>
            </w:r>
          </w:p>
          <w:p w14:paraId="08C7B021" w14:textId="0E93C6CD" w:rsidR="00353B28" w:rsidRPr="00A04E56" w:rsidRDefault="00353B28" w:rsidP="00C257BF">
            <w:pPr>
              <w:pStyle w:val="BOX3builtastableBluedashedborderBluetext"/>
              <w:keepLines/>
              <w:jc w:val="center"/>
            </w:pPr>
            <w:r w:rsidRPr="00A04E56">
              <w:rPr>
                <w:rFonts w:eastAsiaTheme="minorHAnsi"/>
                <w:noProof/>
                <w:color w:val="auto"/>
                <w:sz w:val="28"/>
                <w:lang w:val="fr-BE"/>
              </w:rPr>
              <mc:AlternateContent>
                <mc:Choice Requires="wpc">
                  <w:drawing>
                    <wp:inline distT="0" distB="0" distL="0" distR="0" wp14:anchorId="1D972242" wp14:editId="2E86BBD7">
                      <wp:extent cx="5436000" cy="998497"/>
                      <wp:effectExtent l="0" t="0" r="0" b="0"/>
                      <wp:docPr id="14610" name="Canvas 146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0" name="Rectangle 200"/>
                              <wps:cNvSpPr>
                                <a:spLocks noChangeArrowheads="1"/>
                              </wps:cNvSpPr>
                              <wps:spPr bwMode="auto">
                                <a:xfrm>
                                  <a:off x="259899" y="39332"/>
                                  <a:ext cx="271780" cy="9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2D2FE" w14:textId="77777777" w:rsidR="003C0461" w:rsidRPr="00A03CD8" w:rsidRDefault="003C0461" w:rsidP="00353B28">
                                    <w:pPr>
                                      <w:rPr>
                                        <w:color w:val="65BBC8"/>
                                      </w:rPr>
                                    </w:pPr>
                                    <w:r w:rsidRPr="00A03CD8">
                                      <w:rPr>
                                        <w:rFonts w:cs="EC Square Sans Pro"/>
                                        <w:b/>
                                        <w:bCs/>
                                        <w:color w:val="65BBC8"/>
                                        <w:sz w:val="12"/>
                                        <w:szCs w:val="12"/>
                                        <w:lang w:val="en-US"/>
                                      </w:rPr>
                                      <w:t>FRANCE</w:t>
                                    </w:r>
                                  </w:p>
                                </w:txbxContent>
                              </wps:txbx>
                              <wps:bodyPr rot="0" vert="horz" wrap="none" lIns="0" tIns="0" rIns="0" bIns="0" anchor="t" anchorCtr="0">
                                <a:noAutofit/>
                              </wps:bodyPr>
                            </wps:wsp>
                            <wps:wsp>
                              <wps:cNvPr id="253" name="Rectangle 201"/>
                              <wps:cNvSpPr>
                                <a:spLocks noChangeArrowheads="1"/>
                              </wps:cNvSpPr>
                              <wps:spPr bwMode="auto">
                                <a:xfrm>
                                  <a:off x="4905576" y="39362"/>
                                  <a:ext cx="208915" cy="117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1CC0" w14:textId="77777777" w:rsidR="003C0461" w:rsidRPr="00A03CD8" w:rsidRDefault="003C0461" w:rsidP="00353B28">
                                    <w:pPr>
                                      <w:rPr>
                                        <w:color w:val="E48C32"/>
                                      </w:rPr>
                                    </w:pPr>
                                    <w:r w:rsidRPr="00A03CD8">
                                      <w:rPr>
                                        <w:rFonts w:cs="EC Square Sans Pro"/>
                                        <w:b/>
                                        <w:bCs/>
                                        <w:color w:val="E48C32"/>
                                        <w:sz w:val="12"/>
                                        <w:szCs w:val="12"/>
                                        <w:lang w:val="en-US"/>
                                      </w:rPr>
                                      <w:t>SPAIN</w:t>
                                    </w:r>
                                  </w:p>
                                </w:txbxContent>
                              </wps:txbx>
                              <wps:bodyPr rot="0" vert="horz" wrap="none" lIns="0" tIns="0" rIns="0" bIns="0" anchor="t" anchorCtr="0">
                                <a:noAutofit/>
                              </wps:bodyPr>
                            </wps:wsp>
                            <wps:wsp>
                              <wps:cNvPr id="254" name="Line 210"/>
                              <wps:cNvCnPr>
                                <a:cxnSpLocks noChangeShapeType="1"/>
                              </wps:cNvCnPr>
                              <wps:spPr bwMode="auto">
                                <a:xfrm>
                                  <a:off x="265068" y="366020"/>
                                  <a:ext cx="1366656" cy="0"/>
                                </a:xfrm>
                                <a:prstGeom prst="line">
                                  <a:avLst/>
                                </a:prstGeom>
                                <a:noFill/>
                                <a:ln w="10160">
                                  <a:solidFill>
                                    <a:srgbClr val="65BBC8"/>
                                  </a:solidFill>
                                  <a:miter lim="800000"/>
                                  <a:headEnd/>
                                  <a:tailEnd/>
                                </a:ln>
                                <a:extLst>
                                  <a:ext uri="{909E8E84-426E-40DD-AFC4-6F175D3DCCD1}">
                                    <a14:hiddenFill xmlns:a14="http://schemas.microsoft.com/office/drawing/2010/main">
                                      <a:noFill/>
                                    </a14:hiddenFill>
                                  </a:ext>
                                </a:extLst>
                              </wps:spPr>
                              <wps:bodyPr/>
                            </wps:wsp>
                            <wps:wsp>
                              <wps:cNvPr id="14241" name="Line 211"/>
                              <wps:cNvCnPr>
                                <a:cxnSpLocks noChangeShapeType="1"/>
                              </wps:cNvCnPr>
                              <wps:spPr bwMode="auto">
                                <a:xfrm>
                                  <a:off x="4300105" y="366020"/>
                                  <a:ext cx="835556" cy="0"/>
                                </a:xfrm>
                                <a:prstGeom prst="line">
                                  <a:avLst/>
                                </a:prstGeom>
                                <a:noFill/>
                                <a:ln w="10160">
                                  <a:solidFill>
                                    <a:srgbClr val="E48C32"/>
                                  </a:solidFill>
                                  <a:miter lim="800000"/>
                                  <a:headEnd/>
                                  <a:tailEnd/>
                                </a:ln>
                                <a:extLst>
                                  <a:ext uri="{909E8E84-426E-40DD-AFC4-6F175D3DCCD1}">
                                    <a14:hiddenFill xmlns:a14="http://schemas.microsoft.com/office/drawing/2010/main">
                                      <a:noFill/>
                                    </a14:hiddenFill>
                                  </a:ext>
                                </a:extLst>
                              </wps:spPr>
                              <wps:bodyPr/>
                            </wps:wsp>
                            <wps:wsp>
                              <wps:cNvPr id="14242" name="Oval 212"/>
                              <wps:cNvSpPr>
                                <a:spLocks noChangeArrowheads="1"/>
                              </wps:cNvSpPr>
                              <wps:spPr bwMode="auto">
                                <a:xfrm>
                                  <a:off x="349603" y="338454"/>
                                  <a:ext cx="55745" cy="55745"/>
                                </a:xfrm>
                                <a:prstGeom prst="ellipse">
                                  <a:avLst/>
                                </a:prstGeom>
                                <a:solidFill>
                                  <a:srgbClr val="FFFFFF"/>
                                </a:solidFill>
                                <a:ln w="10160">
                                  <a:solidFill>
                                    <a:srgbClr val="65BBC8"/>
                                  </a:solidFill>
                                  <a:miter lim="800000"/>
                                  <a:headEnd/>
                                  <a:tailEnd/>
                                </a:ln>
                              </wps:spPr>
                              <wps:bodyPr rot="0" vert="horz" wrap="square" lIns="88188" tIns="44095" rIns="88188" bIns="44095" anchor="t" anchorCtr="0" upright="1">
                                <a:noAutofit/>
                              </wps:bodyPr>
                            </wps:wsp>
                            <wps:wsp>
                              <wps:cNvPr id="14243" name="Oval 213"/>
                              <wps:cNvSpPr>
                                <a:spLocks noChangeArrowheads="1"/>
                              </wps:cNvSpPr>
                              <wps:spPr bwMode="auto">
                                <a:xfrm>
                                  <a:off x="4992317" y="338454"/>
                                  <a:ext cx="56358" cy="55745"/>
                                </a:xfrm>
                                <a:prstGeom prst="ellipse">
                                  <a:avLst/>
                                </a:prstGeom>
                                <a:solidFill>
                                  <a:srgbClr val="FFFFFF"/>
                                </a:solidFill>
                                <a:ln w="10160">
                                  <a:solidFill>
                                    <a:srgbClr val="E48C32"/>
                                  </a:solidFill>
                                  <a:miter lim="800000"/>
                                  <a:headEnd/>
                                  <a:tailEnd/>
                                </a:ln>
                              </wps:spPr>
                              <wps:bodyPr rot="0" vert="horz" wrap="square" lIns="88188" tIns="44095" rIns="88188" bIns="44095" anchor="t" anchorCtr="0" upright="1">
                                <a:noAutofit/>
                              </wps:bodyPr>
                            </wps:wsp>
                            <wps:wsp>
                              <wps:cNvPr id="14258" name="Freeform 214"/>
                              <wps:cNvSpPr>
                                <a:spLocks/>
                              </wps:cNvSpPr>
                              <wps:spPr bwMode="auto">
                                <a:xfrm>
                                  <a:off x="1682566" y="371532"/>
                                  <a:ext cx="2571596" cy="20214"/>
                                </a:xfrm>
                                <a:custGeom>
                                  <a:avLst/>
                                  <a:gdLst>
                                    <a:gd name="T0" fmla="*/ 951 w 1007"/>
                                    <a:gd name="T1" fmla="*/ 2 h 8"/>
                                    <a:gd name="T2" fmla="*/ 914 w 1007"/>
                                    <a:gd name="T3" fmla="*/ 0 h 8"/>
                                    <a:gd name="T4" fmla="*/ 913 w 1007"/>
                                    <a:gd name="T5" fmla="*/ 0 h 8"/>
                                    <a:gd name="T6" fmla="*/ 876 w 1007"/>
                                    <a:gd name="T7" fmla="*/ 2 h 8"/>
                                    <a:gd name="T8" fmla="*/ 828 w 1007"/>
                                    <a:gd name="T9" fmla="*/ 4 h 8"/>
                                    <a:gd name="T10" fmla="*/ 800 w 1007"/>
                                    <a:gd name="T11" fmla="*/ 0 h 8"/>
                                    <a:gd name="T12" fmla="*/ 770 w 1007"/>
                                    <a:gd name="T13" fmla="*/ 4 h 8"/>
                                    <a:gd name="T14" fmla="*/ 722 w 1007"/>
                                    <a:gd name="T15" fmla="*/ 2 h 8"/>
                                    <a:gd name="T16" fmla="*/ 686 w 1007"/>
                                    <a:gd name="T17" fmla="*/ 0 h 8"/>
                                    <a:gd name="T18" fmla="*/ 685 w 1007"/>
                                    <a:gd name="T19" fmla="*/ 0 h 8"/>
                                    <a:gd name="T20" fmla="*/ 648 w 1007"/>
                                    <a:gd name="T21" fmla="*/ 2 h 8"/>
                                    <a:gd name="T22" fmla="*/ 600 w 1007"/>
                                    <a:gd name="T23" fmla="*/ 4 h 8"/>
                                    <a:gd name="T24" fmla="*/ 572 w 1007"/>
                                    <a:gd name="T25" fmla="*/ 0 h 8"/>
                                    <a:gd name="T26" fmla="*/ 543 w 1007"/>
                                    <a:gd name="T27" fmla="*/ 4 h 8"/>
                                    <a:gd name="T28" fmla="*/ 495 w 1007"/>
                                    <a:gd name="T29" fmla="*/ 2 h 8"/>
                                    <a:gd name="T30" fmla="*/ 457 w 1007"/>
                                    <a:gd name="T31" fmla="*/ 0 h 8"/>
                                    <a:gd name="T32" fmla="*/ 457 w 1007"/>
                                    <a:gd name="T33" fmla="*/ 0 h 8"/>
                                    <a:gd name="T34" fmla="*/ 419 w 1007"/>
                                    <a:gd name="T35" fmla="*/ 2 h 8"/>
                                    <a:gd name="T36" fmla="*/ 371 w 1007"/>
                                    <a:gd name="T37" fmla="*/ 4 h 8"/>
                                    <a:gd name="T38" fmla="*/ 343 w 1007"/>
                                    <a:gd name="T39" fmla="*/ 0 h 8"/>
                                    <a:gd name="T40" fmla="*/ 314 w 1007"/>
                                    <a:gd name="T41" fmla="*/ 4 h 8"/>
                                    <a:gd name="T42" fmla="*/ 266 w 1007"/>
                                    <a:gd name="T43" fmla="*/ 2 h 8"/>
                                    <a:gd name="T44" fmla="*/ 229 w 1007"/>
                                    <a:gd name="T45" fmla="*/ 0 h 8"/>
                                    <a:gd name="T46" fmla="*/ 228 w 1007"/>
                                    <a:gd name="T47" fmla="*/ 0 h 8"/>
                                    <a:gd name="T48" fmla="*/ 191 w 1007"/>
                                    <a:gd name="T49" fmla="*/ 2 h 8"/>
                                    <a:gd name="T50" fmla="*/ 144 w 1007"/>
                                    <a:gd name="T51" fmla="*/ 4 h 8"/>
                                    <a:gd name="T52" fmla="*/ 115 w 1007"/>
                                    <a:gd name="T53" fmla="*/ 0 h 8"/>
                                    <a:gd name="T54" fmla="*/ 86 w 1007"/>
                                    <a:gd name="T55" fmla="*/ 4 h 8"/>
                                    <a:gd name="T56" fmla="*/ 38 w 1007"/>
                                    <a:gd name="T57" fmla="*/ 2 h 8"/>
                                    <a:gd name="T58" fmla="*/ 0 w 1007"/>
                                    <a:gd name="T59" fmla="*/ 0 h 8"/>
                                    <a:gd name="T60" fmla="*/ 29 w 1007"/>
                                    <a:gd name="T61" fmla="*/ 8 h 8"/>
                                    <a:gd name="T62" fmla="*/ 66 w 1007"/>
                                    <a:gd name="T63" fmla="*/ 5 h 8"/>
                                    <a:gd name="T64" fmla="*/ 114 w 1007"/>
                                    <a:gd name="T65" fmla="*/ 4 h 8"/>
                                    <a:gd name="T66" fmla="*/ 143 w 1007"/>
                                    <a:gd name="T67" fmla="*/ 8 h 8"/>
                                    <a:gd name="T68" fmla="*/ 172 w 1007"/>
                                    <a:gd name="T69" fmla="*/ 4 h 8"/>
                                    <a:gd name="T70" fmla="*/ 220 w 1007"/>
                                    <a:gd name="T71" fmla="*/ 5 h 8"/>
                                    <a:gd name="T72" fmla="*/ 256 w 1007"/>
                                    <a:gd name="T73" fmla="*/ 8 h 8"/>
                                    <a:gd name="T74" fmla="*/ 258 w 1007"/>
                                    <a:gd name="T75" fmla="*/ 8 h 8"/>
                                    <a:gd name="T76" fmla="*/ 294 w 1007"/>
                                    <a:gd name="T77" fmla="*/ 5 h 8"/>
                                    <a:gd name="T78" fmla="*/ 342 w 1007"/>
                                    <a:gd name="T79" fmla="*/ 4 h 8"/>
                                    <a:gd name="T80" fmla="*/ 371 w 1007"/>
                                    <a:gd name="T81" fmla="*/ 8 h 8"/>
                                    <a:gd name="T82" fmla="*/ 400 w 1007"/>
                                    <a:gd name="T83" fmla="*/ 4 h 8"/>
                                    <a:gd name="T84" fmla="*/ 448 w 1007"/>
                                    <a:gd name="T85" fmla="*/ 5 h 8"/>
                                    <a:gd name="T86" fmla="*/ 485 w 1007"/>
                                    <a:gd name="T87" fmla="*/ 8 h 8"/>
                                    <a:gd name="T88" fmla="*/ 486 w 1007"/>
                                    <a:gd name="T89" fmla="*/ 8 h 8"/>
                                    <a:gd name="T90" fmla="*/ 523 w 1007"/>
                                    <a:gd name="T91" fmla="*/ 5 h 8"/>
                                    <a:gd name="T92" fmla="*/ 571 w 1007"/>
                                    <a:gd name="T93" fmla="*/ 4 h 8"/>
                                    <a:gd name="T94" fmla="*/ 600 w 1007"/>
                                    <a:gd name="T95" fmla="*/ 8 h 8"/>
                                    <a:gd name="T96" fmla="*/ 629 w 1007"/>
                                    <a:gd name="T97" fmla="*/ 4 h 8"/>
                                    <a:gd name="T98" fmla="*/ 677 w 1007"/>
                                    <a:gd name="T99" fmla="*/ 5 h 8"/>
                                    <a:gd name="T100" fmla="*/ 713 w 1007"/>
                                    <a:gd name="T101" fmla="*/ 8 h 8"/>
                                    <a:gd name="T102" fmla="*/ 715 w 1007"/>
                                    <a:gd name="T103" fmla="*/ 8 h 8"/>
                                    <a:gd name="T104" fmla="*/ 751 w 1007"/>
                                    <a:gd name="T105" fmla="*/ 5 h 8"/>
                                    <a:gd name="T106" fmla="*/ 799 w 1007"/>
                                    <a:gd name="T107" fmla="*/ 4 h 8"/>
                                    <a:gd name="T108" fmla="*/ 828 w 1007"/>
                                    <a:gd name="T109" fmla="*/ 8 h 8"/>
                                    <a:gd name="T110" fmla="*/ 857 w 1007"/>
                                    <a:gd name="T111" fmla="*/ 4 h 8"/>
                                    <a:gd name="T112" fmla="*/ 905 w 1007"/>
                                    <a:gd name="T113" fmla="*/ 5 h 8"/>
                                    <a:gd name="T114" fmla="*/ 942 w 1007"/>
                                    <a:gd name="T115" fmla="*/ 8 h 8"/>
                                    <a:gd name="T116" fmla="*/ 942 w 1007"/>
                                    <a:gd name="T117" fmla="*/ 8 h 8"/>
                                    <a:gd name="T118" fmla="*/ 980 w 1007"/>
                                    <a:gd name="T119" fmla="*/ 5 h 8"/>
                                    <a:gd name="T120" fmla="*/ 1007 w 1007"/>
                                    <a:gd name="T121" fmla="*/ 3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07" h="8">
                                      <a:moveTo>
                                        <a:pt x="990" y="2"/>
                                      </a:moveTo>
                                      <a:cubicBezTo>
                                        <a:pt x="986" y="1"/>
                                        <a:pt x="981" y="0"/>
                                        <a:pt x="970" y="0"/>
                                      </a:cubicBezTo>
                                      <a:cubicBezTo>
                                        <a:pt x="960" y="0"/>
                                        <a:pt x="955" y="1"/>
                                        <a:pt x="951" y="2"/>
                                      </a:cubicBezTo>
                                      <a:cubicBezTo>
                                        <a:pt x="948" y="3"/>
                                        <a:pt x="946" y="4"/>
                                        <a:pt x="942" y="4"/>
                                      </a:cubicBezTo>
                                      <a:cubicBezTo>
                                        <a:pt x="938" y="4"/>
                                        <a:pt x="937" y="3"/>
                                        <a:pt x="933" y="2"/>
                                      </a:cubicBezTo>
                                      <a:cubicBezTo>
                                        <a:pt x="929" y="1"/>
                                        <a:pt x="924" y="0"/>
                                        <a:pt x="914" y="0"/>
                                      </a:cubicBezTo>
                                      <a:cubicBezTo>
                                        <a:pt x="914" y="0"/>
                                        <a:pt x="914" y="0"/>
                                        <a:pt x="914" y="0"/>
                                      </a:cubicBezTo>
                                      <a:cubicBezTo>
                                        <a:pt x="914" y="0"/>
                                        <a:pt x="914" y="0"/>
                                        <a:pt x="913" y="0"/>
                                      </a:cubicBezTo>
                                      <a:cubicBezTo>
                                        <a:pt x="913" y="0"/>
                                        <a:pt x="913" y="0"/>
                                        <a:pt x="913" y="0"/>
                                      </a:cubicBezTo>
                                      <a:cubicBezTo>
                                        <a:pt x="904" y="0"/>
                                        <a:pt x="898" y="1"/>
                                        <a:pt x="895" y="2"/>
                                      </a:cubicBezTo>
                                      <a:cubicBezTo>
                                        <a:pt x="891" y="3"/>
                                        <a:pt x="889" y="4"/>
                                        <a:pt x="885" y="4"/>
                                      </a:cubicBezTo>
                                      <a:cubicBezTo>
                                        <a:pt x="881" y="4"/>
                                        <a:pt x="880" y="3"/>
                                        <a:pt x="876" y="2"/>
                                      </a:cubicBezTo>
                                      <a:cubicBezTo>
                                        <a:pt x="872" y="1"/>
                                        <a:pt x="867" y="0"/>
                                        <a:pt x="857" y="0"/>
                                      </a:cubicBezTo>
                                      <a:cubicBezTo>
                                        <a:pt x="847" y="0"/>
                                        <a:pt x="841" y="1"/>
                                        <a:pt x="837" y="2"/>
                                      </a:cubicBezTo>
                                      <a:cubicBezTo>
                                        <a:pt x="834" y="3"/>
                                        <a:pt x="832" y="4"/>
                                        <a:pt x="828" y="4"/>
                                      </a:cubicBezTo>
                                      <a:cubicBezTo>
                                        <a:pt x="824" y="4"/>
                                        <a:pt x="823" y="3"/>
                                        <a:pt x="819" y="2"/>
                                      </a:cubicBezTo>
                                      <a:cubicBezTo>
                                        <a:pt x="815" y="1"/>
                                        <a:pt x="810" y="0"/>
                                        <a:pt x="800" y="0"/>
                                      </a:cubicBezTo>
                                      <a:cubicBezTo>
                                        <a:pt x="800" y="0"/>
                                        <a:pt x="800" y="0"/>
                                        <a:pt x="800" y="0"/>
                                      </a:cubicBezTo>
                                      <a:cubicBezTo>
                                        <a:pt x="799" y="0"/>
                                        <a:pt x="799" y="0"/>
                                        <a:pt x="799" y="0"/>
                                      </a:cubicBezTo>
                                      <a:cubicBezTo>
                                        <a:pt x="789" y="0"/>
                                        <a:pt x="784" y="1"/>
                                        <a:pt x="780" y="2"/>
                                      </a:cubicBezTo>
                                      <a:cubicBezTo>
                                        <a:pt x="776" y="3"/>
                                        <a:pt x="774" y="4"/>
                                        <a:pt x="770" y="4"/>
                                      </a:cubicBezTo>
                                      <a:cubicBezTo>
                                        <a:pt x="766" y="4"/>
                                        <a:pt x="765" y="3"/>
                                        <a:pt x="761" y="2"/>
                                      </a:cubicBezTo>
                                      <a:cubicBezTo>
                                        <a:pt x="757" y="1"/>
                                        <a:pt x="752" y="0"/>
                                        <a:pt x="742" y="0"/>
                                      </a:cubicBezTo>
                                      <a:cubicBezTo>
                                        <a:pt x="732" y="0"/>
                                        <a:pt x="726" y="1"/>
                                        <a:pt x="722" y="2"/>
                                      </a:cubicBezTo>
                                      <a:cubicBezTo>
                                        <a:pt x="719" y="3"/>
                                        <a:pt x="717" y="4"/>
                                        <a:pt x="714" y="4"/>
                                      </a:cubicBezTo>
                                      <a:cubicBezTo>
                                        <a:pt x="710" y="4"/>
                                        <a:pt x="709" y="3"/>
                                        <a:pt x="705" y="2"/>
                                      </a:cubicBezTo>
                                      <a:cubicBezTo>
                                        <a:pt x="702" y="1"/>
                                        <a:pt x="696" y="0"/>
                                        <a:pt x="686" y="0"/>
                                      </a:cubicBezTo>
                                      <a:cubicBezTo>
                                        <a:pt x="686" y="0"/>
                                        <a:pt x="686" y="0"/>
                                        <a:pt x="685" y="0"/>
                                      </a:cubicBezTo>
                                      <a:cubicBezTo>
                                        <a:pt x="685" y="0"/>
                                        <a:pt x="685" y="0"/>
                                        <a:pt x="685" y="0"/>
                                      </a:cubicBezTo>
                                      <a:cubicBezTo>
                                        <a:pt x="685" y="0"/>
                                        <a:pt x="685" y="0"/>
                                        <a:pt x="685" y="0"/>
                                      </a:cubicBezTo>
                                      <a:cubicBezTo>
                                        <a:pt x="676" y="0"/>
                                        <a:pt x="670" y="1"/>
                                        <a:pt x="667" y="2"/>
                                      </a:cubicBezTo>
                                      <a:cubicBezTo>
                                        <a:pt x="663" y="3"/>
                                        <a:pt x="662" y="4"/>
                                        <a:pt x="657" y="4"/>
                                      </a:cubicBezTo>
                                      <a:cubicBezTo>
                                        <a:pt x="653" y="4"/>
                                        <a:pt x="652" y="3"/>
                                        <a:pt x="648" y="2"/>
                                      </a:cubicBezTo>
                                      <a:cubicBezTo>
                                        <a:pt x="644" y="1"/>
                                        <a:pt x="639" y="0"/>
                                        <a:pt x="629" y="0"/>
                                      </a:cubicBezTo>
                                      <a:cubicBezTo>
                                        <a:pt x="619" y="0"/>
                                        <a:pt x="614" y="1"/>
                                        <a:pt x="610" y="2"/>
                                      </a:cubicBezTo>
                                      <a:cubicBezTo>
                                        <a:pt x="606" y="3"/>
                                        <a:pt x="604" y="4"/>
                                        <a:pt x="600" y="4"/>
                                      </a:cubicBezTo>
                                      <a:cubicBezTo>
                                        <a:pt x="596" y="4"/>
                                        <a:pt x="595" y="3"/>
                                        <a:pt x="591" y="2"/>
                                      </a:cubicBezTo>
                                      <a:cubicBezTo>
                                        <a:pt x="587" y="1"/>
                                        <a:pt x="582" y="0"/>
                                        <a:pt x="572" y="0"/>
                                      </a:cubicBezTo>
                                      <a:cubicBezTo>
                                        <a:pt x="572" y="0"/>
                                        <a:pt x="572" y="0"/>
                                        <a:pt x="572" y="0"/>
                                      </a:cubicBezTo>
                                      <a:cubicBezTo>
                                        <a:pt x="572" y="0"/>
                                        <a:pt x="571" y="0"/>
                                        <a:pt x="571" y="0"/>
                                      </a:cubicBezTo>
                                      <a:cubicBezTo>
                                        <a:pt x="561" y="0"/>
                                        <a:pt x="556" y="1"/>
                                        <a:pt x="552" y="2"/>
                                      </a:cubicBezTo>
                                      <a:cubicBezTo>
                                        <a:pt x="548" y="3"/>
                                        <a:pt x="547" y="4"/>
                                        <a:pt x="543" y="4"/>
                                      </a:cubicBezTo>
                                      <a:cubicBezTo>
                                        <a:pt x="538" y="4"/>
                                        <a:pt x="537" y="3"/>
                                        <a:pt x="533" y="2"/>
                                      </a:cubicBezTo>
                                      <a:cubicBezTo>
                                        <a:pt x="529" y="1"/>
                                        <a:pt x="524" y="0"/>
                                        <a:pt x="514" y="0"/>
                                      </a:cubicBezTo>
                                      <a:cubicBezTo>
                                        <a:pt x="504" y="0"/>
                                        <a:pt x="499" y="1"/>
                                        <a:pt x="495" y="2"/>
                                      </a:cubicBezTo>
                                      <a:cubicBezTo>
                                        <a:pt x="491" y="3"/>
                                        <a:pt x="489" y="4"/>
                                        <a:pt x="486" y="4"/>
                                      </a:cubicBezTo>
                                      <a:cubicBezTo>
                                        <a:pt x="482" y="4"/>
                                        <a:pt x="480" y="3"/>
                                        <a:pt x="476" y="2"/>
                                      </a:cubicBezTo>
                                      <a:cubicBezTo>
                                        <a:pt x="473" y="1"/>
                                        <a:pt x="467" y="0"/>
                                        <a:pt x="457" y="0"/>
                                      </a:cubicBezTo>
                                      <a:cubicBezTo>
                                        <a:pt x="457" y="0"/>
                                        <a:pt x="457" y="0"/>
                                        <a:pt x="457" y="0"/>
                                      </a:cubicBezTo>
                                      <a:cubicBezTo>
                                        <a:pt x="457" y="0"/>
                                        <a:pt x="457" y="0"/>
                                        <a:pt x="457" y="0"/>
                                      </a:cubicBezTo>
                                      <a:cubicBezTo>
                                        <a:pt x="457" y="0"/>
                                        <a:pt x="457" y="0"/>
                                        <a:pt x="457" y="0"/>
                                      </a:cubicBezTo>
                                      <a:cubicBezTo>
                                        <a:pt x="447" y="0"/>
                                        <a:pt x="442" y="1"/>
                                        <a:pt x="438" y="2"/>
                                      </a:cubicBezTo>
                                      <a:cubicBezTo>
                                        <a:pt x="434" y="3"/>
                                        <a:pt x="433" y="4"/>
                                        <a:pt x="428" y="4"/>
                                      </a:cubicBezTo>
                                      <a:cubicBezTo>
                                        <a:pt x="424" y="4"/>
                                        <a:pt x="423" y="3"/>
                                        <a:pt x="419" y="2"/>
                                      </a:cubicBezTo>
                                      <a:cubicBezTo>
                                        <a:pt x="415" y="1"/>
                                        <a:pt x="410" y="0"/>
                                        <a:pt x="400" y="0"/>
                                      </a:cubicBezTo>
                                      <a:cubicBezTo>
                                        <a:pt x="390" y="0"/>
                                        <a:pt x="385" y="1"/>
                                        <a:pt x="381" y="2"/>
                                      </a:cubicBezTo>
                                      <a:cubicBezTo>
                                        <a:pt x="377" y="3"/>
                                        <a:pt x="375" y="4"/>
                                        <a:pt x="371" y="4"/>
                                      </a:cubicBezTo>
                                      <a:cubicBezTo>
                                        <a:pt x="367" y="4"/>
                                        <a:pt x="366" y="3"/>
                                        <a:pt x="362" y="2"/>
                                      </a:cubicBezTo>
                                      <a:cubicBezTo>
                                        <a:pt x="358" y="1"/>
                                        <a:pt x="353" y="0"/>
                                        <a:pt x="343" y="0"/>
                                      </a:cubicBezTo>
                                      <a:cubicBezTo>
                                        <a:pt x="343" y="0"/>
                                        <a:pt x="343" y="0"/>
                                        <a:pt x="343" y="0"/>
                                      </a:cubicBezTo>
                                      <a:cubicBezTo>
                                        <a:pt x="343" y="0"/>
                                        <a:pt x="342" y="0"/>
                                        <a:pt x="342" y="0"/>
                                      </a:cubicBezTo>
                                      <a:cubicBezTo>
                                        <a:pt x="332" y="0"/>
                                        <a:pt x="327" y="1"/>
                                        <a:pt x="323" y="2"/>
                                      </a:cubicBezTo>
                                      <a:cubicBezTo>
                                        <a:pt x="319" y="3"/>
                                        <a:pt x="318" y="4"/>
                                        <a:pt x="314" y="4"/>
                                      </a:cubicBezTo>
                                      <a:cubicBezTo>
                                        <a:pt x="310" y="4"/>
                                        <a:pt x="308" y="3"/>
                                        <a:pt x="304" y="2"/>
                                      </a:cubicBezTo>
                                      <a:cubicBezTo>
                                        <a:pt x="300" y="1"/>
                                        <a:pt x="295" y="0"/>
                                        <a:pt x="285" y="0"/>
                                      </a:cubicBezTo>
                                      <a:cubicBezTo>
                                        <a:pt x="275" y="0"/>
                                        <a:pt x="270" y="1"/>
                                        <a:pt x="266" y="2"/>
                                      </a:cubicBezTo>
                                      <a:cubicBezTo>
                                        <a:pt x="262" y="3"/>
                                        <a:pt x="261" y="4"/>
                                        <a:pt x="257" y="4"/>
                                      </a:cubicBezTo>
                                      <a:cubicBezTo>
                                        <a:pt x="254" y="4"/>
                                        <a:pt x="252" y="3"/>
                                        <a:pt x="249" y="2"/>
                                      </a:cubicBezTo>
                                      <a:cubicBezTo>
                                        <a:pt x="245" y="1"/>
                                        <a:pt x="239" y="0"/>
                                        <a:pt x="229" y="0"/>
                                      </a:cubicBezTo>
                                      <a:cubicBezTo>
                                        <a:pt x="229" y="0"/>
                                        <a:pt x="229" y="0"/>
                                        <a:pt x="229" y="0"/>
                                      </a:cubicBezTo>
                                      <a:cubicBezTo>
                                        <a:pt x="228" y="0"/>
                                        <a:pt x="228" y="0"/>
                                        <a:pt x="228" y="0"/>
                                      </a:cubicBezTo>
                                      <a:cubicBezTo>
                                        <a:pt x="228" y="0"/>
                                        <a:pt x="228" y="0"/>
                                        <a:pt x="228" y="0"/>
                                      </a:cubicBezTo>
                                      <a:cubicBezTo>
                                        <a:pt x="219" y="0"/>
                                        <a:pt x="214" y="1"/>
                                        <a:pt x="210" y="2"/>
                                      </a:cubicBezTo>
                                      <a:cubicBezTo>
                                        <a:pt x="206" y="3"/>
                                        <a:pt x="205" y="4"/>
                                        <a:pt x="201" y="4"/>
                                      </a:cubicBezTo>
                                      <a:cubicBezTo>
                                        <a:pt x="197" y="4"/>
                                        <a:pt x="195" y="3"/>
                                        <a:pt x="191" y="2"/>
                                      </a:cubicBezTo>
                                      <a:cubicBezTo>
                                        <a:pt x="188" y="1"/>
                                        <a:pt x="182" y="0"/>
                                        <a:pt x="172" y="0"/>
                                      </a:cubicBezTo>
                                      <a:cubicBezTo>
                                        <a:pt x="162" y="0"/>
                                        <a:pt x="157" y="1"/>
                                        <a:pt x="153" y="2"/>
                                      </a:cubicBezTo>
                                      <a:cubicBezTo>
                                        <a:pt x="149" y="3"/>
                                        <a:pt x="148" y="4"/>
                                        <a:pt x="144" y="4"/>
                                      </a:cubicBezTo>
                                      <a:cubicBezTo>
                                        <a:pt x="140" y="4"/>
                                        <a:pt x="138" y="3"/>
                                        <a:pt x="134" y="2"/>
                                      </a:cubicBezTo>
                                      <a:cubicBezTo>
                                        <a:pt x="130" y="1"/>
                                        <a:pt x="125" y="0"/>
                                        <a:pt x="115" y="0"/>
                                      </a:cubicBezTo>
                                      <a:cubicBezTo>
                                        <a:pt x="115" y="0"/>
                                        <a:pt x="115" y="0"/>
                                        <a:pt x="115" y="0"/>
                                      </a:cubicBezTo>
                                      <a:cubicBezTo>
                                        <a:pt x="115" y="0"/>
                                        <a:pt x="115" y="0"/>
                                        <a:pt x="114" y="0"/>
                                      </a:cubicBezTo>
                                      <a:cubicBezTo>
                                        <a:pt x="104" y="0"/>
                                        <a:pt x="99" y="1"/>
                                        <a:pt x="95" y="2"/>
                                      </a:cubicBezTo>
                                      <a:cubicBezTo>
                                        <a:pt x="91" y="3"/>
                                        <a:pt x="90" y="4"/>
                                        <a:pt x="86" y="4"/>
                                      </a:cubicBezTo>
                                      <a:cubicBezTo>
                                        <a:pt x="82" y="4"/>
                                        <a:pt x="80" y="3"/>
                                        <a:pt x="76" y="2"/>
                                      </a:cubicBezTo>
                                      <a:cubicBezTo>
                                        <a:pt x="73" y="1"/>
                                        <a:pt x="67" y="0"/>
                                        <a:pt x="57" y="0"/>
                                      </a:cubicBezTo>
                                      <a:cubicBezTo>
                                        <a:pt x="47" y="0"/>
                                        <a:pt x="42" y="1"/>
                                        <a:pt x="38" y="2"/>
                                      </a:cubicBezTo>
                                      <a:cubicBezTo>
                                        <a:pt x="34" y="3"/>
                                        <a:pt x="33" y="4"/>
                                        <a:pt x="29" y="4"/>
                                      </a:cubicBezTo>
                                      <a:cubicBezTo>
                                        <a:pt x="25" y="4"/>
                                        <a:pt x="23" y="3"/>
                                        <a:pt x="19" y="2"/>
                                      </a:cubicBezTo>
                                      <a:cubicBezTo>
                                        <a:pt x="15" y="1"/>
                                        <a:pt x="10" y="0"/>
                                        <a:pt x="0" y="0"/>
                                      </a:cubicBezTo>
                                      <a:cubicBezTo>
                                        <a:pt x="0" y="4"/>
                                        <a:pt x="0" y="4"/>
                                        <a:pt x="0" y="4"/>
                                      </a:cubicBezTo>
                                      <a:cubicBezTo>
                                        <a:pt x="4" y="4"/>
                                        <a:pt x="6" y="4"/>
                                        <a:pt x="9" y="5"/>
                                      </a:cubicBezTo>
                                      <a:cubicBezTo>
                                        <a:pt x="13" y="6"/>
                                        <a:pt x="18" y="8"/>
                                        <a:pt x="29" y="8"/>
                                      </a:cubicBezTo>
                                      <a:cubicBezTo>
                                        <a:pt x="39" y="8"/>
                                        <a:pt x="44" y="6"/>
                                        <a:pt x="48" y="5"/>
                                      </a:cubicBezTo>
                                      <a:cubicBezTo>
                                        <a:pt x="51" y="4"/>
                                        <a:pt x="53" y="4"/>
                                        <a:pt x="57" y="4"/>
                                      </a:cubicBezTo>
                                      <a:cubicBezTo>
                                        <a:pt x="61" y="4"/>
                                        <a:pt x="63" y="4"/>
                                        <a:pt x="66" y="5"/>
                                      </a:cubicBezTo>
                                      <a:cubicBezTo>
                                        <a:pt x="70" y="6"/>
                                        <a:pt x="76" y="8"/>
                                        <a:pt x="86" y="8"/>
                                      </a:cubicBezTo>
                                      <a:cubicBezTo>
                                        <a:pt x="96" y="8"/>
                                        <a:pt x="101" y="6"/>
                                        <a:pt x="105" y="5"/>
                                      </a:cubicBezTo>
                                      <a:cubicBezTo>
                                        <a:pt x="109" y="4"/>
                                        <a:pt x="110" y="4"/>
                                        <a:pt x="114" y="4"/>
                                      </a:cubicBezTo>
                                      <a:cubicBezTo>
                                        <a:pt x="118" y="4"/>
                                        <a:pt x="120" y="4"/>
                                        <a:pt x="123" y="5"/>
                                      </a:cubicBezTo>
                                      <a:cubicBezTo>
                                        <a:pt x="127" y="6"/>
                                        <a:pt x="133" y="8"/>
                                        <a:pt x="143" y="8"/>
                                      </a:cubicBezTo>
                                      <a:cubicBezTo>
                                        <a:pt x="143" y="8"/>
                                        <a:pt x="143" y="8"/>
                                        <a:pt x="143" y="8"/>
                                      </a:cubicBezTo>
                                      <a:cubicBezTo>
                                        <a:pt x="143" y="8"/>
                                        <a:pt x="143" y="8"/>
                                        <a:pt x="144" y="8"/>
                                      </a:cubicBezTo>
                                      <a:cubicBezTo>
                                        <a:pt x="154" y="8"/>
                                        <a:pt x="159" y="6"/>
                                        <a:pt x="163" y="5"/>
                                      </a:cubicBezTo>
                                      <a:cubicBezTo>
                                        <a:pt x="166" y="4"/>
                                        <a:pt x="168" y="4"/>
                                        <a:pt x="172" y="4"/>
                                      </a:cubicBezTo>
                                      <a:cubicBezTo>
                                        <a:pt x="176" y="4"/>
                                        <a:pt x="178" y="4"/>
                                        <a:pt x="181" y="5"/>
                                      </a:cubicBezTo>
                                      <a:cubicBezTo>
                                        <a:pt x="185" y="6"/>
                                        <a:pt x="191" y="8"/>
                                        <a:pt x="201" y="8"/>
                                      </a:cubicBezTo>
                                      <a:cubicBezTo>
                                        <a:pt x="211" y="8"/>
                                        <a:pt x="216" y="6"/>
                                        <a:pt x="220" y="5"/>
                                      </a:cubicBezTo>
                                      <a:cubicBezTo>
                                        <a:pt x="223" y="4"/>
                                        <a:pt x="225" y="4"/>
                                        <a:pt x="229" y="4"/>
                                      </a:cubicBezTo>
                                      <a:cubicBezTo>
                                        <a:pt x="232" y="4"/>
                                        <a:pt x="234" y="4"/>
                                        <a:pt x="237" y="5"/>
                                      </a:cubicBezTo>
                                      <a:cubicBezTo>
                                        <a:pt x="241" y="6"/>
                                        <a:pt x="246" y="8"/>
                                        <a:pt x="256" y="8"/>
                                      </a:cubicBezTo>
                                      <a:cubicBezTo>
                                        <a:pt x="257" y="8"/>
                                        <a:pt x="257" y="8"/>
                                        <a:pt x="257" y="8"/>
                                      </a:cubicBezTo>
                                      <a:cubicBezTo>
                                        <a:pt x="257" y="8"/>
                                        <a:pt x="258" y="8"/>
                                        <a:pt x="258" y="8"/>
                                      </a:cubicBezTo>
                                      <a:cubicBezTo>
                                        <a:pt x="258" y="8"/>
                                        <a:pt x="258" y="8"/>
                                        <a:pt x="258" y="8"/>
                                      </a:cubicBezTo>
                                      <a:cubicBezTo>
                                        <a:pt x="267" y="8"/>
                                        <a:pt x="272" y="6"/>
                                        <a:pt x="276" y="5"/>
                                      </a:cubicBezTo>
                                      <a:cubicBezTo>
                                        <a:pt x="279" y="4"/>
                                        <a:pt x="281" y="4"/>
                                        <a:pt x="285" y="4"/>
                                      </a:cubicBezTo>
                                      <a:cubicBezTo>
                                        <a:pt x="289" y="4"/>
                                        <a:pt x="291" y="4"/>
                                        <a:pt x="294" y="5"/>
                                      </a:cubicBezTo>
                                      <a:cubicBezTo>
                                        <a:pt x="298" y="6"/>
                                        <a:pt x="303" y="8"/>
                                        <a:pt x="314" y="8"/>
                                      </a:cubicBezTo>
                                      <a:cubicBezTo>
                                        <a:pt x="324" y="8"/>
                                        <a:pt x="329" y="6"/>
                                        <a:pt x="333" y="5"/>
                                      </a:cubicBezTo>
                                      <a:cubicBezTo>
                                        <a:pt x="336" y="4"/>
                                        <a:pt x="338" y="4"/>
                                        <a:pt x="342" y="4"/>
                                      </a:cubicBezTo>
                                      <a:cubicBezTo>
                                        <a:pt x="346" y="4"/>
                                        <a:pt x="348" y="4"/>
                                        <a:pt x="351" y="5"/>
                                      </a:cubicBezTo>
                                      <a:cubicBezTo>
                                        <a:pt x="355" y="6"/>
                                        <a:pt x="361" y="8"/>
                                        <a:pt x="371" y="8"/>
                                      </a:cubicBezTo>
                                      <a:cubicBezTo>
                                        <a:pt x="371" y="8"/>
                                        <a:pt x="371" y="8"/>
                                        <a:pt x="371" y="8"/>
                                      </a:cubicBezTo>
                                      <a:cubicBezTo>
                                        <a:pt x="371" y="8"/>
                                        <a:pt x="371" y="8"/>
                                        <a:pt x="371" y="8"/>
                                      </a:cubicBezTo>
                                      <a:cubicBezTo>
                                        <a:pt x="381" y="8"/>
                                        <a:pt x="387" y="6"/>
                                        <a:pt x="391" y="5"/>
                                      </a:cubicBezTo>
                                      <a:cubicBezTo>
                                        <a:pt x="394" y="4"/>
                                        <a:pt x="396" y="4"/>
                                        <a:pt x="400" y="4"/>
                                      </a:cubicBezTo>
                                      <a:cubicBezTo>
                                        <a:pt x="404" y="4"/>
                                        <a:pt x="406" y="4"/>
                                        <a:pt x="409" y="5"/>
                                      </a:cubicBezTo>
                                      <a:cubicBezTo>
                                        <a:pt x="413" y="6"/>
                                        <a:pt x="418" y="8"/>
                                        <a:pt x="428" y="8"/>
                                      </a:cubicBezTo>
                                      <a:cubicBezTo>
                                        <a:pt x="439" y="8"/>
                                        <a:pt x="444" y="6"/>
                                        <a:pt x="448" y="5"/>
                                      </a:cubicBezTo>
                                      <a:cubicBezTo>
                                        <a:pt x="451" y="4"/>
                                        <a:pt x="453" y="4"/>
                                        <a:pt x="457" y="4"/>
                                      </a:cubicBezTo>
                                      <a:cubicBezTo>
                                        <a:pt x="461" y="4"/>
                                        <a:pt x="463" y="4"/>
                                        <a:pt x="466" y="5"/>
                                      </a:cubicBezTo>
                                      <a:cubicBezTo>
                                        <a:pt x="470" y="6"/>
                                        <a:pt x="475" y="8"/>
                                        <a:pt x="485" y="8"/>
                                      </a:cubicBezTo>
                                      <a:cubicBezTo>
                                        <a:pt x="485" y="8"/>
                                        <a:pt x="486" y="8"/>
                                        <a:pt x="486" y="8"/>
                                      </a:cubicBezTo>
                                      <a:cubicBezTo>
                                        <a:pt x="486" y="8"/>
                                        <a:pt x="486" y="8"/>
                                        <a:pt x="486" y="8"/>
                                      </a:cubicBezTo>
                                      <a:cubicBezTo>
                                        <a:pt x="486" y="8"/>
                                        <a:pt x="486" y="8"/>
                                        <a:pt x="486" y="8"/>
                                      </a:cubicBezTo>
                                      <a:cubicBezTo>
                                        <a:pt x="496" y="8"/>
                                        <a:pt x="501" y="6"/>
                                        <a:pt x="505" y="5"/>
                                      </a:cubicBezTo>
                                      <a:cubicBezTo>
                                        <a:pt x="508" y="4"/>
                                        <a:pt x="510" y="4"/>
                                        <a:pt x="514" y="4"/>
                                      </a:cubicBezTo>
                                      <a:cubicBezTo>
                                        <a:pt x="518" y="4"/>
                                        <a:pt x="520" y="4"/>
                                        <a:pt x="523" y="5"/>
                                      </a:cubicBezTo>
                                      <a:cubicBezTo>
                                        <a:pt x="527" y="6"/>
                                        <a:pt x="532" y="8"/>
                                        <a:pt x="543" y="8"/>
                                      </a:cubicBezTo>
                                      <a:cubicBezTo>
                                        <a:pt x="553" y="8"/>
                                        <a:pt x="558" y="6"/>
                                        <a:pt x="562" y="5"/>
                                      </a:cubicBezTo>
                                      <a:cubicBezTo>
                                        <a:pt x="565" y="4"/>
                                        <a:pt x="567" y="4"/>
                                        <a:pt x="571" y="4"/>
                                      </a:cubicBezTo>
                                      <a:cubicBezTo>
                                        <a:pt x="575" y="4"/>
                                        <a:pt x="577" y="4"/>
                                        <a:pt x="580" y="5"/>
                                      </a:cubicBezTo>
                                      <a:cubicBezTo>
                                        <a:pt x="584" y="6"/>
                                        <a:pt x="590" y="8"/>
                                        <a:pt x="600" y="8"/>
                                      </a:cubicBezTo>
                                      <a:cubicBezTo>
                                        <a:pt x="600" y="8"/>
                                        <a:pt x="600" y="8"/>
                                        <a:pt x="600" y="8"/>
                                      </a:cubicBezTo>
                                      <a:cubicBezTo>
                                        <a:pt x="600" y="8"/>
                                        <a:pt x="600" y="8"/>
                                        <a:pt x="600" y="8"/>
                                      </a:cubicBezTo>
                                      <a:cubicBezTo>
                                        <a:pt x="610" y="8"/>
                                        <a:pt x="616" y="6"/>
                                        <a:pt x="620" y="5"/>
                                      </a:cubicBezTo>
                                      <a:cubicBezTo>
                                        <a:pt x="623" y="4"/>
                                        <a:pt x="625" y="4"/>
                                        <a:pt x="629" y="4"/>
                                      </a:cubicBezTo>
                                      <a:cubicBezTo>
                                        <a:pt x="633" y="4"/>
                                        <a:pt x="635" y="4"/>
                                        <a:pt x="638" y="5"/>
                                      </a:cubicBezTo>
                                      <a:cubicBezTo>
                                        <a:pt x="642" y="6"/>
                                        <a:pt x="647" y="8"/>
                                        <a:pt x="657" y="8"/>
                                      </a:cubicBezTo>
                                      <a:cubicBezTo>
                                        <a:pt x="668" y="8"/>
                                        <a:pt x="673" y="6"/>
                                        <a:pt x="677" y="5"/>
                                      </a:cubicBezTo>
                                      <a:cubicBezTo>
                                        <a:pt x="680" y="4"/>
                                        <a:pt x="682" y="4"/>
                                        <a:pt x="685" y="4"/>
                                      </a:cubicBezTo>
                                      <a:cubicBezTo>
                                        <a:pt x="689" y="4"/>
                                        <a:pt x="691" y="4"/>
                                        <a:pt x="694" y="5"/>
                                      </a:cubicBezTo>
                                      <a:cubicBezTo>
                                        <a:pt x="698" y="6"/>
                                        <a:pt x="703" y="8"/>
                                        <a:pt x="713" y="8"/>
                                      </a:cubicBezTo>
                                      <a:cubicBezTo>
                                        <a:pt x="714" y="8"/>
                                        <a:pt x="714" y="8"/>
                                        <a:pt x="714" y="8"/>
                                      </a:cubicBezTo>
                                      <a:cubicBezTo>
                                        <a:pt x="714" y="8"/>
                                        <a:pt x="714" y="8"/>
                                        <a:pt x="715" y="8"/>
                                      </a:cubicBezTo>
                                      <a:cubicBezTo>
                                        <a:pt x="715" y="8"/>
                                        <a:pt x="715" y="8"/>
                                        <a:pt x="715" y="8"/>
                                      </a:cubicBezTo>
                                      <a:cubicBezTo>
                                        <a:pt x="724" y="8"/>
                                        <a:pt x="729" y="6"/>
                                        <a:pt x="733" y="5"/>
                                      </a:cubicBezTo>
                                      <a:cubicBezTo>
                                        <a:pt x="736" y="4"/>
                                        <a:pt x="738" y="4"/>
                                        <a:pt x="742" y="4"/>
                                      </a:cubicBezTo>
                                      <a:cubicBezTo>
                                        <a:pt x="746" y="4"/>
                                        <a:pt x="748" y="4"/>
                                        <a:pt x="751" y="5"/>
                                      </a:cubicBezTo>
                                      <a:cubicBezTo>
                                        <a:pt x="755" y="6"/>
                                        <a:pt x="760" y="8"/>
                                        <a:pt x="770" y="8"/>
                                      </a:cubicBezTo>
                                      <a:cubicBezTo>
                                        <a:pt x="780" y="8"/>
                                        <a:pt x="786" y="6"/>
                                        <a:pt x="790" y="5"/>
                                      </a:cubicBezTo>
                                      <a:cubicBezTo>
                                        <a:pt x="793" y="4"/>
                                        <a:pt x="795" y="4"/>
                                        <a:pt x="799" y="4"/>
                                      </a:cubicBezTo>
                                      <a:cubicBezTo>
                                        <a:pt x="803" y="4"/>
                                        <a:pt x="805" y="4"/>
                                        <a:pt x="808" y="5"/>
                                      </a:cubicBezTo>
                                      <a:cubicBezTo>
                                        <a:pt x="812" y="6"/>
                                        <a:pt x="817" y="8"/>
                                        <a:pt x="828" y="8"/>
                                      </a:cubicBezTo>
                                      <a:cubicBezTo>
                                        <a:pt x="828" y="8"/>
                                        <a:pt x="828" y="8"/>
                                        <a:pt x="828" y="8"/>
                                      </a:cubicBezTo>
                                      <a:cubicBezTo>
                                        <a:pt x="828" y="8"/>
                                        <a:pt x="828" y="8"/>
                                        <a:pt x="828" y="8"/>
                                      </a:cubicBezTo>
                                      <a:cubicBezTo>
                                        <a:pt x="838" y="8"/>
                                        <a:pt x="844" y="6"/>
                                        <a:pt x="848" y="5"/>
                                      </a:cubicBezTo>
                                      <a:cubicBezTo>
                                        <a:pt x="851" y="4"/>
                                        <a:pt x="853" y="4"/>
                                        <a:pt x="857" y="4"/>
                                      </a:cubicBezTo>
                                      <a:cubicBezTo>
                                        <a:pt x="861" y="4"/>
                                        <a:pt x="863" y="4"/>
                                        <a:pt x="866" y="5"/>
                                      </a:cubicBezTo>
                                      <a:cubicBezTo>
                                        <a:pt x="870" y="6"/>
                                        <a:pt x="875" y="8"/>
                                        <a:pt x="885" y="8"/>
                                      </a:cubicBezTo>
                                      <a:cubicBezTo>
                                        <a:pt x="895" y="8"/>
                                        <a:pt x="901" y="6"/>
                                        <a:pt x="905" y="5"/>
                                      </a:cubicBezTo>
                                      <a:cubicBezTo>
                                        <a:pt x="908" y="4"/>
                                        <a:pt x="910" y="4"/>
                                        <a:pt x="914" y="4"/>
                                      </a:cubicBezTo>
                                      <a:cubicBezTo>
                                        <a:pt x="917" y="4"/>
                                        <a:pt x="919" y="4"/>
                                        <a:pt x="923" y="5"/>
                                      </a:cubicBezTo>
                                      <a:cubicBezTo>
                                        <a:pt x="927" y="6"/>
                                        <a:pt x="932" y="8"/>
                                        <a:pt x="942" y="8"/>
                                      </a:cubicBezTo>
                                      <a:cubicBezTo>
                                        <a:pt x="942" y="8"/>
                                        <a:pt x="942" y="8"/>
                                        <a:pt x="942" y="8"/>
                                      </a:cubicBezTo>
                                      <a:cubicBezTo>
                                        <a:pt x="942" y="8"/>
                                        <a:pt x="942" y="8"/>
                                        <a:pt x="942" y="8"/>
                                      </a:cubicBezTo>
                                      <a:cubicBezTo>
                                        <a:pt x="942" y="8"/>
                                        <a:pt x="942" y="8"/>
                                        <a:pt x="942" y="8"/>
                                      </a:cubicBezTo>
                                      <a:cubicBezTo>
                                        <a:pt x="952" y="8"/>
                                        <a:pt x="957" y="6"/>
                                        <a:pt x="961" y="5"/>
                                      </a:cubicBezTo>
                                      <a:cubicBezTo>
                                        <a:pt x="965" y="4"/>
                                        <a:pt x="966" y="4"/>
                                        <a:pt x="970" y="4"/>
                                      </a:cubicBezTo>
                                      <a:cubicBezTo>
                                        <a:pt x="974" y="4"/>
                                        <a:pt x="976" y="4"/>
                                        <a:pt x="980" y="5"/>
                                      </a:cubicBezTo>
                                      <a:cubicBezTo>
                                        <a:pt x="984" y="6"/>
                                        <a:pt x="989" y="8"/>
                                        <a:pt x="999" y="8"/>
                                      </a:cubicBezTo>
                                      <a:cubicBezTo>
                                        <a:pt x="1002" y="8"/>
                                        <a:pt x="1004" y="8"/>
                                        <a:pt x="1007" y="8"/>
                                      </a:cubicBezTo>
                                      <a:cubicBezTo>
                                        <a:pt x="1007" y="3"/>
                                        <a:pt x="1007" y="3"/>
                                        <a:pt x="1007" y="3"/>
                                      </a:cubicBezTo>
                                      <a:cubicBezTo>
                                        <a:pt x="1004" y="3"/>
                                        <a:pt x="1002" y="4"/>
                                        <a:pt x="999" y="4"/>
                                      </a:cubicBezTo>
                                      <a:cubicBezTo>
                                        <a:pt x="995" y="4"/>
                                        <a:pt x="993" y="3"/>
                                        <a:pt x="990" y="2"/>
                                      </a:cubicBezTo>
                                      <a:close/>
                                    </a:path>
                                  </a:pathLst>
                                </a:custGeom>
                                <a:solidFill>
                                  <a:srgbClr val="82D2E8"/>
                                </a:solidFill>
                                <a:ln>
                                  <a:noFill/>
                                </a:ln>
                                <a:extLst/>
                              </wps:spPr>
                              <wps:bodyPr rot="0" vert="horz" wrap="square" lIns="88188" tIns="44095" rIns="88188" bIns="44095" anchor="t" anchorCtr="0" upright="1">
                                <a:noAutofit/>
                              </wps:bodyPr>
                            </wps:wsp>
                            <wps:wsp>
                              <wps:cNvPr id="14259" name="Freeform 215"/>
                              <wps:cNvSpPr>
                                <a:spLocks/>
                              </wps:cNvSpPr>
                              <wps:spPr bwMode="auto">
                                <a:xfrm>
                                  <a:off x="1682566" y="343355"/>
                                  <a:ext cx="2571596" cy="20214"/>
                                </a:xfrm>
                                <a:custGeom>
                                  <a:avLst/>
                                  <a:gdLst>
                                    <a:gd name="T0" fmla="*/ 970 w 1007"/>
                                    <a:gd name="T1" fmla="*/ 0 h 8"/>
                                    <a:gd name="T2" fmla="*/ 933 w 1007"/>
                                    <a:gd name="T3" fmla="*/ 3 h 8"/>
                                    <a:gd name="T4" fmla="*/ 913 w 1007"/>
                                    <a:gd name="T5" fmla="*/ 0 h 8"/>
                                    <a:gd name="T6" fmla="*/ 885 w 1007"/>
                                    <a:gd name="T7" fmla="*/ 4 h 8"/>
                                    <a:gd name="T8" fmla="*/ 837 w 1007"/>
                                    <a:gd name="T9" fmla="*/ 3 h 8"/>
                                    <a:gd name="T10" fmla="*/ 800 w 1007"/>
                                    <a:gd name="T11" fmla="*/ 0 h 8"/>
                                    <a:gd name="T12" fmla="*/ 780 w 1007"/>
                                    <a:gd name="T13" fmla="*/ 3 h 8"/>
                                    <a:gd name="T14" fmla="*/ 742 w 1007"/>
                                    <a:gd name="T15" fmla="*/ 0 h 8"/>
                                    <a:gd name="T16" fmla="*/ 705 w 1007"/>
                                    <a:gd name="T17" fmla="*/ 3 h 8"/>
                                    <a:gd name="T18" fmla="*/ 685 w 1007"/>
                                    <a:gd name="T19" fmla="*/ 0 h 8"/>
                                    <a:gd name="T20" fmla="*/ 657 w 1007"/>
                                    <a:gd name="T21" fmla="*/ 4 h 8"/>
                                    <a:gd name="T22" fmla="*/ 610 w 1007"/>
                                    <a:gd name="T23" fmla="*/ 3 h 8"/>
                                    <a:gd name="T24" fmla="*/ 572 w 1007"/>
                                    <a:gd name="T25" fmla="*/ 0 h 8"/>
                                    <a:gd name="T26" fmla="*/ 552 w 1007"/>
                                    <a:gd name="T27" fmla="*/ 3 h 8"/>
                                    <a:gd name="T28" fmla="*/ 514 w 1007"/>
                                    <a:gd name="T29" fmla="*/ 0 h 8"/>
                                    <a:gd name="T30" fmla="*/ 476 w 1007"/>
                                    <a:gd name="T31" fmla="*/ 3 h 8"/>
                                    <a:gd name="T32" fmla="*/ 457 w 1007"/>
                                    <a:gd name="T33" fmla="*/ 0 h 8"/>
                                    <a:gd name="T34" fmla="*/ 428 w 1007"/>
                                    <a:gd name="T35" fmla="*/ 4 h 8"/>
                                    <a:gd name="T36" fmla="*/ 381 w 1007"/>
                                    <a:gd name="T37" fmla="*/ 3 h 8"/>
                                    <a:gd name="T38" fmla="*/ 343 w 1007"/>
                                    <a:gd name="T39" fmla="*/ 0 h 8"/>
                                    <a:gd name="T40" fmla="*/ 323 w 1007"/>
                                    <a:gd name="T41" fmla="*/ 3 h 8"/>
                                    <a:gd name="T42" fmla="*/ 285 w 1007"/>
                                    <a:gd name="T43" fmla="*/ 0 h 8"/>
                                    <a:gd name="T44" fmla="*/ 249 w 1007"/>
                                    <a:gd name="T45" fmla="*/ 3 h 8"/>
                                    <a:gd name="T46" fmla="*/ 228 w 1007"/>
                                    <a:gd name="T47" fmla="*/ 0 h 8"/>
                                    <a:gd name="T48" fmla="*/ 201 w 1007"/>
                                    <a:gd name="T49" fmla="*/ 4 h 8"/>
                                    <a:gd name="T50" fmla="*/ 153 w 1007"/>
                                    <a:gd name="T51" fmla="*/ 3 h 8"/>
                                    <a:gd name="T52" fmla="*/ 115 w 1007"/>
                                    <a:gd name="T53" fmla="*/ 0 h 8"/>
                                    <a:gd name="T54" fmla="*/ 95 w 1007"/>
                                    <a:gd name="T55" fmla="*/ 3 h 8"/>
                                    <a:gd name="T56" fmla="*/ 57 w 1007"/>
                                    <a:gd name="T57" fmla="*/ 0 h 8"/>
                                    <a:gd name="T58" fmla="*/ 19 w 1007"/>
                                    <a:gd name="T59" fmla="*/ 3 h 8"/>
                                    <a:gd name="T60" fmla="*/ 9 w 1007"/>
                                    <a:gd name="T61" fmla="*/ 6 h 8"/>
                                    <a:gd name="T62" fmla="*/ 57 w 1007"/>
                                    <a:gd name="T63" fmla="*/ 4 h 8"/>
                                    <a:gd name="T64" fmla="*/ 105 w 1007"/>
                                    <a:gd name="T65" fmla="*/ 6 h 8"/>
                                    <a:gd name="T66" fmla="*/ 143 w 1007"/>
                                    <a:gd name="T67" fmla="*/ 8 h 8"/>
                                    <a:gd name="T68" fmla="*/ 163 w 1007"/>
                                    <a:gd name="T69" fmla="*/ 6 h 8"/>
                                    <a:gd name="T70" fmla="*/ 201 w 1007"/>
                                    <a:gd name="T71" fmla="*/ 8 h 8"/>
                                    <a:gd name="T72" fmla="*/ 237 w 1007"/>
                                    <a:gd name="T73" fmla="*/ 6 h 8"/>
                                    <a:gd name="T74" fmla="*/ 258 w 1007"/>
                                    <a:gd name="T75" fmla="*/ 8 h 8"/>
                                    <a:gd name="T76" fmla="*/ 285 w 1007"/>
                                    <a:gd name="T77" fmla="*/ 4 h 8"/>
                                    <a:gd name="T78" fmla="*/ 333 w 1007"/>
                                    <a:gd name="T79" fmla="*/ 6 h 8"/>
                                    <a:gd name="T80" fmla="*/ 371 w 1007"/>
                                    <a:gd name="T81" fmla="*/ 8 h 8"/>
                                    <a:gd name="T82" fmla="*/ 391 w 1007"/>
                                    <a:gd name="T83" fmla="*/ 6 h 8"/>
                                    <a:gd name="T84" fmla="*/ 428 w 1007"/>
                                    <a:gd name="T85" fmla="*/ 8 h 8"/>
                                    <a:gd name="T86" fmla="*/ 466 w 1007"/>
                                    <a:gd name="T87" fmla="*/ 6 h 8"/>
                                    <a:gd name="T88" fmla="*/ 486 w 1007"/>
                                    <a:gd name="T89" fmla="*/ 8 h 8"/>
                                    <a:gd name="T90" fmla="*/ 514 w 1007"/>
                                    <a:gd name="T91" fmla="*/ 4 h 8"/>
                                    <a:gd name="T92" fmla="*/ 562 w 1007"/>
                                    <a:gd name="T93" fmla="*/ 6 h 8"/>
                                    <a:gd name="T94" fmla="*/ 600 w 1007"/>
                                    <a:gd name="T95" fmla="*/ 8 h 8"/>
                                    <a:gd name="T96" fmla="*/ 620 w 1007"/>
                                    <a:gd name="T97" fmla="*/ 6 h 8"/>
                                    <a:gd name="T98" fmla="*/ 657 w 1007"/>
                                    <a:gd name="T99" fmla="*/ 8 h 8"/>
                                    <a:gd name="T100" fmla="*/ 694 w 1007"/>
                                    <a:gd name="T101" fmla="*/ 6 h 8"/>
                                    <a:gd name="T102" fmla="*/ 715 w 1007"/>
                                    <a:gd name="T103" fmla="*/ 8 h 8"/>
                                    <a:gd name="T104" fmla="*/ 742 w 1007"/>
                                    <a:gd name="T105" fmla="*/ 4 h 8"/>
                                    <a:gd name="T106" fmla="*/ 790 w 1007"/>
                                    <a:gd name="T107" fmla="*/ 6 h 8"/>
                                    <a:gd name="T108" fmla="*/ 828 w 1007"/>
                                    <a:gd name="T109" fmla="*/ 8 h 8"/>
                                    <a:gd name="T110" fmla="*/ 848 w 1007"/>
                                    <a:gd name="T111" fmla="*/ 6 h 8"/>
                                    <a:gd name="T112" fmla="*/ 885 w 1007"/>
                                    <a:gd name="T113" fmla="*/ 8 h 8"/>
                                    <a:gd name="T114" fmla="*/ 923 w 1007"/>
                                    <a:gd name="T115" fmla="*/ 6 h 8"/>
                                    <a:gd name="T116" fmla="*/ 942 w 1007"/>
                                    <a:gd name="T117" fmla="*/ 8 h 8"/>
                                    <a:gd name="T118" fmla="*/ 970 w 1007"/>
                                    <a:gd name="T119" fmla="*/ 4 h 8"/>
                                    <a:gd name="T120" fmla="*/ 1007 w 1007"/>
                                    <a:gd name="T121"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007" h="8">
                                      <a:moveTo>
                                        <a:pt x="999" y="4"/>
                                      </a:moveTo>
                                      <a:cubicBezTo>
                                        <a:pt x="995" y="4"/>
                                        <a:pt x="993" y="4"/>
                                        <a:pt x="990" y="3"/>
                                      </a:cubicBezTo>
                                      <a:cubicBezTo>
                                        <a:pt x="986" y="2"/>
                                        <a:pt x="981" y="0"/>
                                        <a:pt x="970" y="0"/>
                                      </a:cubicBezTo>
                                      <a:cubicBezTo>
                                        <a:pt x="960" y="0"/>
                                        <a:pt x="955" y="2"/>
                                        <a:pt x="951" y="3"/>
                                      </a:cubicBezTo>
                                      <a:cubicBezTo>
                                        <a:pt x="948" y="4"/>
                                        <a:pt x="946" y="4"/>
                                        <a:pt x="942" y="4"/>
                                      </a:cubicBezTo>
                                      <a:cubicBezTo>
                                        <a:pt x="938" y="4"/>
                                        <a:pt x="937" y="4"/>
                                        <a:pt x="933" y="3"/>
                                      </a:cubicBezTo>
                                      <a:cubicBezTo>
                                        <a:pt x="929" y="2"/>
                                        <a:pt x="924" y="0"/>
                                        <a:pt x="914" y="0"/>
                                      </a:cubicBezTo>
                                      <a:cubicBezTo>
                                        <a:pt x="914" y="0"/>
                                        <a:pt x="914" y="0"/>
                                        <a:pt x="914" y="0"/>
                                      </a:cubicBezTo>
                                      <a:cubicBezTo>
                                        <a:pt x="914" y="0"/>
                                        <a:pt x="914" y="0"/>
                                        <a:pt x="913" y="0"/>
                                      </a:cubicBezTo>
                                      <a:cubicBezTo>
                                        <a:pt x="913" y="0"/>
                                        <a:pt x="913" y="0"/>
                                        <a:pt x="913" y="0"/>
                                      </a:cubicBezTo>
                                      <a:cubicBezTo>
                                        <a:pt x="904" y="0"/>
                                        <a:pt x="898" y="2"/>
                                        <a:pt x="895" y="3"/>
                                      </a:cubicBezTo>
                                      <a:cubicBezTo>
                                        <a:pt x="891" y="4"/>
                                        <a:pt x="889" y="4"/>
                                        <a:pt x="885" y="4"/>
                                      </a:cubicBezTo>
                                      <a:cubicBezTo>
                                        <a:pt x="881" y="4"/>
                                        <a:pt x="880" y="4"/>
                                        <a:pt x="876" y="3"/>
                                      </a:cubicBezTo>
                                      <a:cubicBezTo>
                                        <a:pt x="872" y="2"/>
                                        <a:pt x="867" y="0"/>
                                        <a:pt x="857" y="0"/>
                                      </a:cubicBezTo>
                                      <a:cubicBezTo>
                                        <a:pt x="847" y="0"/>
                                        <a:pt x="841" y="2"/>
                                        <a:pt x="837" y="3"/>
                                      </a:cubicBezTo>
                                      <a:cubicBezTo>
                                        <a:pt x="834" y="4"/>
                                        <a:pt x="832" y="4"/>
                                        <a:pt x="828" y="4"/>
                                      </a:cubicBezTo>
                                      <a:cubicBezTo>
                                        <a:pt x="824" y="4"/>
                                        <a:pt x="823" y="4"/>
                                        <a:pt x="819" y="3"/>
                                      </a:cubicBezTo>
                                      <a:cubicBezTo>
                                        <a:pt x="815" y="2"/>
                                        <a:pt x="810" y="0"/>
                                        <a:pt x="800" y="0"/>
                                      </a:cubicBezTo>
                                      <a:cubicBezTo>
                                        <a:pt x="800" y="0"/>
                                        <a:pt x="800" y="0"/>
                                        <a:pt x="800" y="0"/>
                                      </a:cubicBezTo>
                                      <a:cubicBezTo>
                                        <a:pt x="799" y="0"/>
                                        <a:pt x="799" y="0"/>
                                        <a:pt x="799" y="0"/>
                                      </a:cubicBezTo>
                                      <a:cubicBezTo>
                                        <a:pt x="789" y="0"/>
                                        <a:pt x="784" y="2"/>
                                        <a:pt x="780" y="3"/>
                                      </a:cubicBezTo>
                                      <a:cubicBezTo>
                                        <a:pt x="776" y="4"/>
                                        <a:pt x="774" y="4"/>
                                        <a:pt x="770" y="4"/>
                                      </a:cubicBezTo>
                                      <a:cubicBezTo>
                                        <a:pt x="766" y="4"/>
                                        <a:pt x="765" y="4"/>
                                        <a:pt x="761" y="3"/>
                                      </a:cubicBezTo>
                                      <a:cubicBezTo>
                                        <a:pt x="757" y="2"/>
                                        <a:pt x="752" y="0"/>
                                        <a:pt x="742" y="0"/>
                                      </a:cubicBezTo>
                                      <a:cubicBezTo>
                                        <a:pt x="732" y="0"/>
                                        <a:pt x="726" y="2"/>
                                        <a:pt x="722" y="3"/>
                                      </a:cubicBezTo>
                                      <a:cubicBezTo>
                                        <a:pt x="719" y="4"/>
                                        <a:pt x="717" y="4"/>
                                        <a:pt x="714" y="4"/>
                                      </a:cubicBezTo>
                                      <a:cubicBezTo>
                                        <a:pt x="710" y="4"/>
                                        <a:pt x="709" y="4"/>
                                        <a:pt x="705" y="3"/>
                                      </a:cubicBezTo>
                                      <a:cubicBezTo>
                                        <a:pt x="702" y="2"/>
                                        <a:pt x="696" y="0"/>
                                        <a:pt x="686" y="0"/>
                                      </a:cubicBezTo>
                                      <a:cubicBezTo>
                                        <a:pt x="686" y="0"/>
                                        <a:pt x="686" y="0"/>
                                        <a:pt x="685" y="0"/>
                                      </a:cubicBezTo>
                                      <a:cubicBezTo>
                                        <a:pt x="685" y="0"/>
                                        <a:pt x="685" y="0"/>
                                        <a:pt x="685" y="0"/>
                                      </a:cubicBezTo>
                                      <a:cubicBezTo>
                                        <a:pt x="685" y="0"/>
                                        <a:pt x="685" y="0"/>
                                        <a:pt x="685" y="0"/>
                                      </a:cubicBezTo>
                                      <a:cubicBezTo>
                                        <a:pt x="676" y="0"/>
                                        <a:pt x="670" y="2"/>
                                        <a:pt x="667" y="3"/>
                                      </a:cubicBezTo>
                                      <a:cubicBezTo>
                                        <a:pt x="663" y="4"/>
                                        <a:pt x="662" y="4"/>
                                        <a:pt x="657" y="4"/>
                                      </a:cubicBezTo>
                                      <a:cubicBezTo>
                                        <a:pt x="653" y="4"/>
                                        <a:pt x="652" y="4"/>
                                        <a:pt x="648" y="3"/>
                                      </a:cubicBezTo>
                                      <a:cubicBezTo>
                                        <a:pt x="644" y="2"/>
                                        <a:pt x="639" y="0"/>
                                        <a:pt x="629" y="0"/>
                                      </a:cubicBezTo>
                                      <a:cubicBezTo>
                                        <a:pt x="619" y="0"/>
                                        <a:pt x="614" y="2"/>
                                        <a:pt x="610" y="3"/>
                                      </a:cubicBezTo>
                                      <a:cubicBezTo>
                                        <a:pt x="606" y="4"/>
                                        <a:pt x="604" y="4"/>
                                        <a:pt x="600" y="4"/>
                                      </a:cubicBezTo>
                                      <a:cubicBezTo>
                                        <a:pt x="596" y="4"/>
                                        <a:pt x="595" y="4"/>
                                        <a:pt x="591" y="3"/>
                                      </a:cubicBezTo>
                                      <a:cubicBezTo>
                                        <a:pt x="587" y="2"/>
                                        <a:pt x="582" y="0"/>
                                        <a:pt x="572" y="0"/>
                                      </a:cubicBezTo>
                                      <a:cubicBezTo>
                                        <a:pt x="572" y="0"/>
                                        <a:pt x="572" y="0"/>
                                        <a:pt x="572" y="0"/>
                                      </a:cubicBezTo>
                                      <a:cubicBezTo>
                                        <a:pt x="572" y="0"/>
                                        <a:pt x="571" y="0"/>
                                        <a:pt x="571" y="0"/>
                                      </a:cubicBezTo>
                                      <a:cubicBezTo>
                                        <a:pt x="561" y="0"/>
                                        <a:pt x="556" y="2"/>
                                        <a:pt x="552" y="3"/>
                                      </a:cubicBezTo>
                                      <a:cubicBezTo>
                                        <a:pt x="548" y="4"/>
                                        <a:pt x="547" y="4"/>
                                        <a:pt x="543" y="4"/>
                                      </a:cubicBezTo>
                                      <a:cubicBezTo>
                                        <a:pt x="538" y="4"/>
                                        <a:pt x="537" y="4"/>
                                        <a:pt x="533" y="3"/>
                                      </a:cubicBezTo>
                                      <a:cubicBezTo>
                                        <a:pt x="529" y="2"/>
                                        <a:pt x="524" y="0"/>
                                        <a:pt x="514" y="0"/>
                                      </a:cubicBezTo>
                                      <a:cubicBezTo>
                                        <a:pt x="504" y="0"/>
                                        <a:pt x="499" y="2"/>
                                        <a:pt x="495" y="3"/>
                                      </a:cubicBezTo>
                                      <a:cubicBezTo>
                                        <a:pt x="491" y="4"/>
                                        <a:pt x="489" y="4"/>
                                        <a:pt x="486" y="4"/>
                                      </a:cubicBezTo>
                                      <a:cubicBezTo>
                                        <a:pt x="482" y="4"/>
                                        <a:pt x="480" y="4"/>
                                        <a:pt x="476" y="3"/>
                                      </a:cubicBezTo>
                                      <a:cubicBezTo>
                                        <a:pt x="473" y="2"/>
                                        <a:pt x="467" y="0"/>
                                        <a:pt x="457" y="0"/>
                                      </a:cubicBezTo>
                                      <a:cubicBezTo>
                                        <a:pt x="457" y="0"/>
                                        <a:pt x="457" y="0"/>
                                        <a:pt x="457" y="0"/>
                                      </a:cubicBezTo>
                                      <a:cubicBezTo>
                                        <a:pt x="457" y="0"/>
                                        <a:pt x="457" y="0"/>
                                        <a:pt x="457" y="0"/>
                                      </a:cubicBezTo>
                                      <a:cubicBezTo>
                                        <a:pt x="457" y="0"/>
                                        <a:pt x="457" y="0"/>
                                        <a:pt x="457" y="0"/>
                                      </a:cubicBezTo>
                                      <a:cubicBezTo>
                                        <a:pt x="447" y="0"/>
                                        <a:pt x="442" y="2"/>
                                        <a:pt x="438" y="3"/>
                                      </a:cubicBezTo>
                                      <a:cubicBezTo>
                                        <a:pt x="434" y="4"/>
                                        <a:pt x="433" y="4"/>
                                        <a:pt x="428" y="4"/>
                                      </a:cubicBezTo>
                                      <a:cubicBezTo>
                                        <a:pt x="424" y="4"/>
                                        <a:pt x="423" y="4"/>
                                        <a:pt x="419" y="3"/>
                                      </a:cubicBezTo>
                                      <a:cubicBezTo>
                                        <a:pt x="415" y="2"/>
                                        <a:pt x="410" y="0"/>
                                        <a:pt x="400" y="0"/>
                                      </a:cubicBezTo>
                                      <a:cubicBezTo>
                                        <a:pt x="390" y="0"/>
                                        <a:pt x="385" y="2"/>
                                        <a:pt x="381" y="3"/>
                                      </a:cubicBezTo>
                                      <a:cubicBezTo>
                                        <a:pt x="377" y="4"/>
                                        <a:pt x="375" y="4"/>
                                        <a:pt x="371" y="4"/>
                                      </a:cubicBezTo>
                                      <a:cubicBezTo>
                                        <a:pt x="367" y="4"/>
                                        <a:pt x="366" y="4"/>
                                        <a:pt x="362" y="3"/>
                                      </a:cubicBezTo>
                                      <a:cubicBezTo>
                                        <a:pt x="358" y="2"/>
                                        <a:pt x="353" y="0"/>
                                        <a:pt x="343" y="0"/>
                                      </a:cubicBezTo>
                                      <a:cubicBezTo>
                                        <a:pt x="343" y="0"/>
                                        <a:pt x="343" y="0"/>
                                        <a:pt x="343" y="0"/>
                                      </a:cubicBezTo>
                                      <a:cubicBezTo>
                                        <a:pt x="343" y="0"/>
                                        <a:pt x="342" y="0"/>
                                        <a:pt x="342" y="0"/>
                                      </a:cubicBezTo>
                                      <a:cubicBezTo>
                                        <a:pt x="332" y="0"/>
                                        <a:pt x="327" y="2"/>
                                        <a:pt x="323" y="3"/>
                                      </a:cubicBezTo>
                                      <a:cubicBezTo>
                                        <a:pt x="319" y="4"/>
                                        <a:pt x="318" y="4"/>
                                        <a:pt x="314" y="4"/>
                                      </a:cubicBezTo>
                                      <a:cubicBezTo>
                                        <a:pt x="310" y="4"/>
                                        <a:pt x="308" y="4"/>
                                        <a:pt x="304" y="3"/>
                                      </a:cubicBezTo>
                                      <a:cubicBezTo>
                                        <a:pt x="300" y="2"/>
                                        <a:pt x="295" y="0"/>
                                        <a:pt x="285" y="0"/>
                                      </a:cubicBezTo>
                                      <a:cubicBezTo>
                                        <a:pt x="275" y="0"/>
                                        <a:pt x="270" y="2"/>
                                        <a:pt x="266" y="3"/>
                                      </a:cubicBezTo>
                                      <a:cubicBezTo>
                                        <a:pt x="262" y="4"/>
                                        <a:pt x="261" y="4"/>
                                        <a:pt x="257" y="4"/>
                                      </a:cubicBezTo>
                                      <a:cubicBezTo>
                                        <a:pt x="254" y="4"/>
                                        <a:pt x="252" y="4"/>
                                        <a:pt x="249" y="3"/>
                                      </a:cubicBezTo>
                                      <a:cubicBezTo>
                                        <a:pt x="245" y="2"/>
                                        <a:pt x="239" y="0"/>
                                        <a:pt x="229" y="0"/>
                                      </a:cubicBezTo>
                                      <a:cubicBezTo>
                                        <a:pt x="229" y="0"/>
                                        <a:pt x="229" y="0"/>
                                        <a:pt x="229" y="0"/>
                                      </a:cubicBezTo>
                                      <a:cubicBezTo>
                                        <a:pt x="228" y="0"/>
                                        <a:pt x="228" y="0"/>
                                        <a:pt x="228" y="0"/>
                                      </a:cubicBezTo>
                                      <a:cubicBezTo>
                                        <a:pt x="228" y="0"/>
                                        <a:pt x="228" y="0"/>
                                        <a:pt x="228" y="0"/>
                                      </a:cubicBezTo>
                                      <a:cubicBezTo>
                                        <a:pt x="219" y="0"/>
                                        <a:pt x="214" y="2"/>
                                        <a:pt x="210" y="3"/>
                                      </a:cubicBezTo>
                                      <a:cubicBezTo>
                                        <a:pt x="206" y="4"/>
                                        <a:pt x="205" y="4"/>
                                        <a:pt x="201" y="4"/>
                                      </a:cubicBezTo>
                                      <a:cubicBezTo>
                                        <a:pt x="197" y="4"/>
                                        <a:pt x="195" y="4"/>
                                        <a:pt x="191" y="3"/>
                                      </a:cubicBezTo>
                                      <a:cubicBezTo>
                                        <a:pt x="188" y="2"/>
                                        <a:pt x="182" y="0"/>
                                        <a:pt x="172" y="0"/>
                                      </a:cubicBezTo>
                                      <a:cubicBezTo>
                                        <a:pt x="162" y="0"/>
                                        <a:pt x="157" y="2"/>
                                        <a:pt x="153" y="3"/>
                                      </a:cubicBezTo>
                                      <a:cubicBezTo>
                                        <a:pt x="149" y="4"/>
                                        <a:pt x="148" y="4"/>
                                        <a:pt x="144" y="4"/>
                                      </a:cubicBezTo>
                                      <a:cubicBezTo>
                                        <a:pt x="140" y="4"/>
                                        <a:pt x="138" y="4"/>
                                        <a:pt x="134" y="3"/>
                                      </a:cubicBezTo>
                                      <a:cubicBezTo>
                                        <a:pt x="130" y="2"/>
                                        <a:pt x="125" y="0"/>
                                        <a:pt x="115" y="0"/>
                                      </a:cubicBezTo>
                                      <a:cubicBezTo>
                                        <a:pt x="115" y="0"/>
                                        <a:pt x="115" y="0"/>
                                        <a:pt x="115" y="0"/>
                                      </a:cubicBezTo>
                                      <a:cubicBezTo>
                                        <a:pt x="115" y="0"/>
                                        <a:pt x="115" y="0"/>
                                        <a:pt x="114" y="0"/>
                                      </a:cubicBezTo>
                                      <a:cubicBezTo>
                                        <a:pt x="104" y="0"/>
                                        <a:pt x="99" y="2"/>
                                        <a:pt x="95" y="3"/>
                                      </a:cubicBezTo>
                                      <a:cubicBezTo>
                                        <a:pt x="91" y="4"/>
                                        <a:pt x="90" y="4"/>
                                        <a:pt x="86" y="4"/>
                                      </a:cubicBezTo>
                                      <a:cubicBezTo>
                                        <a:pt x="82" y="4"/>
                                        <a:pt x="80" y="4"/>
                                        <a:pt x="76" y="3"/>
                                      </a:cubicBezTo>
                                      <a:cubicBezTo>
                                        <a:pt x="73" y="2"/>
                                        <a:pt x="67" y="0"/>
                                        <a:pt x="57" y="0"/>
                                      </a:cubicBezTo>
                                      <a:cubicBezTo>
                                        <a:pt x="47" y="0"/>
                                        <a:pt x="42" y="2"/>
                                        <a:pt x="38" y="3"/>
                                      </a:cubicBezTo>
                                      <a:cubicBezTo>
                                        <a:pt x="34" y="4"/>
                                        <a:pt x="33" y="4"/>
                                        <a:pt x="29" y="4"/>
                                      </a:cubicBezTo>
                                      <a:cubicBezTo>
                                        <a:pt x="25" y="4"/>
                                        <a:pt x="23" y="4"/>
                                        <a:pt x="19" y="3"/>
                                      </a:cubicBezTo>
                                      <a:cubicBezTo>
                                        <a:pt x="15" y="2"/>
                                        <a:pt x="10" y="0"/>
                                        <a:pt x="0" y="0"/>
                                      </a:cubicBezTo>
                                      <a:cubicBezTo>
                                        <a:pt x="0" y="4"/>
                                        <a:pt x="0" y="4"/>
                                        <a:pt x="0" y="4"/>
                                      </a:cubicBezTo>
                                      <a:cubicBezTo>
                                        <a:pt x="4" y="4"/>
                                        <a:pt x="6" y="5"/>
                                        <a:pt x="9" y="6"/>
                                      </a:cubicBezTo>
                                      <a:cubicBezTo>
                                        <a:pt x="13" y="7"/>
                                        <a:pt x="18" y="8"/>
                                        <a:pt x="29" y="8"/>
                                      </a:cubicBezTo>
                                      <a:cubicBezTo>
                                        <a:pt x="39" y="8"/>
                                        <a:pt x="44" y="7"/>
                                        <a:pt x="48" y="6"/>
                                      </a:cubicBezTo>
                                      <a:cubicBezTo>
                                        <a:pt x="51" y="5"/>
                                        <a:pt x="53" y="4"/>
                                        <a:pt x="57" y="4"/>
                                      </a:cubicBezTo>
                                      <a:cubicBezTo>
                                        <a:pt x="61" y="4"/>
                                        <a:pt x="63" y="5"/>
                                        <a:pt x="66" y="6"/>
                                      </a:cubicBezTo>
                                      <a:cubicBezTo>
                                        <a:pt x="70" y="7"/>
                                        <a:pt x="76" y="8"/>
                                        <a:pt x="86" y="8"/>
                                      </a:cubicBezTo>
                                      <a:cubicBezTo>
                                        <a:pt x="96" y="8"/>
                                        <a:pt x="101" y="7"/>
                                        <a:pt x="105" y="6"/>
                                      </a:cubicBezTo>
                                      <a:cubicBezTo>
                                        <a:pt x="109" y="5"/>
                                        <a:pt x="110" y="4"/>
                                        <a:pt x="114" y="4"/>
                                      </a:cubicBezTo>
                                      <a:cubicBezTo>
                                        <a:pt x="118" y="4"/>
                                        <a:pt x="120" y="5"/>
                                        <a:pt x="123" y="6"/>
                                      </a:cubicBezTo>
                                      <a:cubicBezTo>
                                        <a:pt x="127" y="7"/>
                                        <a:pt x="133" y="8"/>
                                        <a:pt x="143" y="8"/>
                                      </a:cubicBezTo>
                                      <a:cubicBezTo>
                                        <a:pt x="143" y="8"/>
                                        <a:pt x="143" y="8"/>
                                        <a:pt x="143" y="8"/>
                                      </a:cubicBezTo>
                                      <a:cubicBezTo>
                                        <a:pt x="143" y="8"/>
                                        <a:pt x="143" y="8"/>
                                        <a:pt x="144" y="8"/>
                                      </a:cubicBezTo>
                                      <a:cubicBezTo>
                                        <a:pt x="154" y="8"/>
                                        <a:pt x="159" y="7"/>
                                        <a:pt x="163" y="6"/>
                                      </a:cubicBezTo>
                                      <a:cubicBezTo>
                                        <a:pt x="166" y="5"/>
                                        <a:pt x="168" y="4"/>
                                        <a:pt x="172" y="4"/>
                                      </a:cubicBezTo>
                                      <a:cubicBezTo>
                                        <a:pt x="176" y="4"/>
                                        <a:pt x="178" y="5"/>
                                        <a:pt x="181" y="6"/>
                                      </a:cubicBezTo>
                                      <a:cubicBezTo>
                                        <a:pt x="185" y="7"/>
                                        <a:pt x="191" y="8"/>
                                        <a:pt x="201" y="8"/>
                                      </a:cubicBezTo>
                                      <a:cubicBezTo>
                                        <a:pt x="211" y="8"/>
                                        <a:pt x="216" y="7"/>
                                        <a:pt x="220" y="6"/>
                                      </a:cubicBezTo>
                                      <a:cubicBezTo>
                                        <a:pt x="223" y="5"/>
                                        <a:pt x="225" y="4"/>
                                        <a:pt x="229" y="4"/>
                                      </a:cubicBezTo>
                                      <a:cubicBezTo>
                                        <a:pt x="232" y="4"/>
                                        <a:pt x="234" y="5"/>
                                        <a:pt x="237" y="6"/>
                                      </a:cubicBezTo>
                                      <a:cubicBezTo>
                                        <a:pt x="241" y="7"/>
                                        <a:pt x="246" y="8"/>
                                        <a:pt x="256" y="8"/>
                                      </a:cubicBezTo>
                                      <a:cubicBezTo>
                                        <a:pt x="257" y="8"/>
                                        <a:pt x="257" y="8"/>
                                        <a:pt x="257" y="8"/>
                                      </a:cubicBezTo>
                                      <a:cubicBezTo>
                                        <a:pt x="257" y="8"/>
                                        <a:pt x="258" y="8"/>
                                        <a:pt x="258" y="8"/>
                                      </a:cubicBezTo>
                                      <a:cubicBezTo>
                                        <a:pt x="258" y="8"/>
                                        <a:pt x="258" y="8"/>
                                        <a:pt x="258" y="8"/>
                                      </a:cubicBezTo>
                                      <a:cubicBezTo>
                                        <a:pt x="267" y="8"/>
                                        <a:pt x="272" y="7"/>
                                        <a:pt x="276" y="6"/>
                                      </a:cubicBezTo>
                                      <a:cubicBezTo>
                                        <a:pt x="279" y="5"/>
                                        <a:pt x="281" y="4"/>
                                        <a:pt x="285" y="4"/>
                                      </a:cubicBezTo>
                                      <a:cubicBezTo>
                                        <a:pt x="289" y="4"/>
                                        <a:pt x="291" y="5"/>
                                        <a:pt x="294" y="6"/>
                                      </a:cubicBezTo>
                                      <a:cubicBezTo>
                                        <a:pt x="298" y="7"/>
                                        <a:pt x="303" y="8"/>
                                        <a:pt x="314" y="8"/>
                                      </a:cubicBezTo>
                                      <a:cubicBezTo>
                                        <a:pt x="324" y="8"/>
                                        <a:pt x="329" y="7"/>
                                        <a:pt x="333" y="6"/>
                                      </a:cubicBezTo>
                                      <a:cubicBezTo>
                                        <a:pt x="336" y="5"/>
                                        <a:pt x="338" y="4"/>
                                        <a:pt x="342" y="4"/>
                                      </a:cubicBezTo>
                                      <a:cubicBezTo>
                                        <a:pt x="346" y="4"/>
                                        <a:pt x="348" y="5"/>
                                        <a:pt x="351" y="6"/>
                                      </a:cubicBezTo>
                                      <a:cubicBezTo>
                                        <a:pt x="355" y="7"/>
                                        <a:pt x="361" y="8"/>
                                        <a:pt x="371" y="8"/>
                                      </a:cubicBezTo>
                                      <a:cubicBezTo>
                                        <a:pt x="371" y="8"/>
                                        <a:pt x="371" y="8"/>
                                        <a:pt x="371" y="8"/>
                                      </a:cubicBezTo>
                                      <a:cubicBezTo>
                                        <a:pt x="371" y="8"/>
                                        <a:pt x="371" y="8"/>
                                        <a:pt x="371" y="8"/>
                                      </a:cubicBezTo>
                                      <a:cubicBezTo>
                                        <a:pt x="381" y="8"/>
                                        <a:pt x="387" y="7"/>
                                        <a:pt x="391" y="6"/>
                                      </a:cubicBezTo>
                                      <a:cubicBezTo>
                                        <a:pt x="394" y="5"/>
                                        <a:pt x="396" y="4"/>
                                        <a:pt x="400" y="4"/>
                                      </a:cubicBezTo>
                                      <a:cubicBezTo>
                                        <a:pt x="404" y="4"/>
                                        <a:pt x="406" y="5"/>
                                        <a:pt x="409" y="6"/>
                                      </a:cubicBezTo>
                                      <a:cubicBezTo>
                                        <a:pt x="413" y="7"/>
                                        <a:pt x="418" y="8"/>
                                        <a:pt x="428" y="8"/>
                                      </a:cubicBezTo>
                                      <a:cubicBezTo>
                                        <a:pt x="439" y="8"/>
                                        <a:pt x="444" y="7"/>
                                        <a:pt x="448" y="6"/>
                                      </a:cubicBezTo>
                                      <a:cubicBezTo>
                                        <a:pt x="451" y="5"/>
                                        <a:pt x="453" y="4"/>
                                        <a:pt x="457" y="4"/>
                                      </a:cubicBezTo>
                                      <a:cubicBezTo>
                                        <a:pt x="461" y="4"/>
                                        <a:pt x="463" y="5"/>
                                        <a:pt x="466" y="6"/>
                                      </a:cubicBezTo>
                                      <a:cubicBezTo>
                                        <a:pt x="470" y="7"/>
                                        <a:pt x="475" y="8"/>
                                        <a:pt x="485" y="8"/>
                                      </a:cubicBezTo>
                                      <a:cubicBezTo>
                                        <a:pt x="485" y="8"/>
                                        <a:pt x="486" y="8"/>
                                        <a:pt x="486" y="8"/>
                                      </a:cubicBezTo>
                                      <a:cubicBezTo>
                                        <a:pt x="486" y="8"/>
                                        <a:pt x="486" y="8"/>
                                        <a:pt x="486" y="8"/>
                                      </a:cubicBezTo>
                                      <a:cubicBezTo>
                                        <a:pt x="486" y="8"/>
                                        <a:pt x="486" y="8"/>
                                        <a:pt x="486" y="8"/>
                                      </a:cubicBezTo>
                                      <a:cubicBezTo>
                                        <a:pt x="496" y="8"/>
                                        <a:pt x="501" y="7"/>
                                        <a:pt x="505" y="6"/>
                                      </a:cubicBezTo>
                                      <a:cubicBezTo>
                                        <a:pt x="508" y="5"/>
                                        <a:pt x="510" y="4"/>
                                        <a:pt x="514" y="4"/>
                                      </a:cubicBezTo>
                                      <a:cubicBezTo>
                                        <a:pt x="518" y="4"/>
                                        <a:pt x="520" y="5"/>
                                        <a:pt x="523" y="6"/>
                                      </a:cubicBezTo>
                                      <a:cubicBezTo>
                                        <a:pt x="527" y="7"/>
                                        <a:pt x="532" y="8"/>
                                        <a:pt x="543" y="8"/>
                                      </a:cubicBezTo>
                                      <a:cubicBezTo>
                                        <a:pt x="553" y="8"/>
                                        <a:pt x="558" y="7"/>
                                        <a:pt x="562" y="6"/>
                                      </a:cubicBezTo>
                                      <a:cubicBezTo>
                                        <a:pt x="565" y="5"/>
                                        <a:pt x="567" y="4"/>
                                        <a:pt x="571" y="4"/>
                                      </a:cubicBezTo>
                                      <a:cubicBezTo>
                                        <a:pt x="575" y="4"/>
                                        <a:pt x="577" y="5"/>
                                        <a:pt x="580" y="6"/>
                                      </a:cubicBezTo>
                                      <a:cubicBezTo>
                                        <a:pt x="584" y="7"/>
                                        <a:pt x="590" y="8"/>
                                        <a:pt x="600" y="8"/>
                                      </a:cubicBezTo>
                                      <a:cubicBezTo>
                                        <a:pt x="600" y="8"/>
                                        <a:pt x="600" y="8"/>
                                        <a:pt x="600" y="8"/>
                                      </a:cubicBezTo>
                                      <a:cubicBezTo>
                                        <a:pt x="600" y="8"/>
                                        <a:pt x="600" y="8"/>
                                        <a:pt x="600" y="8"/>
                                      </a:cubicBezTo>
                                      <a:cubicBezTo>
                                        <a:pt x="610" y="8"/>
                                        <a:pt x="616" y="7"/>
                                        <a:pt x="620" y="6"/>
                                      </a:cubicBezTo>
                                      <a:cubicBezTo>
                                        <a:pt x="623" y="5"/>
                                        <a:pt x="625" y="4"/>
                                        <a:pt x="629" y="4"/>
                                      </a:cubicBezTo>
                                      <a:cubicBezTo>
                                        <a:pt x="633" y="4"/>
                                        <a:pt x="635" y="5"/>
                                        <a:pt x="638" y="6"/>
                                      </a:cubicBezTo>
                                      <a:cubicBezTo>
                                        <a:pt x="642" y="7"/>
                                        <a:pt x="647" y="8"/>
                                        <a:pt x="657" y="8"/>
                                      </a:cubicBezTo>
                                      <a:cubicBezTo>
                                        <a:pt x="668" y="8"/>
                                        <a:pt x="673" y="7"/>
                                        <a:pt x="677" y="6"/>
                                      </a:cubicBezTo>
                                      <a:cubicBezTo>
                                        <a:pt x="680" y="5"/>
                                        <a:pt x="682" y="4"/>
                                        <a:pt x="685" y="4"/>
                                      </a:cubicBezTo>
                                      <a:cubicBezTo>
                                        <a:pt x="689" y="4"/>
                                        <a:pt x="691" y="5"/>
                                        <a:pt x="694" y="6"/>
                                      </a:cubicBezTo>
                                      <a:cubicBezTo>
                                        <a:pt x="698" y="7"/>
                                        <a:pt x="703" y="8"/>
                                        <a:pt x="713" y="8"/>
                                      </a:cubicBezTo>
                                      <a:cubicBezTo>
                                        <a:pt x="714" y="8"/>
                                        <a:pt x="714" y="8"/>
                                        <a:pt x="714" y="8"/>
                                      </a:cubicBezTo>
                                      <a:cubicBezTo>
                                        <a:pt x="714" y="8"/>
                                        <a:pt x="714" y="8"/>
                                        <a:pt x="715" y="8"/>
                                      </a:cubicBezTo>
                                      <a:cubicBezTo>
                                        <a:pt x="715" y="8"/>
                                        <a:pt x="715" y="8"/>
                                        <a:pt x="715" y="8"/>
                                      </a:cubicBezTo>
                                      <a:cubicBezTo>
                                        <a:pt x="724" y="8"/>
                                        <a:pt x="729" y="7"/>
                                        <a:pt x="733" y="6"/>
                                      </a:cubicBezTo>
                                      <a:cubicBezTo>
                                        <a:pt x="736" y="5"/>
                                        <a:pt x="738" y="4"/>
                                        <a:pt x="742" y="4"/>
                                      </a:cubicBezTo>
                                      <a:cubicBezTo>
                                        <a:pt x="746" y="4"/>
                                        <a:pt x="748" y="5"/>
                                        <a:pt x="751" y="6"/>
                                      </a:cubicBezTo>
                                      <a:cubicBezTo>
                                        <a:pt x="755" y="7"/>
                                        <a:pt x="760" y="8"/>
                                        <a:pt x="770" y="8"/>
                                      </a:cubicBezTo>
                                      <a:cubicBezTo>
                                        <a:pt x="780" y="8"/>
                                        <a:pt x="786" y="7"/>
                                        <a:pt x="790" y="6"/>
                                      </a:cubicBezTo>
                                      <a:cubicBezTo>
                                        <a:pt x="793" y="5"/>
                                        <a:pt x="795" y="4"/>
                                        <a:pt x="799" y="4"/>
                                      </a:cubicBezTo>
                                      <a:cubicBezTo>
                                        <a:pt x="803" y="4"/>
                                        <a:pt x="805" y="5"/>
                                        <a:pt x="808" y="6"/>
                                      </a:cubicBezTo>
                                      <a:cubicBezTo>
                                        <a:pt x="812" y="7"/>
                                        <a:pt x="817" y="8"/>
                                        <a:pt x="828" y="8"/>
                                      </a:cubicBezTo>
                                      <a:cubicBezTo>
                                        <a:pt x="828" y="8"/>
                                        <a:pt x="828" y="8"/>
                                        <a:pt x="828" y="8"/>
                                      </a:cubicBezTo>
                                      <a:cubicBezTo>
                                        <a:pt x="828" y="8"/>
                                        <a:pt x="828" y="8"/>
                                        <a:pt x="828" y="8"/>
                                      </a:cubicBezTo>
                                      <a:cubicBezTo>
                                        <a:pt x="838" y="8"/>
                                        <a:pt x="844" y="7"/>
                                        <a:pt x="848" y="6"/>
                                      </a:cubicBezTo>
                                      <a:cubicBezTo>
                                        <a:pt x="851" y="5"/>
                                        <a:pt x="853" y="4"/>
                                        <a:pt x="857" y="4"/>
                                      </a:cubicBezTo>
                                      <a:cubicBezTo>
                                        <a:pt x="861" y="4"/>
                                        <a:pt x="863" y="5"/>
                                        <a:pt x="866" y="6"/>
                                      </a:cubicBezTo>
                                      <a:cubicBezTo>
                                        <a:pt x="870" y="7"/>
                                        <a:pt x="875" y="8"/>
                                        <a:pt x="885" y="8"/>
                                      </a:cubicBezTo>
                                      <a:cubicBezTo>
                                        <a:pt x="895" y="8"/>
                                        <a:pt x="901" y="7"/>
                                        <a:pt x="905" y="6"/>
                                      </a:cubicBezTo>
                                      <a:cubicBezTo>
                                        <a:pt x="908" y="5"/>
                                        <a:pt x="910" y="4"/>
                                        <a:pt x="914" y="4"/>
                                      </a:cubicBezTo>
                                      <a:cubicBezTo>
                                        <a:pt x="917" y="4"/>
                                        <a:pt x="919" y="5"/>
                                        <a:pt x="923" y="6"/>
                                      </a:cubicBezTo>
                                      <a:cubicBezTo>
                                        <a:pt x="927" y="7"/>
                                        <a:pt x="932" y="8"/>
                                        <a:pt x="942" y="8"/>
                                      </a:cubicBezTo>
                                      <a:cubicBezTo>
                                        <a:pt x="942" y="8"/>
                                        <a:pt x="942" y="8"/>
                                        <a:pt x="942" y="8"/>
                                      </a:cubicBezTo>
                                      <a:cubicBezTo>
                                        <a:pt x="942" y="8"/>
                                        <a:pt x="942" y="8"/>
                                        <a:pt x="942" y="8"/>
                                      </a:cubicBezTo>
                                      <a:cubicBezTo>
                                        <a:pt x="942" y="8"/>
                                        <a:pt x="942" y="8"/>
                                        <a:pt x="942" y="8"/>
                                      </a:cubicBezTo>
                                      <a:cubicBezTo>
                                        <a:pt x="952" y="8"/>
                                        <a:pt x="957" y="7"/>
                                        <a:pt x="961" y="6"/>
                                      </a:cubicBezTo>
                                      <a:cubicBezTo>
                                        <a:pt x="965" y="5"/>
                                        <a:pt x="966" y="4"/>
                                        <a:pt x="970" y="4"/>
                                      </a:cubicBezTo>
                                      <a:cubicBezTo>
                                        <a:pt x="974" y="4"/>
                                        <a:pt x="976" y="5"/>
                                        <a:pt x="980" y="6"/>
                                      </a:cubicBezTo>
                                      <a:cubicBezTo>
                                        <a:pt x="984" y="7"/>
                                        <a:pt x="989" y="8"/>
                                        <a:pt x="999" y="8"/>
                                      </a:cubicBezTo>
                                      <a:cubicBezTo>
                                        <a:pt x="1002" y="8"/>
                                        <a:pt x="1004" y="8"/>
                                        <a:pt x="1007" y="8"/>
                                      </a:cubicBezTo>
                                      <a:cubicBezTo>
                                        <a:pt x="1007" y="3"/>
                                        <a:pt x="1007" y="3"/>
                                        <a:pt x="1007" y="3"/>
                                      </a:cubicBezTo>
                                      <a:cubicBezTo>
                                        <a:pt x="1004" y="4"/>
                                        <a:pt x="1002" y="4"/>
                                        <a:pt x="999" y="4"/>
                                      </a:cubicBezTo>
                                      <a:close/>
                                    </a:path>
                                  </a:pathLst>
                                </a:custGeom>
                                <a:solidFill>
                                  <a:srgbClr val="82D2E8"/>
                                </a:solidFill>
                                <a:ln>
                                  <a:noFill/>
                                </a:ln>
                                <a:extLst/>
                              </wps:spPr>
                              <wps:bodyPr rot="0" vert="horz" wrap="square" lIns="88188" tIns="44095" rIns="88188" bIns="44095" anchor="t" anchorCtr="0" upright="1">
                                <a:noAutofit/>
                              </wps:bodyPr>
                            </wps:wsp>
                            <wps:wsp>
                              <wps:cNvPr id="14271" name="Oval 216"/>
                              <wps:cNvSpPr>
                                <a:spLocks noChangeArrowheads="1"/>
                              </wps:cNvSpPr>
                              <wps:spPr bwMode="auto">
                                <a:xfrm>
                                  <a:off x="1631724" y="338454"/>
                                  <a:ext cx="58197" cy="55745"/>
                                </a:xfrm>
                                <a:prstGeom prst="ellipse">
                                  <a:avLst/>
                                </a:prstGeom>
                                <a:solidFill>
                                  <a:srgbClr val="FFFFFF"/>
                                </a:solidFill>
                                <a:ln w="10160">
                                  <a:solidFill>
                                    <a:srgbClr val="65BBC8"/>
                                  </a:solidFill>
                                  <a:miter lim="800000"/>
                                  <a:headEnd/>
                                  <a:tailEnd/>
                                </a:ln>
                              </wps:spPr>
                              <wps:bodyPr rot="0" vert="horz" wrap="square" lIns="88188" tIns="44095" rIns="88188" bIns="44095" anchor="t" anchorCtr="0" upright="1">
                                <a:noAutofit/>
                              </wps:bodyPr>
                            </wps:wsp>
                            <wps:wsp>
                              <wps:cNvPr id="672" name="Oval 217"/>
                              <wps:cNvSpPr>
                                <a:spLocks noChangeArrowheads="1"/>
                              </wps:cNvSpPr>
                              <wps:spPr bwMode="auto">
                                <a:xfrm>
                                  <a:off x="4244362" y="338454"/>
                                  <a:ext cx="55745" cy="55745"/>
                                </a:xfrm>
                                <a:prstGeom prst="ellipse">
                                  <a:avLst/>
                                </a:prstGeom>
                                <a:solidFill>
                                  <a:srgbClr val="FFFFFF"/>
                                </a:solidFill>
                                <a:ln w="10160">
                                  <a:solidFill>
                                    <a:srgbClr val="E48C32"/>
                                  </a:solidFill>
                                  <a:miter lim="800000"/>
                                  <a:headEnd/>
                                  <a:tailEnd/>
                                </a:ln>
                              </wps:spPr>
                              <wps:bodyPr rot="0" vert="horz" wrap="square" lIns="88188" tIns="44095" rIns="88188" bIns="44095" anchor="t" anchorCtr="0" upright="1">
                                <a:noAutofit/>
                              </wps:bodyPr>
                            </wps:wsp>
                            <wps:wsp>
                              <wps:cNvPr id="674" name="Freeform 218"/>
                              <wps:cNvSpPr>
                                <a:spLocks noEditPoints="1"/>
                              </wps:cNvSpPr>
                              <wps:spPr bwMode="auto">
                                <a:xfrm>
                                  <a:off x="334288" y="157136"/>
                                  <a:ext cx="94335" cy="17763"/>
                                </a:xfrm>
                                <a:custGeom>
                                  <a:avLst/>
                                  <a:gdLst>
                                    <a:gd name="T0" fmla="*/ 33 w 37"/>
                                    <a:gd name="T1" fmla="*/ 7 h 7"/>
                                    <a:gd name="T2" fmla="*/ 3 w 37"/>
                                    <a:gd name="T3" fmla="*/ 7 h 7"/>
                                    <a:gd name="T4" fmla="*/ 2 w 37"/>
                                    <a:gd name="T5" fmla="*/ 6 h 7"/>
                                    <a:gd name="T6" fmla="*/ 0 w 37"/>
                                    <a:gd name="T7" fmla="*/ 1 h 7"/>
                                    <a:gd name="T8" fmla="*/ 0 w 37"/>
                                    <a:gd name="T9" fmla="*/ 0 h 7"/>
                                    <a:gd name="T10" fmla="*/ 1 w 37"/>
                                    <a:gd name="T11" fmla="*/ 0 h 7"/>
                                    <a:gd name="T12" fmla="*/ 35 w 37"/>
                                    <a:gd name="T13" fmla="*/ 0 h 7"/>
                                    <a:gd name="T14" fmla="*/ 36 w 37"/>
                                    <a:gd name="T15" fmla="*/ 0 h 7"/>
                                    <a:gd name="T16" fmla="*/ 36 w 37"/>
                                    <a:gd name="T17" fmla="*/ 1 h 7"/>
                                    <a:gd name="T18" fmla="*/ 34 w 37"/>
                                    <a:gd name="T19" fmla="*/ 6 h 7"/>
                                    <a:gd name="T20" fmla="*/ 33 w 37"/>
                                    <a:gd name="T21" fmla="*/ 7 h 7"/>
                                    <a:gd name="T22" fmla="*/ 4 w 37"/>
                                    <a:gd name="T23" fmla="*/ 4 h 7"/>
                                    <a:gd name="T24" fmla="*/ 32 w 37"/>
                                    <a:gd name="T25" fmla="*/ 4 h 7"/>
                                    <a:gd name="T26" fmla="*/ 34 w 37"/>
                                    <a:gd name="T27" fmla="*/ 2 h 7"/>
                                    <a:gd name="T28" fmla="*/ 3 w 37"/>
                                    <a:gd name="T29" fmla="*/ 2 h 7"/>
                                    <a:gd name="T30" fmla="*/ 4 w 37"/>
                                    <a:gd name="T31"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7">
                                      <a:moveTo>
                                        <a:pt x="33" y="7"/>
                                      </a:moveTo>
                                      <a:cubicBezTo>
                                        <a:pt x="3" y="7"/>
                                        <a:pt x="3" y="7"/>
                                        <a:pt x="3" y="7"/>
                                      </a:cubicBezTo>
                                      <a:cubicBezTo>
                                        <a:pt x="3" y="7"/>
                                        <a:pt x="2" y="6"/>
                                        <a:pt x="2" y="6"/>
                                      </a:cubicBezTo>
                                      <a:cubicBezTo>
                                        <a:pt x="0" y="1"/>
                                        <a:pt x="0" y="1"/>
                                        <a:pt x="0" y="1"/>
                                      </a:cubicBezTo>
                                      <a:cubicBezTo>
                                        <a:pt x="0" y="1"/>
                                        <a:pt x="0" y="1"/>
                                        <a:pt x="0" y="0"/>
                                      </a:cubicBezTo>
                                      <a:cubicBezTo>
                                        <a:pt x="0" y="0"/>
                                        <a:pt x="0" y="0"/>
                                        <a:pt x="1" y="0"/>
                                      </a:cubicBezTo>
                                      <a:cubicBezTo>
                                        <a:pt x="35" y="0"/>
                                        <a:pt x="35" y="0"/>
                                        <a:pt x="35" y="0"/>
                                      </a:cubicBezTo>
                                      <a:cubicBezTo>
                                        <a:pt x="36" y="0"/>
                                        <a:pt x="36" y="0"/>
                                        <a:pt x="36" y="0"/>
                                      </a:cubicBezTo>
                                      <a:cubicBezTo>
                                        <a:pt x="37" y="1"/>
                                        <a:pt x="37" y="1"/>
                                        <a:pt x="36" y="1"/>
                                      </a:cubicBezTo>
                                      <a:cubicBezTo>
                                        <a:pt x="34" y="6"/>
                                        <a:pt x="34" y="6"/>
                                        <a:pt x="34" y="6"/>
                                      </a:cubicBezTo>
                                      <a:cubicBezTo>
                                        <a:pt x="34" y="6"/>
                                        <a:pt x="34" y="7"/>
                                        <a:pt x="33" y="7"/>
                                      </a:cubicBezTo>
                                      <a:close/>
                                      <a:moveTo>
                                        <a:pt x="4" y="4"/>
                                      </a:moveTo>
                                      <a:cubicBezTo>
                                        <a:pt x="32" y="4"/>
                                        <a:pt x="32" y="4"/>
                                        <a:pt x="32" y="4"/>
                                      </a:cubicBezTo>
                                      <a:cubicBezTo>
                                        <a:pt x="34" y="2"/>
                                        <a:pt x="34" y="2"/>
                                        <a:pt x="34" y="2"/>
                                      </a:cubicBezTo>
                                      <a:cubicBezTo>
                                        <a:pt x="3" y="2"/>
                                        <a:pt x="3" y="2"/>
                                        <a:pt x="3" y="2"/>
                                      </a:cubicBezTo>
                                      <a:lnTo>
                                        <a:pt x="4" y="4"/>
                                      </a:lnTo>
                                      <a:close/>
                                    </a:path>
                                  </a:pathLst>
                                </a:custGeom>
                                <a:solidFill>
                                  <a:srgbClr val="65BBC8"/>
                                </a:solidFill>
                                <a:ln>
                                  <a:noFill/>
                                </a:ln>
                                <a:extLst/>
                              </wps:spPr>
                              <wps:bodyPr rot="0" vert="horz" wrap="square" lIns="88188" tIns="44095" rIns="88188" bIns="44095" anchor="t" anchorCtr="0" upright="1">
                                <a:noAutofit/>
                              </wps:bodyPr>
                            </wps:wsp>
                            <wps:wsp>
                              <wps:cNvPr id="675" name="Freeform 219"/>
                              <wps:cNvSpPr>
                                <a:spLocks noEditPoints="1"/>
                              </wps:cNvSpPr>
                              <wps:spPr bwMode="auto">
                                <a:xfrm>
                                  <a:off x="293244" y="292513"/>
                                  <a:ext cx="176424" cy="17763"/>
                                </a:xfrm>
                                <a:custGeom>
                                  <a:avLst/>
                                  <a:gdLst>
                                    <a:gd name="T0" fmla="*/ 68 w 69"/>
                                    <a:gd name="T1" fmla="*/ 7 h 7"/>
                                    <a:gd name="T2" fmla="*/ 1 w 69"/>
                                    <a:gd name="T3" fmla="*/ 7 h 7"/>
                                    <a:gd name="T4" fmla="*/ 0 w 69"/>
                                    <a:gd name="T5" fmla="*/ 5 h 7"/>
                                    <a:gd name="T6" fmla="*/ 0 w 69"/>
                                    <a:gd name="T7" fmla="*/ 1 h 7"/>
                                    <a:gd name="T8" fmla="*/ 1 w 69"/>
                                    <a:gd name="T9" fmla="*/ 0 h 7"/>
                                    <a:gd name="T10" fmla="*/ 68 w 69"/>
                                    <a:gd name="T11" fmla="*/ 0 h 7"/>
                                    <a:gd name="T12" fmla="*/ 69 w 69"/>
                                    <a:gd name="T13" fmla="*/ 1 h 7"/>
                                    <a:gd name="T14" fmla="*/ 69 w 69"/>
                                    <a:gd name="T15" fmla="*/ 5 h 7"/>
                                    <a:gd name="T16" fmla="*/ 68 w 69"/>
                                    <a:gd name="T17" fmla="*/ 7 h 7"/>
                                    <a:gd name="T18" fmla="*/ 2 w 69"/>
                                    <a:gd name="T19" fmla="*/ 4 h 7"/>
                                    <a:gd name="T20" fmla="*/ 66 w 69"/>
                                    <a:gd name="T21" fmla="*/ 4 h 7"/>
                                    <a:gd name="T22" fmla="*/ 66 w 69"/>
                                    <a:gd name="T23" fmla="*/ 2 h 7"/>
                                    <a:gd name="T24" fmla="*/ 2 w 69"/>
                                    <a:gd name="T25" fmla="*/ 2 h 7"/>
                                    <a:gd name="T26" fmla="*/ 2 w 69"/>
                                    <a:gd name="T27"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9" h="7">
                                      <a:moveTo>
                                        <a:pt x="68" y="7"/>
                                      </a:moveTo>
                                      <a:cubicBezTo>
                                        <a:pt x="1" y="7"/>
                                        <a:pt x="1" y="7"/>
                                        <a:pt x="1" y="7"/>
                                      </a:cubicBezTo>
                                      <a:cubicBezTo>
                                        <a:pt x="0" y="7"/>
                                        <a:pt x="0" y="6"/>
                                        <a:pt x="0" y="5"/>
                                      </a:cubicBezTo>
                                      <a:cubicBezTo>
                                        <a:pt x="0" y="1"/>
                                        <a:pt x="0" y="1"/>
                                        <a:pt x="0" y="1"/>
                                      </a:cubicBezTo>
                                      <a:cubicBezTo>
                                        <a:pt x="0" y="0"/>
                                        <a:pt x="0" y="0"/>
                                        <a:pt x="1" y="0"/>
                                      </a:cubicBezTo>
                                      <a:cubicBezTo>
                                        <a:pt x="68" y="0"/>
                                        <a:pt x="68" y="0"/>
                                        <a:pt x="68" y="0"/>
                                      </a:cubicBezTo>
                                      <a:cubicBezTo>
                                        <a:pt x="68" y="0"/>
                                        <a:pt x="69" y="0"/>
                                        <a:pt x="69" y="1"/>
                                      </a:cubicBezTo>
                                      <a:cubicBezTo>
                                        <a:pt x="69" y="5"/>
                                        <a:pt x="69" y="5"/>
                                        <a:pt x="69" y="5"/>
                                      </a:cubicBezTo>
                                      <a:cubicBezTo>
                                        <a:pt x="69" y="6"/>
                                        <a:pt x="68" y="7"/>
                                        <a:pt x="68" y="7"/>
                                      </a:cubicBezTo>
                                      <a:close/>
                                      <a:moveTo>
                                        <a:pt x="2" y="4"/>
                                      </a:moveTo>
                                      <a:cubicBezTo>
                                        <a:pt x="66" y="4"/>
                                        <a:pt x="66" y="4"/>
                                        <a:pt x="66" y="4"/>
                                      </a:cubicBezTo>
                                      <a:cubicBezTo>
                                        <a:pt x="66" y="2"/>
                                        <a:pt x="66" y="2"/>
                                        <a:pt x="66" y="2"/>
                                      </a:cubicBezTo>
                                      <a:cubicBezTo>
                                        <a:pt x="2" y="2"/>
                                        <a:pt x="2" y="2"/>
                                        <a:pt x="2" y="2"/>
                                      </a:cubicBezTo>
                                      <a:lnTo>
                                        <a:pt x="2" y="4"/>
                                      </a:lnTo>
                                      <a:close/>
                                    </a:path>
                                  </a:pathLst>
                                </a:custGeom>
                                <a:solidFill>
                                  <a:srgbClr val="65BBC8"/>
                                </a:solidFill>
                                <a:ln>
                                  <a:noFill/>
                                </a:ln>
                                <a:extLst/>
                              </wps:spPr>
                              <wps:bodyPr rot="0" vert="horz" wrap="square" lIns="88188" tIns="44095" rIns="88188" bIns="44095" anchor="t" anchorCtr="0" upright="1">
                                <a:noAutofit/>
                              </wps:bodyPr>
                            </wps:wsp>
                            <wps:wsp>
                              <wps:cNvPr id="14550" name="Freeform 220"/>
                              <wps:cNvSpPr>
                                <a:spLocks noEditPoints="1"/>
                              </wps:cNvSpPr>
                              <wps:spPr bwMode="auto">
                                <a:xfrm>
                                  <a:off x="339190" y="166936"/>
                                  <a:ext cx="81470" cy="130479"/>
                                </a:xfrm>
                                <a:custGeom>
                                  <a:avLst/>
                                  <a:gdLst>
                                    <a:gd name="T0" fmla="*/ 31 w 32"/>
                                    <a:gd name="T1" fmla="*/ 51 h 51"/>
                                    <a:gd name="T2" fmla="*/ 1 w 32"/>
                                    <a:gd name="T3" fmla="*/ 51 h 51"/>
                                    <a:gd name="T4" fmla="*/ 0 w 32"/>
                                    <a:gd name="T5" fmla="*/ 50 h 51"/>
                                    <a:gd name="T6" fmla="*/ 0 w 32"/>
                                    <a:gd name="T7" fmla="*/ 1 h 51"/>
                                    <a:gd name="T8" fmla="*/ 1 w 32"/>
                                    <a:gd name="T9" fmla="*/ 0 h 51"/>
                                    <a:gd name="T10" fmla="*/ 31 w 32"/>
                                    <a:gd name="T11" fmla="*/ 0 h 51"/>
                                    <a:gd name="T12" fmla="*/ 32 w 32"/>
                                    <a:gd name="T13" fmla="*/ 1 h 51"/>
                                    <a:gd name="T14" fmla="*/ 32 w 32"/>
                                    <a:gd name="T15" fmla="*/ 50 h 51"/>
                                    <a:gd name="T16" fmla="*/ 31 w 32"/>
                                    <a:gd name="T17" fmla="*/ 51 h 51"/>
                                    <a:gd name="T18" fmla="*/ 2 w 32"/>
                                    <a:gd name="T19" fmla="*/ 49 h 51"/>
                                    <a:gd name="T20" fmla="*/ 30 w 32"/>
                                    <a:gd name="T21" fmla="*/ 49 h 51"/>
                                    <a:gd name="T22" fmla="*/ 30 w 32"/>
                                    <a:gd name="T23" fmla="*/ 3 h 51"/>
                                    <a:gd name="T24" fmla="*/ 2 w 32"/>
                                    <a:gd name="T25" fmla="*/ 3 h 51"/>
                                    <a:gd name="T26" fmla="*/ 2 w 32"/>
                                    <a:gd name="T27" fmla="*/ 4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1">
                                      <a:moveTo>
                                        <a:pt x="31" y="51"/>
                                      </a:moveTo>
                                      <a:cubicBezTo>
                                        <a:pt x="1" y="51"/>
                                        <a:pt x="1" y="51"/>
                                        <a:pt x="1" y="51"/>
                                      </a:cubicBezTo>
                                      <a:cubicBezTo>
                                        <a:pt x="1" y="51"/>
                                        <a:pt x="0" y="51"/>
                                        <a:pt x="0" y="50"/>
                                      </a:cubicBezTo>
                                      <a:cubicBezTo>
                                        <a:pt x="0" y="1"/>
                                        <a:pt x="0" y="1"/>
                                        <a:pt x="0" y="1"/>
                                      </a:cubicBezTo>
                                      <a:cubicBezTo>
                                        <a:pt x="0" y="1"/>
                                        <a:pt x="1" y="0"/>
                                        <a:pt x="1" y="0"/>
                                      </a:cubicBezTo>
                                      <a:cubicBezTo>
                                        <a:pt x="31" y="0"/>
                                        <a:pt x="31" y="0"/>
                                        <a:pt x="31" y="0"/>
                                      </a:cubicBezTo>
                                      <a:cubicBezTo>
                                        <a:pt x="32" y="0"/>
                                        <a:pt x="32" y="1"/>
                                        <a:pt x="32" y="1"/>
                                      </a:cubicBezTo>
                                      <a:cubicBezTo>
                                        <a:pt x="32" y="50"/>
                                        <a:pt x="32" y="50"/>
                                        <a:pt x="32" y="50"/>
                                      </a:cubicBezTo>
                                      <a:cubicBezTo>
                                        <a:pt x="32" y="51"/>
                                        <a:pt x="32" y="51"/>
                                        <a:pt x="31" y="51"/>
                                      </a:cubicBezTo>
                                      <a:close/>
                                      <a:moveTo>
                                        <a:pt x="2" y="49"/>
                                      </a:moveTo>
                                      <a:cubicBezTo>
                                        <a:pt x="30" y="49"/>
                                        <a:pt x="30" y="49"/>
                                        <a:pt x="30" y="49"/>
                                      </a:cubicBezTo>
                                      <a:cubicBezTo>
                                        <a:pt x="30" y="3"/>
                                        <a:pt x="30" y="3"/>
                                        <a:pt x="30" y="3"/>
                                      </a:cubicBezTo>
                                      <a:cubicBezTo>
                                        <a:pt x="2" y="3"/>
                                        <a:pt x="2" y="3"/>
                                        <a:pt x="2" y="3"/>
                                      </a:cubicBezTo>
                                      <a:lnTo>
                                        <a:pt x="2" y="49"/>
                                      </a:lnTo>
                                      <a:close/>
                                    </a:path>
                                  </a:pathLst>
                                </a:custGeom>
                                <a:solidFill>
                                  <a:srgbClr val="65BBC8"/>
                                </a:solidFill>
                                <a:ln>
                                  <a:noFill/>
                                </a:ln>
                                <a:extLst/>
                              </wps:spPr>
                              <wps:bodyPr rot="0" vert="horz" wrap="square" lIns="88188" tIns="44095" rIns="88188" bIns="44095" anchor="t" anchorCtr="0" upright="1">
                                <a:noAutofit/>
                              </wps:bodyPr>
                            </wps:wsp>
                            <wps:wsp>
                              <wps:cNvPr id="14551" name="Freeform 221"/>
                              <wps:cNvSpPr>
                                <a:spLocks noEditPoints="1"/>
                              </wps:cNvSpPr>
                              <wps:spPr bwMode="auto">
                                <a:xfrm>
                                  <a:off x="298148" y="207972"/>
                                  <a:ext cx="45945" cy="89438"/>
                                </a:xfrm>
                                <a:custGeom>
                                  <a:avLst/>
                                  <a:gdLst>
                                    <a:gd name="T0" fmla="*/ 17 w 18"/>
                                    <a:gd name="T1" fmla="*/ 35 h 35"/>
                                    <a:gd name="T2" fmla="*/ 1 w 18"/>
                                    <a:gd name="T3" fmla="*/ 35 h 35"/>
                                    <a:gd name="T4" fmla="*/ 0 w 18"/>
                                    <a:gd name="T5" fmla="*/ 34 h 35"/>
                                    <a:gd name="T6" fmla="*/ 0 w 18"/>
                                    <a:gd name="T7" fmla="*/ 2 h 35"/>
                                    <a:gd name="T8" fmla="*/ 1 w 18"/>
                                    <a:gd name="T9" fmla="*/ 0 h 35"/>
                                    <a:gd name="T10" fmla="*/ 17 w 18"/>
                                    <a:gd name="T11" fmla="*/ 0 h 35"/>
                                    <a:gd name="T12" fmla="*/ 18 w 18"/>
                                    <a:gd name="T13" fmla="*/ 2 h 35"/>
                                    <a:gd name="T14" fmla="*/ 18 w 18"/>
                                    <a:gd name="T15" fmla="*/ 34 h 35"/>
                                    <a:gd name="T16" fmla="*/ 17 w 18"/>
                                    <a:gd name="T17" fmla="*/ 35 h 35"/>
                                    <a:gd name="T18" fmla="*/ 2 w 18"/>
                                    <a:gd name="T19" fmla="*/ 33 h 35"/>
                                    <a:gd name="T20" fmla="*/ 16 w 18"/>
                                    <a:gd name="T21" fmla="*/ 33 h 35"/>
                                    <a:gd name="T22" fmla="*/ 16 w 18"/>
                                    <a:gd name="T23" fmla="*/ 3 h 35"/>
                                    <a:gd name="T24" fmla="*/ 2 w 18"/>
                                    <a:gd name="T25" fmla="*/ 3 h 35"/>
                                    <a:gd name="T26" fmla="*/ 2 w 18"/>
                                    <a:gd name="T27"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35">
                                      <a:moveTo>
                                        <a:pt x="17" y="35"/>
                                      </a:moveTo>
                                      <a:cubicBezTo>
                                        <a:pt x="1" y="35"/>
                                        <a:pt x="1" y="35"/>
                                        <a:pt x="1" y="35"/>
                                      </a:cubicBezTo>
                                      <a:cubicBezTo>
                                        <a:pt x="0" y="35"/>
                                        <a:pt x="0" y="35"/>
                                        <a:pt x="0" y="34"/>
                                      </a:cubicBezTo>
                                      <a:cubicBezTo>
                                        <a:pt x="0" y="2"/>
                                        <a:pt x="0" y="2"/>
                                        <a:pt x="0" y="2"/>
                                      </a:cubicBezTo>
                                      <a:cubicBezTo>
                                        <a:pt x="0" y="1"/>
                                        <a:pt x="0" y="0"/>
                                        <a:pt x="1" y="0"/>
                                      </a:cubicBezTo>
                                      <a:cubicBezTo>
                                        <a:pt x="17" y="0"/>
                                        <a:pt x="17" y="0"/>
                                        <a:pt x="17" y="0"/>
                                      </a:cubicBezTo>
                                      <a:cubicBezTo>
                                        <a:pt x="18" y="0"/>
                                        <a:pt x="18" y="1"/>
                                        <a:pt x="18" y="2"/>
                                      </a:cubicBezTo>
                                      <a:cubicBezTo>
                                        <a:pt x="18" y="34"/>
                                        <a:pt x="18" y="34"/>
                                        <a:pt x="18" y="34"/>
                                      </a:cubicBezTo>
                                      <a:cubicBezTo>
                                        <a:pt x="18" y="35"/>
                                        <a:pt x="18" y="35"/>
                                        <a:pt x="17" y="35"/>
                                      </a:cubicBezTo>
                                      <a:close/>
                                      <a:moveTo>
                                        <a:pt x="2" y="33"/>
                                      </a:moveTo>
                                      <a:cubicBezTo>
                                        <a:pt x="16" y="33"/>
                                        <a:pt x="16" y="33"/>
                                        <a:pt x="16" y="33"/>
                                      </a:cubicBezTo>
                                      <a:cubicBezTo>
                                        <a:pt x="16" y="3"/>
                                        <a:pt x="16" y="3"/>
                                        <a:pt x="16" y="3"/>
                                      </a:cubicBezTo>
                                      <a:cubicBezTo>
                                        <a:pt x="2" y="3"/>
                                        <a:pt x="2" y="3"/>
                                        <a:pt x="2" y="3"/>
                                      </a:cubicBezTo>
                                      <a:lnTo>
                                        <a:pt x="2" y="33"/>
                                      </a:lnTo>
                                      <a:close/>
                                    </a:path>
                                  </a:pathLst>
                                </a:custGeom>
                                <a:solidFill>
                                  <a:srgbClr val="65BBC8"/>
                                </a:solidFill>
                                <a:ln>
                                  <a:noFill/>
                                </a:ln>
                                <a:extLst/>
                              </wps:spPr>
                              <wps:bodyPr rot="0" vert="horz" wrap="square" lIns="88188" tIns="44095" rIns="88188" bIns="44095" anchor="t" anchorCtr="0" upright="1">
                                <a:noAutofit/>
                              </wps:bodyPr>
                            </wps:wsp>
                            <wps:wsp>
                              <wps:cNvPr id="14552" name="Freeform 222"/>
                              <wps:cNvSpPr>
                                <a:spLocks noEditPoints="1"/>
                              </wps:cNvSpPr>
                              <wps:spPr bwMode="auto">
                                <a:xfrm>
                                  <a:off x="415762" y="207972"/>
                                  <a:ext cx="45945" cy="89438"/>
                                </a:xfrm>
                                <a:custGeom>
                                  <a:avLst/>
                                  <a:gdLst>
                                    <a:gd name="T0" fmla="*/ 17 w 18"/>
                                    <a:gd name="T1" fmla="*/ 35 h 35"/>
                                    <a:gd name="T2" fmla="*/ 1 w 18"/>
                                    <a:gd name="T3" fmla="*/ 35 h 35"/>
                                    <a:gd name="T4" fmla="*/ 0 w 18"/>
                                    <a:gd name="T5" fmla="*/ 34 h 35"/>
                                    <a:gd name="T6" fmla="*/ 0 w 18"/>
                                    <a:gd name="T7" fmla="*/ 2 h 35"/>
                                    <a:gd name="T8" fmla="*/ 1 w 18"/>
                                    <a:gd name="T9" fmla="*/ 0 h 35"/>
                                    <a:gd name="T10" fmla="*/ 17 w 18"/>
                                    <a:gd name="T11" fmla="*/ 0 h 35"/>
                                    <a:gd name="T12" fmla="*/ 18 w 18"/>
                                    <a:gd name="T13" fmla="*/ 2 h 35"/>
                                    <a:gd name="T14" fmla="*/ 18 w 18"/>
                                    <a:gd name="T15" fmla="*/ 34 h 35"/>
                                    <a:gd name="T16" fmla="*/ 17 w 18"/>
                                    <a:gd name="T17" fmla="*/ 35 h 35"/>
                                    <a:gd name="T18" fmla="*/ 2 w 18"/>
                                    <a:gd name="T19" fmla="*/ 33 h 35"/>
                                    <a:gd name="T20" fmla="*/ 16 w 18"/>
                                    <a:gd name="T21" fmla="*/ 33 h 35"/>
                                    <a:gd name="T22" fmla="*/ 16 w 18"/>
                                    <a:gd name="T23" fmla="*/ 3 h 35"/>
                                    <a:gd name="T24" fmla="*/ 2 w 18"/>
                                    <a:gd name="T25" fmla="*/ 3 h 35"/>
                                    <a:gd name="T26" fmla="*/ 2 w 18"/>
                                    <a:gd name="T27"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35">
                                      <a:moveTo>
                                        <a:pt x="17" y="35"/>
                                      </a:moveTo>
                                      <a:cubicBezTo>
                                        <a:pt x="1" y="35"/>
                                        <a:pt x="1" y="35"/>
                                        <a:pt x="1" y="35"/>
                                      </a:cubicBezTo>
                                      <a:cubicBezTo>
                                        <a:pt x="1" y="35"/>
                                        <a:pt x="0" y="35"/>
                                        <a:pt x="0" y="34"/>
                                      </a:cubicBezTo>
                                      <a:cubicBezTo>
                                        <a:pt x="0" y="2"/>
                                        <a:pt x="0" y="2"/>
                                        <a:pt x="0" y="2"/>
                                      </a:cubicBezTo>
                                      <a:cubicBezTo>
                                        <a:pt x="0" y="1"/>
                                        <a:pt x="1" y="0"/>
                                        <a:pt x="1" y="0"/>
                                      </a:cubicBezTo>
                                      <a:cubicBezTo>
                                        <a:pt x="17" y="0"/>
                                        <a:pt x="17" y="0"/>
                                        <a:pt x="17" y="0"/>
                                      </a:cubicBezTo>
                                      <a:cubicBezTo>
                                        <a:pt x="18" y="0"/>
                                        <a:pt x="18" y="1"/>
                                        <a:pt x="18" y="2"/>
                                      </a:cubicBezTo>
                                      <a:cubicBezTo>
                                        <a:pt x="18" y="34"/>
                                        <a:pt x="18" y="34"/>
                                        <a:pt x="18" y="34"/>
                                      </a:cubicBezTo>
                                      <a:cubicBezTo>
                                        <a:pt x="18" y="35"/>
                                        <a:pt x="18" y="35"/>
                                        <a:pt x="17" y="35"/>
                                      </a:cubicBezTo>
                                      <a:close/>
                                      <a:moveTo>
                                        <a:pt x="2" y="33"/>
                                      </a:moveTo>
                                      <a:cubicBezTo>
                                        <a:pt x="16" y="33"/>
                                        <a:pt x="16" y="33"/>
                                        <a:pt x="16" y="33"/>
                                      </a:cubicBezTo>
                                      <a:cubicBezTo>
                                        <a:pt x="16" y="3"/>
                                        <a:pt x="16" y="3"/>
                                        <a:pt x="16" y="3"/>
                                      </a:cubicBezTo>
                                      <a:cubicBezTo>
                                        <a:pt x="2" y="3"/>
                                        <a:pt x="2" y="3"/>
                                        <a:pt x="2" y="3"/>
                                      </a:cubicBezTo>
                                      <a:lnTo>
                                        <a:pt x="2" y="33"/>
                                      </a:lnTo>
                                      <a:close/>
                                    </a:path>
                                  </a:pathLst>
                                </a:custGeom>
                                <a:solidFill>
                                  <a:srgbClr val="65BBC8"/>
                                </a:solidFill>
                                <a:ln>
                                  <a:noFill/>
                                </a:ln>
                                <a:extLst/>
                              </wps:spPr>
                              <wps:bodyPr rot="0" vert="horz" wrap="square" lIns="88188" tIns="44095" rIns="88188" bIns="44095" anchor="t" anchorCtr="0" upright="1">
                                <a:noAutofit/>
                              </wps:bodyPr>
                            </wps:wsp>
                            <wps:wsp>
                              <wps:cNvPr id="14553" name="Freeform 223"/>
                              <wps:cNvSpPr>
                                <a:spLocks noEditPoints="1"/>
                              </wps:cNvSpPr>
                              <wps:spPr bwMode="auto">
                                <a:xfrm>
                                  <a:off x="356952" y="182248"/>
                                  <a:ext cx="45945" cy="45945"/>
                                </a:xfrm>
                                <a:custGeom>
                                  <a:avLst/>
                                  <a:gdLst>
                                    <a:gd name="T0" fmla="*/ 9 w 18"/>
                                    <a:gd name="T1" fmla="*/ 18 h 18"/>
                                    <a:gd name="T2" fmla="*/ 0 w 18"/>
                                    <a:gd name="T3" fmla="*/ 9 h 18"/>
                                    <a:gd name="T4" fmla="*/ 9 w 18"/>
                                    <a:gd name="T5" fmla="*/ 0 h 18"/>
                                    <a:gd name="T6" fmla="*/ 18 w 18"/>
                                    <a:gd name="T7" fmla="*/ 9 h 18"/>
                                    <a:gd name="T8" fmla="*/ 9 w 18"/>
                                    <a:gd name="T9" fmla="*/ 18 h 18"/>
                                    <a:gd name="T10" fmla="*/ 9 w 18"/>
                                    <a:gd name="T11" fmla="*/ 2 h 18"/>
                                    <a:gd name="T12" fmla="*/ 2 w 18"/>
                                    <a:gd name="T13" fmla="*/ 9 h 18"/>
                                    <a:gd name="T14" fmla="*/ 9 w 18"/>
                                    <a:gd name="T15" fmla="*/ 16 h 18"/>
                                    <a:gd name="T16" fmla="*/ 16 w 18"/>
                                    <a:gd name="T17" fmla="*/ 9 h 18"/>
                                    <a:gd name="T18" fmla="*/ 9 w 18"/>
                                    <a:gd name="T19"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8">
                                      <a:moveTo>
                                        <a:pt x="9" y="18"/>
                                      </a:moveTo>
                                      <a:cubicBezTo>
                                        <a:pt x="4" y="18"/>
                                        <a:pt x="0" y="14"/>
                                        <a:pt x="0" y="9"/>
                                      </a:cubicBezTo>
                                      <a:cubicBezTo>
                                        <a:pt x="0" y="4"/>
                                        <a:pt x="4" y="0"/>
                                        <a:pt x="9" y="0"/>
                                      </a:cubicBezTo>
                                      <a:cubicBezTo>
                                        <a:pt x="14" y="0"/>
                                        <a:pt x="18" y="4"/>
                                        <a:pt x="18" y="9"/>
                                      </a:cubicBezTo>
                                      <a:cubicBezTo>
                                        <a:pt x="18" y="14"/>
                                        <a:pt x="14" y="18"/>
                                        <a:pt x="9" y="18"/>
                                      </a:cubicBezTo>
                                      <a:close/>
                                      <a:moveTo>
                                        <a:pt x="9" y="2"/>
                                      </a:moveTo>
                                      <a:cubicBezTo>
                                        <a:pt x="5" y="2"/>
                                        <a:pt x="2" y="5"/>
                                        <a:pt x="2" y="9"/>
                                      </a:cubicBezTo>
                                      <a:cubicBezTo>
                                        <a:pt x="2" y="13"/>
                                        <a:pt x="5" y="16"/>
                                        <a:pt x="9" y="16"/>
                                      </a:cubicBezTo>
                                      <a:cubicBezTo>
                                        <a:pt x="13" y="16"/>
                                        <a:pt x="16" y="13"/>
                                        <a:pt x="16" y="9"/>
                                      </a:cubicBezTo>
                                      <a:cubicBezTo>
                                        <a:pt x="16" y="5"/>
                                        <a:pt x="13" y="2"/>
                                        <a:pt x="9" y="2"/>
                                      </a:cubicBezTo>
                                      <a:close/>
                                    </a:path>
                                  </a:pathLst>
                                </a:custGeom>
                                <a:solidFill>
                                  <a:srgbClr val="65BBC8"/>
                                </a:solidFill>
                                <a:ln>
                                  <a:noFill/>
                                </a:ln>
                                <a:extLst/>
                              </wps:spPr>
                              <wps:bodyPr rot="0" vert="horz" wrap="square" lIns="88188" tIns="44095" rIns="88188" bIns="44095" anchor="t" anchorCtr="0" upright="1">
                                <a:noAutofit/>
                              </wps:bodyPr>
                            </wps:wsp>
                            <wps:wsp>
                              <wps:cNvPr id="14554" name="Freeform 224"/>
                              <wps:cNvSpPr>
                                <a:spLocks/>
                              </wps:cNvSpPr>
                              <wps:spPr bwMode="auto">
                                <a:xfrm>
                                  <a:off x="377779" y="195113"/>
                                  <a:ext cx="4903" cy="12865"/>
                                </a:xfrm>
                                <a:custGeom>
                                  <a:avLst/>
                                  <a:gdLst>
                                    <a:gd name="T0" fmla="*/ 1 w 2"/>
                                    <a:gd name="T1" fmla="*/ 5 h 5"/>
                                    <a:gd name="T2" fmla="*/ 0 w 2"/>
                                    <a:gd name="T3" fmla="*/ 4 h 5"/>
                                    <a:gd name="T4" fmla="*/ 0 w 2"/>
                                    <a:gd name="T5" fmla="*/ 1 h 5"/>
                                    <a:gd name="T6" fmla="*/ 1 w 2"/>
                                    <a:gd name="T7" fmla="*/ 0 h 5"/>
                                    <a:gd name="T8" fmla="*/ 2 w 2"/>
                                    <a:gd name="T9" fmla="*/ 1 h 5"/>
                                    <a:gd name="T10" fmla="*/ 2 w 2"/>
                                    <a:gd name="T11" fmla="*/ 4 h 5"/>
                                    <a:gd name="T12" fmla="*/ 1 w 2"/>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2" h="5">
                                      <a:moveTo>
                                        <a:pt x="1" y="5"/>
                                      </a:moveTo>
                                      <a:cubicBezTo>
                                        <a:pt x="1" y="5"/>
                                        <a:pt x="0" y="5"/>
                                        <a:pt x="0" y="4"/>
                                      </a:cubicBezTo>
                                      <a:cubicBezTo>
                                        <a:pt x="0" y="1"/>
                                        <a:pt x="0" y="1"/>
                                        <a:pt x="0" y="1"/>
                                      </a:cubicBezTo>
                                      <a:cubicBezTo>
                                        <a:pt x="0" y="0"/>
                                        <a:pt x="1" y="0"/>
                                        <a:pt x="1" y="0"/>
                                      </a:cubicBezTo>
                                      <a:cubicBezTo>
                                        <a:pt x="2" y="0"/>
                                        <a:pt x="2" y="0"/>
                                        <a:pt x="2" y="1"/>
                                      </a:cubicBezTo>
                                      <a:cubicBezTo>
                                        <a:pt x="2" y="4"/>
                                        <a:pt x="2" y="4"/>
                                        <a:pt x="2" y="4"/>
                                      </a:cubicBezTo>
                                      <a:cubicBezTo>
                                        <a:pt x="2" y="5"/>
                                        <a:pt x="2" y="5"/>
                                        <a:pt x="1" y="5"/>
                                      </a:cubicBezTo>
                                      <a:close/>
                                    </a:path>
                                  </a:pathLst>
                                </a:custGeom>
                                <a:solidFill>
                                  <a:srgbClr val="65BBC8"/>
                                </a:solidFill>
                                <a:ln>
                                  <a:noFill/>
                                </a:ln>
                                <a:extLst/>
                              </wps:spPr>
                              <wps:bodyPr rot="0" vert="horz" wrap="square" lIns="88188" tIns="44095" rIns="88188" bIns="44095" anchor="t" anchorCtr="0" upright="1">
                                <a:noAutofit/>
                              </wps:bodyPr>
                            </wps:wsp>
                            <wps:wsp>
                              <wps:cNvPr id="14555" name="Freeform 225"/>
                              <wps:cNvSpPr>
                                <a:spLocks/>
                              </wps:cNvSpPr>
                              <wps:spPr bwMode="auto">
                                <a:xfrm>
                                  <a:off x="377782" y="203075"/>
                                  <a:ext cx="12252" cy="4903"/>
                                </a:xfrm>
                                <a:custGeom>
                                  <a:avLst/>
                                  <a:gdLst>
                                    <a:gd name="T0" fmla="*/ 3 w 5"/>
                                    <a:gd name="T1" fmla="*/ 2 h 2"/>
                                    <a:gd name="T2" fmla="*/ 1 w 5"/>
                                    <a:gd name="T3" fmla="*/ 2 h 2"/>
                                    <a:gd name="T4" fmla="*/ 0 w 5"/>
                                    <a:gd name="T5" fmla="*/ 1 h 2"/>
                                    <a:gd name="T6" fmla="*/ 1 w 5"/>
                                    <a:gd name="T7" fmla="*/ 0 h 2"/>
                                    <a:gd name="T8" fmla="*/ 3 w 5"/>
                                    <a:gd name="T9" fmla="*/ 0 h 2"/>
                                    <a:gd name="T10" fmla="*/ 5 w 5"/>
                                    <a:gd name="T11" fmla="*/ 1 h 2"/>
                                    <a:gd name="T12" fmla="*/ 3 w 5"/>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5" h="2">
                                      <a:moveTo>
                                        <a:pt x="3" y="2"/>
                                      </a:moveTo>
                                      <a:cubicBezTo>
                                        <a:pt x="1" y="2"/>
                                        <a:pt x="1" y="2"/>
                                        <a:pt x="1" y="2"/>
                                      </a:cubicBezTo>
                                      <a:cubicBezTo>
                                        <a:pt x="1" y="2"/>
                                        <a:pt x="0" y="2"/>
                                        <a:pt x="0" y="1"/>
                                      </a:cubicBezTo>
                                      <a:cubicBezTo>
                                        <a:pt x="0" y="1"/>
                                        <a:pt x="1" y="0"/>
                                        <a:pt x="1" y="0"/>
                                      </a:cubicBezTo>
                                      <a:cubicBezTo>
                                        <a:pt x="3" y="0"/>
                                        <a:pt x="3" y="0"/>
                                        <a:pt x="3" y="0"/>
                                      </a:cubicBezTo>
                                      <a:cubicBezTo>
                                        <a:pt x="4" y="0"/>
                                        <a:pt x="5" y="1"/>
                                        <a:pt x="5" y="1"/>
                                      </a:cubicBezTo>
                                      <a:cubicBezTo>
                                        <a:pt x="5" y="2"/>
                                        <a:pt x="4" y="2"/>
                                        <a:pt x="3" y="2"/>
                                      </a:cubicBezTo>
                                      <a:close/>
                                    </a:path>
                                  </a:pathLst>
                                </a:custGeom>
                                <a:solidFill>
                                  <a:srgbClr val="65BBC8"/>
                                </a:solidFill>
                                <a:ln>
                                  <a:noFill/>
                                </a:ln>
                                <a:extLst/>
                              </wps:spPr>
                              <wps:bodyPr rot="0" vert="horz" wrap="square" lIns="88188" tIns="44095" rIns="88188" bIns="44095" anchor="t" anchorCtr="0" upright="1">
                                <a:noAutofit/>
                              </wps:bodyPr>
                            </wps:wsp>
                            <wps:wsp>
                              <wps:cNvPr id="14556" name="Freeform 226"/>
                              <wps:cNvSpPr>
                                <a:spLocks/>
                              </wps:cNvSpPr>
                              <wps:spPr bwMode="auto">
                                <a:xfrm>
                                  <a:off x="377779" y="131405"/>
                                  <a:ext cx="4903" cy="30628"/>
                                </a:xfrm>
                                <a:custGeom>
                                  <a:avLst/>
                                  <a:gdLst>
                                    <a:gd name="T0" fmla="*/ 1 w 2"/>
                                    <a:gd name="T1" fmla="*/ 12 h 12"/>
                                    <a:gd name="T2" fmla="*/ 0 w 2"/>
                                    <a:gd name="T3" fmla="*/ 11 h 12"/>
                                    <a:gd name="T4" fmla="*/ 0 w 2"/>
                                    <a:gd name="T5" fmla="*/ 2 h 12"/>
                                    <a:gd name="T6" fmla="*/ 1 w 2"/>
                                    <a:gd name="T7" fmla="*/ 0 h 12"/>
                                    <a:gd name="T8" fmla="*/ 2 w 2"/>
                                    <a:gd name="T9" fmla="*/ 2 h 12"/>
                                    <a:gd name="T10" fmla="*/ 2 w 2"/>
                                    <a:gd name="T11" fmla="*/ 11 h 12"/>
                                    <a:gd name="T12" fmla="*/ 1 w 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1" y="12"/>
                                      </a:moveTo>
                                      <a:cubicBezTo>
                                        <a:pt x="1" y="12"/>
                                        <a:pt x="0" y="11"/>
                                        <a:pt x="0" y="11"/>
                                      </a:cubicBezTo>
                                      <a:cubicBezTo>
                                        <a:pt x="0" y="2"/>
                                        <a:pt x="0" y="2"/>
                                        <a:pt x="0" y="2"/>
                                      </a:cubicBezTo>
                                      <a:cubicBezTo>
                                        <a:pt x="0" y="1"/>
                                        <a:pt x="1" y="0"/>
                                        <a:pt x="1" y="0"/>
                                      </a:cubicBezTo>
                                      <a:cubicBezTo>
                                        <a:pt x="2" y="0"/>
                                        <a:pt x="2" y="1"/>
                                        <a:pt x="2" y="2"/>
                                      </a:cubicBezTo>
                                      <a:cubicBezTo>
                                        <a:pt x="2" y="11"/>
                                        <a:pt x="2" y="11"/>
                                        <a:pt x="2" y="11"/>
                                      </a:cubicBezTo>
                                      <a:cubicBezTo>
                                        <a:pt x="2" y="11"/>
                                        <a:pt x="2" y="12"/>
                                        <a:pt x="1" y="12"/>
                                      </a:cubicBezTo>
                                      <a:close/>
                                    </a:path>
                                  </a:pathLst>
                                </a:custGeom>
                                <a:solidFill>
                                  <a:srgbClr val="65BBC8"/>
                                </a:solidFill>
                                <a:ln>
                                  <a:noFill/>
                                </a:ln>
                                <a:extLst/>
                              </wps:spPr>
                              <wps:bodyPr rot="0" vert="horz" wrap="square" lIns="88188" tIns="44095" rIns="88188" bIns="44095" anchor="t" anchorCtr="0" upright="1">
                                <a:noAutofit/>
                              </wps:bodyPr>
                            </wps:wsp>
                            <wps:wsp>
                              <wps:cNvPr id="14557" name="Freeform 227"/>
                              <wps:cNvSpPr>
                                <a:spLocks/>
                              </wps:cNvSpPr>
                              <wps:spPr bwMode="auto">
                                <a:xfrm>
                                  <a:off x="390034" y="144271"/>
                                  <a:ext cx="5512" cy="17763"/>
                                </a:xfrm>
                                <a:custGeom>
                                  <a:avLst/>
                                  <a:gdLst>
                                    <a:gd name="T0" fmla="*/ 1 w 2"/>
                                    <a:gd name="T1" fmla="*/ 7 h 7"/>
                                    <a:gd name="T2" fmla="*/ 0 w 2"/>
                                    <a:gd name="T3" fmla="*/ 6 h 7"/>
                                    <a:gd name="T4" fmla="*/ 0 w 2"/>
                                    <a:gd name="T5" fmla="*/ 1 h 7"/>
                                    <a:gd name="T6" fmla="*/ 1 w 2"/>
                                    <a:gd name="T7" fmla="*/ 0 h 7"/>
                                    <a:gd name="T8" fmla="*/ 2 w 2"/>
                                    <a:gd name="T9" fmla="*/ 1 h 7"/>
                                    <a:gd name="T10" fmla="*/ 2 w 2"/>
                                    <a:gd name="T11" fmla="*/ 6 h 7"/>
                                    <a:gd name="T12" fmla="*/ 1 w 2"/>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2" h="7">
                                      <a:moveTo>
                                        <a:pt x="1" y="7"/>
                                      </a:moveTo>
                                      <a:cubicBezTo>
                                        <a:pt x="0" y="7"/>
                                        <a:pt x="0" y="6"/>
                                        <a:pt x="0" y="6"/>
                                      </a:cubicBezTo>
                                      <a:cubicBezTo>
                                        <a:pt x="0" y="1"/>
                                        <a:pt x="0" y="1"/>
                                        <a:pt x="0" y="1"/>
                                      </a:cubicBezTo>
                                      <a:cubicBezTo>
                                        <a:pt x="0" y="1"/>
                                        <a:pt x="0" y="0"/>
                                        <a:pt x="1" y="0"/>
                                      </a:cubicBezTo>
                                      <a:cubicBezTo>
                                        <a:pt x="1" y="0"/>
                                        <a:pt x="2" y="1"/>
                                        <a:pt x="2" y="1"/>
                                      </a:cubicBezTo>
                                      <a:cubicBezTo>
                                        <a:pt x="2" y="6"/>
                                        <a:pt x="2" y="6"/>
                                        <a:pt x="2" y="6"/>
                                      </a:cubicBezTo>
                                      <a:cubicBezTo>
                                        <a:pt x="2" y="6"/>
                                        <a:pt x="1" y="7"/>
                                        <a:pt x="1" y="7"/>
                                      </a:cubicBezTo>
                                      <a:close/>
                                    </a:path>
                                  </a:pathLst>
                                </a:custGeom>
                                <a:solidFill>
                                  <a:srgbClr val="65BBC8"/>
                                </a:solidFill>
                                <a:ln>
                                  <a:noFill/>
                                </a:ln>
                                <a:extLst/>
                              </wps:spPr>
                              <wps:bodyPr rot="0" vert="horz" wrap="square" lIns="88188" tIns="44095" rIns="88188" bIns="44095" anchor="t" anchorCtr="0" upright="1">
                                <a:noAutofit/>
                              </wps:bodyPr>
                            </wps:wsp>
                            <wps:wsp>
                              <wps:cNvPr id="14558" name="Freeform 228"/>
                              <wps:cNvSpPr>
                                <a:spLocks/>
                              </wps:cNvSpPr>
                              <wps:spPr bwMode="auto">
                                <a:xfrm>
                                  <a:off x="364916" y="144271"/>
                                  <a:ext cx="7349" cy="17763"/>
                                </a:xfrm>
                                <a:custGeom>
                                  <a:avLst/>
                                  <a:gdLst>
                                    <a:gd name="T0" fmla="*/ 2 w 3"/>
                                    <a:gd name="T1" fmla="*/ 7 h 7"/>
                                    <a:gd name="T2" fmla="*/ 0 w 3"/>
                                    <a:gd name="T3" fmla="*/ 6 h 7"/>
                                    <a:gd name="T4" fmla="*/ 0 w 3"/>
                                    <a:gd name="T5" fmla="*/ 1 h 7"/>
                                    <a:gd name="T6" fmla="*/ 2 w 3"/>
                                    <a:gd name="T7" fmla="*/ 0 h 7"/>
                                    <a:gd name="T8" fmla="*/ 3 w 3"/>
                                    <a:gd name="T9" fmla="*/ 1 h 7"/>
                                    <a:gd name="T10" fmla="*/ 3 w 3"/>
                                    <a:gd name="T11" fmla="*/ 6 h 7"/>
                                    <a:gd name="T12" fmla="*/ 2 w 3"/>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3" h="7">
                                      <a:moveTo>
                                        <a:pt x="2" y="7"/>
                                      </a:moveTo>
                                      <a:cubicBezTo>
                                        <a:pt x="1" y="7"/>
                                        <a:pt x="0" y="6"/>
                                        <a:pt x="0" y="6"/>
                                      </a:cubicBezTo>
                                      <a:cubicBezTo>
                                        <a:pt x="0" y="1"/>
                                        <a:pt x="0" y="1"/>
                                        <a:pt x="0" y="1"/>
                                      </a:cubicBezTo>
                                      <a:cubicBezTo>
                                        <a:pt x="0" y="1"/>
                                        <a:pt x="1" y="0"/>
                                        <a:pt x="2" y="0"/>
                                      </a:cubicBezTo>
                                      <a:cubicBezTo>
                                        <a:pt x="2" y="0"/>
                                        <a:pt x="3" y="1"/>
                                        <a:pt x="3" y="1"/>
                                      </a:cubicBezTo>
                                      <a:cubicBezTo>
                                        <a:pt x="3" y="6"/>
                                        <a:pt x="3" y="6"/>
                                        <a:pt x="3" y="6"/>
                                      </a:cubicBezTo>
                                      <a:cubicBezTo>
                                        <a:pt x="3" y="6"/>
                                        <a:pt x="2" y="7"/>
                                        <a:pt x="2" y="7"/>
                                      </a:cubicBezTo>
                                      <a:close/>
                                    </a:path>
                                  </a:pathLst>
                                </a:custGeom>
                                <a:solidFill>
                                  <a:srgbClr val="65BBC8"/>
                                </a:solidFill>
                                <a:ln>
                                  <a:noFill/>
                                </a:ln>
                                <a:extLst/>
                              </wps:spPr>
                              <wps:bodyPr rot="0" vert="horz" wrap="square" lIns="88188" tIns="44095" rIns="88188" bIns="44095" anchor="t" anchorCtr="0" upright="1">
                                <a:noAutofit/>
                              </wps:bodyPr>
                            </wps:wsp>
                            <wps:wsp>
                              <wps:cNvPr id="14559" name="Freeform 229"/>
                              <wps:cNvSpPr>
                                <a:spLocks noEditPoints="1"/>
                              </wps:cNvSpPr>
                              <wps:spPr bwMode="auto">
                                <a:xfrm>
                                  <a:off x="290797" y="197564"/>
                                  <a:ext cx="53294" cy="17763"/>
                                </a:xfrm>
                                <a:custGeom>
                                  <a:avLst/>
                                  <a:gdLst>
                                    <a:gd name="T0" fmla="*/ 20 w 21"/>
                                    <a:gd name="T1" fmla="*/ 7 h 7"/>
                                    <a:gd name="T2" fmla="*/ 4 w 21"/>
                                    <a:gd name="T3" fmla="*/ 7 h 7"/>
                                    <a:gd name="T4" fmla="*/ 3 w 21"/>
                                    <a:gd name="T5" fmla="*/ 6 h 7"/>
                                    <a:gd name="T6" fmla="*/ 1 w 21"/>
                                    <a:gd name="T7" fmla="*/ 1 h 7"/>
                                    <a:gd name="T8" fmla="*/ 1 w 21"/>
                                    <a:gd name="T9" fmla="*/ 0 h 7"/>
                                    <a:gd name="T10" fmla="*/ 2 w 21"/>
                                    <a:gd name="T11" fmla="*/ 0 h 7"/>
                                    <a:gd name="T12" fmla="*/ 20 w 21"/>
                                    <a:gd name="T13" fmla="*/ 0 h 7"/>
                                    <a:gd name="T14" fmla="*/ 21 w 21"/>
                                    <a:gd name="T15" fmla="*/ 1 h 7"/>
                                    <a:gd name="T16" fmla="*/ 21 w 21"/>
                                    <a:gd name="T17" fmla="*/ 6 h 7"/>
                                    <a:gd name="T18" fmla="*/ 20 w 21"/>
                                    <a:gd name="T19" fmla="*/ 7 h 7"/>
                                    <a:gd name="T20" fmla="*/ 5 w 21"/>
                                    <a:gd name="T21" fmla="*/ 4 h 7"/>
                                    <a:gd name="T22" fmla="*/ 19 w 21"/>
                                    <a:gd name="T23" fmla="*/ 4 h 7"/>
                                    <a:gd name="T24" fmla="*/ 19 w 21"/>
                                    <a:gd name="T25" fmla="*/ 2 h 7"/>
                                    <a:gd name="T26" fmla="*/ 4 w 21"/>
                                    <a:gd name="T27" fmla="*/ 2 h 7"/>
                                    <a:gd name="T28" fmla="*/ 5 w 21"/>
                                    <a:gd name="T2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7">
                                      <a:moveTo>
                                        <a:pt x="20" y="7"/>
                                      </a:moveTo>
                                      <a:cubicBezTo>
                                        <a:pt x="4" y="7"/>
                                        <a:pt x="4" y="7"/>
                                        <a:pt x="4" y="7"/>
                                      </a:cubicBezTo>
                                      <a:cubicBezTo>
                                        <a:pt x="4" y="7"/>
                                        <a:pt x="3" y="6"/>
                                        <a:pt x="3" y="6"/>
                                      </a:cubicBezTo>
                                      <a:cubicBezTo>
                                        <a:pt x="1" y="1"/>
                                        <a:pt x="1" y="1"/>
                                        <a:pt x="1" y="1"/>
                                      </a:cubicBezTo>
                                      <a:cubicBezTo>
                                        <a:pt x="0" y="1"/>
                                        <a:pt x="0" y="1"/>
                                        <a:pt x="1" y="0"/>
                                      </a:cubicBezTo>
                                      <a:cubicBezTo>
                                        <a:pt x="1" y="0"/>
                                        <a:pt x="1" y="0"/>
                                        <a:pt x="2" y="0"/>
                                      </a:cubicBezTo>
                                      <a:cubicBezTo>
                                        <a:pt x="20" y="0"/>
                                        <a:pt x="20" y="0"/>
                                        <a:pt x="20" y="0"/>
                                      </a:cubicBezTo>
                                      <a:cubicBezTo>
                                        <a:pt x="21" y="0"/>
                                        <a:pt x="21" y="0"/>
                                        <a:pt x="21" y="1"/>
                                      </a:cubicBezTo>
                                      <a:cubicBezTo>
                                        <a:pt x="21" y="6"/>
                                        <a:pt x="21" y="6"/>
                                        <a:pt x="21" y="6"/>
                                      </a:cubicBezTo>
                                      <a:cubicBezTo>
                                        <a:pt x="21" y="6"/>
                                        <a:pt x="21" y="7"/>
                                        <a:pt x="20" y="7"/>
                                      </a:cubicBezTo>
                                      <a:close/>
                                      <a:moveTo>
                                        <a:pt x="5" y="4"/>
                                      </a:moveTo>
                                      <a:cubicBezTo>
                                        <a:pt x="19" y="4"/>
                                        <a:pt x="19" y="4"/>
                                        <a:pt x="19" y="4"/>
                                      </a:cubicBezTo>
                                      <a:cubicBezTo>
                                        <a:pt x="19" y="2"/>
                                        <a:pt x="19" y="2"/>
                                        <a:pt x="19" y="2"/>
                                      </a:cubicBezTo>
                                      <a:cubicBezTo>
                                        <a:pt x="4" y="2"/>
                                        <a:pt x="4" y="2"/>
                                        <a:pt x="4" y="2"/>
                                      </a:cubicBezTo>
                                      <a:lnTo>
                                        <a:pt x="5" y="4"/>
                                      </a:lnTo>
                                      <a:close/>
                                    </a:path>
                                  </a:pathLst>
                                </a:custGeom>
                                <a:solidFill>
                                  <a:srgbClr val="65BBC8"/>
                                </a:solidFill>
                                <a:ln>
                                  <a:noFill/>
                                </a:ln>
                                <a:extLst/>
                              </wps:spPr>
                              <wps:bodyPr rot="0" vert="horz" wrap="square" lIns="88188" tIns="44095" rIns="88188" bIns="44095" anchor="t" anchorCtr="0" upright="1">
                                <a:noAutofit/>
                              </wps:bodyPr>
                            </wps:wsp>
                            <wps:wsp>
                              <wps:cNvPr id="14560" name="Freeform 230"/>
                              <wps:cNvSpPr>
                                <a:spLocks noEditPoints="1"/>
                              </wps:cNvSpPr>
                              <wps:spPr bwMode="auto">
                                <a:xfrm>
                                  <a:off x="415761" y="197564"/>
                                  <a:ext cx="53907" cy="17763"/>
                                </a:xfrm>
                                <a:custGeom>
                                  <a:avLst/>
                                  <a:gdLst>
                                    <a:gd name="T0" fmla="*/ 17 w 21"/>
                                    <a:gd name="T1" fmla="*/ 7 h 7"/>
                                    <a:gd name="T2" fmla="*/ 1 w 21"/>
                                    <a:gd name="T3" fmla="*/ 7 h 7"/>
                                    <a:gd name="T4" fmla="*/ 0 w 21"/>
                                    <a:gd name="T5" fmla="*/ 6 h 7"/>
                                    <a:gd name="T6" fmla="*/ 0 w 21"/>
                                    <a:gd name="T7" fmla="*/ 1 h 7"/>
                                    <a:gd name="T8" fmla="*/ 1 w 21"/>
                                    <a:gd name="T9" fmla="*/ 0 h 7"/>
                                    <a:gd name="T10" fmla="*/ 20 w 21"/>
                                    <a:gd name="T11" fmla="*/ 0 h 7"/>
                                    <a:gd name="T12" fmla="*/ 21 w 21"/>
                                    <a:gd name="T13" fmla="*/ 0 h 7"/>
                                    <a:gd name="T14" fmla="*/ 21 w 21"/>
                                    <a:gd name="T15" fmla="*/ 1 h 7"/>
                                    <a:gd name="T16" fmla="*/ 18 w 21"/>
                                    <a:gd name="T17" fmla="*/ 6 h 7"/>
                                    <a:gd name="T18" fmla="*/ 17 w 21"/>
                                    <a:gd name="T19" fmla="*/ 7 h 7"/>
                                    <a:gd name="T20" fmla="*/ 2 w 21"/>
                                    <a:gd name="T21" fmla="*/ 4 h 7"/>
                                    <a:gd name="T22" fmla="*/ 17 w 21"/>
                                    <a:gd name="T23" fmla="*/ 4 h 7"/>
                                    <a:gd name="T24" fmla="*/ 18 w 21"/>
                                    <a:gd name="T25" fmla="*/ 2 h 7"/>
                                    <a:gd name="T26" fmla="*/ 2 w 21"/>
                                    <a:gd name="T27" fmla="*/ 2 h 7"/>
                                    <a:gd name="T28" fmla="*/ 2 w 21"/>
                                    <a:gd name="T2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7">
                                      <a:moveTo>
                                        <a:pt x="17" y="7"/>
                                      </a:moveTo>
                                      <a:cubicBezTo>
                                        <a:pt x="1" y="7"/>
                                        <a:pt x="1" y="7"/>
                                        <a:pt x="1" y="7"/>
                                      </a:cubicBezTo>
                                      <a:cubicBezTo>
                                        <a:pt x="1" y="7"/>
                                        <a:pt x="0" y="6"/>
                                        <a:pt x="0" y="6"/>
                                      </a:cubicBezTo>
                                      <a:cubicBezTo>
                                        <a:pt x="0" y="1"/>
                                        <a:pt x="0" y="1"/>
                                        <a:pt x="0" y="1"/>
                                      </a:cubicBezTo>
                                      <a:cubicBezTo>
                                        <a:pt x="0" y="0"/>
                                        <a:pt x="1" y="0"/>
                                        <a:pt x="1" y="0"/>
                                      </a:cubicBezTo>
                                      <a:cubicBezTo>
                                        <a:pt x="20" y="0"/>
                                        <a:pt x="20" y="0"/>
                                        <a:pt x="20" y="0"/>
                                      </a:cubicBezTo>
                                      <a:cubicBezTo>
                                        <a:pt x="20" y="0"/>
                                        <a:pt x="20" y="0"/>
                                        <a:pt x="21" y="0"/>
                                      </a:cubicBezTo>
                                      <a:cubicBezTo>
                                        <a:pt x="21" y="1"/>
                                        <a:pt x="21" y="1"/>
                                        <a:pt x="21" y="1"/>
                                      </a:cubicBezTo>
                                      <a:cubicBezTo>
                                        <a:pt x="18" y="6"/>
                                        <a:pt x="18" y="6"/>
                                        <a:pt x="18" y="6"/>
                                      </a:cubicBezTo>
                                      <a:cubicBezTo>
                                        <a:pt x="18" y="6"/>
                                        <a:pt x="18" y="7"/>
                                        <a:pt x="17" y="7"/>
                                      </a:cubicBezTo>
                                      <a:close/>
                                      <a:moveTo>
                                        <a:pt x="2" y="4"/>
                                      </a:moveTo>
                                      <a:cubicBezTo>
                                        <a:pt x="17" y="4"/>
                                        <a:pt x="17" y="4"/>
                                        <a:pt x="17" y="4"/>
                                      </a:cubicBezTo>
                                      <a:cubicBezTo>
                                        <a:pt x="18" y="2"/>
                                        <a:pt x="18" y="2"/>
                                        <a:pt x="18" y="2"/>
                                      </a:cubicBezTo>
                                      <a:cubicBezTo>
                                        <a:pt x="2" y="2"/>
                                        <a:pt x="2" y="2"/>
                                        <a:pt x="2" y="2"/>
                                      </a:cubicBezTo>
                                      <a:lnTo>
                                        <a:pt x="2" y="4"/>
                                      </a:lnTo>
                                      <a:close/>
                                    </a:path>
                                  </a:pathLst>
                                </a:custGeom>
                                <a:solidFill>
                                  <a:srgbClr val="65BBC8"/>
                                </a:solidFill>
                                <a:ln>
                                  <a:noFill/>
                                </a:ln>
                                <a:extLst/>
                              </wps:spPr>
                              <wps:bodyPr rot="0" vert="horz" wrap="square" lIns="88188" tIns="44095" rIns="88188" bIns="44095" anchor="t" anchorCtr="0" upright="1">
                                <a:noAutofit/>
                              </wps:bodyPr>
                            </wps:wsp>
                            <wps:wsp>
                              <wps:cNvPr id="14561" name="Freeform 231"/>
                              <wps:cNvSpPr>
                                <a:spLocks noEditPoints="1"/>
                              </wps:cNvSpPr>
                              <wps:spPr bwMode="auto">
                                <a:xfrm>
                                  <a:off x="359404" y="256369"/>
                                  <a:ext cx="41042" cy="41042"/>
                                </a:xfrm>
                                <a:custGeom>
                                  <a:avLst/>
                                  <a:gdLst>
                                    <a:gd name="T0" fmla="*/ 15 w 16"/>
                                    <a:gd name="T1" fmla="*/ 16 h 16"/>
                                    <a:gd name="T2" fmla="*/ 1 w 16"/>
                                    <a:gd name="T3" fmla="*/ 16 h 16"/>
                                    <a:gd name="T4" fmla="*/ 0 w 16"/>
                                    <a:gd name="T5" fmla="*/ 15 h 16"/>
                                    <a:gd name="T6" fmla="*/ 0 w 16"/>
                                    <a:gd name="T7" fmla="*/ 1 h 16"/>
                                    <a:gd name="T8" fmla="*/ 1 w 16"/>
                                    <a:gd name="T9" fmla="*/ 0 h 16"/>
                                    <a:gd name="T10" fmla="*/ 15 w 16"/>
                                    <a:gd name="T11" fmla="*/ 0 h 16"/>
                                    <a:gd name="T12" fmla="*/ 16 w 16"/>
                                    <a:gd name="T13" fmla="*/ 1 h 16"/>
                                    <a:gd name="T14" fmla="*/ 16 w 16"/>
                                    <a:gd name="T15" fmla="*/ 15 h 16"/>
                                    <a:gd name="T16" fmla="*/ 15 w 16"/>
                                    <a:gd name="T17" fmla="*/ 16 h 16"/>
                                    <a:gd name="T18" fmla="*/ 2 w 16"/>
                                    <a:gd name="T19" fmla="*/ 14 h 16"/>
                                    <a:gd name="T20" fmla="*/ 14 w 16"/>
                                    <a:gd name="T21" fmla="*/ 14 h 16"/>
                                    <a:gd name="T22" fmla="*/ 14 w 16"/>
                                    <a:gd name="T23" fmla="*/ 2 h 16"/>
                                    <a:gd name="T24" fmla="*/ 2 w 16"/>
                                    <a:gd name="T25" fmla="*/ 2 h 16"/>
                                    <a:gd name="T26" fmla="*/ 2 w 16"/>
                                    <a:gd name="T27" fmla="*/ 1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6">
                                      <a:moveTo>
                                        <a:pt x="15" y="16"/>
                                      </a:moveTo>
                                      <a:cubicBezTo>
                                        <a:pt x="1" y="16"/>
                                        <a:pt x="1" y="16"/>
                                        <a:pt x="1" y="16"/>
                                      </a:cubicBezTo>
                                      <a:cubicBezTo>
                                        <a:pt x="1" y="16"/>
                                        <a:pt x="0" y="16"/>
                                        <a:pt x="0" y="15"/>
                                      </a:cubicBezTo>
                                      <a:cubicBezTo>
                                        <a:pt x="0" y="1"/>
                                        <a:pt x="0" y="1"/>
                                        <a:pt x="0" y="1"/>
                                      </a:cubicBezTo>
                                      <a:cubicBezTo>
                                        <a:pt x="0" y="0"/>
                                        <a:pt x="1" y="0"/>
                                        <a:pt x="1" y="0"/>
                                      </a:cubicBezTo>
                                      <a:cubicBezTo>
                                        <a:pt x="15" y="0"/>
                                        <a:pt x="15" y="0"/>
                                        <a:pt x="15" y="0"/>
                                      </a:cubicBezTo>
                                      <a:cubicBezTo>
                                        <a:pt x="16" y="0"/>
                                        <a:pt x="16" y="0"/>
                                        <a:pt x="16" y="1"/>
                                      </a:cubicBezTo>
                                      <a:cubicBezTo>
                                        <a:pt x="16" y="15"/>
                                        <a:pt x="16" y="15"/>
                                        <a:pt x="16" y="15"/>
                                      </a:cubicBezTo>
                                      <a:cubicBezTo>
                                        <a:pt x="16" y="16"/>
                                        <a:pt x="16" y="16"/>
                                        <a:pt x="15" y="16"/>
                                      </a:cubicBezTo>
                                      <a:close/>
                                      <a:moveTo>
                                        <a:pt x="2" y="14"/>
                                      </a:moveTo>
                                      <a:cubicBezTo>
                                        <a:pt x="14" y="14"/>
                                        <a:pt x="14" y="14"/>
                                        <a:pt x="14" y="14"/>
                                      </a:cubicBezTo>
                                      <a:cubicBezTo>
                                        <a:pt x="14" y="2"/>
                                        <a:pt x="14" y="2"/>
                                        <a:pt x="14" y="2"/>
                                      </a:cubicBezTo>
                                      <a:cubicBezTo>
                                        <a:pt x="2" y="2"/>
                                        <a:pt x="2" y="2"/>
                                        <a:pt x="2" y="2"/>
                                      </a:cubicBezTo>
                                      <a:lnTo>
                                        <a:pt x="2" y="14"/>
                                      </a:lnTo>
                                      <a:close/>
                                    </a:path>
                                  </a:pathLst>
                                </a:custGeom>
                                <a:solidFill>
                                  <a:srgbClr val="65BBC8"/>
                                </a:solidFill>
                                <a:ln>
                                  <a:noFill/>
                                </a:ln>
                                <a:extLst/>
                              </wps:spPr>
                              <wps:bodyPr rot="0" vert="horz" wrap="square" lIns="88188" tIns="44095" rIns="88188" bIns="44095" anchor="t" anchorCtr="0" upright="1">
                                <a:noAutofit/>
                              </wps:bodyPr>
                            </wps:wsp>
                            <wps:wsp>
                              <wps:cNvPr id="14562" name="Freeform 232"/>
                              <wps:cNvSpPr>
                                <a:spLocks noEditPoints="1"/>
                              </wps:cNvSpPr>
                              <wps:spPr bwMode="auto">
                                <a:xfrm>
                                  <a:off x="354502" y="245955"/>
                                  <a:ext cx="53907" cy="15317"/>
                                </a:xfrm>
                                <a:custGeom>
                                  <a:avLst/>
                                  <a:gdLst>
                                    <a:gd name="T0" fmla="*/ 19 w 21"/>
                                    <a:gd name="T1" fmla="*/ 6 h 6"/>
                                    <a:gd name="T2" fmla="*/ 1 w 21"/>
                                    <a:gd name="T3" fmla="*/ 6 h 6"/>
                                    <a:gd name="T4" fmla="*/ 0 w 21"/>
                                    <a:gd name="T5" fmla="*/ 5 h 6"/>
                                    <a:gd name="T6" fmla="*/ 0 w 21"/>
                                    <a:gd name="T7" fmla="*/ 2 h 6"/>
                                    <a:gd name="T8" fmla="*/ 1 w 21"/>
                                    <a:gd name="T9" fmla="*/ 0 h 6"/>
                                    <a:gd name="T10" fmla="*/ 19 w 21"/>
                                    <a:gd name="T11" fmla="*/ 0 h 6"/>
                                    <a:gd name="T12" fmla="*/ 21 w 21"/>
                                    <a:gd name="T13" fmla="*/ 2 h 6"/>
                                    <a:gd name="T14" fmla="*/ 21 w 21"/>
                                    <a:gd name="T15" fmla="*/ 5 h 6"/>
                                    <a:gd name="T16" fmla="*/ 19 w 21"/>
                                    <a:gd name="T17" fmla="*/ 6 h 6"/>
                                    <a:gd name="T18" fmla="*/ 2 w 21"/>
                                    <a:gd name="T19" fmla="*/ 4 h 6"/>
                                    <a:gd name="T20" fmla="*/ 18 w 21"/>
                                    <a:gd name="T21" fmla="*/ 4 h 6"/>
                                    <a:gd name="T22" fmla="*/ 18 w 21"/>
                                    <a:gd name="T23" fmla="*/ 3 h 6"/>
                                    <a:gd name="T24" fmla="*/ 2 w 21"/>
                                    <a:gd name="T25" fmla="*/ 3 h 6"/>
                                    <a:gd name="T26" fmla="*/ 2 w 21"/>
                                    <a:gd name="T27"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
                                      <a:moveTo>
                                        <a:pt x="19" y="6"/>
                                      </a:moveTo>
                                      <a:cubicBezTo>
                                        <a:pt x="1" y="6"/>
                                        <a:pt x="1" y="6"/>
                                        <a:pt x="1" y="6"/>
                                      </a:cubicBezTo>
                                      <a:cubicBezTo>
                                        <a:pt x="0" y="6"/>
                                        <a:pt x="0" y="6"/>
                                        <a:pt x="0" y="5"/>
                                      </a:cubicBezTo>
                                      <a:cubicBezTo>
                                        <a:pt x="0" y="2"/>
                                        <a:pt x="0" y="2"/>
                                        <a:pt x="0" y="2"/>
                                      </a:cubicBezTo>
                                      <a:cubicBezTo>
                                        <a:pt x="0" y="1"/>
                                        <a:pt x="0" y="0"/>
                                        <a:pt x="1" y="0"/>
                                      </a:cubicBezTo>
                                      <a:cubicBezTo>
                                        <a:pt x="19" y="0"/>
                                        <a:pt x="19" y="0"/>
                                        <a:pt x="19" y="0"/>
                                      </a:cubicBezTo>
                                      <a:cubicBezTo>
                                        <a:pt x="20" y="0"/>
                                        <a:pt x="21" y="1"/>
                                        <a:pt x="21" y="2"/>
                                      </a:cubicBezTo>
                                      <a:cubicBezTo>
                                        <a:pt x="21" y="5"/>
                                        <a:pt x="21" y="5"/>
                                        <a:pt x="21" y="5"/>
                                      </a:cubicBezTo>
                                      <a:cubicBezTo>
                                        <a:pt x="21" y="6"/>
                                        <a:pt x="20" y="6"/>
                                        <a:pt x="19" y="6"/>
                                      </a:cubicBezTo>
                                      <a:close/>
                                      <a:moveTo>
                                        <a:pt x="2" y="4"/>
                                      </a:moveTo>
                                      <a:cubicBezTo>
                                        <a:pt x="18" y="4"/>
                                        <a:pt x="18" y="4"/>
                                        <a:pt x="18" y="4"/>
                                      </a:cubicBezTo>
                                      <a:cubicBezTo>
                                        <a:pt x="18" y="3"/>
                                        <a:pt x="18" y="3"/>
                                        <a:pt x="18" y="3"/>
                                      </a:cubicBezTo>
                                      <a:cubicBezTo>
                                        <a:pt x="2" y="3"/>
                                        <a:pt x="2" y="3"/>
                                        <a:pt x="2" y="3"/>
                                      </a:cubicBezTo>
                                      <a:lnTo>
                                        <a:pt x="2" y="4"/>
                                      </a:lnTo>
                                      <a:close/>
                                    </a:path>
                                  </a:pathLst>
                                </a:custGeom>
                                <a:solidFill>
                                  <a:srgbClr val="65BBC8"/>
                                </a:solidFill>
                                <a:ln>
                                  <a:noFill/>
                                </a:ln>
                                <a:extLst/>
                              </wps:spPr>
                              <wps:bodyPr rot="0" vert="horz" wrap="square" lIns="88188" tIns="44095" rIns="88188" bIns="44095" anchor="t" anchorCtr="0" upright="1">
                                <a:noAutofit/>
                              </wps:bodyPr>
                            </wps:wsp>
                            <wps:wsp>
                              <wps:cNvPr id="14563" name="Freeform 233"/>
                              <wps:cNvSpPr>
                                <a:spLocks noEditPoints="1"/>
                              </wps:cNvSpPr>
                              <wps:spPr bwMode="auto">
                                <a:xfrm>
                                  <a:off x="361853" y="236160"/>
                                  <a:ext cx="36144" cy="17763"/>
                                </a:xfrm>
                                <a:custGeom>
                                  <a:avLst/>
                                  <a:gdLst>
                                    <a:gd name="T0" fmla="*/ 13 w 14"/>
                                    <a:gd name="T1" fmla="*/ 7 h 7"/>
                                    <a:gd name="T2" fmla="*/ 1 w 14"/>
                                    <a:gd name="T3" fmla="*/ 7 h 7"/>
                                    <a:gd name="T4" fmla="*/ 0 w 14"/>
                                    <a:gd name="T5" fmla="*/ 6 h 7"/>
                                    <a:gd name="T6" fmla="*/ 7 w 14"/>
                                    <a:gd name="T7" fmla="*/ 0 h 7"/>
                                    <a:gd name="T8" fmla="*/ 14 w 14"/>
                                    <a:gd name="T9" fmla="*/ 6 h 7"/>
                                    <a:gd name="T10" fmla="*/ 13 w 14"/>
                                    <a:gd name="T11" fmla="*/ 7 h 7"/>
                                    <a:gd name="T12" fmla="*/ 3 w 14"/>
                                    <a:gd name="T13" fmla="*/ 4 h 7"/>
                                    <a:gd name="T14" fmla="*/ 11 w 14"/>
                                    <a:gd name="T15" fmla="*/ 4 h 7"/>
                                    <a:gd name="T16" fmla="*/ 7 w 14"/>
                                    <a:gd name="T17" fmla="*/ 2 h 7"/>
                                    <a:gd name="T18" fmla="*/ 3 w 14"/>
                                    <a:gd name="T1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7">
                                      <a:moveTo>
                                        <a:pt x="13" y="7"/>
                                      </a:moveTo>
                                      <a:cubicBezTo>
                                        <a:pt x="1" y="7"/>
                                        <a:pt x="1" y="7"/>
                                        <a:pt x="1" y="7"/>
                                      </a:cubicBezTo>
                                      <a:cubicBezTo>
                                        <a:pt x="1" y="7"/>
                                        <a:pt x="0" y="6"/>
                                        <a:pt x="0" y="6"/>
                                      </a:cubicBezTo>
                                      <a:cubicBezTo>
                                        <a:pt x="0" y="2"/>
                                        <a:pt x="3" y="0"/>
                                        <a:pt x="7" y="0"/>
                                      </a:cubicBezTo>
                                      <a:cubicBezTo>
                                        <a:pt x="11" y="0"/>
                                        <a:pt x="14" y="2"/>
                                        <a:pt x="14" y="6"/>
                                      </a:cubicBezTo>
                                      <a:cubicBezTo>
                                        <a:pt x="14" y="6"/>
                                        <a:pt x="14" y="7"/>
                                        <a:pt x="13" y="7"/>
                                      </a:cubicBezTo>
                                      <a:close/>
                                      <a:moveTo>
                                        <a:pt x="3" y="4"/>
                                      </a:moveTo>
                                      <a:cubicBezTo>
                                        <a:pt x="11" y="4"/>
                                        <a:pt x="11" y="4"/>
                                        <a:pt x="11" y="4"/>
                                      </a:cubicBezTo>
                                      <a:cubicBezTo>
                                        <a:pt x="11" y="3"/>
                                        <a:pt x="9" y="2"/>
                                        <a:pt x="7" y="2"/>
                                      </a:cubicBezTo>
                                      <a:cubicBezTo>
                                        <a:pt x="5" y="2"/>
                                        <a:pt x="3" y="3"/>
                                        <a:pt x="3" y="4"/>
                                      </a:cubicBezTo>
                                      <a:close/>
                                    </a:path>
                                  </a:pathLst>
                                </a:custGeom>
                                <a:solidFill>
                                  <a:srgbClr val="65BBC8"/>
                                </a:solidFill>
                                <a:ln>
                                  <a:noFill/>
                                </a:ln>
                                <a:extLst/>
                              </wps:spPr>
                              <wps:bodyPr rot="0" vert="horz" wrap="square" lIns="88188" tIns="44095" rIns="88188" bIns="44095" anchor="t" anchorCtr="0" upright="1">
                                <a:noAutofit/>
                              </wps:bodyPr>
                            </wps:wsp>
                            <wps:wsp>
                              <wps:cNvPr id="14564" name="Freeform 234"/>
                              <wps:cNvSpPr>
                                <a:spLocks/>
                              </wps:cNvSpPr>
                              <wps:spPr bwMode="auto">
                                <a:xfrm>
                                  <a:off x="377782" y="274137"/>
                                  <a:ext cx="12252" cy="5511"/>
                                </a:xfrm>
                                <a:custGeom>
                                  <a:avLst/>
                                  <a:gdLst>
                                    <a:gd name="T0" fmla="*/ 3 w 5"/>
                                    <a:gd name="T1" fmla="*/ 2 h 2"/>
                                    <a:gd name="T2" fmla="*/ 1 w 5"/>
                                    <a:gd name="T3" fmla="*/ 2 h 2"/>
                                    <a:gd name="T4" fmla="*/ 0 w 5"/>
                                    <a:gd name="T5" fmla="*/ 1 h 2"/>
                                    <a:gd name="T6" fmla="*/ 1 w 5"/>
                                    <a:gd name="T7" fmla="*/ 0 h 2"/>
                                    <a:gd name="T8" fmla="*/ 3 w 5"/>
                                    <a:gd name="T9" fmla="*/ 0 h 2"/>
                                    <a:gd name="T10" fmla="*/ 5 w 5"/>
                                    <a:gd name="T11" fmla="*/ 1 h 2"/>
                                    <a:gd name="T12" fmla="*/ 3 w 5"/>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5" h="2">
                                      <a:moveTo>
                                        <a:pt x="3" y="2"/>
                                      </a:moveTo>
                                      <a:cubicBezTo>
                                        <a:pt x="1" y="2"/>
                                        <a:pt x="1" y="2"/>
                                        <a:pt x="1" y="2"/>
                                      </a:cubicBezTo>
                                      <a:cubicBezTo>
                                        <a:pt x="1" y="2"/>
                                        <a:pt x="0" y="2"/>
                                        <a:pt x="0" y="1"/>
                                      </a:cubicBezTo>
                                      <a:cubicBezTo>
                                        <a:pt x="0" y="0"/>
                                        <a:pt x="1" y="0"/>
                                        <a:pt x="1" y="0"/>
                                      </a:cubicBezTo>
                                      <a:cubicBezTo>
                                        <a:pt x="3" y="0"/>
                                        <a:pt x="3" y="0"/>
                                        <a:pt x="3" y="0"/>
                                      </a:cubicBezTo>
                                      <a:cubicBezTo>
                                        <a:pt x="4" y="0"/>
                                        <a:pt x="5" y="0"/>
                                        <a:pt x="5" y="1"/>
                                      </a:cubicBezTo>
                                      <a:cubicBezTo>
                                        <a:pt x="5" y="2"/>
                                        <a:pt x="4" y="2"/>
                                        <a:pt x="3" y="2"/>
                                      </a:cubicBezTo>
                                      <a:close/>
                                    </a:path>
                                  </a:pathLst>
                                </a:custGeom>
                                <a:solidFill>
                                  <a:srgbClr val="65BBC8"/>
                                </a:solidFill>
                                <a:ln>
                                  <a:noFill/>
                                </a:ln>
                                <a:extLst/>
                              </wps:spPr>
                              <wps:bodyPr rot="0" vert="horz" wrap="square" lIns="88188" tIns="44095" rIns="88188" bIns="44095" anchor="t" anchorCtr="0" upright="1">
                                <a:noAutofit/>
                              </wps:bodyPr>
                            </wps:wsp>
                            <wps:wsp>
                              <wps:cNvPr id="14571" name="Freeform 235"/>
                              <wps:cNvSpPr>
                                <a:spLocks noEditPoints="1"/>
                              </wps:cNvSpPr>
                              <wps:spPr bwMode="auto">
                                <a:xfrm>
                                  <a:off x="308556" y="220843"/>
                                  <a:ext cx="25730" cy="63707"/>
                                </a:xfrm>
                                <a:custGeom>
                                  <a:avLst/>
                                  <a:gdLst>
                                    <a:gd name="T0" fmla="*/ 9 w 10"/>
                                    <a:gd name="T1" fmla="*/ 25 h 25"/>
                                    <a:gd name="T2" fmla="*/ 2 w 10"/>
                                    <a:gd name="T3" fmla="*/ 25 h 25"/>
                                    <a:gd name="T4" fmla="*/ 0 w 10"/>
                                    <a:gd name="T5" fmla="*/ 24 h 25"/>
                                    <a:gd name="T6" fmla="*/ 0 w 10"/>
                                    <a:gd name="T7" fmla="*/ 1 h 25"/>
                                    <a:gd name="T8" fmla="*/ 2 w 10"/>
                                    <a:gd name="T9" fmla="*/ 0 h 25"/>
                                    <a:gd name="T10" fmla="*/ 9 w 10"/>
                                    <a:gd name="T11" fmla="*/ 0 h 25"/>
                                    <a:gd name="T12" fmla="*/ 10 w 10"/>
                                    <a:gd name="T13" fmla="*/ 1 h 25"/>
                                    <a:gd name="T14" fmla="*/ 10 w 10"/>
                                    <a:gd name="T15" fmla="*/ 24 h 25"/>
                                    <a:gd name="T16" fmla="*/ 9 w 10"/>
                                    <a:gd name="T17" fmla="*/ 25 h 25"/>
                                    <a:gd name="T18" fmla="*/ 3 w 10"/>
                                    <a:gd name="T19" fmla="*/ 23 h 25"/>
                                    <a:gd name="T20" fmla="*/ 7 w 10"/>
                                    <a:gd name="T21" fmla="*/ 23 h 25"/>
                                    <a:gd name="T22" fmla="*/ 7 w 10"/>
                                    <a:gd name="T23" fmla="*/ 2 h 25"/>
                                    <a:gd name="T24" fmla="*/ 3 w 10"/>
                                    <a:gd name="T25" fmla="*/ 2 h 25"/>
                                    <a:gd name="T26" fmla="*/ 3 w 10"/>
                                    <a:gd name="T27"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5">
                                      <a:moveTo>
                                        <a:pt x="9" y="25"/>
                                      </a:moveTo>
                                      <a:cubicBezTo>
                                        <a:pt x="2" y="25"/>
                                        <a:pt x="2" y="25"/>
                                        <a:pt x="2" y="25"/>
                                      </a:cubicBezTo>
                                      <a:cubicBezTo>
                                        <a:pt x="1" y="25"/>
                                        <a:pt x="0" y="25"/>
                                        <a:pt x="0" y="24"/>
                                      </a:cubicBezTo>
                                      <a:cubicBezTo>
                                        <a:pt x="0" y="1"/>
                                        <a:pt x="0" y="1"/>
                                        <a:pt x="0" y="1"/>
                                      </a:cubicBezTo>
                                      <a:cubicBezTo>
                                        <a:pt x="0" y="1"/>
                                        <a:pt x="1" y="0"/>
                                        <a:pt x="2" y="0"/>
                                      </a:cubicBezTo>
                                      <a:cubicBezTo>
                                        <a:pt x="9" y="0"/>
                                        <a:pt x="9" y="0"/>
                                        <a:pt x="9" y="0"/>
                                      </a:cubicBezTo>
                                      <a:cubicBezTo>
                                        <a:pt x="9" y="0"/>
                                        <a:pt x="10" y="1"/>
                                        <a:pt x="10" y="1"/>
                                      </a:cubicBezTo>
                                      <a:cubicBezTo>
                                        <a:pt x="10" y="24"/>
                                        <a:pt x="10" y="24"/>
                                        <a:pt x="10" y="24"/>
                                      </a:cubicBezTo>
                                      <a:cubicBezTo>
                                        <a:pt x="10" y="25"/>
                                        <a:pt x="9" y="25"/>
                                        <a:pt x="9" y="25"/>
                                      </a:cubicBezTo>
                                      <a:close/>
                                      <a:moveTo>
                                        <a:pt x="3" y="23"/>
                                      </a:moveTo>
                                      <a:cubicBezTo>
                                        <a:pt x="7" y="23"/>
                                        <a:pt x="7" y="23"/>
                                        <a:pt x="7" y="23"/>
                                      </a:cubicBezTo>
                                      <a:cubicBezTo>
                                        <a:pt x="7" y="2"/>
                                        <a:pt x="7" y="2"/>
                                        <a:pt x="7" y="2"/>
                                      </a:cubicBezTo>
                                      <a:cubicBezTo>
                                        <a:pt x="3" y="2"/>
                                        <a:pt x="3" y="2"/>
                                        <a:pt x="3" y="2"/>
                                      </a:cubicBezTo>
                                      <a:lnTo>
                                        <a:pt x="3" y="23"/>
                                      </a:lnTo>
                                      <a:close/>
                                    </a:path>
                                  </a:pathLst>
                                </a:custGeom>
                                <a:solidFill>
                                  <a:srgbClr val="65BBC8"/>
                                </a:solidFill>
                                <a:ln>
                                  <a:noFill/>
                                </a:ln>
                                <a:extLst/>
                              </wps:spPr>
                              <wps:bodyPr rot="0" vert="horz" wrap="square" lIns="88188" tIns="44095" rIns="88188" bIns="44095" anchor="t" anchorCtr="0" upright="1">
                                <a:noAutofit/>
                              </wps:bodyPr>
                            </wps:wsp>
                            <wps:wsp>
                              <wps:cNvPr id="14572" name="Freeform 236"/>
                              <wps:cNvSpPr>
                                <a:spLocks/>
                              </wps:cNvSpPr>
                              <wps:spPr bwMode="auto">
                                <a:xfrm>
                                  <a:off x="308556" y="236154"/>
                                  <a:ext cx="25730" cy="4903"/>
                                </a:xfrm>
                                <a:custGeom>
                                  <a:avLst/>
                                  <a:gdLst>
                                    <a:gd name="T0" fmla="*/ 9 w 10"/>
                                    <a:gd name="T1" fmla="*/ 2 h 2"/>
                                    <a:gd name="T2" fmla="*/ 2 w 10"/>
                                    <a:gd name="T3" fmla="*/ 2 h 2"/>
                                    <a:gd name="T4" fmla="*/ 0 w 10"/>
                                    <a:gd name="T5" fmla="*/ 1 h 2"/>
                                    <a:gd name="T6" fmla="*/ 2 w 10"/>
                                    <a:gd name="T7" fmla="*/ 0 h 2"/>
                                    <a:gd name="T8" fmla="*/ 9 w 10"/>
                                    <a:gd name="T9" fmla="*/ 0 h 2"/>
                                    <a:gd name="T10" fmla="*/ 10 w 10"/>
                                    <a:gd name="T11" fmla="*/ 1 h 2"/>
                                    <a:gd name="T12" fmla="*/ 9 w 1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0" h="2">
                                      <a:moveTo>
                                        <a:pt x="9" y="2"/>
                                      </a:moveTo>
                                      <a:cubicBezTo>
                                        <a:pt x="2" y="2"/>
                                        <a:pt x="2" y="2"/>
                                        <a:pt x="2" y="2"/>
                                      </a:cubicBezTo>
                                      <a:cubicBezTo>
                                        <a:pt x="1" y="2"/>
                                        <a:pt x="0" y="2"/>
                                        <a:pt x="0" y="1"/>
                                      </a:cubicBezTo>
                                      <a:cubicBezTo>
                                        <a:pt x="0" y="0"/>
                                        <a:pt x="1" y="0"/>
                                        <a:pt x="2" y="0"/>
                                      </a:cubicBezTo>
                                      <a:cubicBezTo>
                                        <a:pt x="9" y="0"/>
                                        <a:pt x="9" y="0"/>
                                        <a:pt x="9" y="0"/>
                                      </a:cubicBezTo>
                                      <a:cubicBezTo>
                                        <a:pt x="9" y="0"/>
                                        <a:pt x="10" y="0"/>
                                        <a:pt x="10" y="1"/>
                                      </a:cubicBezTo>
                                      <a:cubicBezTo>
                                        <a:pt x="10" y="2"/>
                                        <a:pt x="9" y="2"/>
                                        <a:pt x="9" y="2"/>
                                      </a:cubicBezTo>
                                      <a:close/>
                                    </a:path>
                                  </a:pathLst>
                                </a:custGeom>
                                <a:solidFill>
                                  <a:srgbClr val="65BBC8"/>
                                </a:solidFill>
                                <a:ln>
                                  <a:noFill/>
                                </a:ln>
                                <a:extLst/>
                              </wps:spPr>
                              <wps:bodyPr rot="0" vert="horz" wrap="square" lIns="88188" tIns="44095" rIns="88188" bIns="44095" anchor="t" anchorCtr="0" upright="1">
                                <a:noAutofit/>
                              </wps:bodyPr>
                            </wps:wsp>
                            <wps:wsp>
                              <wps:cNvPr id="14573" name="Freeform 237"/>
                              <wps:cNvSpPr>
                                <a:spLocks/>
                              </wps:cNvSpPr>
                              <wps:spPr bwMode="auto">
                                <a:xfrm>
                                  <a:off x="308556" y="264333"/>
                                  <a:ext cx="25730" cy="7349"/>
                                </a:xfrm>
                                <a:custGeom>
                                  <a:avLst/>
                                  <a:gdLst>
                                    <a:gd name="T0" fmla="*/ 9 w 10"/>
                                    <a:gd name="T1" fmla="*/ 3 h 3"/>
                                    <a:gd name="T2" fmla="*/ 2 w 10"/>
                                    <a:gd name="T3" fmla="*/ 3 h 3"/>
                                    <a:gd name="T4" fmla="*/ 0 w 10"/>
                                    <a:gd name="T5" fmla="*/ 1 h 3"/>
                                    <a:gd name="T6" fmla="*/ 2 w 10"/>
                                    <a:gd name="T7" fmla="*/ 0 h 3"/>
                                    <a:gd name="T8" fmla="*/ 9 w 10"/>
                                    <a:gd name="T9" fmla="*/ 0 h 3"/>
                                    <a:gd name="T10" fmla="*/ 10 w 10"/>
                                    <a:gd name="T11" fmla="*/ 1 h 3"/>
                                    <a:gd name="T12" fmla="*/ 9 w 10"/>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10" h="3">
                                      <a:moveTo>
                                        <a:pt x="9" y="3"/>
                                      </a:moveTo>
                                      <a:cubicBezTo>
                                        <a:pt x="2" y="3"/>
                                        <a:pt x="2" y="3"/>
                                        <a:pt x="2" y="3"/>
                                      </a:cubicBezTo>
                                      <a:cubicBezTo>
                                        <a:pt x="1" y="3"/>
                                        <a:pt x="0" y="2"/>
                                        <a:pt x="0" y="1"/>
                                      </a:cubicBezTo>
                                      <a:cubicBezTo>
                                        <a:pt x="0" y="1"/>
                                        <a:pt x="1" y="0"/>
                                        <a:pt x="2" y="0"/>
                                      </a:cubicBezTo>
                                      <a:cubicBezTo>
                                        <a:pt x="9" y="0"/>
                                        <a:pt x="9" y="0"/>
                                        <a:pt x="9" y="0"/>
                                      </a:cubicBezTo>
                                      <a:cubicBezTo>
                                        <a:pt x="9" y="0"/>
                                        <a:pt x="10" y="1"/>
                                        <a:pt x="10" y="1"/>
                                      </a:cubicBezTo>
                                      <a:cubicBezTo>
                                        <a:pt x="10" y="2"/>
                                        <a:pt x="9" y="3"/>
                                        <a:pt x="9" y="3"/>
                                      </a:cubicBezTo>
                                      <a:close/>
                                    </a:path>
                                  </a:pathLst>
                                </a:custGeom>
                                <a:solidFill>
                                  <a:srgbClr val="65BBC8"/>
                                </a:solidFill>
                                <a:ln>
                                  <a:noFill/>
                                </a:ln>
                                <a:extLst/>
                              </wps:spPr>
                              <wps:bodyPr rot="0" vert="horz" wrap="square" lIns="88188" tIns="44095" rIns="88188" bIns="44095" anchor="t" anchorCtr="0" upright="1">
                                <a:noAutofit/>
                              </wps:bodyPr>
                            </wps:wsp>
                            <wps:wsp>
                              <wps:cNvPr id="14574" name="Freeform 238"/>
                              <wps:cNvSpPr>
                                <a:spLocks/>
                              </wps:cNvSpPr>
                              <wps:spPr bwMode="auto">
                                <a:xfrm>
                                  <a:off x="308556" y="251470"/>
                                  <a:ext cx="25730" cy="4903"/>
                                </a:xfrm>
                                <a:custGeom>
                                  <a:avLst/>
                                  <a:gdLst>
                                    <a:gd name="T0" fmla="*/ 9 w 10"/>
                                    <a:gd name="T1" fmla="*/ 2 h 2"/>
                                    <a:gd name="T2" fmla="*/ 2 w 10"/>
                                    <a:gd name="T3" fmla="*/ 2 h 2"/>
                                    <a:gd name="T4" fmla="*/ 0 w 10"/>
                                    <a:gd name="T5" fmla="*/ 1 h 2"/>
                                    <a:gd name="T6" fmla="*/ 2 w 10"/>
                                    <a:gd name="T7" fmla="*/ 0 h 2"/>
                                    <a:gd name="T8" fmla="*/ 9 w 10"/>
                                    <a:gd name="T9" fmla="*/ 0 h 2"/>
                                    <a:gd name="T10" fmla="*/ 10 w 10"/>
                                    <a:gd name="T11" fmla="*/ 1 h 2"/>
                                    <a:gd name="T12" fmla="*/ 9 w 1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0" h="2">
                                      <a:moveTo>
                                        <a:pt x="9" y="2"/>
                                      </a:moveTo>
                                      <a:cubicBezTo>
                                        <a:pt x="2" y="2"/>
                                        <a:pt x="2" y="2"/>
                                        <a:pt x="2" y="2"/>
                                      </a:cubicBezTo>
                                      <a:cubicBezTo>
                                        <a:pt x="1" y="2"/>
                                        <a:pt x="0" y="1"/>
                                        <a:pt x="0" y="1"/>
                                      </a:cubicBezTo>
                                      <a:cubicBezTo>
                                        <a:pt x="0" y="0"/>
                                        <a:pt x="1" y="0"/>
                                        <a:pt x="2" y="0"/>
                                      </a:cubicBezTo>
                                      <a:cubicBezTo>
                                        <a:pt x="9" y="0"/>
                                        <a:pt x="9" y="0"/>
                                        <a:pt x="9" y="0"/>
                                      </a:cubicBezTo>
                                      <a:cubicBezTo>
                                        <a:pt x="9" y="0"/>
                                        <a:pt x="10" y="0"/>
                                        <a:pt x="10" y="1"/>
                                      </a:cubicBezTo>
                                      <a:cubicBezTo>
                                        <a:pt x="10" y="1"/>
                                        <a:pt x="9" y="2"/>
                                        <a:pt x="9" y="2"/>
                                      </a:cubicBezTo>
                                      <a:close/>
                                    </a:path>
                                  </a:pathLst>
                                </a:custGeom>
                                <a:solidFill>
                                  <a:srgbClr val="65BBC8"/>
                                </a:solidFill>
                                <a:ln>
                                  <a:noFill/>
                                </a:ln>
                                <a:extLst/>
                              </wps:spPr>
                              <wps:bodyPr rot="0" vert="horz" wrap="square" lIns="88188" tIns="44095" rIns="88188" bIns="44095" anchor="t" anchorCtr="0" upright="1">
                                <a:noAutofit/>
                              </wps:bodyPr>
                            </wps:wsp>
                            <wps:wsp>
                              <wps:cNvPr id="14575" name="Freeform 239"/>
                              <wps:cNvSpPr>
                                <a:spLocks noEditPoints="1"/>
                              </wps:cNvSpPr>
                              <wps:spPr bwMode="auto">
                                <a:xfrm>
                                  <a:off x="428622" y="220843"/>
                                  <a:ext cx="22666" cy="63707"/>
                                </a:xfrm>
                                <a:custGeom>
                                  <a:avLst/>
                                  <a:gdLst>
                                    <a:gd name="T0" fmla="*/ 8 w 9"/>
                                    <a:gd name="T1" fmla="*/ 25 h 25"/>
                                    <a:gd name="T2" fmla="*/ 1 w 9"/>
                                    <a:gd name="T3" fmla="*/ 25 h 25"/>
                                    <a:gd name="T4" fmla="*/ 0 w 9"/>
                                    <a:gd name="T5" fmla="*/ 24 h 25"/>
                                    <a:gd name="T6" fmla="*/ 0 w 9"/>
                                    <a:gd name="T7" fmla="*/ 1 h 25"/>
                                    <a:gd name="T8" fmla="*/ 1 w 9"/>
                                    <a:gd name="T9" fmla="*/ 0 h 25"/>
                                    <a:gd name="T10" fmla="*/ 8 w 9"/>
                                    <a:gd name="T11" fmla="*/ 0 h 25"/>
                                    <a:gd name="T12" fmla="*/ 9 w 9"/>
                                    <a:gd name="T13" fmla="*/ 1 h 25"/>
                                    <a:gd name="T14" fmla="*/ 9 w 9"/>
                                    <a:gd name="T15" fmla="*/ 24 h 25"/>
                                    <a:gd name="T16" fmla="*/ 8 w 9"/>
                                    <a:gd name="T17" fmla="*/ 25 h 25"/>
                                    <a:gd name="T18" fmla="*/ 2 w 9"/>
                                    <a:gd name="T19" fmla="*/ 23 h 25"/>
                                    <a:gd name="T20" fmla="*/ 7 w 9"/>
                                    <a:gd name="T21" fmla="*/ 23 h 25"/>
                                    <a:gd name="T22" fmla="*/ 7 w 9"/>
                                    <a:gd name="T23" fmla="*/ 2 h 25"/>
                                    <a:gd name="T24" fmla="*/ 2 w 9"/>
                                    <a:gd name="T25" fmla="*/ 2 h 25"/>
                                    <a:gd name="T26" fmla="*/ 2 w 9"/>
                                    <a:gd name="T27"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5">
                                      <a:moveTo>
                                        <a:pt x="8" y="25"/>
                                      </a:moveTo>
                                      <a:cubicBezTo>
                                        <a:pt x="1" y="25"/>
                                        <a:pt x="1" y="25"/>
                                        <a:pt x="1" y="25"/>
                                      </a:cubicBezTo>
                                      <a:cubicBezTo>
                                        <a:pt x="0" y="25"/>
                                        <a:pt x="0" y="25"/>
                                        <a:pt x="0" y="24"/>
                                      </a:cubicBezTo>
                                      <a:cubicBezTo>
                                        <a:pt x="0" y="1"/>
                                        <a:pt x="0" y="1"/>
                                        <a:pt x="0" y="1"/>
                                      </a:cubicBezTo>
                                      <a:cubicBezTo>
                                        <a:pt x="0" y="1"/>
                                        <a:pt x="0" y="0"/>
                                        <a:pt x="1" y="0"/>
                                      </a:cubicBezTo>
                                      <a:cubicBezTo>
                                        <a:pt x="8" y="0"/>
                                        <a:pt x="8" y="0"/>
                                        <a:pt x="8" y="0"/>
                                      </a:cubicBezTo>
                                      <a:cubicBezTo>
                                        <a:pt x="8" y="0"/>
                                        <a:pt x="9" y="1"/>
                                        <a:pt x="9" y="1"/>
                                      </a:cubicBezTo>
                                      <a:cubicBezTo>
                                        <a:pt x="9" y="24"/>
                                        <a:pt x="9" y="24"/>
                                        <a:pt x="9" y="24"/>
                                      </a:cubicBezTo>
                                      <a:cubicBezTo>
                                        <a:pt x="9" y="25"/>
                                        <a:pt x="8" y="25"/>
                                        <a:pt x="8" y="25"/>
                                      </a:cubicBezTo>
                                      <a:close/>
                                      <a:moveTo>
                                        <a:pt x="2" y="23"/>
                                      </a:moveTo>
                                      <a:cubicBezTo>
                                        <a:pt x="7" y="23"/>
                                        <a:pt x="7" y="23"/>
                                        <a:pt x="7" y="23"/>
                                      </a:cubicBezTo>
                                      <a:cubicBezTo>
                                        <a:pt x="7" y="2"/>
                                        <a:pt x="7" y="2"/>
                                        <a:pt x="7" y="2"/>
                                      </a:cubicBezTo>
                                      <a:cubicBezTo>
                                        <a:pt x="2" y="2"/>
                                        <a:pt x="2" y="2"/>
                                        <a:pt x="2" y="2"/>
                                      </a:cubicBezTo>
                                      <a:lnTo>
                                        <a:pt x="2" y="23"/>
                                      </a:lnTo>
                                      <a:close/>
                                    </a:path>
                                  </a:pathLst>
                                </a:custGeom>
                                <a:solidFill>
                                  <a:srgbClr val="65BBC8"/>
                                </a:solidFill>
                                <a:ln>
                                  <a:noFill/>
                                </a:ln>
                                <a:extLst/>
                              </wps:spPr>
                              <wps:bodyPr rot="0" vert="horz" wrap="square" lIns="88188" tIns="44095" rIns="88188" bIns="44095" anchor="t" anchorCtr="0" upright="1">
                                <a:noAutofit/>
                              </wps:bodyPr>
                            </wps:wsp>
                            <wps:wsp>
                              <wps:cNvPr id="14576" name="Freeform 240"/>
                              <wps:cNvSpPr>
                                <a:spLocks/>
                              </wps:cNvSpPr>
                              <wps:spPr bwMode="auto">
                                <a:xfrm>
                                  <a:off x="428622" y="236154"/>
                                  <a:ext cx="22666" cy="4903"/>
                                </a:xfrm>
                                <a:custGeom>
                                  <a:avLst/>
                                  <a:gdLst>
                                    <a:gd name="T0" fmla="*/ 8 w 9"/>
                                    <a:gd name="T1" fmla="*/ 2 h 2"/>
                                    <a:gd name="T2" fmla="*/ 1 w 9"/>
                                    <a:gd name="T3" fmla="*/ 2 h 2"/>
                                    <a:gd name="T4" fmla="*/ 0 w 9"/>
                                    <a:gd name="T5" fmla="*/ 1 h 2"/>
                                    <a:gd name="T6" fmla="*/ 1 w 9"/>
                                    <a:gd name="T7" fmla="*/ 0 h 2"/>
                                    <a:gd name="T8" fmla="*/ 8 w 9"/>
                                    <a:gd name="T9" fmla="*/ 0 h 2"/>
                                    <a:gd name="T10" fmla="*/ 9 w 9"/>
                                    <a:gd name="T11" fmla="*/ 1 h 2"/>
                                    <a:gd name="T12" fmla="*/ 8 w 9"/>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9" h="2">
                                      <a:moveTo>
                                        <a:pt x="8" y="2"/>
                                      </a:moveTo>
                                      <a:cubicBezTo>
                                        <a:pt x="1" y="2"/>
                                        <a:pt x="1" y="2"/>
                                        <a:pt x="1" y="2"/>
                                      </a:cubicBezTo>
                                      <a:cubicBezTo>
                                        <a:pt x="0" y="2"/>
                                        <a:pt x="0" y="2"/>
                                        <a:pt x="0" y="1"/>
                                      </a:cubicBezTo>
                                      <a:cubicBezTo>
                                        <a:pt x="0" y="0"/>
                                        <a:pt x="0" y="0"/>
                                        <a:pt x="1" y="0"/>
                                      </a:cubicBezTo>
                                      <a:cubicBezTo>
                                        <a:pt x="8" y="0"/>
                                        <a:pt x="8" y="0"/>
                                        <a:pt x="8" y="0"/>
                                      </a:cubicBezTo>
                                      <a:cubicBezTo>
                                        <a:pt x="8" y="0"/>
                                        <a:pt x="9" y="0"/>
                                        <a:pt x="9" y="1"/>
                                      </a:cubicBezTo>
                                      <a:cubicBezTo>
                                        <a:pt x="9" y="2"/>
                                        <a:pt x="8" y="2"/>
                                        <a:pt x="8" y="2"/>
                                      </a:cubicBezTo>
                                      <a:close/>
                                    </a:path>
                                  </a:pathLst>
                                </a:custGeom>
                                <a:solidFill>
                                  <a:srgbClr val="65BBC8"/>
                                </a:solidFill>
                                <a:ln>
                                  <a:noFill/>
                                </a:ln>
                                <a:extLst/>
                              </wps:spPr>
                              <wps:bodyPr rot="0" vert="horz" wrap="square" lIns="88188" tIns="44095" rIns="88188" bIns="44095" anchor="t" anchorCtr="0" upright="1">
                                <a:noAutofit/>
                              </wps:bodyPr>
                            </wps:wsp>
                            <wps:wsp>
                              <wps:cNvPr id="14577" name="Freeform 241"/>
                              <wps:cNvSpPr>
                                <a:spLocks/>
                              </wps:cNvSpPr>
                              <wps:spPr bwMode="auto">
                                <a:xfrm>
                                  <a:off x="428622" y="264333"/>
                                  <a:ext cx="22666" cy="7349"/>
                                </a:xfrm>
                                <a:custGeom>
                                  <a:avLst/>
                                  <a:gdLst>
                                    <a:gd name="T0" fmla="*/ 8 w 9"/>
                                    <a:gd name="T1" fmla="*/ 3 h 3"/>
                                    <a:gd name="T2" fmla="*/ 1 w 9"/>
                                    <a:gd name="T3" fmla="*/ 3 h 3"/>
                                    <a:gd name="T4" fmla="*/ 0 w 9"/>
                                    <a:gd name="T5" fmla="*/ 1 h 3"/>
                                    <a:gd name="T6" fmla="*/ 1 w 9"/>
                                    <a:gd name="T7" fmla="*/ 0 h 3"/>
                                    <a:gd name="T8" fmla="*/ 8 w 9"/>
                                    <a:gd name="T9" fmla="*/ 0 h 3"/>
                                    <a:gd name="T10" fmla="*/ 9 w 9"/>
                                    <a:gd name="T11" fmla="*/ 1 h 3"/>
                                    <a:gd name="T12" fmla="*/ 8 w 9"/>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9" h="3">
                                      <a:moveTo>
                                        <a:pt x="8" y="3"/>
                                      </a:moveTo>
                                      <a:cubicBezTo>
                                        <a:pt x="1" y="3"/>
                                        <a:pt x="1" y="3"/>
                                        <a:pt x="1" y="3"/>
                                      </a:cubicBezTo>
                                      <a:cubicBezTo>
                                        <a:pt x="0" y="3"/>
                                        <a:pt x="0" y="2"/>
                                        <a:pt x="0" y="1"/>
                                      </a:cubicBezTo>
                                      <a:cubicBezTo>
                                        <a:pt x="0" y="1"/>
                                        <a:pt x="0" y="0"/>
                                        <a:pt x="1" y="0"/>
                                      </a:cubicBezTo>
                                      <a:cubicBezTo>
                                        <a:pt x="8" y="0"/>
                                        <a:pt x="8" y="0"/>
                                        <a:pt x="8" y="0"/>
                                      </a:cubicBezTo>
                                      <a:cubicBezTo>
                                        <a:pt x="8" y="0"/>
                                        <a:pt x="9" y="1"/>
                                        <a:pt x="9" y="1"/>
                                      </a:cubicBezTo>
                                      <a:cubicBezTo>
                                        <a:pt x="9" y="2"/>
                                        <a:pt x="8" y="3"/>
                                        <a:pt x="8" y="3"/>
                                      </a:cubicBezTo>
                                      <a:close/>
                                    </a:path>
                                  </a:pathLst>
                                </a:custGeom>
                                <a:solidFill>
                                  <a:srgbClr val="65BBC8"/>
                                </a:solidFill>
                                <a:ln>
                                  <a:noFill/>
                                </a:ln>
                                <a:extLst/>
                              </wps:spPr>
                              <wps:bodyPr rot="0" vert="horz" wrap="square" lIns="88188" tIns="44095" rIns="88188" bIns="44095" anchor="t" anchorCtr="0" upright="1">
                                <a:noAutofit/>
                              </wps:bodyPr>
                            </wps:wsp>
                            <wps:wsp>
                              <wps:cNvPr id="14578" name="Freeform 242"/>
                              <wps:cNvSpPr>
                                <a:spLocks/>
                              </wps:cNvSpPr>
                              <wps:spPr bwMode="auto">
                                <a:xfrm>
                                  <a:off x="428622" y="251470"/>
                                  <a:ext cx="22666" cy="4903"/>
                                </a:xfrm>
                                <a:custGeom>
                                  <a:avLst/>
                                  <a:gdLst>
                                    <a:gd name="T0" fmla="*/ 8 w 9"/>
                                    <a:gd name="T1" fmla="*/ 2 h 2"/>
                                    <a:gd name="T2" fmla="*/ 1 w 9"/>
                                    <a:gd name="T3" fmla="*/ 2 h 2"/>
                                    <a:gd name="T4" fmla="*/ 0 w 9"/>
                                    <a:gd name="T5" fmla="*/ 1 h 2"/>
                                    <a:gd name="T6" fmla="*/ 1 w 9"/>
                                    <a:gd name="T7" fmla="*/ 0 h 2"/>
                                    <a:gd name="T8" fmla="*/ 8 w 9"/>
                                    <a:gd name="T9" fmla="*/ 0 h 2"/>
                                    <a:gd name="T10" fmla="*/ 9 w 9"/>
                                    <a:gd name="T11" fmla="*/ 1 h 2"/>
                                    <a:gd name="T12" fmla="*/ 8 w 9"/>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9" h="2">
                                      <a:moveTo>
                                        <a:pt x="8" y="2"/>
                                      </a:moveTo>
                                      <a:cubicBezTo>
                                        <a:pt x="1" y="2"/>
                                        <a:pt x="1" y="2"/>
                                        <a:pt x="1" y="2"/>
                                      </a:cubicBezTo>
                                      <a:cubicBezTo>
                                        <a:pt x="0" y="2"/>
                                        <a:pt x="0" y="1"/>
                                        <a:pt x="0" y="1"/>
                                      </a:cubicBezTo>
                                      <a:cubicBezTo>
                                        <a:pt x="0" y="0"/>
                                        <a:pt x="0" y="0"/>
                                        <a:pt x="1" y="0"/>
                                      </a:cubicBezTo>
                                      <a:cubicBezTo>
                                        <a:pt x="8" y="0"/>
                                        <a:pt x="8" y="0"/>
                                        <a:pt x="8" y="0"/>
                                      </a:cubicBezTo>
                                      <a:cubicBezTo>
                                        <a:pt x="8" y="0"/>
                                        <a:pt x="9" y="0"/>
                                        <a:pt x="9" y="1"/>
                                      </a:cubicBezTo>
                                      <a:cubicBezTo>
                                        <a:pt x="9" y="1"/>
                                        <a:pt x="8" y="2"/>
                                        <a:pt x="8" y="2"/>
                                      </a:cubicBezTo>
                                      <a:close/>
                                    </a:path>
                                  </a:pathLst>
                                </a:custGeom>
                                <a:solidFill>
                                  <a:srgbClr val="65BBC8"/>
                                </a:solidFill>
                                <a:ln>
                                  <a:noFill/>
                                </a:ln>
                                <a:extLst/>
                              </wps:spPr>
                              <wps:bodyPr rot="0" vert="horz" wrap="square" lIns="88188" tIns="44095" rIns="88188" bIns="44095" anchor="t" anchorCtr="0" upright="1">
                                <a:noAutofit/>
                              </wps:bodyPr>
                            </wps:wsp>
                            <wps:wsp>
                              <wps:cNvPr id="14579" name="Freeform 243"/>
                              <wps:cNvSpPr>
                                <a:spLocks noEditPoints="1"/>
                              </wps:cNvSpPr>
                              <wps:spPr bwMode="auto">
                                <a:xfrm>
                                  <a:off x="4974553" y="157136"/>
                                  <a:ext cx="94335" cy="17763"/>
                                </a:xfrm>
                                <a:custGeom>
                                  <a:avLst/>
                                  <a:gdLst>
                                    <a:gd name="T0" fmla="*/ 33 w 37"/>
                                    <a:gd name="T1" fmla="*/ 7 h 7"/>
                                    <a:gd name="T2" fmla="*/ 3 w 37"/>
                                    <a:gd name="T3" fmla="*/ 7 h 7"/>
                                    <a:gd name="T4" fmla="*/ 2 w 37"/>
                                    <a:gd name="T5" fmla="*/ 6 h 7"/>
                                    <a:gd name="T6" fmla="*/ 0 w 37"/>
                                    <a:gd name="T7" fmla="*/ 1 h 7"/>
                                    <a:gd name="T8" fmla="*/ 0 w 37"/>
                                    <a:gd name="T9" fmla="*/ 0 h 7"/>
                                    <a:gd name="T10" fmla="*/ 1 w 37"/>
                                    <a:gd name="T11" fmla="*/ 0 h 7"/>
                                    <a:gd name="T12" fmla="*/ 35 w 37"/>
                                    <a:gd name="T13" fmla="*/ 0 h 7"/>
                                    <a:gd name="T14" fmla="*/ 36 w 37"/>
                                    <a:gd name="T15" fmla="*/ 0 h 7"/>
                                    <a:gd name="T16" fmla="*/ 36 w 37"/>
                                    <a:gd name="T17" fmla="*/ 1 h 7"/>
                                    <a:gd name="T18" fmla="*/ 34 w 37"/>
                                    <a:gd name="T19" fmla="*/ 6 h 7"/>
                                    <a:gd name="T20" fmla="*/ 33 w 37"/>
                                    <a:gd name="T21" fmla="*/ 7 h 7"/>
                                    <a:gd name="T22" fmla="*/ 4 w 37"/>
                                    <a:gd name="T23" fmla="*/ 4 h 7"/>
                                    <a:gd name="T24" fmla="*/ 32 w 37"/>
                                    <a:gd name="T25" fmla="*/ 4 h 7"/>
                                    <a:gd name="T26" fmla="*/ 34 w 37"/>
                                    <a:gd name="T27" fmla="*/ 2 h 7"/>
                                    <a:gd name="T28" fmla="*/ 3 w 37"/>
                                    <a:gd name="T29" fmla="*/ 2 h 7"/>
                                    <a:gd name="T30" fmla="*/ 4 w 37"/>
                                    <a:gd name="T31"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7" h="7">
                                      <a:moveTo>
                                        <a:pt x="33" y="7"/>
                                      </a:moveTo>
                                      <a:cubicBezTo>
                                        <a:pt x="3" y="7"/>
                                        <a:pt x="3" y="7"/>
                                        <a:pt x="3" y="7"/>
                                      </a:cubicBezTo>
                                      <a:cubicBezTo>
                                        <a:pt x="3" y="7"/>
                                        <a:pt x="2" y="6"/>
                                        <a:pt x="2" y="6"/>
                                      </a:cubicBezTo>
                                      <a:cubicBezTo>
                                        <a:pt x="0" y="1"/>
                                        <a:pt x="0" y="1"/>
                                        <a:pt x="0" y="1"/>
                                      </a:cubicBezTo>
                                      <a:cubicBezTo>
                                        <a:pt x="0" y="1"/>
                                        <a:pt x="0" y="1"/>
                                        <a:pt x="0" y="0"/>
                                      </a:cubicBezTo>
                                      <a:cubicBezTo>
                                        <a:pt x="0" y="0"/>
                                        <a:pt x="0" y="0"/>
                                        <a:pt x="1" y="0"/>
                                      </a:cubicBezTo>
                                      <a:cubicBezTo>
                                        <a:pt x="35" y="0"/>
                                        <a:pt x="35" y="0"/>
                                        <a:pt x="35" y="0"/>
                                      </a:cubicBezTo>
                                      <a:cubicBezTo>
                                        <a:pt x="36" y="0"/>
                                        <a:pt x="36" y="0"/>
                                        <a:pt x="36" y="0"/>
                                      </a:cubicBezTo>
                                      <a:cubicBezTo>
                                        <a:pt x="37" y="1"/>
                                        <a:pt x="37" y="1"/>
                                        <a:pt x="36" y="1"/>
                                      </a:cubicBezTo>
                                      <a:cubicBezTo>
                                        <a:pt x="34" y="6"/>
                                        <a:pt x="34" y="6"/>
                                        <a:pt x="34" y="6"/>
                                      </a:cubicBezTo>
                                      <a:cubicBezTo>
                                        <a:pt x="34" y="6"/>
                                        <a:pt x="34" y="7"/>
                                        <a:pt x="33" y="7"/>
                                      </a:cubicBezTo>
                                      <a:close/>
                                      <a:moveTo>
                                        <a:pt x="4" y="4"/>
                                      </a:moveTo>
                                      <a:cubicBezTo>
                                        <a:pt x="32" y="4"/>
                                        <a:pt x="32" y="4"/>
                                        <a:pt x="32" y="4"/>
                                      </a:cubicBezTo>
                                      <a:cubicBezTo>
                                        <a:pt x="34" y="2"/>
                                        <a:pt x="34" y="2"/>
                                        <a:pt x="34" y="2"/>
                                      </a:cubicBezTo>
                                      <a:cubicBezTo>
                                        <a:pt x="3" y="2"/>
                                        <a:pt x="3" y="2"/>
                                        <a:pt x="3" y="2"/>
                                      </a:cubicBezTo>
                                      <a:lnTo>
                                        <a:pt x="4" y="4"/>
                                      </a:lnTo>
                                      <a:close/>
                                    </a:path>
                                  </a:pathLst>
                                </a:custGeom>
                                <a:solidFill>
                                  <a:srgbClr val="E48C32"/>
                                </a:solidFill>
                                <a:ln>
                                  <a:noFill/>
                                </a:ln>
                                <a:extLst/>
                              </wps:spPr>
                              <wps:bodyPr rot="0" vert="horz" wrap="square" lIns="88188" tIns="44095" rIns="88188" bIns="44095" anchor="t" anchorCtr="0" upright="1">
                                <a:noAutofit/>
                              </wps:bodyPr>
                            </wps:wsp>
                            <wps:wsp>
                              <wps:cNvPr id="14580" name="Freeform 244"/>
                              <wps:cNvSpPr>
                                <a:spLocks noEditPoints="1"/>
                              </wps:cNvSpPr>
                              <wps:spPr bwMode="auto">
                                <a:xfrm>
                                  <a:off x="4931061" y="292513"/>
                                  <a:ext cx="178870" cy="17763"/>
                                </a:xfrm>
                                <a:custGeom>
                                  <a:avLst/>
                                  <a:gdLst>
                                    <a:gd name="T0" fmla="*/ 69 w 70"/>
                                    <a:gd name="T1" fmla="*/ 7 h 7"/>
                                    <a:gd name="T2" fmla="*/ 2 w 70"/>
                                    <a:gd name="T3" fmla="*/ 7 h 7"/>
                                    <a:gd name="T4" fmla="*/ 0 w 70"/>
                                    <a:gd name="T5" fmla="*/ 5 h 7"/>
                                    <a:gd name="T6" fmla="*/ 0 w 70"/>
                                    <a:gd name="T7" fmla="*/ 1 h 7"/>
                                    <a:gd name="T8" fmla="*/ 2 w 70"/>
                                    <a:gd name="T9" fmla="*/ 0 h 7"/>
                                    <a:gd name="T10" fmla="*/ 69 w 70"/>
                                    <a:gd name="T11" fmla="*/ 0 h 7"/>
                                    <a:gd name="T12" fmla="*/ 70 w 70"/>
                                    <a:gd name="T13" fmla="*/ 1 h 7"/>
                                    <a:gd name="T14" fmla="*/ 70 w 70"/>
                                    <a:gd name="T15" fmla="*/ 5 h 7"/>
                                    <a:gd name="T16" fmla="*/ 69 w 70"/>
                                    <a:gd name="T17" fmla="*/ 7 h 7"/>
                                    <a:gd name="T18" fmla="*/ 3 w 70"/>
                                    <a:gd name="T19" fmla="*/ 4 h 7"/>
                                    <a:gd name="T20" fmla="*/ 67 w 70"/>
                                    <a:gd name="T21" fmla="*/ 4 h 7"/>
                                    <a:gd name="T22" fmla="*/ 67 w 70"/>
                                    <a:gd name="T23" fmla="*/ 2 h 7"/>
                                    <a:gd name="T24" fmla="*/ 3 w 70"/>
                                    <a:gd name="T25" fmla="*/ 2 h 7"/>
                                    <a:gd name="T26" fmla="*/ 3 w 70"/>
                                    <a:gd name="T27"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7">
                                      <a:moveTo>
                                        <a:pt x="69" y="7"/>
                                      </a:moveTo>
                                      <a:cubicBezTo>
                                        <a:pt x="2" y="7"/>
                                        <a:pt x="2" y="7"/>
                                        <a:pt x="2" y="7"/>
                                      </a:cubicBezTo>
                                      <a:cubicBezTo>
                                        <a:pt x="1" y="7"/>
                                        <a:pt x="0" y="6"/>
                                        <a:pt x="0" y="5"/>
                                      </a:cubicBezTo>
                                      <a:cubicBezTo>
                                        <a:pt x="0" y="1"/>
                                        <a:pt x="0" y="1"/>
                                        <a:pt x="0" y="1"/>
                                      </a:cubicBezTo>
                                      <a:cubicBezTo>
                                        <a:pt x="0" y="0"/>
                                        <a:pt x="1" y="0"/>
                                        <a:pt x="2" y="0"/>
                                      </a:cubicBezTo>
                                      <a:cubicBezTo>
                                        <a:pt x="69" y="0"/>
                                        <a:pt x="69" y="0"/>
                                        <a:pt x="69" y="0"/>
                                      </a:cubicBezTo>
                                      <a:cubicBezTo>
                                        <a:pt x="69" y="0"/>
                                        <a:pt x="70" y="0"/>
                                        <a:pt x="70" y="1"/>
                                      </a:cubicBezTo>
                                      <a:cubicBezTo>
                                        <a:pt x="70" y="5"/>
                                        <a:pt x="70" y="5"/>
                                        <a:pt x="70" y="5"/>
                                      </a:cubicBezTo>
                                      <a:cubicBezTo>
                                        <a:pt x="70" y="6"/>
                                        <a:pt x="69" y="7"/>
                                        <a:pt x="69" y="7"/>
                                      </a:cubicBezTo>
                                      <a:close/>
                                      <a:moveTo>
                                        <a:pt x="3" y="4"/>
                                      </a:moveTo>
                                      <a:cubicBezTo>
                                        <a:pt x="67" y="4"/>
                                        <a:pt x="67" y="4"/>
                                        <a:pt x="67" y="4"/>
                                      </a:cubicBezTo>
                                      <a:cubicBezTo>
                                        <a:pt x="67" y="2"/>
                                        <a:pt x="67" y="2"/>
                                        <a:pt x="67" y="2"/>
                                      </a:cubicBezTo>
                                      <a:cubicBezTo>
                                        <a:pt x="3" y="2"/>
                                        <a:pt x="3" y="2"/>
                                        <a:pt x="3" y="2"/>
                                      </a:cubicBezTo>
                                      <a:lnTo>
                                        <a:pt x="3" y="4"/>
                                      </a:lnTo>
                                      <a:close/>
                                    </a:path>
                                  </a:pathLst>
                                </a:custGeom>
                                <a:solidFill>
                                  <a:srgbClr val="E48C32"/>
                                </a:solidFill>
                                <a:ln>
                                  <a:noFill/>
                                </a:ln>
                                <a:extLst/>
                              </wps:spPr>
                              <wps:bodyPr rot="0" vert="horz" wrap="square" lIns="88188" tIns="44095" rIns="88188" bIns="44095" anchor="t" anchorCtr="0" upright="1">
                                <a:noAutofit/>
                              </wps:bodyPr>
                            </wps:wsp>
                            <wps:wsp>
                              <wps:cNvPr id="14581" name="Freeform 245"/>
                              <wps:cNvSpPr>
                                <a:spLocks noEditPoints="1"/>
                              </wps:cNvSpPr>
                              <wps:spPr bwMode="auto">
                                <a:xfrm>
                                  <a:off x="4979454" y="166936"/>
                                  <a:ext cx="82083" cy="130479"/>
                                </a:xfrm>
                                <a:custGeom>
                                  <a:avLst/>
                                  <a:gdLst>
                                    <a:gd name="T0" fmla="*/ 31 w 32"/>
                                    <a:gd name="T1" fmla="*/ 51 h 51"/>
                                    <a:gd name="T2" fmla="*/ 1 w 32"/>
                                    <a:gd name="T3" fmla="*/ 51 h 51"/>
                                    <a:gd name="T4" fmla="*/ 0 w 32"/>
                                    <a:gd name="T5" fmla="*/ 50 h 51"/>
                                    <a:gd name="T6" fmla="*/ 0 w 32"/>
                                    <a:gd name="T7" fmla="*/ 1 h 51"/>
                                    <a:gd name="T8" fmla="*/ 1 w 32"/>
                                    <a:gd name="T9" fmla="*/ 0 h 51"/>
                                    <a:gd name="T10" fmla="*/ 31 w 32"/>
                                    <a:gd name="T11" fmla="*/ 0 h 51"/>
                                    <a:gd name="T12" fmla="*/ 32 w 32"/>
                                    <a:gd name="T13" fmla="*/ 1 h 51"/>
                                    <a:gd name="T14" fmla="*/ 32 w 32"/>
                                    <a:gd name="T15" fmla="*/ 50 h 51"/>
                                    <a:gd name="T16" fmla="*/ 31 w 32"/>
                                    <a:gd name="T17" fmla="*/ 51 h 51"/>
                                    <a:gd name="T18" fmla="*/ 2 w 32"/>
                                    <a:gd name="T19" fmla="*/ 49 h 51"/>
                                    <a:gd name="T20" fmla="*/ 30 w 32"/>
                                    <a:gd name="T21" fmla="*/ 49 h 51"/>
                                    <a:gd name="T22" fmla="*/ 30 w 32"/>
                                    <a:gd name="T23" fmla="*/ 3 h 51"/>
                                    <a:gd name="T24" fmla="*/ 2 w 32"/>
                                    <a:gd name="T25" fmla="*/ 3 h 51"/>
                                    <a:gd name="T26" fmla="*/ 2 w 32"/>
                                    <a:gd name="T27" fmla="*/ 49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51">
                                      <a:moveTo>
                                        <a:pt x="31" y="51"/>
                                      </a:moveTo>
                                      <a:cubicBezTo>
                                        <a:pt x="1" y="51"/>
                                        <a:pt x="1" y="51"/>
                                        <a:pt x="1" y="51"/>
                                      </a:cubicBezTo>
                                      <a:cubicBezTo>
                                        <a:pt x="0" y="51"/>
                                        <a:pt x="0" y="51"/>
                                        <a:pt x="0" y="50"/>
                                      </a:cubicBezTo>
                                      <a:cubicBezTo>
                                        <a:pt x="0" y="1"/>
                                        <a:pt x="0" y="1"/>
                                        <a:pt x="0" y="1"/>
                                      </a:cubicBezTo>
                                      <a:cubicBezTo>
                                        <a:pt x="0" y="1"/>
                                        <a:pt x="0" y="0"/>
                                        <a:pt x="1" y="0"/>
                                      </a:cubicBezTo>
                                      <a:cubicBezTo>
                                        <a:pt x="31" y="0"/>
                                        <a:pt x="31" y="0"/>
                                        <a:pt x="31" y="0"/>
                                      </a:cubicBezTo>
                                      <a:cubicBezTo>
                                        <a:pt x="32" y="0"/>
                                        <a:pt x="32" y="1"/>
                                        <a:pt x="32" y="1"/>
                                      </a:cubicBezTo>
                                      <a:cubicBezTo>
                                        <a:pt x="32" y="50"/>
                                        <a:pt x="32" y="50"/>
                                        <a:pt x="32" y="50"/>
                                      </a:cubicBezTo>
                                      <a:cubicBezTo>
                                        <a:pt x="32" y="51"/>
                                        <a:pt x="32" y="51"/>
                                        <a:pt x="31" y="51"/>
                                      </a:cubicBezTo>
                                      <a:close/>
                                      <a:moveTo>
                                        <a:pt x="2" y="49"/>
                                      </a:moveTo>
                                      <a:cubicBezTo>
                                        <a:pt x="30" y="49"/>
                                        <a:pt x="30" y="49"/>
                                        <a:pt x="30" y="49"/>
                                      </a:cubicBezTo>
                                      <a:cubicBezTo>
                                        <a:pt x="30" y="3"/>
                                        <a:pt x="30" y="3"/>
                                        <a:pt x="30" y="3"/>
                                      </a:cubicBezTo>
                                      <a:cubicBezTo>
                                        <a:pt x="2" y="3"/>
                                        <a:pt x="2" y="3"/>
                                        <a:pt x="2" y="3"/>
                                      </a:cubicBezTo>
                                      <a:lnTo>
                                        <a:pt x="2" y="49"/>
                                      </a:lnTo>
                                      <a:close/>
                                    </a:path>
                                  </a:pathLst>
                                </a:custGeom>
                                <a:solidFill>
                                  <a:srgbClr val="E48C32"/>
                                </a:solidFill>
                                <a:ln>
                                  <a:noFill/>
                                </a:ln>
                                <a:extLst/>
                              </wps:spPr>
                              <wps:bodyPr rot="0" vert="horz" wrap="square" lIns="88188" tIns="44095" rIns="88188" bIns="44095" anchor="t" anchorCtr="0" upright="1">
                                <a:noAutofit/>
                              </wps:bodyPr>
                            </wps:wsp>
                            <wps:wsp>
                              <wps:cNvPr id="14582" name="Freeform 246"/>
                              <wps:cNvSpPr>
                                <a:spLocks noEditPoints="1"/>
                              </wps:cNvSpPr>
                              <wps:spPr bwMode="auto">
                                <a:xfrm>
                                  <a:off x="4939025" y="207972"/>
                                  <a:ext cx="45945" cy="89438"/>
                                </a:xfrm>
                                <a:custGeom>
                                  <a:avLst/>
                                  <a:gdLst>
                                    <a:gd name="T0" fmla="*/ 17 w 18"/>
                                    <a:gd name="T1" fmla="*/ 35 h 35"/>
                                    <a:gd name="T2" fmla="*/ 1 w 18"/>
                                    <a:gd name="T3" fmla="*/ 35 h 35"/>
                                    <a:gd name="T4" fmla="*/ 0 w 18"/>
                                    <a:gd name="T5" fmla="*/ 34 h 35"/>
                                    <a:gd name="T6" fmla="*/ 0 w 18"/>
                                    <a:gd name="T7" fmla="*/ 2 h 35"/>
                                    <a:gd name="T8" fmla="*/ 1 w 18"/>
                                    <a:gd name="T9" fmla="*/ 0 h 35"/>
                                    <a:gd name="T10" fmla="*/ 17 w 18"/>
                                    <a:gd name="T11" fmla="*/ 0 h 35"/>
                                    <a:gd name="T12" fmla="*/ 18 w 18"/>
                                    <a:gd name="T13" fmla="*/ 2 h 35"/>
                                    <a:gd name="T14" fmla="*/ 18 w 18"/>
                                    <a:gd name="T15" fmla="*/ 34 h 35"/>
                                    <a:gd name="T16" fmla="*/ 17 w 18"/>
                                    <a:gd name="T17" fmla="*/ 35 h 35"/>
                                    <a:gd name="T18" fmla="*/ 2 w 18"/>
                                    <a:gd name="T19" fmla="*/ 33 h 35"/>
                                    <a:gd name="T20" fmla="*/ 16 w 18"/>
                                    <a:gd name="T21" fmla="*/ 33 h 35"/>
                                    <a:gd name="T22" fmla="*/ 16 w 18"/>
                                    <a:gd name="T23" fmla="*/ 3 h 35"/>
                                    <a:gd name="T24" fmla="*/ 2 w 18"/>
                                    <a:gd name="T25" fmla="*/ 3 h 35"/>
                                    <a:gd name="T26" fmla="*/ 2 w 18"/>
                                    <a:gd name="T27"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35">
                                      <a:moveTo>
                                        <a:pt x="17" y="35"/>
                                      </a:moveTo>
                                      <a:cubicBezTo>
                                        <a:pt x="1" y="35"/>
                                        <a:pt x="1" y="35"/>
                                        <a:pt x="1" y="35"/>
                                      </a:cubicBezTo>
                                      <a:cubicBezTo>
                                        <a:pt x="0" y="35"/>
                                        <a:pt x="0" y="35"/>
                                        <a:pt x="0" y="34"/>
                                      </a:cubicBezTo>
                                      <a:cubicBezTo>
                                        <a:pt x="0" y="2"/>
                                        <a:pt x="0" y="2"/>
                                        <a:pt x="0" y="2"/>
                                      </a:cubicBezTo>
                                      <a:cubicBezTo>
                                        <a:pt x="0" y="1"/>
                                        <a:pt x="0" y="0"/>
                                        <a:pt x="1" y="0"/>
                                      </a:cubicBezTo>
                                      <a:cubicBezTo>
                                        <a:pt x="17" y="0"/>
                                        <a:pt x="17" y="0"/>
                                        <a:pt x="17" y="0"/>
                                      </a:cubicBezTo>
                                      <a:cubicBezTo>
                                        <a:pt x="18" y="0"/>
                                        <a:pt x="18" y="1"/>
                                        <a:pt x="18" y="2"/>
                                      </a:cubicBezTo>
                                      <a:cubicBezTo>
                                        <a:pt x="18" y="34"/>
                                        <a:pt x="18" y="34"/>
                                        <a:pt x="18" y="34"/>
                                      </a:cubicBezTo>
                                      <a:cubicBezTo>
                                        <a:pt x="18" y="35"/>
                                        <a:pt x="18" y="35"/>
                                        <a:pt x="17" y="35"/>
                                      </a:cubicBezTo>
                                      <a:close/>
                                      <a:moveTo>
                                        <a:pt x="2" y="33"/>
                                      </a:moveTo>
                                      <a:cubicBezTo>
                                        <a:pt x="16" y="33"/>
                                        <a:pt x="16" y="33"/>
                                        <a:pt x="16" y="33"/>
                                      </a:cubicBezTo>
                                      <a:cubicBezTo>
                                        <a:pt x="16" y="3"/>
                                        <a:pt x="16" y="3"/>
                                        <a:pt x="16" y="3"/>
                                      </a:cubicBezTo>
                                      <a:cubicBezTo>
                                        <a:pt x="2" y="3"/>
                                        <a:pt x="2" y="3"/>
                                        <a:pt x="2" y="3"/>
                                      </a:cubicBezTo>
                                      <a:lnTo>
                                        <a:pt x="2" y="33"/>
                                      </a:lnTo>
                                      <a:close/>
                                    </a:path>
                                  </a:pathLst>
                                </a:custGeom>
                                <a:solidFill>
                                  <a:srgbClr val="E48C32"/>
                                </a:solidFill>
                                <a:ln>
                                  <a:noFill/>
                                </a:ln>
                                <a:extLst/>
                              </wps:spPr>
                              <wps:bodyPr rot="0" vert="horz" wrap="square" lIns="88188" tIns="44095" rIns="88188" bIns="44095" anchor="t" anchorCtr="0" upright="1">
                                <a:noAutofit/>
                              </wps:bodyPr>
                            </wps:wsp>
                            <wps:wsp>
                              <wps:cNvPr id="14583" name="Freeform 247"/>
                              <wps:cNvSpPr>
                                <a:spLocks noEditPoints="1"/>
                              </wps:cNvSpPr>
                              <wps:spPr bwMode="auto">
                                <a:xfrm>
                                  <a:off x="5056027" y="207972"/>
                                  <a:ext cx="46557" cy="89438"/>
                                </a:xfrm>
                                <a:custGeom>
                                  <a:avLst/>
                                  <a:gdLst>
                                    <a:gd name="T0" fmla="*/ 17 w 18"/>
                                    <a:gd name="T1" fmla="*/ 35 h 35"/>
                                    <a:gd name="T2" fmla="*/ 1 w 18"/>
                                    <a:gd name="T3" fmla="*/ 35 h 35"/>
                                    <a:gd name="T4" fmla="*/ 0 w 18"/>
                                    <a:gd name="T5" fmla="*/ 34 h 35"/>
                                    <a:gd name="T6" fmla="*/ 0 w 18"/>
                                    <a:gd name="T7" fmla="*/ 2 h 35"/>
                                    <a:gd name="T8" fmla="*/ 1 w 18"/>
                                    <a:gd name="T9" fmla="*/ 0 h 35"/>
                                    <a:gd name="T10" fmla="*/ 17 w 18"/>
                                    <a:gd name="T11" fmla="*/ 0 h 35"/>
                                    <a:gd name="T12" fmla="*/ 18 w 18"/>
                                    <a:gd name="T13" fmla="*/ 2 h 35"/>
                                    <a:gd name="T14" fmla="*/ 18 w 18"/>
                                    <a:gd name="T15" fmla="*/ 34 h 35"/>
                                    <a:gd name="T16" fmla="*/ 17 w 18"/>
                                    <a:gd name="T17" fmla="*/ 35 h 35"/>
                                    <a:gd name="T18" fmla="*/ 2 w 18"/>
                                    <a:gd name="T19" fmla="*/ 33 h 35"/>
                                    <a:gd name="T20" fmla="*/ 16 w 18"/>
                                    <a:gd name="T21" fmla="*/ 33 h 35"/>
                                    <a:gd name="T22" fmla="*/ 16 w 18"/>
                                    <a:gd name="T23" fmla="*/ 3 h 35"/>
                                    <a:gd name="T24" fmla="*/ 2 w 18"/>
                                    <a:gd name="T25" fmla="*/ 3 h 35"/>
                                    <a:gd name="T26" fmla="*/ 2 w 18"/>
                                    <a:gd name="T27" fmla="*/ 3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8" h="35">
                                      <a:moveTo>
                                        <a:pt x="17" y="35"/>
                                      </a:moveTo>
                                      <a:cubicBezTo>
                                        <a:pt x="1" y="35"/>
                                        <a:pt x="1" y="35"/>
                                        <a:pt x="1" y="35"/>
                                      </a:cubicBezTo>
                                      <a:cubicBezTo>
                                        <a:pt x="0" y="35"/>
                                        <a:pt x="0" y="35"/>
                                        <a:pt x="0" y="34"/>
                                      </a:cubicBezTo>
                                      <a:cubicBezTo>
                                        <a:pt x="0" y="2"/>
                                        <a:pt x="0" y="2"/>
                                        <a:pt x="0" y="2"/>
                                      </a:cubicBezTo>
                                      <a:cubicBezTo>
                                        <a:pt x="0" y="1"/>
                                        <a:pt x="0" y="0"/>
                                        <a:pt x="1" y="0"/>
                                      </a:cubicBezTo>
                                      <a:cubicBezTo>
                                        <a:pt x="17" y="0"/>
                                        <a:pt x="17" y="0"/>
                                        <a:pt x="17" y="0"/>
                                      </a:cubicBezTo>
                                      <a:cubicBezTo>
                                        <a:pt x="18" y="0"/>
                                        <a:pt x="18" y="1"/>
                                        <a:pt x="18" y="2"/>
                                      </a:cubicBezTo>
                                      <a:cubicBezTo>
                                        <a:pt x="18" y="34"/>
                                        <a:pt x="18" y="34"/>
                                        <a:pt x="18" y="34"/>
                                      </a:cubicBezTo>
                                      <a:cubicBezTo>
                                        <a:pt x="18" y="35"/>
                                        <a:pt x="18" y="35"/>
                                        <a:pt x="17" y="35"/>
                                      </a:cubicBezTo>
                                      <a:close/>
                                      <a:moveTo>
                                        <a:pt x="2" y="33"/>
                                      </a:moveTo>
                                      <a:cubicBezTo>
                                        <a:pt x="16" y="33"/>
                                        <a:pt x="16" y="33"/>
                                        <a:pt x="16" y="33"/>
                                      </a:cubicBezTo>
                                      <a:cubicBezTo>
                                        <a:pt x="16" y="3"/>
                                        <a:pt x="16" y="3"/>
                                        <a:pt x="16" y="3"/>
                                      </a:cubicBezTo>
                                      <a:cubicBezTo>
                                        <a:pt x="2" y="3"/>
                                        <a:pt x="2" y="3"/>
                                        <a:pt x="2" y="3"/>
                                      </a:cubicBezTo>
                                      <a:lnTo>
                                        <a:pt x="2" y="33"/>
                                      </a:lnTo>
                                      <a:close/>
                                    </a:path>
                                  </a:pathLst>
                                </a:custGeom>
                                <a:solidFill>
                                  <a:srgbClr val="E48C32"/>
                                </a:solidFill>
                                <a:ln>
                                  <a:noFill/>
                                </a:ln>
                                <a:extLst/>
                              </wps:spPr>
                              <wps:bodyPr rot="0" vert="horz" wrap="square" lIns="88188" tIns="44095" rIns="88188" bIns="44095" anchor="t" anchorCtr="0" upright="1">
                                <a:noAutofit/>
                              </wps:bodyPr>
                            </wps:wsp>
                            <wps:wsp>
                              <wps:cNvPr id="14584" name="Freeform 248"/>
                              <wps:cNvSpPr>
                                <a:spLocks noEditPoints="1"/>
                              </wps:cNvSpPr>
                              <wps:spPr bwMode="auto">
                                <a:xfrm>
                                  <a:off x="4997830" y="182248"/>
                                  <a:ext cx="45945" cy="45945"/>
                                </a:xfrm>
                                <a:custGeom>
                                  <a:avLst/>
                                  <a:gdLst>
                                    <a:gd name="T0" fmla="*/ 9 w 18"/>
                                    <a:gd name="T1" fmla="*/ 18 h 18"/>
                                    <a:gd name="T2" fmla="*/ 0 w 18"/>
                                    <a:gd name="T3" fmla="*/ 9 h 18"/>
                                    <a:gd name="T4" fmla="*/ 9 w 18"/>
                                    <a:gd name="T5" fmla="*/ 0 h 18"/>
                                    <a:gd name="T6" fmla="*/ 18 w 18"/>
                                    <a:gd name="T7" fmla="*/ 9 h 18"/>
                                    <a:gd name="T8" fmla="*/ 9 w 18"/>
                                    <a:gd name="T9" fmla="*/ 18 h 18"/>
                                    <a:gd name="T10" fmla="*/ 9 w 18"/>
                                    <a:gd name="T11" fmla="*/ 2 h 18"/>
                                    <a:gd name="T12" fmla="*/ 2 w 18"/>
                                    <a:gd name="T13" fmla="*/ 9 h 18"/>
                                    <a:gd name="T14" fmla="*/ 9 w 18"/>
                                    <a:gd name="T15" fmla="*/ 16 h 18"/>
                                    <a:gd name="T16" fmla="*/ 16 w 18"/>
                                    <a:gd name="T17" fmla="*/ 9 h 18"/>
                                    <a:gd name="T18" fmla="*/ 9 w 18"/>
                                    <a:gd name="T19" fmla="*/ 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8">
                                      <a:moveTo>
                                        <a:pt x="9" y="18"/>
                                      </a:moveTo>
                                      <a:cubicBezTo>
                                        <a:pt x="4" y="18"/>
                                        <a:pt x="0" y="14"/>
                                        <a:pt x="0" y="9"/>
                                      </a:cubicBezTo>
                                      <a:cubicBezTo>
                                        <a:pt x="0" y="4"/>
                                        <a:pt x="4" y="0"/>
                                        <a:pt x="9" y="0"/>
                                      </a:cubicBezTo>
                                      <a:cubicBezTo>
                                        <a:pt x="14" y="0"/>
                                        <a:pt x="18" y="4"/>
                                        <a:pt x="18" y="9"/>
                                      </a:cubicBezTo>
                                      <a:cubicBezTo>
                                        <a:pt x="18" y="14"/>
                                        <a:pt x="14" y="18"/>
                                        <a:pt x="9" y="18"/>
                                      </a:cubicBezTo>
                                      <a:close/>
                                      <a:moveTo>
                                        <a:pt x="9" y="2"/>
                                      </a:moveTo>
                                      <a:cubicBezTo>
                                        <a:pt x="5" y="2"/>
                                        <a:pt x="2" y="5"/>
                                        <a:pt x="2" y="9"/>
                                      </a:cubicBezTo>
                                      <a:cubicBezTo>
                                        <a:pt x="2" y="13"/>
                                        <a:pt x="5" y="16"/>
                                        <a:pt x="9" y="16"/>
                                      </a:cubicBezTo>
                                      <a:cubicBezTo>
                                        <a:pt x="13" y="16"/>
                                        <a:pt x="16" y="13"/>
                                        <a:pt x="16" y="9"/>
                                      </a:cubicBezTo>
                                      <a:cubicBezTo>
                                        <a:pt x="16" y="5"/>
                                        <a:pt x="13" y="2"/>
                                        <a:pt x="9" y="2"/>
                                      </a:cubicBezTo>
                                      <a:close/>
                                    </a:path>
                                  </a:pathLst>
                                </a:custGeom>
                                <a:solidFill>
                                  <a:srgbClr val="E48C32"/>
                                </a:solidFill>
                                <a:ln>
                                  <a:noFill/>
                                </a:ln>
                                <a:extLst/>
                              </wps:spPr>
                              <wps:bodyPr rot="0" vert="horz" wrap="square" lIns="88188" tIns="44095" rIns="88188" bIns="44095" anchor="t" anchorCtr="0" upright="1">
                                <a:noAutofit/>
                              </wps:bodyPr>
                            </wps:wsp>
                            <wps:wsp>
                              <wps:cNvPr id="14585" name="Freeform 249"/>
                              <wps:cNvSpPr>
                                <a:spLocks/>
                              </wps:cNvSpPr>
                              <wps:spPr bwMode="auto">
                                <a:xfrm>
                                  <a:off x="5018044" y="195113"/>
                                  <a:ext cx="4903" cy="12865"/>
                                </a:xfrm>
                                <a:custGeom>
                                  <a:avLst/>
                                  <a:gdLst>
                                    <a:gd name="T0" fmla="*/ 1 w 2"/>
                                    <a:gd name="T1" fmla="*/ 5 h 5"/>
                                    <a:gd name="T2" fmla="*/ 0 w 2"/>
                                    <a:gd name="T3" fmla="*/ 4 h 5"/>
                                    <a:gd name="T4" fmla="*/ 0 w 2"/>
                                    <a:gd name="T5" fmla="*/ 1 h 5"/>
                                    <a:gd name="T6" fmla="*/ 1 w 2"/>
                                    <a:gd name="T7" fmla="*/ 0 h 5"/>
                                    <a:gd name="T8" fmla="*/ 2 w 2"/>
                                    <a:gd name="T9" fmla="*/ 1 h 5"/>
                                    <a:gd name="T10" fmla="*/ 2 w 2"/>
                                    <a:gd name="T11" fmla="*/ 4 h 5"/>
                                    <a:gd name="T12" fmla="*/ 1 w 2"/>
                                    <a:gd name="T13" fmla="*/ 5 h 5"/>
                                  </a:gdLst>
                                  <a:ahLst/>
                                  <a:cxnLst>
                                    <a:cxn ang="0">
                                      <a:pos x="T0" y="T1"/>
                                    </a:cxn>
                                    <a:cxn ang="0">
                                      <a:pos x="T2" y="T3"/>
                                    </a:cxn>
                                    <a:cxn ang="0">
                                      <a:pos x="T4" y="T5"/>
                                    </a:cxn>
                                    <a:cxn ang="0">
                                      <a:pos x="T6" y="T7"/>
                                    </a:cxn>
                                    <a:cxn ang="0">
                                      <a:pos x="T8" y="T9"/>
                                    </a:cxn>
                                    <a:cxn ang="0">
                                      <a:pos x="T10" y="T11"/>
                                    </a:cxn>
                                    <a:cxn ang="0">
                                      <a:pos x="T12" y="T13"/>
                                    </a:cxn>
                                  </a:cxnLst>
                                  <a:rect l="0" t="0" r="r" b="b"/>
                                  <a:pathLst>
                                    <a:path w="2" h="5">
                                      <a:moveTo>
                                        <a:pt x="1" y="5"/>
                                      </a:moveTo>
                                      <a:cubicBezTo>
                                        <a:pt x="0" y="5"/>
                                        <a:pt x="0" y="5"/>
                                        <a:pt x="0" y="4"/>
                                      </a:cubicBezTo>
                                      <a:cubicBezTo>
                                        <a:pt x="0" y="1"/>
                                        <a:pt x="0" y="1"/>
                                        <a:pt x="0" y="1"/>
                                      </a:cubicBezTo>
                                      <a:cubicBezTo>
                                        <a:pt x="0" y="0"/>
                                        <a:pt x="0" y="0"/>
                                        <a:pt x="1" y="0"/>
                                      </a:cubicBezTo>
                                      <a:cubicBezTo>
                                        <a:pt x="2" y="0"/>
                                        <a:pt x="2" y="0"/>
                                        <a:pt x="2" y="1"/>
                                      </a:cubicBezTo>
                                      <a:cubicBezTo>
                                        <a:pt x="2" y="4"/>
                                        <a:pt x="2" y="4"/>
                                        <a:pt x="2" y="4"/>
                                      </a:cubicBezTo>
                                      <a:cubicBezTo>
                                        <a:pt x="2" y="5"/>
                                        <a:pt x="2" y="5"/>
                                        <a:pt x="1" y="5"/>
                                      </a:cubicBezTo>
                                      <a:close/>
                                    </a:path>
                                  </a:pathLst>
                                </a:custGeom>
                                <a:solidFill>
                                  <a:srgbClr val="E48C32"/>
                                </a:solidFill>
                                <a:ln>
                                  <a:noFill/>
                                </a:ln>
                                <a:extLst/>
                              </wps:spPr>
                              <wps:bodyPr rot="0" vert="horz" wrap="square" lIns="88188" tIns="44095" rIns="88188" bIns="44095" anchor="t" anchorCtr="0" upright="1">
                                <a:noAutofit/>
                              </wps:bodyPr>
                            </wps:wsp>
                            <wps:wsp>
                              <wps:cNvPr id="14586" name="Freeform 250"/>
                              <wps:cNvSpPr>
                                <a:spLocks/>
                              </wps:cNvSpPr>
                              <wps:spPr bwMode="auto">
                                <a:xfrm>
                                  <a:off x="5018045" y="203075"/>
                                  <a:ext cx="12865" cy="4903"/>
                                </a:xfrm>
                                <a:custGeom>
                                  <a:avLst/>
                                  <a:gdLst>
                                    <a:gd name="T0" fmla="*/ 3 w 5"/>
                                    <a:gd name="T1" fmla="*/ 2 h 2"/>
                                    <a:gd name="T2" fmla="*/ 1 w 5"/>
                                    <a:gd name="T3" fmla="*/ 2 h 2"/>
                                    <a:gd name="T4" fmla="*/ 0 w 5"/>
                                    <a:gd name="T5" fmla="*/ 1 h 2"/>
                                    <a:gd name="T6" fmla="*/ 1 w 5"/>
                                    <a:gd name="T7" fmla="*/ 0 h 2"/>
                                    <a:gd name="T8" fmla="*/ 3 w 5"/>
                                    <a:gd name="T9" fmla="*/ 0 h 2"/>
                                    <a:gd name="T10" fmla="*/ 5 w 5"/>
                                    <a:gd name="T11" fmla="*/ 1 h 2"/>
                                    <a:gd name="T12" fmla="*/ 3 w 5"/>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5" h="2">
                                      <a:moveTo>
                                        <a:pt x="3" y="2"/>
                                      </a:moveTo>
                                      <a:cubicBezTo>
                                        <a:pt x="1" y="2"/>
                                        <a:pt x="1" y="2"/>
                                        <a:pt x="1" y="2"/>
                                      </a:cubicBezTo>
                                      <a:cubicBezTo>
                                        <a:pt x="0" y="2"/>
                                        <a:pt x="0" y="2"/>
                                        <a:pt x="0" y="1"/>
                                      </a:cubicBezTo>
                                      <a:cubicBezTo>
                                        <a:pt x="0" y="1"/>
                                        <a:pt x="0" y="0"/>
                                        <a:pt x="1" y="0"/>
                                      </a:cubicBezTo>
                                      <a:cubicBezTo>
                                        <a:pt x="3" y="0"/>
                                        <a:pt x="3" y="0"/>
                                        <a:pt x="3" y="0"/>
                                      </a:cubicBezTo>
                                      <a:cubicBezTo>
                                        <a:pt x="4" y="0"/>
                                        <a:pt x="5" y="1"/>
                                        <a:pt x="5" y="1"/>
                                      </a:cubicBezTo>
                                      <a:cubicBezTo>
                                        <a:pt x="5" y="2"/>
                                        <a:pt x="4" y="2"/>
                                        <a:pt x="3" y="2"/>
                                      </a:cubicBezTo>
                                      <a:close/>
                                    </a:path>
                                  </a:pathLst>
                                </a:custGeom>
                                <a:solidFill>
                                  <a:srgbClr val="E48C32"/>
                                </a:solidFill>
                                <a:ln>
                                  <a:noFill/>
                                </a:ln>
                                <a:extLst/>
                              </wps:spPr>
                              <wps:bodyPr rot="0" vert="horz" wrap="square" lIns="88188" tIns="44095" rIns="88188" bIns="44095" anchor="t" anchorCtr="0" upright="1">
                                <a:noAutofit/>
                              </wps:bodyPr>
                            </wps:wsp>
                            <wps:wsp>
                              <wps:cNvPr id="14587" name="Freeform 251"/>
                              <wps:cNvSpPr>
                                <a:spLocks/>
                              </wps:cNvSpPr>
                              <wps:spPr bwMode="auto">
                                <a:xfrm>
                                  <a:off x="5018044" y="131405"/>
                                  <a:ext cx="4903" cy="30628"/>
                                </a:xfrm>
                                <a:custGeom>
                                  <a:avLst/>
                                  <a:gdLst>
                                    <a:gd name="T0" fmla="*/ 1 w 2"/>
                                    <a:gd name="T1" fmla="*/ 12 h 12"/>
                                    <a:gd name="T2" fmla="*/ 0 w 2"/>
                                    <a:gd name="T3" fmla="*/ 11 h 12"/>
                                    <a:gd name="T4" fmla="*/ 0 w 2"/>
                                    <a:gd name="T5" fmla="*/ 2 h 12"/>
                                    <a:gd name="T6" fmla="*/ 1 w 2"/>
                                    <a:gd name="T7" fmla="*/ 0 h 12"/>
                                    <a:gd name="T8" fmla="*/ 2 w 2"/>
                                    <a:gd name="T9" fmla="*/ 2 h 12"/>
                                    <a:gd name="T10" fmla="*/ 2 w 2"/>
                                    <a:gd name="T11" fmla="*/ 11 h 12"/>
                                    <a:gd name="T12" fmla="*/ 1 w 2"/>
                                    <a:gd name="T13" fmla="*/ 12 h 12"/>
                                  </a:gdLst>
                                  <a:ahLst/>
                                  <a:cxnLst>
                                    <a:cxn ang="0">
                                      <a:pos x="T0" y="T1"/>
                                    </a:cxn>
                                    <a:cxn ang="0">
                                      <a:pos x="T2" y="T3"/>
                                    </a:cxn>
                                    <a:cxn ang="0">
                                      <a:pos x="T4" y="T5"/>
                                    </a:cxn>
                                    <a:cxn ang="0">
                                      <a:pos x="T6" y="T7"/>
                                    </a:cxn>
                                    <a:cxn ang="0">
                                      <a:pos x="T8" y="T9"/>
                                    </a:cxn>
                                    <a:cxn ang="0">
                                      <a:pos x="T10" y="T11"/>
                                    </a:cxn>
                                    <a:cxn ang="0">
                                      <a:pos x="T12" y="T13"/>
                                    </a:cxn>
                                  </a:cxnLst>
                                  <a:rect l="0" t="0" r="r" b="b"/>
                                  <a:pathLst>
                                    <a:path w="2" h="12">
                                      <a:moveTo>
                                        <a:pt x="1" y="12"/>
                                      </a:moveTo>
                                      <a:cubicBezTo>
                                        <a:pt x="0" y="12"/>
                                        <a:pt x="0" y="11"/>
                                        <a:pt x="0" y="11"/>
                                      </a:cubicBezTo>
                                      <a:cubicBezTo>
                                        <a:pt x="0" y="2"/>
                                        <a:pt x="0" y="2"/>
                                        <a:pt x="0" y="2"/>
                                      </a:cubicBezTo>
                                      <a:cubicBezTo>
                                        <a:pt x="0" y="1"/>
                                        <a:pt x="0" y="0"/>
                                        <a:pt x="1" y="0"/>
                                      </a:cubicBezTo>
                                      <a:cubicBezTo>
                                        <a:pt x="2" y="0"/>
                                        <a:pt x="2" y="1"/>
                                        <a:pt x="2" y="2"/>
                                      </a:cubicBezTo>
                                      <a:cubicBezTo>
                                        <a:pt x="2" y="11"/>
                                        <a:pt x="2" y="11"/>
                                        <a:pt x="2" y="11"/>
                                      </a:cubicBezTo>
                                      <a:cubicBezTo>
                                        <a:pt x="2" y="11"/>
                                        <a:pt x="2" y="12"/>
                                        <a:pt x="1" y="12"/>
                                      </a:cubicBezTo>
                                      <a:close/>
                                    </a:path>
                                  </a:pathLst>
                                </a:custGeom>
                                <a:solidFill>
                                  <a:srgbClr val="E48C32"/>
                                </a:solidFill>
                                <a:ln>
                                  <a:noFill/>
                                </a:ln>
                                <a:extLst/>
                              </wps:spPr>
                              <wps:bodyPr rot="0" vert="horz" wrap="square" lIns="88188" tIns="44095" rIns="88188" bIns="44095" anchor="t" anchorCtr="0" upright="1">
                                <a:noAutofit/>
                              </wps:bodyPr>
                            </wps:wsp>
                            <wps:wsp>
                              <wps:cNvPr id="14588" name="Freeform 252"/>
                              <wps:cNvSpPr>
                                <a:spLocks/>
                              </wps:cNvSpPr>
                              <wps:spPr bwMode="auto">
                                <a:xfrm>
                                  <a:off x="5030909" y="144271"/>
                                  <a:ext cx="4903" cy="17763"/>
                                </a:xfrm>
                                <a:custGeom>
                                  <a:avLst/>
                                  <a:gdLst>
                                    <a:gd name="T0" fmla="*/ 1 w 2"/>
                                    <a:gd name="T1" fmla="*/ 7 h 7"/>
                                    <a:gd name="T2" fmla="*/ 0 w 2"/>
                                    <a:gd name="T3" fmla="*/ 6 h 7"/>
                                    <a:gd name="T4" fmla="*/ 0 w 2"/>
                                    <a:gd name="T5" fmla="*/ 1 h 7"/>
                                    <a:gd name="T6" fmla="*/ 1 w 2"/>
                                    <a:gd name="T7" fmla="*/ 0 h 7"/>
                                    <a:gd name="T8" fmla="*/ 2 w 2"/>
                                    <a:gd name="T9" fmla="*/ 1 h 7"/>
                                    <a:gd name="T10" fmla="*/ 2 w 2"/>
                                    <a:gd name="T11" fmla="*/ 6 h 7"/>
                                    <a:gd name="T12" fmla="*/ 1 w 2"/>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2" h="7">
                                      <a:moveTo>
                                        <a:pt x="1" y="7"/>
                                      </a:moveTo>
                                      <a:cubicBezTo>
                                        <a:pt x="0" y="7"/>
                                        <a:pt x="0" y="6"/>
                                        <a:pt x="0" y="6"/>
                                      </a:cubicBezTo>
                                      <a:cubicBezTo>
                                        <a:pt x="0" y="1"/>
                                        <a:pt x="0" y="1"/>
                                        <a:pt x="0" y="1"/>
                                      </a:cubicBezTo>
                                      <a:cubicBezTo>
                                        <a:pt x="0" y="1"/>
                                        <a:pt x="0" y="0"/>
                                        <a:pt x="1" y="0"/>
                                      </a:cubicBezTo>
                                      <a:cubicBezTo>
                                        <a:pt x="1" y="0"/>
                                        <a:pt x="2" y="1"/>
                                        <a:pt x="2" y="1"/>
                                      </a:cubicBezTo>
                                      <a:cubicBezTo>
                                        <a:pt x="2" y="6"/>
                                        <a:pt x="2" y="6"/>
                                        <a:pt x="2" y="6"/>
                                      </a:cubicBezTo>
                                      <a:cubicBezTo>
                                        <a:pt x="2" y="6"/>
                                        <a:pt x="1" y="7"/>
                                        <a:pt x="1" y="7"/>
                                      </a:cubicBezTo>
                                      <a:close/>
                                    </a:path>
                                  </a:pathLst>
                                </a:custGeom>
                                <a:solidFill>
                                  <a:srgbClr val="E48C32"/>
                                </a:solidFill>
                                <a:ln>
                                  <a:noFill/>
                                </a:ln>
                                <a:extLst/>
                              </wps:spPr>
                              <wps:bodyPr rot="0" vert="horz" wrap="square" lIns="88188" tIns="44095" rIns="88188" bIns="44095" anchor="t" anchorCtr="0" upright="1">
                                <a:noAutofit/>
                              </wps:bodyPr>
                            </wps:wsp>
                            <wps:wsp>
                              <wps:cNvPr id="14589" name="Freeform 253"/>
                              <wps:cNvSpPr>
                                <a:spLocks/>
                              </wps:cNvSpPr>
                              <wps:spPr bwMode="auto">
                                <a:xfrm>
                                  <a:off x="5005183" y="144271"/>
                                  <a:ext cx="7962" cy="17763"/>
                                </a:xfrm>
                                <a:custGeom>
                                  <a:avLst/>
                                  <a:gdLst>
                                    <a:gd name="T0" fmla="*/ 2 w 3"/>
                                    <a:gd name="T1" fmla="*/ 7 h 7"/>
                                    <a:gd name="T2" fmla="*/ 0 w 3"/>
                                    <a:gd name="T3" fmla="*/ 6 h 7"/>
                                    <a:gd name="T4" fmla="*/ 0 w 3"/>
                                    <a:gd name="T5" fmla="*/ 1 h 7"/>
                                    <a:gd name="T6" fmla="*/ 2 w 3"/>
                                    <a:gd name="T7" fmla="*/ 0 h 7"/>
                                    <a:gd name="T8" fmla="*/ 3 w 3"/>
                                    <a:gd name="T9" fmla="*/ 1 h 7"/>
                                    <a:gd name="T10" fmla="*/ 3 w 3"/>
                                    <a:gd name="T11" fmla="*/ 6 h 7"/>
                                    <a:gd name="T12" fmla="*/ 2 w 3"/>
                                    <a:gd name="T13" fmla="*/ 7 h 7"/>
                                  </a:gdLst>
                                  <a:ahLst/>
                                  <a:cxnLst>
                                    <a:cxn ang="0">
                                      <a:pos x="T0" y="T1"/>
                                    </a:cxn>
                                    <a:cxn ang="0">
                                      <a:pos x="T2" y="T3"/>
                                    </a:cxn>
                                    <a:cxn ang="0">
                                      <a:pos x="T4" y="T5"/>
                                    </a:cxn>
                                    <a:cxn ang="0">
                                      <a:pos x="T6" y="T7"/>
                                    </a:cxn>
                                    <a:cxn ang="0">
                                      <a:pos x="T8" y="T9"/>
                                    </a:cxn>
                                    <a:cxn ang="0">
                                      <a:pos x="T10" y="T11"/>
                                    </a:cxn>
                                    <a:cxn ang="0">
                                      <a:pos x="T12" y="T13"/>
                                    </a:cxn>
                                  </a:cxnLst>
                                  <a:rect l="0" t="0" r="r" b="b"/>
                                  <a:pathLst>
                                    <a:path w="3" h="7">
                                      <a:moveTo>
                                        <a:pt x="2" y="7"/>
                                      </a:moveTo>
                                      <a:cubicBezTo>
                                        <a:pt x="1" y="7"/>
                                        <a:pt x="0" y="6"/>
                                        <a:pt x="0" y="6"/>
                                      </a:cubicBezTo>
                                      <a:cubicBezTo>
                                        <a:pt x="0" y="1"/>
                                        <a:pt x="0" y="1"/>
                                        <a:pt x="0" y="1"/>
                                      </a:cubicBezTo>
                                      <a:cubicBezTo>
                                        <a:pt x="0" y="1"/>
                                        <a:pt x="1" y="0"/>
                                        <a:pt x="2" y="0"/>
                                      </a:cubicBezTo>
                                      <a:cubicBezTo>
                                        <a:pt x="2" y="0"/>
                                        <a:pt x="3" y="1"/>
                                        <a:pt x="3" y="1"/>
                                      </a:cubicBezTo>
                                      <a:cubicBezTo>
                                        <a:pt x="3" y="6"/>
                                        <a:pt x="3" y="6"/>
                                        <a:pt x="3" y="6"/>
                                      </a:cubicBezTo>
                                      <a:cubicBezTo>
                                        <a:pt x="3" y="6"/>
                                        <a:pt x="2" y="7"/>
                                        <a:pt x="2" y="7"/>
                                      </a:cubicBezTo>
                                      <a:close/>
                                    </a:path>
                                  </a:pathLst>
                                </a:custGeom>
                                <a:solidFill>
                                  <a:srgbClr val="E48C32"/>
                                </a:solidFill>
                                <a:ln>
                                  <a:noFill/>
                                </a:ln>
                                <a:extLst/>
                              </wps:spPr>
                              <wps:bodyPr rot="0" vert="horz" wrap="square" lIns="88188" tIns="44095" rIns="88188" bIns="44095" anchor="t" anchorCtr="0" upright="1">
                                <a:noAutofit/>
                              </wps:bodyPr>
                            </wps:wsp>
                            <wps:wsp>
                              <wps:cNvPr id="14590" name="Freeform 254"/>
                              <wps:cNvSpPr>
                                <a:spLocks noEditPoints="1"/>
                              </wps:cNvSpPr>
                              <wps:spPr bwMode="auto">
                                <a:xfrm>
                                  <a:off x="4931058" y="197564"/>
                                  <a:ext cx="53907" cy="17763"/>
                                </a:xfrm>
                                <a:custGeom>
                                  <a:avLst/>
                                  <a:gdLst>
                                    <a:gd name="T0" fmla="*/ 20 w 21"/>
                                    <a:gd name="T1" fmla="*/ 7 h 7"/>
                                    <a:gd name="T2" fmla="*/ 4 w 21"/>
                                    <a:gd name="T3" fmla="*/ 7 h 7"/>
                                    <a:gd name="T4" fmla="*/ 3 w 21"/>
                                    <a:gd name="T5" fmla="*/ 6 h 7"/>
                                    <a:gd name="T6" fmla="*/ 1 w 21"/>
                                    <a:gd name="T7" fmla="*/ 1 h 7"/>
                                    <a:gd name="T8" fmla="*/ 1 w 21"/>
                                    <a:gd name="T9" fmla="*/ 0 h 7"/>
                                    <a:gd name="T10" fmla="*/ 2 w 21"/>
                                    <a:gd name="T11" fmla="*/ 0 h 7"/>
                                    <a:gd name="T12" fmla="*/ 20 w 21"/>
                                    <a:gd name="T13" fmla="*/ 0 h 7"/>
                                    <a:gd name="T14" fmla="*/ 21 w 21"/>
                                    <a:gd name="T15" fmla="*/ 1 h 7"/>
                                    <a:gd name="T16" fmla="*/ 21 w 21"/>
                                    <a:gd name="T17" fmla="*/ 6 h 7"/>
                                    <a:gd name="T18" fmla="*/ 20 w 21"/>
                                    <a:gd name="T19" fmla="*/ 7 h 7"/>
                                    <a:gd name="T20" fmla="*/ 5 w 21"/>
                                    <a:gd name="T21" fmla="*/ 4 h 7"/>
                                    <a:gd name="T22" fmla="*/ 19 w 21"/>
                                    <a:gd name="T23" fmla="*/ 4 h 7"/>
                                    <a:gd name="T24" fmla="*/ 19 w 21"/>
                                    <a:gd name="T25" fmla="*/ 2 h 7"/>
                                    <a:gd name="T26" fmla="*/ 4 w 21"/>
                                    <a:gd name="T27" fmla="*/ 2 h 7"/>
                                    <a:gd name="T28" fmla="*/ 5 w 21"/>
                                    <a:gd name="T2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7">
                                      <a:moveTo>
                                        <a:pt x="20" y="7"/>
                                      </a:moveTo>
                                      <a:cubicBezTo>
                                        <a:pt x="4" y="7"/>
                                        <a:pt x="4" y="7"/>
                                        <a:pt x="4" y="7"/>
                                      </a:cubicBezTo>
                                      <a:cubicBezTo>
                                        <a:pt x="4" y="7"/>
                                        <a:pt x="3" y="6"/>
                                        <a:pt x="3" y="6"/>
                                      </a:cubicBezTo>
                                      <a:cubicBezTo>
                                        <a:pt x="1" y="1"/>
                                        <a:pt x="1" y="1"/>
                                        <a:pt x="1" y="1"/>
                                      </a:cubicBezTo>
                                      <a:cubicBezTo>
                                        <a:pt x="0" y="1"/>
                                        <a:pt x="0" y="1"/>
                                        <a:pt x="1" y="0"/>
                                      </a:cubicBezTo>
                                      <a:cubicBezTo>
                                        <a:pt x="1" y="0"/>
                                        <a:pt x="1" y="0"/>
                                        <a:pt x="2" y="0"/>
                                      </a:cubicBezTo>
                                      <a:cubicBezTo>
                                        <a:pt x="20" y="0"/>
                                        <a:pt x="20" y="0"/>
                                        <a:pt x="20" y="0"/>
                                      </a:cubicBezTo>
                                      <a:cubicBezTo>
                                        <a:pt x="21" y="0"/>
                                        <a:pt x="21" y="0"/>
                                        <a:pt x="21" y="1"/>
                                      </a:cubicBezTo>
                                      <a:cubicBezTo>
                                        <a:pt x="21" y="6"/>
                                        <a:pt x="21" y="6"/>
                                        <a:pt x="21" y="6"/>
                                      </a:cubicBezTo>
                                      <a:cubicBezTo>
                                        <a:pt x="21" y="6"/>
                                        <a:pt x="21" y="7"/>
                                        <a:pt x="20" y="7"/>
                                      </a:cubicBezTo>
                                      <a:close/>
                                      <a:moveTo>
                                        <a:pt x="5" y="4"/>
                                      </a:moveTo>
                                      <a:cubicBezTo>
                                        <a:pt x="19" y="4"/>
                                        <a:pt x="19" y="4"/>
                                        <a:pt x="19" y="4"/>
                                      </a:cubicBezTo>
                                      <a:cubicBezTo>
                                        <a:pt x="19" y="2"/>
                                        <a:pt x="19" y="2"/>
                                        <a:pt x="19" y="2"/>
                                      </a:cubicBezTo>
                                      <a:cubicBezTo>
                                        <a:pt x="4" y="2"/>
                                        <a:pt x="4" y="2"/>
                                        <a:pt x="4" y="2"/>
                                      </a:cubicBezTo>
                                      <a:lnTo>
                                        <a:pt x="5" y="4"/>
                                      </a:lnTo>
                                      <a:close/>
                                    </a:path>
                                  </a:pathLst>
                                </a:custGeom>
                                <a:solidFill>
                                  <a:srgbClr val="E48C32"/>
                                </a:solidFill>
                                <a:ln>
                                  <a:noFill/>
                                </a:ln>
                                <a:extLst/>
                              </wps:spPr>
                              <wps:bodyPr rot="0" vert="horz" wrap="square" lIns="88188" tIns="44095" rIns="88188" bIns="44095" anchor="t" anchorCtr="0" upright="1">
                                <a:noAutofit/>
                              </wps:bodyPr>
                            </wps:wsp>
                            <wps:wsp>
                              <wps:cNvPr id="14591" name="Freeform 255"/>
                              <wps:cNvSpPr>
                                <a:spLocks noEditPoints="1"/>
                              </wps:cNvSpPr>
                              <wps:spPr bwMode="auto">
                                <a:xfrm>
                                  <a:off x="5056023" y="197564"/>
                                  <a:ext cx="53907" cy="17763"/>
                                </a:xfrm>
                                <a:custGeom>
                                  <a:avLst/>
                                  <a:gdLst>
                                    <a:gd name="T0" fmla="*/ 17 w 21"/>
                                    <a:gd name="T1" fmla="*/ 7 h 7"/>
                                    <a:gd name="T2" fmla="*/ 1 w 21"/>
                                    <a:gd name="T3" fmla="*/ 7 h 7"/>
                                    <a:gd name="T4" fmla="*/ 0 w 21"/>
                                    <a:gd name="T5" fmla="*/ 6 h 7"/>
                                    <a:gd name="T6" fmla="*/ 0 w 21"/>
                                    <a:gd name="T7" fmla="*/ 1 h 7"/>
                                    <a:gd name="T8" fmla="*/ 1 w 21"/>
                                    <a:gd name="T9" fmla="*/ 0 h 7"/>
                                    <a:gd name="T10" fmla="*/ 20 w 21"/>
                                    <a:gd name="T11" fmla="*/ 0 h 7"/>
                                    <a:gd name="T12" fmla="*/ 21 w 21"/>
                                    <a:gd name="T13" fmla="*/ 0 h 7"/>
                                    <a:gd name="T14" fmla="*/ 21 w 21"/>
                                    <a:gd name="T15" fmla="*/ 1 h 7"/>
                                    <a:gd name="T16" fmla="*/ 18 w 21"/>
                                    <a:gd name="T17" fmla="*/ 6 h 7"/>
                                    <a:gd name="T18" fmla="*/ 17 w 21"/>
                                    <a:gd name="T19" fmla="*/ 7 h 7"/>
                                    <a:gd name="T20" fmla="*/ 2 w 21"/>
                                    <a:gd name="T21" fmla="*/ 4 h 7"/>
                                    <a:gd name="T22" fmla="*/ 17 w 21"/>
                                    <a:gd name="T23" fmla="*/ 4 h 7"/>
                                    <a:gd name="T24" fmla="*/ 18 w 21"/>
                                    <a:gd name="T25" fmla="*/ 2 h 7"/>
                                    <a:gd name="T26" fmla="*/ 2 w 21"/>
                                    <a:gd name="T27" fmla="*/ 2 h 7"/>
                                    <a:gd name="T28" fmla="*/ 2 w 21"/>
                                    <a:gd name="T2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 h="7">
                                      <a:moveTo>
                                        <a:pt x="17" y="7"/>
                                      </a:moveTo>
                                      <a:cubicBezTo>
                                        <a:pt x="1" y="7"/>
                                        <a:pt x="1" y="7"/>
                                        <a:pt x="1" y="7"/>
                                      </a:cubicBezTo>
                                      <a:cubicBezTo>
                                        <a:pt x="0" y="7"/>
                                        <a:pt x="0" y="6"/>
                                        <a:pt x="0" y="6"/>
                                      </a:cubicBezTo>
                                      <a:cubicBezTo>
                                        <a:pt x="0" y="1"/>
                                        <a:pt x="0" y="1"/>
                                        <a:pt x="0" y="1"/>
                                      </a:cubicBezTo>
                                      <a:cubicBezTo>
                                        <a:pt x="0" y="0"/>
                                        <a:pt x="0" y="0"/>
                                        <a:pt x="1" y="0"/>
                                      </a:cubicBezTo>
                                      <a:cubicBezTo>
                                        <a:pt x="20" y="0"/>
                                        <a:pt x="20" y="0"/>
                                        <a:pt x="20" y="0"/>
                                      </a:cubicBezTo>
                                      <a:cubicBezTo>
                                        <a:pt x="20" y="0"/>
                                        <a:pt x="20" y="0"/>
                                        <a:pt x="21" y="0"/>
                                      </a:cubicBezTo>
                                      <a:cubicBezTo>
                                        <a:pt x="21" y="1"/>
                                        <a:pt x="21" y="1"/>
                                        <a:pt x="21" y="1"/>
                                      </a:cubicBezTo>
                                      <a:cubicBezTo>
                                        <a:pt x="18" y="6"/>
                                        <a:pt x="18" y="6"/>
                                        <a:pt x="18" y="6"/>
                                      </a:cubicBezTo>
                                      <a:cubicBezTo>
                                        <a:pt x="18" y="6"/>
                                        <a:pt x="18" y="7"/>
                                        <a:pt x="17" y="7"/>
                                      </a:cubicBezTo>
                                      <a:close/>
                                      <a:moveTo>
                                        <a:pt x="2" y="4"/>
                                      </a:moveTo>
                                      <a:cubicBezTo>
                                        <a:pt x="17" y="4"/>
                                        <a:pt x="17" y="4"/>
                                        <a:pt x="17" y="4"/>
                                      </a:cubicBezTo>
                                      <a:cubicBezTo>
                                        <a:pt x="18" y="2"/>
                                        <a:pt x="18" y="2"/>
                                        <a:pt x="18" y="2"/>
                                      </a:cubicBezTo>
                                      <a:cubicBezTo>
                                        <a:pt x="2" y="2"/>
                                        <a:pt x="2" y="2"/>
                                        <a:pt x="2" y="2"/>
                                      </a:cubicBezTo>
                                      <a:lnTo>
                                        <a:pt x="2" y="4"/>
                                      </a:lnTo>
                                      <a:close/>
                                    </a:path>
                                  </a:pathLst>
                                </a:custGeom>
                                <a:solidFill>
                                  <a:srgbClr val="E48C32"/>
                                </a:solidFill>
                                <a:ln>
                                  <a:noFill/>
                                </a:ln>
                                <a:extLst/>
                              </wps:spPr>
                              <wps:bodyPr rot="0" vert="horz" wrap="square" lIns="88188" tIns="44095" rIns="88188" bIns="44095" anchor="t" anchorCtr="0" upright="1">
                                <a:noAutofit/>
                              </wps:bodyPr>
                            </wps:wsp>
                            <wps:wsp>
                              <wps:cNvPr id="14592" name="Freeform 256"/>
                              <wps:cNvSpPr>
                                <a:spLocks noEditPoints="1"/>
                              </wps:cNvSpPr>
                              <wps:spPr bwMode="auto">
                                <a:xfrm>
                                  <a:off x="5000281" y="256369"/>
                                  <a:ext cx="40429" cy="41042"/>
                                </a:xfrm>
                                <a:custGeom>
                                  <a:avLst/>
                                  <a:gdLst>
                                    <a:gd name="T0" fmla="*/ 15 w 16"/>
                                    <a:gd name="T1" fmla="*/ 16 h 16"/>
                                    <a:gd name="T2" fmla="*/ 1 w 16"/>
                                    <a:gd name="T3" fmla="*/ 16 h 16"/>
                                    <a:gd name="T4" fmla="*/ 0 w 16"/>
                                    <a:gd name="T5" fmla="*/ 15 h 16"/>
                                    <a:gd name="T6" fmla="*/ 0 w 16"/>
                                    <a:gd name="T7" fmla="*/ 1 h 16"/>
                                    <a:gd name="T8" fmla="*/ 1 w 16"/>
                                    <a:gd name="T9" fmla="*/ 0 h 16"/>
                                    <a:gd name="T10" fmla="*/ 15 w 16"/>
                                    <a:gd name="T11" fmla="*/ 0 h 16"/>
                                    <a:gd name="T12" fmla="*/ 16 w 16"/>
                                    <a:gd name="T13" fmla="*/ 1 h 16"/>
                                    <a:gd name="T14" fmla="*/ 16 w 16"/>
                                    <a:gd name="T15" fmla="*/ 15 h 16"/>
                                    <a:gd name="T16" fmla="*/ 15 w 16"/>
                                    <a:gd name="T17" fmla="*/ 16 h 16"/>
                                    <a:gd name="T18" fmla="*/ 2 w 16"/>
                                    <a:gd name="T19" fmla="*/ 14 h 16"/>
                                    <a:gd name="T20" fmla="*/ 14 w 16"/>
                                    <a:gd name="T21" fmla="*/ 14 h 16"/>
                                    <a:gd name="T22" fmla="*/ 14 w 16"/>
                                    <a:gd name="T23" fmla="*/ 2 h 16"/>
                                    <a:gd name="T24" fmla="*/ 2 w 16"/>
                                    <a:gd name="T25" fmla="*/ 2 h 16"/>
                                    <a:gd name="T26" fmla="*/ 2 w 16"/>
                                    <a:gd name="T27" fmla="*/ 14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6">
                                      <a:moveTo>
                                        <a:pt x="15" y="16"/>
                                      </a:moveTo>
                                      <a:cubicBezTo>
                                        <a:pt x="1" y="16"/>
                                        <a:pt x="1" y="16"/>
                                        <a:pt x="1" y="16"/>
                                      </a:cubicBezTo>
                                      <a:cubicBezTo>
                                        <a:pt x="1" y="16"/>
                                        <a:pt x="0" y="16"/>
                                        <a:pt x="0" y="15"/>
                                      </a:cubicBezTo>
                                      <a:cubicBezTo>
                                        <a:pt x="0" y="1"/>
                                        <a:pt x="0" y="1"/>
                                        <a:pt x="0" y="1"/>
                                      </a:cubicBezTo>
                                      <a:cubicBezTo>
                                        <a:pt x="0" y="0"/>
                                        <a:pt x="1" y="0"/>
                                        <a:pt x="1" y="0"/>
                                      </a:cubicBezTo>
                                      <a:cubicBezTo>
                                        <a:pt x="15" y="0"/>
                                        <a:pt x="15" y="0"/>
                                        <a:pt x="15" y="0"/>
                                      </a:cubicBezTo>
                                      <a:cubicBezTo>
                                        <a:pt x="16" y="0"/>
                                        <a:pt x="16" y="0"/>
                                        <a:pt x="16" y="1"/>
                                      </a:cubicBezTo>
                                      <a:cubicBezTo>
                                        <a:pt x="16" y="15"/>
                                        <a:pt x="16" y="15"/>
                                        <a:pt x="16" y="15"/>
                                      </a:cubicBezTo>
                                      <a:cubicBezTo>
                                        <a:pt x="16" y="16"/>
                                        <a:pt x="16" y="16"/>
                                        <a:pt x="15" y="16"/>
                                      </a:cubicBezTo>
                                      <a:close/>
                                      <a:moveTo>
                                        <a:pt x="2" y="14"/>
                                      </a:moveTo>
                                      <a:cubicBezTo>
                                        <a:pt x="14" y="14"/>
                                        <a:pt x="14" y="14"/>
                                        <a:pt x="14" y="14"/>
                                      </a:cubicBezTo>
                                      <a:cubicBezTo>
                                        <a:pt x="14" y="2"/>
                                        <a:pt x="14" y="2"/>
                                        <a:pt x="14" y="2"/>
                                      </a:cubicBezTo>
                                      <a:cubicBezTo>
                                        <a:pt x="2" y="2"/>
                                        <a:pt x="2" y="2"/>
                                        <a:pt x="2" y="2"/>
                                      </a:cubicBezTo>
                                      <a:lnTo>
                                        <a:pt x="2" y="14"/>
                                      </a:lnTo>
                                      <a:close/>
                                    </a:path>
                                  </a:pathLst>
                                </a:custGeom>
                                <a:solidFill>
                                  <a:srgbClr val="E48C32"/>
                                </a:solidFill>
                                <a:ln>
                                  <a:noFill/>
                                </a:ln>
                                <a:extLst/>
                              </wps:spPr>
                              <wps:bodyPr rot="0" vert="horz" wrap="square" lIns="88188" tIns="44095" rIns="88188" bIns="44095" anchor="t" anchorCtr="0" upright="1">
                                <a:noAutofit/>
                              </wps:bodyPr>
                            </wps:wsp>
                            <wps:wsp>
                              <wps:cNvPr id="14593" name="Freeform 257"/>
                              <wps:cNvSpPr>
                                <a:spLocks noEditPoints="1"/>
                              </wps:cNvSpPr>
                              <wps:spPr bwMode="auto">
                                <a:xfrm>
                                  <a:off x="4994767" y="245955"/>
                                  <a:ext cx="53907" cy="15317"/>
                                </a:xfrm>
                                <a:custGeom>
                                  <a:avLst/>
                                  <a:gdLst>
                                    <a:gd name="T0" fmla="*/ 19 w 21"/>
                                    <a:gd name="T1" fmla="*/ 6 h 6"/>
                                    <a:gd name="T2" fmla="*/ 1 w 21"/>
                                    <a:gd name="T3" fmla="*/ 6 h 6"/>
                                    <a:gd name="T4" fmla="*/ 0 w 21"/>
                                    <a:gd name="T5" fmla="*/ 5 h 6"/>
                                    <a:gd name="T6" fmla="*/ 0 w 21"/>
                                    <a:gd name="T7" fmla="*/ 2 h 6"/>
                                    <a:gd name="T8" fmla="*/ 1 w 21"/>
                                    <a:gd name="T9" fmla="*/ 0 h 6"/>
                                    <a:gd name="T10" fmla="*/ 19 w 21"/>
                                    <a:gd name="T11" fmla="*/ 0 h 6"/>
                                    <a:gd name="T12" fmla="*/ 21 w 21"/>
                                    <a:gd name="T13" fmla="*/ 2 h 6"/>
                                    <a:gd name="T14" fmla="*/ 21 w 21"/>
                                    <a:gd name="T15" fmla="*/ 5 h 6"/>
                                    <a:gd name="T16" fmla="*/ 19 w 21"/>
                                    <a:gd name="T17" fmla="*/ 6 h 6"/>
                                    <a:gd name="T18" fmla="*/ 2 w 21"/>
                                    <a:gd name="T19" fmla="*/ 4 h 6"/>
                                    <a:gd name="T20" fmla="*/ 18 w 21"/>
                                    <a:gd name="T21" fmla="*/ 4 h 6"/>
                                    <a:gd name="T22" fmla="*/ 18 w 21"/>
                                    <a:gd name="T23" fmla="*/ 3 h 6"/>
                                    <a:gd name="T24" fmla="*/ 2 w 21"/>
                                    <a:gd name="T25" fmla="*/ 3 h 6"/>
                                    <a:gd name="T26" fmla="*/ 2 w 21"/>
                                    <a:gd name="T27" fmla="*/ 4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 h="6">
                                      <a:moveTo>
                                        <a:pt x="19" y="6"/>
                                      </a:moveTo>
                                      <a:cubicBezTo>
                                        <a:pt x="1" y="6"/>
                                        <a:pt x="1" y="6"/>
                                        <a:pt x="1" y="6"/>
                                      </a:cubicBezTo>
                                      <a:cubicBezTo>
                                        <a:pt x="0" y="6"/>
                                        <a:pt x="0" y="6"/>
                                        <a:pt x="0" y="5"/>
                                      </a:cubicBezTo>
                                      <a:cubicBezTo>
                                        <a:pt x="0" y="2"/>
                                        <a:pt x="0" y="2"/>
                                        <a:pt x="0" y="2"/>
                                      </a:cubicBezTo>
                                      <a:cubicBezTo>
                                        <a:pt x="0" y="1"/>
                                        <a:pt x="0" y="0"/>
                                        <a:pt x="1" y="0"/>
                                      </a:cubicBezTo>
                                      <a:cubicBezTo>
                                        <a:pt x="19" y="0"/>
                                        <a:pt x="19" y="0"/>
                                        <a:pt x="19" y="0"/>
                                      </a:cubicBezTo>
                                      <a:cubicBezTo>
                                        <a:pt x="20" y="0"/>
                                        <a:pt x="21" y="1"/>
                                        <a:pt x="21" y="2"/>
                                      </a:cubicBezTo>
                                      <a:cubicBezTo>
                                        <a:pt x="21" y="5"/>
                                        <a:pt x="21" y="5"/>
                                        <a:pt x="21" y="5"/>
                                      </a:cubicBezTo>
                                      <a:cubicBezTo>
                                        <a:pt x="21" y="6"/>
                                        <a:pt x="20" y="6"/>
                                        <a:pt x="19" y="6"/>
                                      </a:cubicBezTo>
                                      <a:close/>
                                      <a:moveTo>
                                        <a:pt x="2" y="4"/>
                                      </a:moveTo>
                                      <a:cubicBezTo>
                                        <a:pt x="18" y="4"/>
                                        <a:pt x="18" y="4"/>
                                        <a:pt x="18" y="4"/>
                                      </a:cubicBezTo>
                                      <a:cubicBezTo>
                                        <a:pt x="18" y="3"/>
                                        <a:pt x="18" y="3"/>
                                        <a:pt x="18" y="3"/>
                                      </a:cubicBezTo>
                                      <a:cubicBezTo>
                                        <a:pt x="2" y="3"/>
                                        <a:pt x="2" y="3"/>
                                        <a:pt x="2" y="3"/>
                                      </a:cubicBezTo>
                                      <a:lnTo>
                                        <a:pt x="2" y="4"/>
                                      </a:lnTo>
                                      <a:close/>
                                    </a:path>
                                  </a:pathLst>
                                </a:custGeom>
                                <a:solidFill>
                                  <a:srgbClr val="E48C32"/>
                                </a:solidFill>
                                <a:ln>
                                  <a:noFill/>
                                </a:ln>
                                <a:extLst/>
                              </wps:spPr>
                              <wps:bodyPr rot="0" vert="horz" wrap="square" lIns="88188" tIns="44095" rIns="88188" bIns="44095" anchor="t" anchorCtr="0" upright="1">
                                <a:noAutofit/>
                              </wps:bodyPr>
                            </wps:wsp>
                            <wps:wsp>
                              <wps:cNvPr id="14594" name="Freeform 258"/>
                              <wps:cNvSpPr>
                                <a:spLocks noEditPoints="1"/>
                              </wps:cNvSpPr>
                              <wps:spPr bwMode="auto">
                                <a:xfrm>
                                  <a:off x="5002730" y="236160"/>
                                  <a:ext cx="35531" cy="17763"/>
                                </a:xfrm>
                                <a:custGeom>
                                  <a:avLst/>
                                  <a:gdLst>
                                    <a:gd name="T0" fmla="*/ 13 w 14"/>
                                    <a:gd name="T1" fmla="*/ 7 h 7"/>
                                    <a:gd name="T2" fmla="*/ 1 w 14"/>
                                    <a:gd name="T3" fmla="*/ 7 h 7"/>
                                    <a:gd name="T4" fmla="*/ 0 w 14"/>
                                    <a:gd name="T5" fmla="*/ 6 h 7"/>
                                    <a:gd name="T6" fmla="*/ 7 w 14"/>
                                    <a:gd name="T7" fmla="*/ 0 h 7"/>
                                    <a:gd name="T8" fmla="*/ 14 w 14"/>
                                    <a:gd name="T9" fmla="*/ 6 h 7"/>
                                    <a:gd name="T10" fmla="*/ 13 w 14"/>
                                    <a:gd name="T11" fmla="*/ 7 h 7"/>
                                    <a:gd name="T12" fmla="*/ 3 w 14"/>
                                    <a:gd name="T13" fmla="*/ 4 h 7"/>
                                    <a:gd name="T14" fmla="*/ 11 w 14"/>
                                    <a:gd name="T15" fmla="*/ 4 h 7"/>
                                    <a:gd name="T16" fmla="*/ 7 w 14"/>
                                    <a:gd name="T17" fmla="*/ 2 h 7"/>
                                    <a:gd name="T18" fmla="*/ 3 w 14"/>
                                    <a:gd name="T19" fmla="*/ 4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7">
                                      <a:moveTo>
                                        <a:pt x="13" y="7"/>
                                      </a:moveTo>
                                      <a:cubicBezTo>
                                        <a:pt x="1" y="7"/>
                                        <a:pt x="1" y="7"/>
                                        <a:pt x="1" y="7"/>
                                      </a:cubicBezTo>
                                      <a:cubicBezTo>
                                        <a:pt x="1" y="7"/>
                                        <a:pt x="0" y="6"/>
                                        <a:pt x="0" y="6"/>
                                      </a:cubicBezTo>
                                      <a:cubicBezTo>
                                        <a:pt x="0" y="2"/>
                                        <a:pt x="3" y="0"/>
                                        <a:pt x="7" y="0"/>
                                      </a:cubicBezTo>
                                      <a:cubicBezTo>
                                        <a:pt x="11" y="0"/>
                                        <a:pt x="14" y="2"/>
                                        <a:pt x="14" y="6"/>
                                      </a:cubicBezTo>
                                      <a:cubicBezTo>
                                        <a:pt x="14" y="6"/>
                                        <a:pt x="14" y="7"/>
                                        <a:pt x="13" y="7"/>
                                      </a:cubicBezTo>
                                      <a:close/>
                                      <a:moveTo>
                                        <a:pt x="3" y="4"/>
                                      </a:moveTo>
                                      <a:cubicBezTo>
                                        <a:pt x="11" y="4"/>
                                        <a:pt x="11" y="4"/>
                                        <a:pt x="11" y="4"/>
                                      </a:cubicBezTo>
                                      <a:cubicBezTo>
                                        <a:pt x="11" y="3"/>
                                        <a:pt x="9" y="2"/>
                                        <a:pt x="7" y="2"/>
                                      </a:cubicBezTo>
                                      <a:cubicBezTo>
                                        <a:pt x="5" y="2"/>
                                        <a:pt x="3" y="3"/>
                                        <a:pt x="3" y="4"/>
                                      </a:cubicBezTo>
                                      <a:close/>
                                    </a:path>
                                  </a:pathLst>
                                </a:custGeom>
                                <a:solidFill>
                                  <a:srgbClr val="E48C32"/>
                                </a:solidFill>
                                <a:ln>
                                  <a:noFill/>
                                </a:ln>
                                <a:extLst/>
                              </wps:spPr>
                              <wps:bodyPr rot="0" vert="horz" wrap="square" lIns="88188" tIns="44095" rIns="88188" bIns="44095" anchor="t" anchorCtr="0" upright="1">
                                <a:noAutofit/>
                              </wps:bodyPr>
                            </wps:wsp>
                            <wps:wsp>
                              <wps:cNvPr id="14595" name="Freeform 259"/>
                              <wps:cNvSpPr>
                                <a:spLocks/>
                              </wps:cNvSpPr>
                              <wps:spPr bwMode="auto">
                                <a:xfrm>
                                  <a:off x="5018045" y="274137"/>
                                  <a:ext cx="12865" cy="5511"/>
                                </a:xfrm>
                                <a:custGeom>
                                  <a:avLst/>
                                  <a:gdLst>
                                    <a:gd name="T0" fmla="*/ 3 w 5"/>
                                    <a:gd name="T1" fmla="*/ 2 h 2"/>
                                    <a:gd name="T2" fmla="*/ 1 w 5"/>
                                    <a:gd name="T3" fmla="*/ 2 h 2"/>
                                    <a:gd name="T4" fmla="*/ 0 w 5"/>
                                    <a:gd name="T5" fmla="*/ 1 h 2"/>
                                    <a:gd name="T6" fmla="*/ 1 w 5"/>
                                    <a:gd name="T7" fmla="*/ 0 h 2"/>
                                    <a:gd name="T8" fmla="*/ 3 w 5"/>
                                    <a:gd name="T9" fmla="*/ 0 h 2"/>
                                    <a:gd name="T10" fmla="*/ 5 w 5"/>
                                    <a:gd name="T11" fmla="*/ 1 h 2"/>
                                    <a:gd name="T12" fmla="*/ 3 w 5"/>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5" h="2">
                                      <a:moveTo>
                                        <a:pt x="3" y="2"/>
                                      </a:moveTo>
                                      <a:cubicBezTo>
                                        <a:pt x="1" y="2"/>
                                        <a:pt x="1" y="2"/>
                                        <a:pt x="1" y="2"/>
                                      </a:cubicBezTo>
                                      <a:cubicBezTo>
                                        <a:pt x="0" y="2"/>
                                        <a:pt x="0" y="2"/>
                                        <a:pt x="0" y="1"/>
                                      </a:cubicBezTo>
                                      <a:cubicBezTo>
                                        <a:pt x="0" y="0"/>
                                        <a:pt x="0" y="0"/>
                                        <a:pt x="1" y="0"/>
                                      </a:cubicBezTo>
                                      <a:cubicBezTo>
                                        <a:pt x="3" y="0"/>
                                        <a:pt x="3" y="0"/>
                                        <a:pt x="3" y="0"/>
                                      </a:cubicBezTo>
                                      <a:cubicBezTo>
                                        <a:pt x="4" y="0"/>
                                        <a:pt x="5" y="0"/>
                                        <a:pt x="5" y="1"/>
                                      </a:cubicBezTo>
                                      <a:cubicBezTo>
                                        <a:pt x="5" y="2"/>
                                        <a:pt x="4" y="2"/>
                                        <a:pt x="3" y="2"/>
                                      </a:cubicBezTo>
                                      <a:close/>
                                    </a:path>
                                  </a:pathLst>
                                </a:custGeom>
                                <a:solidFill>
                                  <a:srgbClr val="E48C32"/>
                                </a:solidFill>
                                <a:ln>
                                  <a:noFill/>
                                </a:ln>
                                <a:extLst/>
                              </wps:spPr>
                              <wps:bodyPr rot="0" vert="horz" wrap="square" lIns="88188" tIns="44095" rIns="88188" bIns="44095" anchor="t" anchorCtr="0" upright="1">
                                <a:noAutofit/>
                              </wps:bodyPr>
                            </wps:wsp>
                            <wps:wsp>
                              <wps:cNvPr id="14596" name="Freeform 260"/>
                              <wps:cNvSpPr>
                                <a:spLocks noEditPoints="1"/>
                              </wps:cNvSpPr>
                              <wps:spPr bwMode="auto">
                                <a:xfrm>
                                  <a:off x="4948821" y="220843"/>
                                  <a:ext cx="25730" cy="63707"/>
                                </a:xfrm>
                                <a:custGeom>
                                  <a:avLst/>
                                  <a:gdLst>
                                    <a:gd name="T0" fmla="*/ 8 w 10"/>
                                    <a:gd name="T1" fmla="*/ 25 h 25"/>
                                    <a:gd name="T2" fmla="*/ 2 w 10"/>
                                    <a:gd name="T3" fmla="*/ 25 h 25"/>
                                    <a:gd name="T4" fmla="*/ 0 w 10"/>
                                    <a:gd name="T5" fmla="*/ 24 h 25"/>
                                    <a:gd name="T6" fmla="*/ 0 w 10"/>
                                    <a:gd name="T7" fmla="*/ 1 h 25"/>
                                    <a:gd name="T8" fmla="*/ 2 w 10"/>
                                    <a:gd name="T9" fmla="*/ 0 h 25"/>
                                    <a:gd name="T10" fmla="*/ 8 w 10"/>
                                    <a:gd name="T11" fmla="*/ 0 h 25"/>
                                    <a:gd name="T12" fmla="*/ 10 w 10"/>
                                    <a:gd name="T13" fmla="*/ 1 h 25"/>
                                    <a:gd name="T14" fmla="*/ 10 w 10"/>
                                    <a:gd name="T15" fmla="*/ 24 h 25"/>
                                    <a:gd name="T16" fmla="*/ 8 w 10"/>
                                    <a:gd name="T17" fmla="*/ 25 h 25"/>
                                    <a:gd name="T18" fmla="*/ 3 w 10"/>
                                    <a:gd name="T19" fmla="*/ 23 h 25"/>
                                    <a:gd name="T20" fmla="*/ 7 w 10"/>
                                    <a:gd name="T21" fmla="*/ 23 h 25"/>
                                    <a:gd name="T22" fmla="*/ 7 w 10"/>
                                    <a:gd name="T23" fmla="*/ 2 h 25"/>
                                    <a:gd name="T24" fmla="*/ 3 w 10"/>
                                    <a:gd name="T25" fmla="*/ 2 h 25"/>
                                    <a:gd name="T26" fmla="*/ 3 w 10"/>
                                    <a:gd name="T27"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5">
                                      <a:moveTo>
                                        <a:pt x="8" y="25"/>
                                      </a:moveTo>
                                      <a:cubicBezTo>
                                        <a:pt x="2" y="25"/>
                                        <a:pt x="2" y="25"/>
                                        <a:pt x="2" y="25"/>
                                      </a:cubicBezTo>
                                      <a:cubicBezTo>
                                        <a:pt x="1" y="25"/>
                                        <a:pt x="0" y="25"/>
                                        <a:pt x="0" y="24"/>
                                      </a:cubicBezTo>
                                      <a:cubicBezTo>
                                        <a:pt x="0" y="1"/>
                                        <a:pt x="0" y="1"/>
                                        <a:pt x="0" y="1"/>
                                      </a:cubicBezTo>
                                      <a:cubicBezTo>
                                        <a:pt x="0" y="1"/>
                                        <a:pt x="1" y="0"/>
                                        <a:pt x="2" y="0"/>
                                      </a:cubicBezTo>
                                      <a:cubicBezTo>
                                        <a:pt x="8" y="0"/>
                                        <a:pt x="8" y="0"/>
                                        <a:pt x="8" y="0"/>
                                      </a:cubicBezTo>
                                      <a:cubicBezTo>
                                        <a:pt x="9" y="0"/>
                                        <a:pt x="10" y="1"/>
                                        <a:pt x="10" y="1"/>
                                      </a:cubicBezTo>
                                      <a:cubicBezTo>
                                        <a:pt x="10" y="24"/>
                                        <a:pt x="10" y="24"/>
                                        <a:pt x="10" y="24"/>
                                      </a:cubicBezTo>
                                      <a:cubicBezTo>
                                        <a:pt x="10" y="25"/>
                                        <a:pt x="9" y="25"/>
                                        <a:pt x="8" y="25"/>
                                      </a:cubicBezTo>
                                      <a:close/>
                                      <a:moveTo>
                                        <a:pt x="3" y="23"/>
                                      </a:moveTo>
                                      <a:cubicBezTo>
                                        <a:pt x="7" y="23"/>
                                        <a:pt x="7" y="23"/>
                                        <a:pt x="7" y="23"/>
                                      </a:cubicBezTo>
                                      <a:cubicBezTo>
                                        <a:pt x="7" y="2"/>
                                        <a:pt x="7" y="2"/>
                                        <a:pt x="7" y="2"/>
                                      </a:cubicBezTo>
                                      <a:cubicBezTo>
                                        <a:pt x="3" y="2"/>
                                        <a:pt x="3" y="2"/>
                                        <a:pt x="3" y="2"/>
                                      </a:cubicBezTo>
                                      <a:lnTo>
                                        <a:pt x="3" y="23"/>
                                      </a:lnTo>
                                      <a:close/>
                                    </a:path>
                                  </a:pathLst>
                                </a:custGeom>
                                <a:solidFill>
                                  <a:srgbClr val="E48C32"/>
                                </a:solidFill>
                                <a:ln>
                                  <a:noFill/>
                                </a:ln>
                                <a:extLst/>
                              </wps:spPr>
                              <wps:bodyPr rot="0" vert="horz" wrap="square" lIns="88188" tIns="44095" rIns="88188" bIns="44095" anchor="t" anchorCtr="0" upright="1">
                                <a:noAutofit/>
                              </wps:bodyPr>
                            </wps:wsp>
                            <wps:wsp>
                              <wps:cNvPr id="14597" name="Freeform 261"/>
                              <wps:cNvSpPr>
                                <a:spLocks/>
                              </wps:cNvSpPr>
                              <wps:spPr bwMode="auto">
                                <a:xfrm>
                                  <a:off x="4948821" y="236154"/>
                                  <a:ext cx="25730" cy="4903"/>
                                </a:xfrm>
                                <a:custGeom>
                                  <a:avLst/>
                                  <a:gdLst>
                                    <a:gd name="T0" fmla="*/ 8 w 10"/>
                                    <a:gd name="T1" fmla="*/ 2 h 2"/>
                                    <a:gd name="T2" fmla="*/ 2 w 10"/>
                                    <a:gd name="T3" fmla="*/ 2 h 2"/>
                                    <a:gd name="T4" fmla="*/ 0 w 10"/>
                                    <a:gd name="T5" fmla="*/ 1 h 2"/>
                                    <a:gd name="T6" fmla="*/ 2 w 10"/>
                                    <a:gd name="T7" fmla="*/ 0 h 2"/>
                                    <a:gd name="T8" fmla="*/ 8 w 10"/>
                                    <a:gd name="T9" fmla="*/ 0 h 2"/>
                                    <a:gd name="T10" fmla="*/ 10 w 10"/>
                                    <a:gd name="T11" fmla="*/ 1 h 2"/>
                                    <a:gd name="T12" fmla="*/ 8 w 1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0" h="2">
                                      <a:moveTo>
                                        <a:pt x="8" y="2"/>
                                      </a:moveTo>
                                      <a:cubicBezTo>
                                        <a:pt x="2" y="2"/>
                                        <a:pt x="2" y="2"/>
                                        <a:pt x="2" y="2"/>
                                      </a:cubicBezTo>
                                      <a:cubicBezTo>
                                        <a:pt x="1" y="2"/>
                                        <a:pt x="0" y="2"/>
                                        <a:pt x="0" y="1"/>
                                      </a:cubicBezTo>
                                      <a:cubicBezTo>
                                        <a:pt x="0" y="0"/>
                                        <a:pt x="1" y="0"/>
                                        <a:pt x="2" y="0"/>
                                      </a:cubicBezTo>
                                      <a:cubicBezTo>
                                        <a:pt x="8" y="0"/>
                                        <a:pt x="8" y="0"/>
                                        <a:pt x="8" y="0"/>
                                      </a:cubicBezTo>
                                      <a:cubicBezTo>
                                        <a:pt x="9" y="0"/>
                                        <a:pt x="10" y="0"/>
                                        <a:pt x="10" y="1"/>
                                      </a:cubicBezTo>
                                      <a:cubicBezTo>
                                        <a:pt x="10" y="2"/>
                                        <a:pt x="9" y="2"/>
                                        <a:pt x="8" y="2"/>
                                      </a:cubicBezTo>
                                      <a:close/>
                                    </a:path>
                                  </a:pathLst>
                                </a:custGeom>
                                <a:solidFill>
                                  <a:srgbClr val="E48C32"/>
                                </a:solidFill>
                                <a:ln>
                                  <a:noFill/>
                                </a:ln>
                                <a:extLst/>
                              </wps:spPr>
                              <wps:bodyPr rot="0" vert="horz" wrap="square" lIns="88188" tIns="44095" rIns="88188" bIns="44095" anchor="t" anchorCtr="0" upright="1">
                                <a:noAutofit/>
                              </wps:bodyPr>
                            </wps:wsp>
                            <wps:wsp>
                              <wps:cNvPr id="14598" name="Freeform 262"/>
                              <wps:cNvSpPr>
                                <a:spLocks/>
                              </wps:cNvSpPr>
                              <wps:spPr bwMode="auto">
                                <a:xfrm>
                                  <a:off x="4948821" y="264333"/>
                                  <a:ext cx="25730" cy="7349"/>
                                </a:xfrm>
                                <a:custGeom>
                                  <a:avLst/>
                                  <a:gdLst>
                                    <a:gd name="T0" fmla="*/ 8 w 10"/>
                                    <a:gd name="T1" fmla="*/ 3 h 3"/>
                                    <a:gd name="T2" fmla="*/ 2 w 10"/>
                                    <a:gd name="T3" fmla="*/ 3 h 3"/>
                                    <a:gd name="T4" fmla="*/ 0 w 10"/>
                                    <a:gd name="T5" fmla="*/ 1 h 3"/>
                                    <a:gd name="T6" fmla="*/ 2 w 10"/>
                                    <a:gd name="T7" fmla="*/ 0 h 3"/>
                                    <a:gd name="T8" fmla="*/ 8 w 10"/>
                                    <a:gd name="T9" fmla="*/ 0 h 3"/>
                                    <a:gd name="T10" fmla="*/ 10 w 10"/>
                                    <a:gd name="T11" fmla="*/ 1 h 3"/>
                                    <a:gd name="T12" fmla="*/ 8 w 10"/>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10" h="3">
                                      <a:moveTo>
                                        <a:pt x="8" y="3"/>
                                      </a:moveTo>
                                      <a:cubicBezTo>
                                        <a:pt x="2" y="3"/>
                                        <a:pt x="2" y="3"/>
                                        <a:pt x="2" y="3"/>
                                      </a:cubicBezTo>
                                      <a:cubicBezTo>
                                        <a:pt x="1" y="3"/>
                                        <a:pt x="0" y="2"/>
                                        <a:pt x="0" y="1"/>
                                      </a:cubicBezTo>
                                      <a:cubicBezTo>
                                        <a:pt x="0" y="1"/>
                                        <a:pt x="1" y="0"/>
                                        <a:pt x="2" y="0"/>
                                      </a:cubicBezTo>
                                      <a:cubicBezTo>
                                        <a:pt x="8" y="0"/>
                                        <a:pt x="8" y="0"/>
                                        <a:pt x="8" y="0"/>
                                      </a:cubicBezTo>
                                      <a:cubicBezTo>
                                        <a:pt x="9" y="0"/>
                                        <a:pt x="10" y="1"/>
                                        <a:pt x="10" y="1"/>
                                      </a:cubicBezTo>
                                      <a:cubicBezTo>
                                        <a:pt x="10" y="2"/>
                                        <a:pt x="9" y="3"/>
                                        <a:pt x="8" y="3"/>
                                      </a:cubicBezTo>
                                      <a:close/>
                                    </a:path>
                                  </a:pathLst>
                                </a:custGeom>
                                <a:solidFill>
                                  <a:srgbClr val="E48C32"/>
                                </a:solidFill>
                                <a:ln>
                                  <a:noFill/>
                                </a:ln>
                                <a:extLst/>
                              </wps:spPr>
                              <wps:bodyPr rot="0" vert="horz" wrap="square" lIns="88188" tIns="44095" rIns="88188" bIns="44095" anchor="t" anchorCtr="0" upright="1">
                                <a:noAutofit/>
                              </wps:bodyPr>
                            </wps:wsp>
                            <wps:wsp>
                              <wps:cNvPr id="14599" name="Freeform 263"/>
                              <wps:cNvSpPr>
                                <a:spLocks/>
                              </wps:cNvSpPr>
                              <wps:spPr bwMode="auto">
                                <a:xfrm>
                                  <a:off x="4948821" y="251470"/>
                                  <a:ext cx="25730" cy="4903"/>
                                </a:xfrm>
                                <a:custGeom>
                                  <a:avLst/>
                                  <a:gdLst>
                                    <a:gd name="T0" fmla="*/ 8 w 10"/>
                                    <a:gd name="T1" fmla="*/ 2 h 2"/>
                                    <a:gd name="T2" fmla="*/ 2 w 10"/>
                                    <a:gd name="T3" fmla="*/ 2 h 2"/>
                                    <a:gd name="T4" fmla="*/ 0 w 10"/>
                                    <a:gd name="T5" fmla="*/ 1 h 2"/>
                                    <a:gd name="T6" fmla="*/ 2 w 10"/>
                                    <a:gd name="T7" fmla="*/ 0 h 2"/>
                                    <a:gd name="T8" fmla="*/ 8 w 10"/>
                                    <a:gd name="T9" fmla="*/ 0 h 2"/>
                                    <a:gd name="T10" fmla="*/ 10 w 10"/>
                                    <a:gd name="T11" fmla="*/ 1 h 2"/>
                                    <a:gd name="T12" fmla="*/ 8 w 1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10" h="2">
                                      <a:moveTo>
                                        <a:pt x="8" y="2"/>
                                      </a:moveTo>
                                      <a:cubicBezTo>
                                        <a:pt x="2" y="2"/>
                                        <a:pt x="2" y="2"/>
                                        <a:pt x="2" y="2"/>
                                      </a:cubicBezTo>
                                      <a:cubicBezTo>
                                        <a:pt x="1" y="2"/>
                                        <a:pt x="0" y="1"/>
                                        <a:pt x="0" y="1"/>
                                      </a:cubicBezTo>
                                      <a:cubicBezTo>
                                        <a:pt x="0" y="0"/>
                                        <a:pt x="1" y="0"/>
                                        <a:pt x="2" y="0"/>
                                      </a:cubicBezTo>
                                      <a:cubicBezTo>
                                        <a:pt x="8" y="0"/>
                                        <a:pt x="8" y="0"/>
                                        <a:pt x="8" y="0"/>
                                      </a:cubicBezTo>
                                      <a:cubicBezTo>
                                        <a:pt x="9" y="0"/>
                                        <a:pt x="10" y="0"/>
                                        <a:pt x="10" y="1"/>
                                      </a:cubicBezTo>
                                      <a:cubicBezTo>
                                        <a:pt x="10" y="1"/>
                                        <a:pt x="9" y="2"/>
                                        <a:pt x="8" y="2"/>
                                      </a:cubicBezTo>
                                      <a:close/>
                                    </a:path>
                                  </a:pathLst>
                                </a:custGeom>
                                <a:solidFill>
                                  <a:srgbClr val="E48C32"/>
                                </a:solidFill>
                                <a:ln>
                                  <a:noFill/>
                                </a:ln>
                                <a:extLst/>
                              </wps:spPr>
                              <wps:bodyPr rot="0" vert="horz" wrap="square" lIns="88188" tIns="44095" rIns="88188" bIns="44095" anchor="t" anchorCtr="0" upright="1">
                                <a:noAutofit/>
                              </wps:bodyPr>
                            </wps:wsp>
                            <wps:wsp>
                              <wps:cNvPr id="14600" name="Freeform 264"/>
                              <wps:cNvSpPr>
                                <a:spLocks noEditPoints="1"/>
                              </wps:cNvSpPr>
                              <wps:spPr bwMode="auto">
                                <a:xfrm>
                                  <a:off x="5068891" y="220843"/>
                                  <a:ext cx="23279" cy="63707"/>
                                </a:xfrm>
                                <a:custGeom>
                                  <a:avLst/>
                                  <a:gdLst>
                                    <a:gd name="T0" fmla="*/ 8 w 9"/>
                                    <a:gd name="T1" fmla="*/ 25 h 25"/>
                                    <a:gd name="T2" fmla="*/ 1 w 9"/>
                                    <a:gd name="T3" fmla="*/ 25 h 25"/>
                                    <a:gd name="T4" fmla="*/ 0 w 9"/>
                                    <a:gd name="T5" fmla="*/ 24 h 25"/>
                                    <a:gd name="T6" fmla="*/ 0 w 9"/>
                                    <a:gd name="T7" fmla="*/ 1 h 25"/>
                                    <a:gd name="T8" fmla="*/ 1 w 9"/>
                                    <a:gd name="T9" fmla="*/ 0 h 25"/>
                                    <a:gd name="T10" fmla="*/ 8 w 9"/>
                                    <a:gd name="T11" fmla="*/ 0 h 25"/>
                                    <a:gd name="T12" fmla="*/ 9 w 9"/>
                                    <a:gd name="T13" fmla="*/ 1 h 25"/>
                                    <a:gd name="T14" fmla="*/ 9 w 9"/>
                                    <a:gd name="T15" fmla="*/ 24 h 25"/>
                                    <a:gd name="T16" fmla="*/ 8 w 9"/>
                                    <a:gd name="T17" fmla="*/ 25 h 25"/>
                                    <a:gd name="T18" fmla="*/ 2 w 9"/>
                                    <a:gd name="T19" fmla="*/ 23 h 25"/>
                                    <a:gd name="T20" fmla="*/ 7 w 9"/>
                                    <a:gd name="T21" fmla="*/ 23 h 25"/>
                                    <a:gd name="T22" fmla="*/ 7 w 9"/>
                                    <a:gd name="T23" fmla="*/ 2 h 25"/>
                                    <a:gd name="T24" fmla="*/ 2 w 9"/>
                                    <a:gd name="T25" fmla="*/ 2 h 25"/>
                                    <a:gd name="T26" fmla="*/ 2 w 9"/>
                                    <a:gd name="T27" fmla="*/ 23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5">
                                      <a:moveTo>
                                        <a:pt x="8" y="25"/>
                                      </a:moveTo>
                                      <a:cubicBezTo>
                                        <a:pt x="1" y="25"/>
                                        <a:pt x="1" y="25"/>
                                        <a:pt x="1" y="25"/>
                                      </a:cubicBezTo>
                                      <a:cubicBezTo>
                                        <a:pt x="0" y="25"/>
                                        <a:pt x="0" y="25"/>
                                        <a:pt x="0" y="24"/>
                                      </a:cubicBezTo>
                                      <a:cubicBezTo>
                                        <a:pt x="0" y="1"/>
                                        <a:pt x="0" y="1"/>
                                        <a:pt x="0" y="1"/>
                                      </a:cubicBezTo>
                                      <a:cubicBezTo>
                                        <a:pt x="0" y="1"/>
                                        <a:pt x="0" y="0"/>
                                        <a:pt x="1" y="0"/>
                                      </a:cubicBezTo>
                                      <a:cubicBezTo>
                                        <a:pt x="8" y="0"/>
                                        <a:pt x="8" y="0"/>
                                        <a:pt x="8" y="0"/>
                                      </a:cubicBezTo>
                                      <a:cubicBezTo>
                                        <a:pt x="8" y="0"/>
                                        <a:pt x="9" y="1"/>
                                        <a:pt x="9" y="1"/>
                                      </a:cubicBezTo>
                                      <a:cubicBezTo>
                                        <a:pt x="9" y="24"/>
                                        <a:pt x="9" y="24"/>
                                        <a:pt x="9" y="24"/>
                                      </a:cubicBezTo>
                                      <a:cubicBezTo>
                                        <a:pt x="9" y="25"/>
                                        <a:pt x="8" y="25"/>
                                        <a:pt x="8" y="25"/>
                                      </a:cubicBezTo>
                                      <a:close/>
                                      <a:moveTo>
                                        <a:pt x="2" y="23"/>
                                      </a:moveTo>
                                      <a:cubicBezTo>
                                        <a:pt x="7" y="23"/>
                                        <a:pt x="7" y="23"/>
                                        <a:pt x="7" y="23"/>
                                      </a:cubicBezTo>
                                      <a:cubicBezTo>
                                        <a:pt x="7" y="2"/>
                                        <a:pt x="7" y="2"/>
                                        <a:pt x="7" y="2"/>
                                      </a:cubicBezTo>
                                      <a:cubicBezTo>
                                        <a:pt x="2" y="2"/>
                                        <a:pt x="2" y="2"/>
                                        <a:pt x="2" y="2"/>
                                      </a:cubicBezTo>
                                      <a:lnTo>
                                        <a:pt x="2" y="23"/>
                                      </a:lnTo>
                                      <a:close/>
                                    </a:path>
                                  </a:pathLst>
                                </a:custGeom>
                                <a:solidFill>
                                  <a:srgbClr val="E48C32"/>
                                </a:solidFill>
                                <a:ln>
                                  <a:noFill/>
                                </a:ln>
                                <a:extLst/>
                              </wps:spPr>
                              <wps:bodyPr rot="0" vert="horz" wrap="square" lIns="88188" tIns="44095" rIns="88188" bIns="44095" anchor="t" anchorCtr="0" upright="1">
                                <a:noAutofit/>
                              </wps:bodyPr>
                            </wps:wsp>
                            <wps:wsp>
                              <wps:cNvPr id="14601" name="Freeform 265"/>
                              <wps:cNvSpPr>
                                <a:spLocks/>
                              </wps:cNvSpPr>
                              <wps:spPr bwMode="auto">
                                <a:xfrm>
                                  <a:off x="5068891" y="236154"/>
                                  <a:ext cx="23279" cy="4903"/>
                                </a:xfrm>
                                <a:custGeom>
                                  <a:avLst/>
                                  <a:gdLst>
                                    <a:gd name="T0" fmla="*/ 8 w 9"/>
                                    <a:gd name="T1" fmla="*/ 2 h 2"/>
                                    <a:gd name="T2" fmla="*/ 1 w 9"/>
                                    <a:gd name="T3" fmla="*/ 2 h 2"/>
                                    <a:gd name="T4" fmla="*/ 0 w 9"/>
                                    <a:gd name="T5" fmla="*/ 1 h 2"/>
                                    <a:gd name="T6" fmla="*/ 1 w 9"/>
                                    <a:gd name="T7" fmla="*/ 0 h 2"/>
                                    <a:gd name="T8" fmla="*/ 8 w 9"/>
                                    <a:gd name="T9" fmla="*/ 0 h 2"/>
                                    <a:gd name="T10" fmla="*/ 9 w 9"/>
                                    <a:gd name="T11" fmla="*/ 1 h 2"/>
                                    <a:gd name="T12" fmla="*/ 8 w 9"/>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9" h="2">
                                      <a:moveTo>
                                        <a:pt x="8" y="2"/>
                                      </a:moveTo>
                                      <a:cubicBezTo>
                                        <a:pt x="1" y="2"/>
                                        <a:pt x="1" y="2"/>
                                        <a:pt x="1" y="2"/>
                                      </a:cubicBezTo>
                                      <a:cubicBezTo>
                                        <a:pt x="0" y="2"/>
                                        <a:pt x="0" y="2"/>
                                        <a:pt x="0" y="1"/>
                                      </a:cubicBezTo>
                                      <a:cubicBezTo>
                                        <a:pt x="0" y="0"/>
                                        <a:pt x="0" y="0"/>
                                        <a:pt x="1" y="0"/>
                                      </a:cubicBezTo>
                                      <a:cubicBezTo>
                                        <a:pt x="8" y="0"/>
                                        <a:pt x="8" y="0"/>
                                        <a:pt x="8" y="0"/>
                                      </a:cubicBezTo>
                                      <a:cubicBezTo>
                                        <a:pt x="8" y="0"/>
                                        <a:pt x="9" y="0"/>
                                        <a:pt x="9" y="1"/>
                                      </a:cubicBezTo>
                                      <a:cubicBezTo>
                                        <a:pt x="9" y="2"/>
                                        <a:pt x="8" y="2"/>
                                        <a:pt x="8" y="2"/>
                                      </a:cubicBezTo>
                                      <a:close/>
                                    </a:path>
                                  </a:pathLst>
                                </a:custGeom>
                                <a:solidFill>
                                  <a:srgbClr val="E48C32"/>
                                </a:solidFill>
                                <a:ln>
                                  <a:noFill/>
                                </a:ln>
                                <a:extLst/>
                              </wps:spPr>
                              <wps:bodyPr rot="0" vert="horz" wrap="square" lIns="88188" tIns="44095" rIns="88188" bIns="44095" anchor="t" anchorCtr="0" upright="1">
                                <a:noAutofit/>
                              </wps:bodyPr>
                            </wps:wsp>
                            <wps:wsp>
                              <wps:cNvPr id="14602" name="Freeform 266"/>
                              <wps:cNvSpPr>
                                <a:spLocks/>
                              </wps:cNvSpPr>
                              <wps:spPr bwMode="auto">
                                <a:xfrm>
                                  <a:off x="5068891" y="264333"/>
                                  <a:ext cx="23279" cy="7349"/>
                                </a:xfrm>
                                <a:custGeom>
                                  <a:avLst/>
                                  <a:gdLst>
                                    <a:gd name="T0" fmla="*/ 8 w 9"/>
                                    <a:gd name="T1" fmla="*/ 3 h 3"/>
                                    <a:gd name="T2" fmla="*/ 1 w 9"/>
                                    <a:gd name="T3" fmla="*/ 3 h 3"/>
                                    <a:gd name="T4" fmla="*/ 0 w 9"/>
                                    <a:gd name="T5" fmla="*/ 1 h 3"/>
                                    <a:gd name="T6" fmla="*/ 1 w 9"/>
                                    <a:gd name="T7" fmla="*/ 0 h 3"/>
                                    <a:gd name="T8" fmla="*/ 8 w 9"/>
                                    <a:gd name="T9" fmla="*/ 0 h 3"/>
                                    <a:gd name="T10" fmla="*/ 9 w 9"/>
                                    <a:gd name="T11" fmla="*/ 1 h 3"/>
                                    <a:gd name="T12" fmla="*/ 8 w 9"/>
                                    <a:gd name="T13" fmla="*/ 3 h 3"/>
                                  </a:gdLst>
                                  <a:ahLst/>
                                  <a:cxnLst>
                                    <a:cxn ang="0">
                                      <a:pos x="T0" y="T1"/>
                                    </a:cxn>
                                    <a:cxn ang="0">
                                      <a:pos x="T2" y="T3"/>
                                    </a:cxn>
                                    <a:cxn ang="0">
                                      <a:pos x="T4" y="T5"/>
                                    </a:cxn>
                                    <a:cxn ang="0">
                                      <a:pos x="T6" y="T7"/>
                                    </a:cxn>
                                    <a:cxn ang="0">
                                      <a:pos x="T8" y="T9"/>
                                    </a:cxn>
                                    <a:cxn ang="0">
                                      <a:pos x="T10" y="T11"/>
                                    </a:cxn>
                                    <a:cxn ang="0">
                                      <a:pos x="T12" y="T13"/>
                                    </a:cxn>
                                  </a:cxnLst>
                                  <a:rect l="0" t="0" r="r" b="b"/>
                                  <a:pathLst>
                                    <a:path w="9" h="3">
                                      <a:moveTo>
                                        <a:pt x="8" y="3"/>
                                      </a:moveTo>
                                      <a:cubicBezTo>
                                        <a:pt x="1" y="3"/>
                                        <a:pt x="1" y="3"/>
                                        <a:pt x="1" y="3"/>
                                      </a:cubicBezTo>
                                      <a:cubicBezTo>
                                        <a:pt x="0" y="3"/>
                                        <a:pt x="0" y="2"/>
                                        <a:pt x="0" y="1"/>
                                      </a:cubicBezTo>
                                      <a:cubicBezTo>
                                        <a:pt x="0" y="1"/>
                                        <a:pt x="0" y="0"/>
                                        <a:pt x="1" y="0"/>
                                      </a:cubicBezTo>
                                      <a:cubicBezTo>
                                        <a:pt x="8" y="0"/>
                                        <a:pt x="8" y="0"/>
                                        <a:pt x="8" y="0"/>
                                      </a:cubicBezTo>
                                      <a:cubicBezTo>
                                        <a:pt x="8" y="0"/>
                                        <a:pt x="9" y="1"/>
                                        <a:pt x="9" y="1"/>
                                      </a:cubicBezTo>
                                      <a:cubicBezTo>
                                        <a:pt x="9" y="2"/>
                                        <a:pt x="8" y="3"/>
                                        <a:pt x="8" y="3"/>
                                      </a:cubicBezTo>
                                      <a:close/>
                                    </a:path>
                                  </a:pathLst>
                                </a:custGeom>
                                <a:solidFill>
                                  <a:srgbClr val="E48C32"/>
                                </a:solidFill>
                                <a:ln>
                                  <a:noFill/>
                                </a:ln>
                                <a:extLst/>
                              </wps:spPr>
                              <wps:bodyPr rot="0" vert="horz" wrap="square" lIns="88188" tIns="44095" rIns="88188" bIns="44095" anchor="t" anchorCtr="0" upright="1">
                                <a:noAutofit/>
                              </wps:bodyPr>
                            </wps:wsp>
                            <wps:wsp>
                              <wps:cNvPr id="14603" name="Freeform 267"/>
                              <wps:cNvSpPr>
                                <a:spLocks/>
                              </wps:cNvSpPr>
                              <wps:spPr bwMode="auto">
                                <a:xfrm>
                                  <a:off x="5068891" y="251470"/>
                                  <a:ext cx="23279" cy="4903"/>
                                </a:xfrm>
                                <a:custGeom>
                                  <a:avLst/>
                                  <a:gdLst>
                                    <a:gd name="T0" fmla="*/ 8 w 9"/>
                                    <a:gd name="T1" fmla="*/ 2 h 2"/>
                                    <a:gd name="T2" fmla="*/ 1 w 9"/>
                                    <a:gd name="T3" fmla="*/ 2 h 2"/>
                                    <a:gd name="T4" fmla="*/ 0 w 9"/>
                                    <a:gd name="T5" fmla="*/ 1 h 2"/>
                                    <a:gd name="T6" fmla="*/ 1 w 9"/>
                                    <a:gd name="T7" fmla="*/ 0 h 2"/>
                                    <a:gd name="T8" fmla="*/ 8 w 9"/>
                                    <a:gd name="T9" fmla="*/ 0 h 2"/>
                                    <a:gd name="T10" fmla="*/ 9 w 9"/>
                                    <a:gd name="T11" fmla="*/ 1 h 2"/>
                                    <a:gd name="T12" fmla="*/ 8 w 9"/>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9" h="2">
                                      <a:moveTo>
                                        <a:pt x="8" y="2"/>
                                      </a:moveTo>
                                      <a:cubicBezTo>
                                        <a:pt x="1" y="2"/>
                                        <a:pt x="1" y="2"/>
                                        <a:pt x="1" y="2"/>
                                      </a:cubicBezTo>
                                      <a:cubicBezTo>
                                        <a:pt x="0" y="2"/>
                                        <a:pt x="0" y="1"/>
                                        <a:pt x="0" y="1"/>
                                      </a:cubicBezTo>
                                      <a:cubicBezTo>
                                        <a:pt x="0" y="0"/>
                                        <a:pt x="0" y="0"/>
                                        <a:pt x="1" y="0"/>
                                      </a:cubicBezTo>
                                      <a:cubicBezTo>
                                        <a:pt x="8" y="0"/>
                                        <a:pt x="8" y="0"/>
                                        <a:pt x="8" y="0"/>
                                      </a:cubicBezTo>
                                      <a:cubicBezTo>
                                        <a:pt x="8" y="0"/>
                                        <a:pt x="9" y="0"/>
                                        <a:pt x="9" y="1"/>
                                      </a:cubicBezTo>
                                      <a:cubicBezTo>
                                        <a:pt x="9" y="1"/>
                                        <a:pt x="8" y="2"/>
                                        <a:pt x="8" y="2"/>
                                      </a:cubicBezTo>
                                      <a:close/>
                                    </a:path>
                                  </a:pathLst>
                                </a:custGeom>
                                <a:solidFill>
                                  <a:srgbClr val="E48C32"/>
                                </a:solidFill>
                                <a:ln>
                                  <a:noFill/>
                                </a:ln>
                                <a:extLst/>
                              </wps:spPr>
                              <wps:bodyPr rot="0" vert="horz" wrap="square" lIns="88188" tIns="44095" rIns="88188" bIns="44095" anchor="t" anchorCtr="0" upright="1">
                                <a:noAutofit/>
                              </wps:bodyPr>
                            </wps:wsp>
                            <wps:wsp>
                              <wps:cNvPr id="14604" name="Freeform 268"/>
                              <wps:cNvSpPr>
                                <a:spLocks noEditPoints="1"/>
                              </wps:cNvSpPr>
                              <wps:spPr bwMode="auto">
                                <a:xfrm>
                                  <a:off x="2739876" y="212877"/>
                                  <a:ext cx="227266" cy="115163"/>
                                </a:xfrm>
                                <a:custGeom>
                                  <a:avLst/>
                                  <a:gdLst>
                                    <a:gd name="T0" fmla="*/ 74 w 89"/>
                                    <a:gd name="T1" fmla="*/ 45 h 45"/>
                                    <a:gd name="T2" fmla="*/ 89 w 89"/>
                                    <a:gd name="T3" fmla="*/ 30 h 45"/>
                                    <a:gd name="T4" fmla="*/ 89 w 89"/>
                                    <a:gd name="T5" fmla="*/ 28 h 45"/>
                                    <a:gd name="T6" fmla="*/ 87 w 89"/>
                                    <a:gd name="T7" fmla="*/ 27 h 45"/>
                                    <a:gd name="T8" fmla="*/ 68 w 89"/>
                                    <a:gd name="T9" fmla="*/ 27 h 45"/>
                                    <a:gd name="T10" fmla="*/ 55 w 89"/>
                                    <a:gd name="T11" fmla="*/ 12 h 45"/>
                                    <a:gd name="T12" fmla="*/ 54 w 89"/>
                                    <a:gd name="T13" fmla="*/ 12 h 45"/>
                                    <a:gd name="T14" fmla="*/ 39 w 89"/>
                                    <a:gd name="T15" fmla="*/ 12 h 45"/>
                                    <a:gd name="T16" fmla="*/ 38 w 89"/>
                                    <a:gd name="T17" fmla="*/ 12 h 45"/>
                                    <a:gd name="T18" fmla="*/ 33 w 89"/>
                                    <a:gd name="T19" fmla="*/ 1 h 45"/>
                                    <a:gd name="T20" fmla="*/ 31 w 89"/>
                                    <a:gd name="T21" fmla="*/ 0 h 45"/>
                                    <a:gd name="T22" fmla="*/ 24 w 89"/>
                                    <a:gd name="T23" fmla="*/ 0 h 45"/>
                                    <a:gd name="T24" fmla="*/ 22 w 89"/>
                                    <a:gd name="T25" fmla="*/ 1 h 45"/>
                                    <a:gd name="T26" fmla="*/ 22 w 89"/>
                                    <a:gd name="T27" fmla="*/ 12 h 45"/>
                                    <a:gd name="T28" fmla="*/ 16 w 89"/>
                                    <a:gd name="T29" fmla="*/ 12 h 45"/>
                                    <a:gd name="T30" fmla="*/ 14 w 89"/>
                                    <a:gd name="T31" fmla="*/ 12 h 45"/>
                                    <a:gd name="T32" fmla="*/ 6 w 89"/>
                                    <a:gd name="T33" fmla="*/ 27 h 45"/>
                                    <a:gd name="T34" fmla="*/ 1 w 89"/>
                                    <a:gd name="T35" fmla="*/ 27 h 45"/>
                                    <a:gd name="T36" fmla="*/ 0 w 89"/>
                                    <a:gd name="T37" fmla="*/ 29 h 45"/>
                                    <a:gd name="T38" fmla="*/ 2 w 89"/>
                                    <a:gd name="T39" fmla="*/ 40 h 45"/>
                                    <a:gd name="T40" fmla="*/ 4 w 89"/>
                                    <a:gd name="T41" fmla="*/ 43 h 45"/>
                                    <a:gd name="T42" fmla="*/ 7 w 89"/>
                                    <a:gd name="T43" fmla="*/ 43 h 45"/>
                                    <a:gd name="T44" fmla="*/ 3 w 89"/>
                                    <a:gd name="T45" fmla="*/ 30 h 45"/>
                                    <a:gd name="T46" fmla="*/ 84 w 89"/>
                                    <a:gd name="T47" fmla="*/ 30 h 45"/>
                                    <a:gd name="T48" fmla="*/ 71 w 89"/>
                                    <a:gd name="T49" fmla="*/ 44 h 45"/>
                                    <a:gd name="T50" fmla="*/ 74 w 89"/>
                                    <a:gd name="T51" fmla="*/ 45 h 45"/>
                                    <a:gd name="T52" fmla="*/ 30 w 89"/>
                                    <a:gd name="T53" fmla="*/ 3 h 45"/>
                                    <a:gd name="T54" fmla="*/ 31 w 89"/>
                                    <a:gd name="T55" fmla="*/ 4 h 45"/>
                                    <a:gd name="T56" fmla="*/ 25 w 89"/>
                                    <a:gd name="T57" fmla="*/ 4 h 45"/>
                                    <a:gd name="T58" fmla="*/ 25 w 89"/>
                                    <a:gd name="T59" fmla="*/ 3 h 45"/>
                                    <a:gd name="T60" fmla="*/ 30 w 89"/>
                                    <a:gd name="T61" fmla="*/ 3 h 45"/>
                                    <a:gd name="T62" fmla="*/ 25 w 89"/>
                                    <a:gd name="T63" fmla="*/ 7 h 45"/>
                                    <a:gd name="T64" fmla="*/ 33 w 89"/>
                                    <a:gd name="T65" fmla="*/ 7 h 45"/>
                                    <a:gd name="T66" fmla="*/ 35 w 89"/>
                                    <a:gd name="T67" fmla="*/ 12 h 45"/>
                                    <a:gd name="T68" fmla="*/ 25 w 89"/>
                                    <a:gd name="T69" fmla="*/ 12 h 45"/>
                                    <a:gd name="T70" fmla="*/ 25 w 89"/>
                                    <a:gd name="T71" fmla="*/ 7 h 45"/>
                                    <a:gd name="T72" fmla="*/ 17 w 89"/>
                                    <a:gd name="T73" fmla="*/ 15 h 45"/>
                                    <a:gd name="T74" fmla="*/ 53 w 89"/>
                                    <a:gd name="T75" fmla="*/ 15 h 45"/>
                                    <a:gd name="T76" fmla="*/ 58 w 89"/>
                                    <a:gd name="T77" fmla="*/ 20 h 45"/>
                                    <a:gd name="T78" fmla="*/ 13 w 89"/>
                                    <a:gd name="T79" fmla="*/ 20 h 45"/>
                                    <a:gd name="T80" fmla="*/ 17 w 89"/>
                                    <a:gd name="T81" fmla="*/ 15 h 45"/>
                                    <a:gd name="T82" fmla="*/ 12 w 89"/>
                                    <a:gd name="T83" fmla="*/ 24 h 45"/>
                                    <a:gd name="T84" fmla="*/ 61 w 89"/>
                                    <a:gd name="T85" fmla="*/ 24 h 45"/>
                                    <a:gd name="T86" fmla="*/ 64 w 89"/>
                                    <a:gd name="T87" fmla="*/ 27 h 45"/>
                                    <a:gd name="T88" fmla="*/ 9 w 89"/>
                                    <a:gd name="T89" fmla="*/ 27 h 45"/>
                                    <a:gd name="T90" fmla="*/ 12 w 89"/>
                                    <a:gd name="T91" fmla="*/ 24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9" h="45">
                                      <a:moveTo>
                                        <a:pt x="74" y="45"/>
                                      </a:moveTo>
                                      <a:cubicBezTo>
                                        <a:pt x="89" y="30"/>
                                        <a:pt x="89" y="30"/>
                                        <a:pt x="89" y="30"/>
                                      </a:cubicBezTo>
                                      <a:cubicBezTo>
                                        <a:pt x="89" y="29"/>
                                        <a:pt x="89" y="29"/>
                                        <a:pt x="89" y="28"/>
                                      </a:cubicBezTo>
                                      <a:cubicBezTo>
                                        <a:pt x="89" y="28"/>
                                        <a:pt x="88" y="27"/>
                                        <a:pt x="87" y="27"/>
                                      </a:cubicBezTo>
                                      <a:cubicBezTo>
                                        <a:pt x="68" y="27"/>
                                        <a:pt x="68" y="27"/>
                                        <a:pt x="68" y="27"/>
                                      </a:cubicBezTo>
                                      <a:cubicBezTo>
                                        <a:pt x="55" y="12"/>
                                        <a:pt x="55" y="12"/>
                                        <a:pt x="55" y="12"/>
                                      </a:cubicBezTo>
                                      <a:cubicBezTo>
                                        <a:pt x="55" y="12"/>
                                        <a:pt x="54" y="12"/>
                                        <a:pt x="54" y="12"/>
                                      </a:cubicBezTo>
                                      <a:cubicBezTo>
                                        <a:pt x="39" y="12"/>
                                        <a:pt x="39" y="12"/>
                                        <a:pt x="39" y="12"/>
                                      </a:cubicBezTo>
                                      <a:cubicBezTo>
                                        <a:pt x="39" y="12"/>
                                        <a:pt x="39" y="12"/>
                                        <a:pt x="38" y="12"/>
                                      </a:cubicBezTo>
                                      <a:cubicBezTo>
                                        <a:pt x="33" y="1"/>
                                        <a:pt x="33" y="1"/>
                                        <a:pt x="33" y="1"/>
                                      </a:cubicBezTo>
                                      <a:cubicBezTo>
                                        <a:pt x="32" y="0"/>
                                        <a:pt x="32" y="0"/>
                                        <a:pt x="31" y="0"/>
                                      </a:cubicBezTo>
                                      <a:cubicBezTo>
                                        <a:pt x="24" y="0"/>
                                        <a:pt x="24" y="0"/>
                                        <a:pt x="24" y="0"/>
                                      </a:cubicBezTo>
                                      <a:cubicBezTo>
                                        <a:pt x="23" y="0"/>
                                        <a:pt x="22" y="0"/>
                                        <a:pt x="22" y="1"/>
                                      </a:cubicBezTo>
                                      <a:cubicBezTo>
                                        <a:pt x="22" y="12"/>
                                        <a:pt x="22" y="12"/>
                                        <a:pt x="22" y="12"/>
                                      </a:cubicBezTo>
                                      <a:cubicBezTo>
                                        <a:pt x="16" y="12"/>
                                        <a:pt x="16" y="12"/>
                                        <a:pt x="16" y="12"/>
                                      </a:cubicBezTo>
                                      <a:cubicBezTo>
                                        <a:pt x="15" y="12"/>
                                        <a:pt x="15" y="12"/>
                                        <a:pt x="14" y="12"/>
                                      </a:cubicBezTo>
                                      <a:cubicBezTo>
                                        <a:pt x="6" y="27"/>
                                        <a:pt x="6" y="27"/>
                                        <a:pt x="6" y="27"/>
                                      </a:cubicBezTo>
                                      <a:cubicBezTo>
                                        <a:pt x="1" y="27"/>
                                        <a:pt x="1" y="27"/>
                                        <a:pt x="1" y="27"/>
                                      </a:cubicBezTo>
                                      <a:cubicBezTo>
                                        <a:pt x="0" y="27"/>
                                        <a:pt x="0" y="28"/>
                                        <a:pt x="0" y="29"/>
                                      </a:cubicBezTo>
                                      <a:cubicBezTo>
                                        <a:pt x="0" y="29"/>
                                        <a:pt x="0" y="35"/>
                                        <a:pt x="2" y="40"/>
                                      </a:cubicBezTo>
                                      <a:cubicBezTo>
                                        <a:pt x="4" y="43"/>
                                        <a:pt x="4" y="43"/>
                                        <a:pt x="4" y="43"/>
                                      </a:cubicBezTo>
                                      <a:cubicBezTo>
                                        <a:pt x="7" y="43"/>
                                        <a:pt x="7" y="43"/>
                                        <a:pt x="7" y="43"/>
                                      </a:cubicBezTo>
                                      <a:cubicBezTo>
                                        <a:pt x="4" y="39"/>
                                        <a:pt x="3" y="33"/>
                                        <a:pt x="3" y="30"/>
                                      </a:cubicBezTo>
                                      <a:cubicBezTo>
                                        <a:pt x="84" y="30"/>
                                        <a:pt x="84" y="30"/>
                                        <a:pt x="84" y="30"/>
                                      </a:cubicBezTo>
                                      <a:cubicBezTo>
                                        <a:pt x="71" y="44"/>
                                        <a:pt x="71" y="44"/>
                                        <a:pt x="71" y="44"/>
                                      </a:cubicBezTo>
                                      <a:lnTo>
                                        <a:pt x="74" y="45"/>
                                      </a:lnTo>
                                      <a:close/>
                                      <a:moveTo>
                                        <a:pt x="30" y="3"/>
                                      </a:moveTo>
                                      <a:cubicBezTo>
                                        <a:pt x="31" y="4"/>
                                        <a:pt x="31" y="4"/>
                                        <a:pt x="31" y="4"/>
                                      </a:cubicBezTo>
                                      <a:cubicBezTo>
                                        <a:pt x="25" y="4"/>
                                        <a:pt x="25" y="4"/>
                                        <a:pt x="25" y="4"/>
                                      </a:cubicBezTo>
                                      <a:cubicBezTo>
                                        <a:pt x="25" y="3"/>
                                        <a:pt x="25" y="3"/>
                                        <a:pt x="25" y="3"/>
                                      </a:cubicBezTo>
                                      <a:lnTo>
                                        <a:pt x="30" y="3"/>
                                      </a:lnTo>
                                      <a:close/>
                                      <a:moveTo>
                                        <a:pt x="25" y="7"/>
                                      </a:moveTo>
                                      <a:cubicBezTo>
                                        <a:pt x="33" y="7"/>
                                        <a:pt x="33" y="7"/>
                                        <a:pt x="33" y="7"/>
                                      </a:cubicBezTo>
                                      <a:cubicBezTo>
                                        <a:pt x="35" y="12"/>
                                        <a:pt x="35" y="12"/>
                                        <a:pt x="35" y="12"/>
                                      </a:cubicBezTo>
                                      <a:cubicBezTo>
                                        <a:pt x="25" y="12"/>
                                        <a:pt x="25" y="12"/>
                                        <a:pt x="25" y="12"/>
                                      </a:cubicBezTo>
                                      <a:cubicBezTo>
                                        <a:pt x="25" y="7"/>
                                        <a:pt x="25" y="7"/>
                                        <a:pt x="25" y="7"/>
                                      </a:cubicBezTo>
                                      <a:close/>
                                      <a:moveTo>
                                        <a:pt x="17" y="15"/>
                                      </a:moveTo>
                                      <a:cubicBezTo>
                                        <a:pt x="53" y="15"/>
                                        <a:pt x="53" y="15"/>
                                        <a:pt x="53" y="15"/>
                                      </a:cubicBezTo>
                                      <a:cubicBezTo>
                                        <a:pt x="58" y="20"/>
                                        <a:pt x="58" y="20"/>
                                        <a:pt x="58" y="20"/>
                                      </a:cubicBezTo>
                                      <a:cubicBezTo>
                                        <a:pt x="13" y="20"/>
                                        <a:pt x="13" y="20"/>
                                        <a:pt x="13" y="20"/>
                                      </a:cubicBezTo>
                                      <a:lnTo>
                                        <a:pt x="17" y="15"/>
                                      </a:lnTo>
                                      <a:close/>
                                      <a:moveTo>
                                        <a:pt x="12" y="24"/>
                                      </a:moveTo>
                                      <a:cubicBezTo>
                                        <a:pt x="61" y="24"/>
                                        <a:pt x="61" y="24"/>
                                        <a:pt x="61" y="24"/>
                                      </a:cubicBezTo>
                                      <a:cubicBezTo>
                                        <a:pt x="64" y="27"/>
                                        <a:pt x="64" y="27"/>
                                        <a:pt x="64" y="27"/>
                                      </a:cubicBezTo>
                                      <a:cubicBezTo>
                                        <a:pt x="9" y="27"/>
                                        <a:pt x="9" y="27"/>
                                        <a:pt x="9" y="27"/>
                                      </a:cubicBezTo>
                                      <a:lnTo>
                                        <a:pt x="12" y="24"/>
                                      </a:lnTo>
                                      <a:close/>
                                    </a:path>
                                  </a:pathLst>
                                </a:custGeom>
                                <a:solidFill>
                                  <a:srgbClr val="82D2E8"/>
                                </a:solidFill>
                                <a:ln>
                                  <a:noFill/>
                                </a:ln>
                                <a:extLst/>
                              </wps:spPr>
                              <wps:bodyPr rot="0" vert="horz" wrap="square" lIns="88188" tIns="44095" rIns="88188" bIns="44095" anchor="t" anchorCtr="0" upright="1">
                                <a:noAutofit/>
                              </wps:bodyPr>
                            </wps:wsp>
                            <wps:wsp>
                              <wps:cNvPr id="14605" name="Text Box 2"/>
                              <wps:cNvSpPr txBox="1">
                                <a:spLocks noChangeArrowheads="1"/>
                              </wps:cNvSpPr>
                              <wps:spPr bwMode="auto">
                                <a:xfrm>
                                  <a:off x="5" y="373678"/>
                                  <a:ext cx="754081" cy="422678"/>
                                </a:xfrm>
                                <a:prstGeom prst="rect">
                                  <a:avLst/>
                                </a:prstGeom>
                                <a:noFill/>
                                <a:ln w="9525">
                                  <a:noFill/>
                                  <a:miter lim="800000"/>
                                  <a:headEnd/>
                                  <a:tailEnd/>
                                </a:ln>
                              </wps:spPr>
                              <wps:txbx>
                                <w:txbxContent>
                                  <w:p w14:paraId="5333338A" w14:textId="77777777" w:rsidR="003C0461" w:rsidRPr="00071BB5" w:rsidRDefault="003C0461" w:rsidP="00353B28">
                                    <w:pPr>
                                      <w:pStyle w:val="NormalWeb"/>
                                      <w:spacing w:after="200"/>
                                      <w:jc w:val="center"/>
                                      <w:rPr>
                                        <w:color w:val="808080" w:themeColor="background1" w:themeShade="80"/>
                                        <w:sz w:val="14"/>
                                        <w:szCs w:val="14"/>
                                      </w:rPr>
                                    </w:pPr>
                                    <w:r w:rsidRPr="00A03CD8">
                                      <w:rPr>
                                        <w:rFonts w:eastAsia="Calibri"/>
                                        <w:b/>
                                        <w:bCs/>
                                        <w:color w:val="65BBC8"/>
                                        <w:sz w:val="16"/>
                                        <w:szCs w:val="16"/>
                                      </w:rPr>
                                      <w:t>Cubnezais</w:t>
                                    </w:r>
                                    <w:r w:rsidRPr="00D4351D">
                                      <w:rPr>
                                        <w:rFonts w:eastAsia="Calibri"/>
                                        <w:sz w:val="22"/>
                                        <w:szCs w:val="22"/>
                                      </w:rPr>
                                      <w:br/>
                                    </w:r>
                                    <w:r w:rsidRPr="00A64D07">
                                      <w:rPr>
                                        <w:rFonts w:eastAsia="Calibri"/>
                                        <w:color w:val="7F7F7F" w:themeColor="text1" w:themeTint="80"/>
                                        <w:sz w:val="14"/>
                                        <w:szCs w:val="14"/>
                                      </w:rPr>
                                      <w:t>CONVERTER STATION</w:t>
                                    </w:r>
                                  </w:p>
                                </w:txbxContent>
                              </wps:txbx>
                              <wps:bodyPr rot="0" vert="horz" wrap="square" lIns="88188" tIns="44095" rIns="88188" bIns="44095" anchor="t" anchorCtr="0">
                                <a:noAutofit/>
                              </wps:bodyPr>
                            </wps:wsp>
                            <wps:wsp>
                              <wps:cNvPr id="14606" name="Text Box 2"/>
                              <wps:cNvSpPr txBox="1">
                                <a:spLocks noChangeArrowheads="1"/>
                              </wps:cNvSpPr>
                              <wps:spPr bwMode="auto">
                                <a:xfrm>
                                  <a:off x="1168782" y="374283"/>
                                  <a:ext cx="976774" cy="529879"/>
                                </a:xfrm>
                                <a:prstGeom prst="rect">
                                  <a:avLst/>
                                </a:prstGeom>
                                <a:noFill/>
                                <a:ln w="9525">
                                  <a:noFill/>
                                  <a:miter lim="800000"/>
                                  <a:headEnd/>
                                  <a:tailEnd/>
                                </a:ln>
                              </wps:spPr>
                              <wps:txbx>
                                <w:txbxContent>
                                  <w:p w14:paraId="1EA5C839" w14:textId="77777777" w:rsidR="003C0461" w:rsidRPr="00A64D07" w:rsidRDefault="003C0461" w:rsidP="00353B28">
                                    <w:pPr>
                                      <w:pStyle w:val="NormalWeb"/>
                                      <w:spacing w:after="200"/>
                                      <w:jc w:val="center"/>
                                      <w:rPr>
                                        <w:color w:val="7F7F7F" w:themeColor="text1" w:themeTint="80"/>
                                        <w:sz w:val="14"/>
                                        <w:szCs w:val="14"/>
                                      </w:rPr>
                                    </w:pPr>
                                    <w:r w:rsidRPr="00A03CD8">
                                      <w:rPr>
                                        <w:rFonts w:eastAsia="Calibri"/>
                                        <w:b/>
                                        <w:bCs/>
                                        <w:color w:val="65BBC8"/>
                                        <w:sz w:val="16"/>
                                        <w:szCs w:val="16"/>
                                      </w:rPr>
                                      <w:t>80 km</w:t>
                                    </w:r>
                                    <w:r w:rsidRPr="00D4351D">
                                      <w:rPr>
                                        <w:rFonts w:eastAsia="Calibri"/>
                                        <w:sz w:val="22"/>
                                        <w:szCs w:val="22"/>
                                      </w:rPr>
                                      <w:br/>
                                    </w:r>
                                    <w:r w:rsidRPr="00A64D07">
                                      <w:rPr>
                                        <w:rFonts w:eastAsia="Calibri"/>
                                        <w:color w:val="7F7F7F" w:themeColor="text1" w:themeTint="80"/>
                                        <w:sz w:val="14"/>
                                        <w:szCs w:val="14"/>
                                      </w:rPr>
                                      <w:t>UNDERGROUND DIRECT CURRENT LINK</w:t>
                                    </w:r>
                                  </w:p>
                                </w:txbxContent>
                              </wps:txbx>
                              <wps:bodyPr rot="0" vert="horz" wrap="square" lIns="88188" tIns="44095" rIns="88188" bIns="44095" anchor="t" anchorCtr="0">
                                <a:noAutofit/>
                              </wps:bodyPr>
                            </wps:wsp>
                            <wps:wsp>
                              <wps:cNvPr id="14607" name="Text Box 2"/>
                              <wps:cNvSpPr txBox="1">
                                <a:spLocks noChangeArrowheads="1"/>
                              </wps:cNvSpPr>
                              <wps:spPr bwMode="auto">
                                <a:xfrm>
                                  <a:off x="2357432" y="374411"/>
                                  <a:ext cx="945743" cy="529361"/>
                                </a:xfrm>
                                <a:prstGeom prst="rect">
                                  <a:avLst/>
                                </a:prstGeom>
                                <a:noFill/>
                                <a:ln w="9525">
                                  <a:noFill/>
                                  <a:miter lim="800000"/>
                                  <a:headEnd/>
                                  <a:tailEnd/>
                                </a:ln>
                              </wps:spPr>
                              <wps:txbx>
                                <w:txbxContent>
                                  <w:p w14:paraId="4A497746" w14:textId="77777777" w:rsidR="003C0461" w:rsidRPr="00A64D07" w:rsidRDefault="003C0461" w:rsidP="00353B28">
                                    <w:pPr>
                                      <w:pStyle w:val="NormalWeb"/>
                                      <w:spacing w:after="200"/>
                                      <w:jc w:val="center"/>
                                      <w:rPr>
                                        <w:color w:val="7F7F7F" w:themeColor="text1" w:themeTint="80"/>
                                        <w:sz w:val="14"/>
                                        <w:szCs w:val="14"/>
                                      </w:rPr>
                                    </w:pPr>
                                    <w:r w:rsidRPr="00A03CD8">
                                      <w:rPr>
                                        <w:rFonts w:eastAsia="Calibri"/>
                                        <w:b/>
                                        <w:bCs/>
                                        <w:color w:val="82D2E8"/>
                                        <w:sz w:val="16"/>
                                        <w:szCs w:val="16"/>
                                      </w:rPr>
                                      <w:t>280 km</w:t>
                                    </w:r>
                                    <w:r w:rsidRPr="00D4351D">
                                      <w:rPr>
                                        <w:rFonts w:eastAsia="Calibri"/>
                                        <w:sz w:val="22"/>
                                        <w:szCs w:val="22"/>
                                      </w:rPr>
                                      <w:br/>
                                    </w:r>
                                    <w:r w:rsidRPr="00A64D07">
                                      <w:rPr>
                                        <w:rFonts w:eastAsia="Calibri"/>
                                        <w:color w:val="7F7F7F" w:themeColor="text1" w:themeTint="80"/>
                                        <w:sz w:val="14"/>
                                        <w:szCs w:val="14"/>
                                      </w:rPr>
                                      <w:t xml:space="preserve">SUBMARINE </w:t>
                                    </w:r>
                                    <w:r>
                                      <w:rPr>
                                        <w:rFonts w:eastAsia="Calibri"/>
                                        <w:color w:val="7F7F7F" w:themeColor="text1" w:themeTint="80"/>
                                        <w:sz w:val="14"/>
                                        <w:szCs w:val="14"/>
                                      </w:rPr>
                                      <w:br/>
                                    </w:r>
                                    <w:r w:rsidRPr="00A64D07">
                                      <w:rPr>
                                        <w:rFonts w:eastAsia="Calibri"/>
                                        <w:color w:val="7F7F7F" w:themeColor="text1" w:themeTint="80"/>
                                        <w:sz w:val="14"/>
                                        <w:szCs w:val="14"/>
                                      </w:rPr>
                                      <w:t>DIRECT CURRENT LINK</w:t>
                                    </w:r>
                                  </w:p>
                                </w:txbxContent>
                              </wps:txbx>
                              <wps:bodyPr rot="0" vert="horz" wrap="square" lIns="88188" tIns="44095" rIns="88188" bIns="44095" anchor="t" anchorCtr="0">
                                <a:noAutofit/>
                              </wps:bodyPr>
                            </wps:wsp>
                            <wps:wsp>
                              <wps:cNvPr id="14608" name="Text Box 2"/>
                              <wps:cNvSpPr txBox="1">
                                <a:spLocks noChangeArrowheads="1"/>
                              </wps:cNvSpPr>
                              <wps:spPr bwMode="auto">
                                <a:xfrm>
                                  <a:off x="3798315" y="373960"/>
                                  <a:ext cx="945743" cy="625393"/>
                                </a:xfrm>
                                <a:prstGeom prst="rect">
                                  <a:avLst/>
                                </a:prstGeom>
                                <a:noFill/>
                                <a:ln w="9525">
                                  <a:noFill/>
                                  <a:miter lim="800000"/>
                                  <a:headEnd/>
                                  <a:tailEnd/>
                                </a:ln>
                              </wps:spPr>
                              <wps:txbx>
                                <w:txbxContent>
                                  <w:p w14:paraId="445E2338" w14:textId="77777777" w:rsidR="003C0461" w:rsidRPr="00A64D07" w:rsidRDefault="003C0461" w:rsidP="00353B28">
                                    <w:pPr>
                                      <w:pStyle w:val="NormalWeb"/>
                                      <w:spacing w:after="200"/>
                                      <w:jc w:val="center"/>
                                      <w:rPr>
                                        <w:color w:val="7F7F7F" w:themeColor="text1" w:themeTint="80"/>
                                        <w:sz w:val="14"/>
                                        <w:szCs w:val="14"/>
                                      </w:rPr>
                                    </w:pPr>
                                    <w:r w:rsidRPr="00A03CD8">
                                      <w:rPr>
                                        <w:rFonts w:eastAsia="Calibri"/>
                                        <w:b/>
                                        <w:bCs/>
                                        <w:color w:val="E48C32"/>
                                        <w:sz w:val="16"/>
                                        <w:szCs w:val="16"/>
                                      </w:rPr>
                                      <w:t>10 km</w:t>
                                    </w:r>
                                    <w:r w:rsidRPr="00D4351D">
                                      <w:rPr>
                                        <w:rFonts w:eastAsia="Calibri"/>
                                        <w:sz w:val="22"/>
                                        <w:szCs w:val="22"/>
                                      </w:rPr>
                                      <w:br/>
                                    </w:r>
                                    <w:r w:rsidRPr="00A64D07">
                                      <w:rPr>
                                        <w:rFonts w:eastAsia="Calibri"/>
                                        <w:color w:val="7F7F7F" w:themeColor="text1" w:themeTint="80"/>
                                        <w:sz w:val="14"/>
                                        <w:szCs w:val="14"/>
                                      </w:rPr>
                                      <w:t>AERIAL/</w:t>
                                    </w:r>
                                    <w:r w:rsidRPr="00A64D07">
                                      <w:rPr>
                                        <w:rFonts w:eastAsia="Calibri"/>
                                        <w:color w:val="7F7F7F" w:themeColor="text1" w:themeTint="80"/>
                                        <w:sz w:val="14"/>
                                        <w:szCs w:val="14"/>
                                      </w:rPr>
                                      <w:br/>
                                      <w:t xml:space="preserve">UNDERGROUND DIRECT </w:t>
                                    </w:r>
                                    <w:r>
                                      <w:rPr>
                                        <w:rFonts w:eastAsia="Calibri"/>
                                        <w:color w:val="7F7F7F" w:themeColor="text1" w:themeTint="80"/>
                                        <w:sz w:val="14"/>
                                        <w:szCs w:val="14"/>
                                      </w:rPr>
                                      <w:br/>
                                    </w:r>
                                    <w:r w:rsidRPr="00A64D07">
                                      <w:rPr>
                                        <w:rFonts w:eastAsia="Calibri"/>
                                        <w:color w:val="7F7F7F" w:themeColor="text1" w:themeTint="80"/>
                                        <w:sz w:val="14"/>
                                        <w:szCs w:val="14"/>
                                      </w:rPr>
                                      <w:t>CURRENT LINK</w:t>
                                    </w:r>
                                  </w:p>
                                </w:txbxContent>
                              </wps:txbx>
                              <wps:bodyPr rot="0" vert="horz" wrap="square" lIns="88188" tIns="44095" rIns="88188" bIns="44095" anchor="t" anchorCtr="0">
                                <a:noAutofit/>
                              </wps:bodyPr>
                            </wps:wsp>
                            <wps:wsp>
                              <wps:cNvPr id="14609" name="Text Box 2"/>
                              <wps:cNvSpPr txBox="1">
                                <a:spLocks noChangeArrowheads="1"/>
                              </wps:cNvSpPr>
                              <wps:spPr bwMode="auto">
                                <a:xfrm>
                                  <a:off x="4637895" y="374895"/>
                                  <a:ext cx="764031" cy="423690"/>
                                </a:xfrm>
                                <a:prstGeom prst="rect">
                                  <a:avLst/>
                                </a:prstGeom>
                                <a:noFill/>
                                <a:ln w="9525">
                                  <a:noFill/>
                                  <a:miter lim="800000"/>
                                  <a:headEnd/>
                                  <a:tailEnd/>
                                </a:ln>
                              </wps:spPr>
                              <wps:txbx>
                                <w:txbxContent>
                                  <w:p w14:paraId="64555705" w14:textId="77777777" w:rsidR="003C0461" w:rsidRPr="00071BB5" w:rsidRDefault="003C0461" w:rsidP="00353B28">
                                    <w:pPr>
                                      <w:pStyle w:val="NormalWeb"/>
                                      <w:spacing w:after="200"/>
                                      <w:jc w:val="center"/>
                                      <w:rPr>
                                        <w:color w:val="7F7F7F" w:themeColor="text1" w:themeTint="80"/>
                                        <w:sz w:val="14"/>
                                        <w:szCs w:val="14"/>
                                      </w:rPr>
                                    </w:pPr>
                                    <w:r w:rsidRPr="00A03CD8">
                                      <w:rPr>
                                        <w:rFonts w:eastAsia="Calibri"/>
                                        <w:b/>
                                        <w:bCs/>
                                        <w:color w:val="E48C32"/>
                                        <w:sz w:val="16"/>
                                        <w:szCs w:val="16"/>
                                      </w:rPr>
                                      <w:t>Gatika</w:t>
                                    </w:r>
                                    <w:r w:rsidRPr="00D4351D">
                                      <w:rPr>
                                        <w:rFonts w:eastAsia="Calibri"/>
                                        <w:sz w:val="22"/>
                                        <w:szCs w:val="22"/>
                                      </w:rPr>
                                      <w:br/>
                                    </w:r>
                                    <w:r w:rsidRPr="00071BB5">
                                      <w:rPr>
                                        <w:rFonts w:eastAsia="Calibri"/>
                                        <w:color w:val="7F7F7F" w:themeColor="text1" w:themeTint="80"/>
                                        <w:sz w:val="14"/>
                                        <w:szCs w:val="14"/>
                                      </w:rPr>
                                      <w:t>CONVERTER STATION</w:t>
                                    </w:r>
                                  </w:p>
                                </w:txbxContent>
                              </wps:txbx>
                              <wps:bodyPr rot="0" vert="horz" wrap="square" lIns="88188" tIns="44095" rIns="88188" bIns="44095" anchor="t" anchorCtr="0">
                                <a:noAutofit/>
                              </wps:bodyPr>
                            </wps:wsp>
                          </wpc:wpc>
                        </a:graphicData>
                      </a:graphic>
                    </wp:inline>
                  </w:drawing>
                </mc:Choice>
                <mc:Fallback>
                  <w:pict>
                    <v:group w14:anchorId="1D972242" id="Canvas 14610" o:spid="_x0000_s1051" editas="canvas" style="width:428.05pt;height:78.6pt;mso-position-horizontal-relative:char;mso-position-vertical-relative:line" coordsize="54356,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">
                      <v:shape id="_x0000_s1052" type="#_x0000_t75" style="position:absolute;width:54356;height:9982;visibility:visible;mso-wrap-style:square">
                        <v:fill o:detectmouseclick="t"/>
                        <v:path o:connecttype="none"/>
                      </v:shape>
                      <v:rect id="Rectangle 200" o:spid="_x0000_s1053" style="position:absolute;left:2598;top:393;width:2718;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" filled="f" stroked="f">
                        <v:textbox inset="0,0,0,0">
                          <w:txbxContent>
                            <w:p w14:paraId="5332D2FE" w14:textId="77777777" w:rsidR="003C0461" w:rsidRPr="00A03CD8" w:rsidRDefault="003C0461" w:rsidP="00353B28">
                              <w:pPr>
                                <w:rPr>
                                  <w:color w:val="65BBC8"/>
                                </w:rPr>
                              </w:pPr>
                              <w:r w:rsidRPr="00A03CD8">
                                <w:rPr>
                                  <w:rFonts w:cs="EC Square Sans Pro"/>
                                  <w:b/>
                                  <w:bCs/>
                                  <w:color w:val="65BBC8"/>
                                  <w:sz w:val="12"/>
                                  <w:szCs w:val="12"/>
                                  <w:lang w:val="en-US"/>
                                </w:rPr>
                                <w:t>FRANCE</w:t>
                              </w:r>
                            </w:p>
                          </w:txbxContent>
                        </v:textbox>
                      </v:rect>
                      <v:rect id="Rectangle 201" o:spid="_x0000_s1054" style="position:absolute;left:49055;top:393;width:2089;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" filled="f" stroked="f">
                        <v:textbox inset="0,0,0,0">
                          <w:txbxContent>
                            <w:p w14:paraId="12C11CC0" w14:textId="77777777" w:rsidR="003C0461" w:rsidRPr="00A03CD8" w:rsidRDefault="003C0461" w:rsidP="00353B28">
                              <w:pPr>
                                <w:rPr>
                                  <w:color w:val="E48C32"/>
                                </w:rPr>
                              </w:pPr>
                              <w:r w:rsidRPr="00A03CD8">
                                <w:rPr>
                                  <w:rFonts w:cs="EC Square Sans Pro"/>
                                  <w:b/>
                                  <w:bCs/>
                                  <w:color w:val="E48C32"/>
                                  <w:sz w:val="12"/>
                                  <w:szCs w:val="12"/>
                                  <w:lang w:val="en-US"/>
                                </w:rPr>
                                <w:t>SPAIN</w:t>
                              </w:r>
                            </w:p>
                          </w:txbxContent>
                        </v:textbox>
                      </v:rect>
                      <v:line id="Line 210" o:spid="_x0000_s1055" style="position:absolute;visibility:visible;mso-wrap-style:square" from="2650,3660" to="16317,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" strokecolor="#65bbc8" strokeweight=".8pt">
                        <v:stroke joinstyle="miter"/>
                      </v:line>
                      <v:line id="Line 211" o:spid="_x0000_s1056" style="position:absolute;visibility:visible;mso-wrap-style:square" from="43001,3660" to="51356,3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" strokecolor="#e48c32" strokeweight=".8pt">
                        <v:stroke joinstyle="miter"/>
                      </v:line>
                      <v:oval id="Oval 212" o:spid="_x0000_s1057" style="position:absolute;left:3496;top:3384;width:557;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" strokecolor="#65bbc8" strokeweight=".8pt">
                        <v:stroke joinstyle="miter"/>
                        <v:textbox inset="2.44967mm,1.2249mm,2.44967mm,1.2249mm"/>
                      </v:oval>
                      <v:oval id="Oval 213" o:spid="_x0000_s1058" style="position:absolute;left:49923;top:3384;width:563;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" strokecolor="#e48c32" strokeweight=".8pt">
                        <v:stroke joinstyle="miter"/>
                        <v:textbox inset="2.44967mm,1.2249mm,2.44967mm,1.2249mm"/>
                      </v:oval>
                      <v:shape id="Freeform 214" o:spid="_x0000_s1059" style="position:absolute;left:16825;top:3715;width:25716;height:202;visibility:visible;mso-wrap-style:square;v-text-anchor:top" coordsize="1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" path="m990,2c986,1,981,,970,,960,,955,1,951,2v-3,1,-5,2,-9,2c938,4,937,3,933,2,929,1,924,,914,v,,,,,c914,,914,,913,v,,,,,c904,,898,1,895,2v-4,1,-6,2,-10,2c881,4,880,3,876,2,872,1,867,,857,,847,,841,1,837,2v-3,1,-5,2,-9,2c824,4,823,3,819,2,815,1,810,,800,v,,,,,c799,,799,,799,,789,,784,1,780,2v-4,1,-6,2,-10,2c766,4,765,3,761,2,757,1,752,,742,,732,,726,1,722,2v-3,1,-5,2,-8,2c710,4,709,3,705,2,702,1,696,,686,v,,,,-1,c685,,685,,685,v,,,,,c676,,670,1,667,2v-4,1,-5,2,-10,2c653,4,652,3,648,2,644,1,639,,629,,619,,614,1,610,2v-4,1,-6,2,-10,2c596,4,595,3,591,2,587,1,582,,572,v,,,,,c572,,571,,571,,561,,556,1,552,2v-4,1,-5,2,-9,2c538,4,537,3,533,2,529,1,524,,514,,504,,499,1,495,2v-4,1,-6,2,-9,2c482,4,480,3,476,2,473,1,467,,457,v,,,,,c457,,457,,457,v,,,,,c447,,442,1,438,2v-4,1,-5,2,-10,2c424,4,423,3,419,2,415,1,410,,400,,390,,385,1,381,2v-4,1,-6,2,-10,2c367,4,366,3,362,2,358,1,353,,343,v,,,,,c343,,342,,342,,332,,327,1,323,2v-4,1,-5,2,-9,2c310,4,308,3,304,2,300,1,295,,285,,275,,270,1,266,2v-4,1,-5,2,-9,2c254,4,252,3,249,2,245,1,239,,229,v,,,,,c228,,228,,228,v,,,,,c219,,214,1,210,2v-4,1,-5,2,-9,2c197,4,195,3,191,2,188,1,182,,172,,162,,157,1,153,2v-4,1,-5,2,-9,2c140,4,138,3,134,2,130,1,125,,115,v,,,,,c115,,115,,114,,104,,99,1,95,2,91,3,90,4,86,4,82,4,80,3,76,2,73,1,67,,57,,47,,42,1,38,2,34,3,33,4,29,4,25,4,23,3,19,2,15,1,10,,,,,4,,4,,4v4,,6,,9,1c13,6,18,8,29,8,39,8,44,6,48,5,51,4,53,4,57,4v4,,6,,9,1c70,6,76,8,86,8v10,,15,-2,19,-3c109,4,110,4,114,4v4,,6,,9,1c127,6,133,8,143,8v,,,,,c143,8,143,8,144,8v10,,15,-2,19,-3c166,4,168,4,172,4v4,,6,,9,1c185,6,191,8,201,8v10,,15,-2,19,-3c223,4,225,4,229,4v3,,5,,8,1c241,6,246,8,256,8v1,,1,,1,c257,8,258,8,258,8v,,,,,c267,8,272,6,276,5v3,-1,5,-1,9,-1c289,4,291,4,294,5v4,1,9,3,20,3c324,8,329,6,333,5v3,-1,5,-1,9,-1c346,4,348,4,351,5v4,1,10,3,20,3c371,8,371,8,371,8v,,,,,c381,8,387,6,391,5v3,-1,5,-1,9,-1c404,4,406,4,409,5v4,1,9,3,19,3c439,8,444,6,448,5v3,-1,5,-1,9,-1c461,4,463,4,466,5v4,1,9,3,19,3c485,8,486,8,486,8v,,,,,c486,8,486,8,486,8v10,,15,-2,19,-3c508,4,510,4,514,4v4,,6,,9,1c527,6,532,8,543,8v10,,15,-2,19,-3c565,4,567,4,571,4v4,,6,,9,1c584,6,590,8,600,8v,,,,,c600,8,600,8,600,8v10,,16,-2,20,-3c623,4,625,4,629,4v4,,6,,9,1c642,6,647,8,657,8v11,,16,-2,20,-3c680,4,682,4,685,4v4,,6,,9,1c698,6,703,8,713,8v1,,1,,1,c714,8,714,8,715,8v,,,,,c724,8,729,6,733,5v3,-1,5,-1,9,-1c746,4,748,4,751,5v4,1,9,3,19,3c780,8,786,6,790,5v3,-1,5,-1,9,-1c803,4,805,4,808,5v4,1,9,3,20,3c828,8,828,8,828,8v,,,,,c838,8,844,6,848,5v3,-1,5,-1,9,-1c861,4,863,4,866,5v4,1,9,3,19,3c895,8,901,6,905,5v3,-1,5,-1,9,-1c917,4,919,4,923,5v4,1,9,3,19,3c942,8,942,8,942,8v,,,,,c942,8,942,8,942,8v10,,15,-2,19,-3c965,4,966,4,970,4v4,,6,,10,1c984,6,989,8,999,8v3,,5,,8,c1007,3,1007,3,1007,3v-3,,-5,1,-8,1c995,4,993,3,990,2xe" fillcolor="#82d2e8" stroked="f">
                        <v:path arrowok="t" o:connecttype="custom" o:connectlocs="2428588,5054;2334100,0;2331546,0;2237059,5054;2114480,10107;2042976,0;1966364,10107;1843786,5054;1751852,0;1749298,0;1654811,5054;1532232,10107;1460728,0;1386670,10107;1264091,5054;1167050,0;1167050,0;1070009,5054;947430,10107;875926,0;801868,10107;679290,5054;584802,0;582248,0;487761,5054;367736,10107;293678,0;219620,10107;97041,5054;0,0;74058,20214;168546,12634;291124,10107;365182,20214;439240,10107;561818,12634;653752,20214;658860,20214;750794,12634;873372,10107;947430,20214;1021488,10107;1144067,12634;1238554,20214;1241108,20214;1335596,12634;1458174,10107;1532232,20214;1606290,10107;1728868,12634;1820802,20214;1825910,20214;1917844,12634;2040422,10107;2114480,20214;2188538,10107;2311117,12634;2405604,20214;2405604,20214;2502646,12634;2571596,7580" o:connectangles="0,0,0,0,0,0,0,0,0,0,0,0,0,0,0,0,0,0,0,0,0,0,0,0,0,0,0,0,0,0,0,0,0,0,0,0,0,0,0,0,0,0,0,0,0,0,0,0,0,0,0,0,0,0,0,0,0,0,0,0,0"/>
                      </v:shape>
                      <v:shape id="Freeform 215" o:spid="_x0000_s1060" style="position:absolute;left:16825;top:3433;width:25716;height:202;visibility:visible;mso-wrap-style:square;v-text-anchor:top" coordsize="1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" path="m999,4v-4,,-6,,-9,-1c986,2,981,,970,,960,,955,2,951,3v-3,1,-5,1,-9,1c938,4,937,4,933,3,929,2,924,,914,v,,,,,c914,,914,,913,v,,,,,c904,,898,2,895,3v-4,1,-6,1,-10,1c881,4,880,4,876,3,872,2,867,,857,,847,,841,2,837,3v-3,1,-5,1,-9,1c824,4,823,4,819,3,815,2,810,,800,v,,,,,c799,,799,,799,,789,,784,2,780,3v-4,1,-6,1,-10,1c766,4,765,4,761,3,757,2,752,,742,,732,,726,2,722,3v-3,1,-5,1,-8,1c710,4,709,4,705,3,702,2,696,,686,v,,,,-1,c685,,685,,685,v,,,,,c676,,670,2,667,3v-4,1,-5,1,-10,1c653,4,652,4,648,3,644,2,639,,629,,619,,614,2,610,3v-4,1,-6,1,-10,1c596,4,595,4,591,3,587,2,582,,572,v,,,,,c572,,571,,571,,561,,556,2,552,3v-4,1,-5,1,-9,1c538,4,537,4,533,3,529,2,524,,514,,504,,499,2,495,3v-4,1,-6,1,-9,1c482,4,480,4,476,3,473,2,467,,457,v,,,,,c457,,457,,457,v,,,,,c447,,442,2,438,3v-4,1,-5,1,-10,1c424,4,423,4,419,3,415,2,410,,400,,390,,385,2,381,3v-4,1,-6,1,-10,1c367,4,366,4,362,3,358,2,353,,343,v,,,,,c343,,342,,342,,332,,327,2,323,3v-4,1,-5,1,-9,1c310,4,308,4,304,3,300,2,295,,285,,275,,270,2,266,3v-4,1,-5,1,-9,1c254,4,252,4,249,3,245,2,239,,229,v,,,,,c228,,228,,228,v,,,,,c219,,214,2,210,3v-4,1,-5,1,-9,1c197,4,195,4,191,3,188,2,182,,172,,162,,157,2,153,3v-4,1,-5,1,-9,1c140,4,138,4,134,3,130,2,125,,115,v,,,,,c115,,115,,114,,104,,99,2,95,3,91,4,90,4,86,4,82,4,80,4,76,3,73,2,67,,57,,47,,42,2,38,3,34,4,33,4,29,4,25,4,23,4,19,3,15,2,10,,,,,4,,4,,4v4,,6,1,9,2c13,7,18,8,29,8,39,8,44,7,48,6,51,5,53,4,57,4v4,,6,1,9,2c70,7,76,8,86,8v10,,15,-1,19,-2c109,5,110,4,114,4v4,,6,1,9,2c127,7,133,8,143,8v,,,,,c143,8,143,8,144,8v10,,15,-1,19,-2c166,5,168,4,172,4v4,,6,1,9,2c185,7,191,8,201,8v10,,15,-1,19,-2c223,5,225,4,229,4v3,,5,1,8,2c241,7,246,8,256,8v1,,1,,1,c257,8,258,8,258,8v,,,,,c267,8,272,7,276,6v3,-1,5,-2,9,-2c289,4,291,5,294,6v4,1,9,2,20,2c324,8,329,7,333,6v3,-1,5,-2,9,-2c346,4,348,5,351,6v4,1,10,2,20,2c371,8,371,8,371,8v,,,,,c381,8,387,7,391,6v3,-1,5,-2,9,-2c404,4,406,5,409,6v4,1,9,2,19,2c439,8,444,7,448,6v3,-1,5,-2,9,-2c461,4,463,5,466,6v4,1,9,2,19,2c485,8,486,8,486,8v,,,,,c486,8,486,8,486,8v10,,15,-1,19,-2c508,5,510,4,514,4v4,,6,1,9,2c527,7,532,8,543,8v10,,15,-1,19,-2c565,5,567,4,571,4v4,,6,1,9,2c584,7,590,8,600,8v,,,,,c600,8,600,8,600,8v10,,16,-1,20,-2c623,5,625,4,629,4v4,,6,1,9,2c642,7,647,8,657,8v11,,16,-1,20,-2c680,5,682,4,685,4v4,,6,1,9,2c698,7,703,8,713,8v1,,1,,1,c714,8,714,8,715,8v,,,,,c724,8,729,7,733,6v3,-1,5,-2,9,-2c746,4,748,5,751,6v4,1,9,2,19,2c780,8,786,7,790,6v3,-1,5,-2,9,-2c803,4,805,5,808,6v4,1,9,2,20,2c828,8,828,8,828,8v,,,,,c838,8,844,7,848,6v3,-1,5,-2,9,-2c861,4,863,5,866,6v4,1,9,2,19,2c895,8,901,7,905,6v3,-1,5,-2,9,-2c917,4,919,5,923,6v4,1,9,2,19,2c942,8,942,8,942,8v,,,,,c942,8,942,8,942,8v10,,15,-1,19,-2c965,5,966,4,970,4v4,,6,1,10,2c984,7,989,8,999,8v3,,5,,8,c1007,3,1007,3,1007,3v-3,1,-5,1,-8,1xe" fillcolor="#82d2e8" stroked="f">
                        <v:path arrowok="t" o:connecttype="custom" o:connectlocs="2477108,0;2382621,7580;2331546,0;2260042,10107;2137464,7580;2042976,0;1991902,7580;1894860,0;1800373,7580;1749298,0;1677794,10107;1557769,7580;1460728,0;1409653,7580;1312612,0;1215571,7580;1167050,0;1092992,10107;972967,7580;875926,0;824852,7580;727810,0;635876,7580;582248,0;513298,10107;390719,7580;293678,0;242603,7580;145562,0;48521,7580;22983,15161;145562,10107;268141,15161;365182,20214;416256,15161;513298,20214;605232,15161;658860,20214;727810,10107;850389,15161;947430,20214;998505,15161;1092992,20214;1190034,15161;1241108,20214;1312612,10107;1435191,15161;1532232,20214;1583306,15161;1677794,20214;1772282,15161;1825910,20214;1894860,10107;2017439,15161;2114480,20214;2165555,15161;2260042,20214;2357084,15161;2405604,20214;2477108,10107;2571596,20214" o:connectangles="0,0,0,0,0,0,0,0,0,0,0,0,0,0,0,0,0,0,0,0,0,0,0,0,0,0,0,0,0,0,0,0,0,0,0,0,0,0,0,0,0,0,0,0,0,0,0,0,0,0,0,0,0,0,0,0,0,0,0,0,0"/>
                      </v:shape>
                      <v:oval id="Oval 216" o:spid="_x0000_s1061" style="position:absolute;left:16317;top:3384;width:582;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" strokecolor="#65bbc8" strokeweight=".8pt">
                        <v:stroke joinstyle="miter"/>
                        <v:textbox inset="2.44967mm,1.2249mm,2.44967mm,1.2249mm"/>
                      </v:oval>
                      <v:oval id="Oval 217" o:spid="_x0000_s1062" style="position:absolute;left:42443;top:3384;width:558;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" strokecolor="#e48c32" strokeweight=".8pt">
                        <v:stroke joinstyle="miter"/>
                        <v:textbox inset="2.44967mm,1.2249mm,2.44967mm,1.2249mm"/>
                      </v:oval>
                      <v:shape id="Freeform 218" o:spid="_x0000_s1063" style="position:absolute;left:3342;top:1571;width:944;height:177;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" path="m33,7c3,7,3,7,3,7,3,7,2,6,2,6,,1,,1,,1,,1,,1,,,,,,,1,,35,,35,,35,v1,,1,,1,c37,1,37,1,36,1,34,6,34,6,34,6v,,,1,-1,1xm4,4v28,,28,,28,c34,2,34,2,34,2,3,2,3,2,3,2l4,4xe" fillcolor="#65bbc8" stroked="f">
                        <v:path arrowok="t" o:connecttype="custom" o:connectlocs="84137,17763;7649,17763;5099,15225;0,2538;0,0;2550,0;89236,0;91785,0;91785,2538;86686,15225;84137,17763;10198,10150;81587,10150;86686,5075;7649,5075;10198,10150" o:connectangles="0,0,0,0,0,0,0,0,0,0,0,0,0,0,0,0"/>
                        <o:lock v:ext="edit" verticies="t"/>
                      </v:shape>
                      <v:shape id="Freeform 219" o:spid="_x0000_s1064" style="position:absolute;left:2932;top:2925;width:1764;height:177;visibility:visible;mso-wrap-style:square;v-text-anchor:top" coordsize="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" path="m68,7c1,7,1,7,1,7,,7,,6,,5,,1,,1,,1,,,,,1,,68,,68,,68,v,,1,,1,1c69,5,69,5,69,5v,1,-1,2,-1,2xm2,4v64,,64,,64,c66,2,66,2,66,2,2,2,2,2,2,2r,2xe" fillcolor="#65bbc8" stroked="f">
                        <v:path arrowok="t" o:connecttype="custom" o:connectlocs="173867,17763;2557,17763;0,12688;0,2538;2557,0;173867,0;176424,2538;176424,12688;173867,17763;5114,10150;168753,10150;168753,5075;5114,5075;5114,10150" o:connectangles="0,0,0,0,0,0,0,0,0,0,0,0,0,0"/>
                        <o:lock v:ext="edit" verticies="t"/>
                      </v:shape>
                      <v:shape id="Freeform 220" o:spid="_x0000_s1065" style="position:absolute;left:3391;top:1669;width:815;height:1305;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" path="m31,51c1,51,1,51,1,51v,,-1,,-1,-1c,1,,1,,1,,1,1,,1,,31,,31,,31,v1,,1,1,1,1c32,50,32,50,32,50v,1,,1,-1,1xm2,49v28,,28,,28,c30,3,30,3,30,3,2,3,2,3,2,3r,46xe" fillcolor="#65bbc8" stroked="f">
                        <v:path arrowok="t" o:connecttype="custom" o:connectlocs="78924,130479;2546,130479;0,127921;0,2558;2546,0;78924,0;81470,2558;81470,127921;78924,130479;5092,125362;76378,125362;76378,7675;5092,7675;5092,125362" o:connectangles="0,0,0,0,0,0,0,0,0,0,0,0,0,0"/>
                        <o:lock v:ext="edit" verticies="t"/>
                      </v:shape>
                      <v:shape id="Freeform 221" o:spid="_x0000_s1066" style="position:absolute;left:2981;top:2079;width:459;height:895;visibility:visible;mso-wrap-style:square;v-text-anchor:top" coordsize="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" path="m17,35c1,35,1,35,1,35,,35,,35,,34,,2,,2,,2,,1,,,1,,17,,17,,17,v1,,1,1,1,2c18,34,18,34,18,34v,1,,1,-1,1xm2,33v14,,14,,14,c16,3,16,3,16,3,2,3,2,3,2,3r,30xe" fillcolor="#65bbc8" stroked="f">
                        <v:path arrowok="t" o:connecttype="custom" o:connectlocs="43393,89438;2553,89438;0,86883;0,5111;2553,0;43393,0;45945,5111;45945,86883;43393,89438;5105,84327;40840,84327;40840,7666;5105,7666;5105,84327" o:connectangles="0,0,0,0,0,0,0,0,0,0,0,0,0,0"/>
                        <o:lock v:ext="edit" verticies="t"/>
                      </v:shape>
                      <v:shape id="Freeform 222" o:spid="_x0000_s1067" style="position:absolute;left:4157;top:2079;width:460;height:895;visibility:visible;mso-wrap-style:square;v-text-anchor:top" coordsize="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" path="m17,35c1,35,1,35,1,35v,,-1,,-1,-1c,2,,2,,2,,1,1,,1,,17,,17,,17,v1,,1,1,1,2c18,34,18,34,18,34v,1,,1,-1,1xm2,33v14,,14,,14,c16,3,16,3,16,3,2,3,2,3,2,3r,30xe" fillcolor="#65bbc8" stroked="f">
                        <v:path arrowok="t" o:connecttype="custom" o:connectlocs="43393,89438;2553,89438;0,86883;0,5111;2553,0;43393,0;45945,5111;45945,86883;43393,89438;5105,84327;40840,84327;40840,7666;5105,7666;5105,84327" o:connectangles="0,0,0,0,0,0,0,0,0,0,0,0,0,0"/>
                        <o:lock v:ext="edit" verticies="t"/>
                      </v:shape>
                      <v:shape id="Freeform 223" o:spid="_x0000_s1068" style="position:absolute;left:3569;top:1822;width:459;height:459;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" path="m9,18c4,18,,14,,9,,4,4,,9,v5,,9,4,9,9c18,14,14,18,9,18xm9,2c5,2,2,5,2,9v,4,3,7,7,7c13,16,16,13,16,9,16,5,13,2,9,2xe" fillcolor="#65bbc8" stroked="f">
                        <v:path arrowok="t" o:connecttype="custom" o:connectlocs="22973,45945;0,22973;22973,0;45945,22973;22973,45945;22973,5105;5105,22973;22973,40840;40840,22973;22973,5105" o:connectangles="0,0,0,0,0,0,0,0,0,0"/>
                        <o:lock v:ext="edit" verticies="t"/>
                      </v:shape>
                      <v:shape id="Freeform 224" o:spid="_x0000_s1069" style="position:absolute;left:3777;top:1951;width:49;height:128;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" path="m1,5c1,5,,5,,4,,1,,1,,1,,,1,,1,,2,,2,,2,1v,3,,3,,3c2,5,2,5,1,5xe" fillcolor="#65bbc8" stroked="f">
                        <v:path arrowok="t" o:connecttype="custom" o:connectlocs="2452,12865;0,10292;0,2573;2452,0;4903,2573;4903,10292;2452,12865" o:connectangles="0,0,0,0,0,0,0"/>
                      </v:shape>
                      <v:shape id="Freeform 225" o:spid="_x0000_s1070" style="position:absolute;left:3777;top:2030;width:123;height:49;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" path="m3,2c1,2,1,2,1,2,1,2,,2,,1,,1,1,,1,,3,,3,,3,,4,,5,1,5,1,5,2,4,2,3,2xe" fillcolor="#65bbc8" stroked="f">
                        <v:path arrowok="t" o:connecttype="custom" o:connectlocs="7351,4903;2450,4903;0,2452;2450,0;7351,0;12252,2452;7351,4903" o:connectangles="0,0,0,0,0,0,0"/>
                      </v:shape>
                      <v:shape id="Freeform 226" o:spid="_x0000_s1071" style="position:absolute;left:3777;top:1314;width:49;height:306;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" path="m1,12c1,12,,11,,11,,2,,2,,2,,1,1,,1,,2,,2,1,2,2v,9,,9,,9c2,11,2,12,1,12xe" fillcolor="#65bbc8" stroked="f">
                        <v:path arrowok="t" o:connecttype="custom" o:connectlocs="2452,30628;0,28076;0,5105;2452,0;4903,5105;4903,28076;2452,30628" o:connectangles="0,0,0,0,0,0,0"/>
                      </v:shape>
                      <v:shape id="Freeform 227" o:spid="_x0000_s1072" style="position:absolute;left:3900;top:1442;width:55;height:178;visibility:visible;mso-wrap-style:square;v-text-anchor:top"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" path="m1,7c,7,,6,,6,,1,,1,,1,,1,,,1,v,,1,1,1,1c2,6,2,6,2,6,2,6,1,7,1,7xe" fillcolor="#65bbc8" stroked="f">
                        <v:path arrowok="t" o:connecttype="custom" o:connectlocs="2756,17763;0,15225;0,2538;2756,0;5512,2538;5512,15225;2756,17763" o:connectangles="0,0,0,0,0,0,0"/>
                      </v:shape>
                      <v:shape id="Freeform 228" o:spid="_x0000_s1073" style="position:absolute;left:3649;top:1442;width:73;height:178;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" path="m2,7c1,7,,6,,6,,1,,1,,1,,1,1,,2,v,,1,1,1,1c3,6,3,6,3,6,3,6,2,7,2,7xe" fillcolor="#65bbc8" stroked="f">
                        <v:path arrowok="t" o:connecttype="custom" o:connectlocs="4899,17763;0,15225;0,2538;4899,0;7349,2538;7349,15225;4899,17763" o:connectangles="0,0,0,0,0,0,0"/>
                      </v:shape>
                      <v:shape id="Freeform 229" o:spid="_x0000_s1074" style="position:absolute;left:2907;top:1975;width:533;height:178;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" path="m20,7c4,7,4,7,4,7,4,7,3,6,3,6,1,1,1,1,1,1,,1,,1,1,v,,,,1,c20,,20,,20,v1,,1,,1,1c21,6,21,6,21,6v,,,1,-1,1xm5,4v14,,14,,14,c19,2,19,2,19,2,4,2,4,2,4,2l5,4xe" fillcolor="#65bbc8" stroked="f">
                        <v:path arrowok="t" o:connecttype="custom" o:connectlocs="50756,17763;10151,17763;7613,15225;2538,2538;2538,0;5076,0;50756,0;53294,2538;53294,15225;50756,17763;12689,10150;48218,10150;48218,5075;10151,5075;12689,10150" o:connectangles="0,0,0,0,0,0,0,0,0,0,0,0,0,0,0"/>
                        <o:lock v:ext="edit" verticies="t"/>
                      </v:shape>
                      <v:shape id="Freeform 230" o:spid="_x0000_s1075" style="position:absolute;left:4157;top:1975;width:539;height:178;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" path="m17,7c1,7,1,7,1,7,1,7,,6,,6,,1,,1,,1,,,1,,1,,20,,20,,20,v,,,,1,c21,1,21,1,21,1,18,6,18,6,18,6v,,,1,-1,1xm2,4v15,,15,,15,c18,2,18,2,18,2,2,2,2,2,2,2r,2xe" fillcolor="#65bbc8" stroked="f">
                        <v:path arrowok="t" o:connecttype="custom" o:connectlocs="43639,17763;2567,17763;0,15225;0,2538;2567,0;51340,0;53907,0;53907,2538;46206,15225;43639,17763;5134,10150;43639,10150;46206,5075;5134,5075;5134,10150" o:connectangles="0,0,0,0,0,0,0,0,0,0,0,0,0,0,0"/>
                        <o:lock v:ext="edit" verticies="t"/>
                      </v:shape>
                      <v:shape id="Freeform 231" o:spid="_x0000_s1076" style="position:absolute;left:3594;top:2563;width:410;height:411;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" path="m15,16c1,16,1,16,1,16v,,-1,,-1,-1c,1,,1,,1,,,1,,1,,15,,15,,15,v1,,1,,1,1c16,15,16,15,16,15v,1,,1,-1,1xm2,14v12,,12,,12,c14,2,14,2,14,2,2,2,2,2,2,2r,12xe" fillcolor="#65bbc8" stroked="f">
                        <v:path arrowok="t" o:connecttype="custom" o:connectlocs="38477,41042;2565,41042;0,38477;0,2565;2565,0;38477,0;41042,2565;41042,38477;38477,41042;5130,35912;35912,35912;35912,5130;5130,5130;5130,35912" o:connectangles="0,0,0,0,0,0,0,0,0,0,0,0,0,0"/>
                        <o:lock v:ext="edit" verticies="t"/>
                      </v:shape>
                      <v:shape id="Freeform 232" o:spid="_x0000_s1077" style="position:absolute;left:3545;top:2459;width:539;height:153;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" path="m19,6c1,6,1,6,1,6,,6,,6,,5,,2,,2,,2,,1,,,1,,19,,19,,19,v1,,2,1,2,2c21,5,21,5,21,5v,1,-1,1,-2,1xm2,4v16,,16,,16,c18,3,18,3,18,3,2,3,2,3,2,3r,1xe" fillcolor="#65bbc8" stroked="f">
                        <v:path arrowok="t" o:connecttype="custom" o:connectlocs="48773,15317;2567,15317;0,12764;0,5106;2567,0;48773,0;53907,5106;53907,12764;48773,15317;5134,10211;46206,10211;46206,7659;5134,7659;5134,10211" o:connectangles="0,0,0,0,0,0,0,0,0,0,0,0,0,0"/>
                        <o:lock v:ext="edit" verticies="t"/>
                      </v:shape>
                      <v:shape id="Freeform 233" o:spid="_x0000_s1078" style="position:absolute;left:3618;top:2361;width:361;height:178;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" path="m13,7c1,7,1,7,1,7,1,7,,6,,6,,2,3,,7,v4,,7,2,7,6c14,6,14,7,13,7xm3,4v8,,8,,8,c11,3,9,2,7,2,5,2,3,3,3,4xe" fillcolor="#65bbc8" stroked="f">
                        <v:path arrowok="t" o:connecttype="custom" o:connectlocs="33562,17763;2582,17763;0,15225;18072,0;36144,15225;33562,17763;7745,10150;28399,10150;18072,5075;7745,10150" o:connectangles="0,0,0,0,0,0,0,0,0,0"/>
                        <o:lock v:ext="edit" verticies="t"/>
                      </v:shape>
                      <v:shape id="Freeform 234" o:spid="_x0000_s1079" style="position:absolute;left:3777;top:2741;width:123;height:55;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" path="m3,2c1,2,1,2,1,2,1,2,,2,,1,,,1,,1,,3,,3,,3,,4,,5,,5,1,5,2,4,2,3,2xe" fillcolor="#65bbc8" stroked="f">
                        <v:path arrowok="t" o:connecttype="custom" o:connectlocs="7351,5511;2450,5511;0,2756;2450,0;7351,0;12252,2756;7351,5511" o:connectangles="0,0,0,0,0,0,0"/>
                      </v:shape>
                      <v:shape id="Freeform 235" o:spid="_x0000_s1080" style="position:absolute;left:3085;top:2208;width:257;height:637;visibility:visible;mso-wrap-style:square;v-text-anchor:top" coordsize="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" path="m9,25v-7,,-7,,-7,c1,25,,25,,24,,1,,1,,1,,1,1,,2,,9,,9,,9,v,,1,1,1,1c10,24,10,24,10,24v,1,-1,1,-1,1xm3,23v4,,4,,4,c7,2,7,2,7,2,3,2,3,2,3,2r,21xe" fillcolor="#65bbc8" stroked="f">
                        <v:path arrowok="t" o:connecttype="custom" o:connectlocs="23157,63707;5146,63707;0,61159;0,2548;5146,0;23157,0;25730,2548;25730,61159;23157,63707;7719,58610;18011,58610;18011,5097;7719,5097;7719,58610" o:connectangles="0,0,0,0,0,0,0,0,0,0,0,0,0,0"/>
                        <o:lock v:ext="edit" verticies="t"/>
                      </v:shape>
                      <v:shape id="Freeform 236" o:spid="_x0000_s1081" style="position:absolute;left:3085;top:2361;width:257;height:49;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" path="m9,2c2,2,2,2,2,2,1,2,,2,,1,,,1,,2,,9,,9,,9,v,,1,,1,1c10,2,9,2,9,2xe" fillcolor="#65bbc8" stroked="f">
                        <v:path arrowok="t" o:connecttype="custom" o:connectlocs="23157,4903;5146,4903;0,2452;5146,0;23157,0;25730,2452;23157,4903" o:connectangles="0,0,0,0,0,0,0"/>
                      </v:shape>
                      <v:shape id="Freeform 237" o:spid="_x0000_s1082" style="position:absolute;left:3085;top:2643;width:257;height:73;visibility:visible;mso-wrap-style:square;v-text-anchor:top"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" path="m9,3c2,3,2,3,2,3,1,3,,2,,1,,1,1,,2,,9,,9,,9,v,,1,1,1,1c10,2,9,3,9,3xe" fillcolor="#65bbc8" stroked="f">
                        <v:path arrowok="t" o:connecttype="custom" o:connectlocs="23157,7349;5146,7349;0,2450;5146,0;23157,0;25730,2450;23157,7349" o:connectangles="0,0,0,0,0,0,0"/>
                      </v:shape>
                      <v:shape id="Freeform 238" o:spid="_x0000_s1083" style="position:absolute;left:3085;top:2514;width:257;height:49;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" path="m9,2c2,2,2,2,2,2,1,2,,1,,1,,,1,,2,,9,,9,,9,v,,1,,1,1c10,1,9,2,9,2xe" fillcolor="#65bbc8" stroked="f">
                        <v:path arrowok="t" o:connecttype="custom" o:connectlocs="23157,4903;5146,4903;0,2452;5146,0;23157,0;25730,2452;23157,4903" o:connectangles="0,0,0,0,0,0,0"/>
                      </v:shape>
                      <v:shape id="Freeform 239" o:spid="_x0000_s1084" style="position:absolute;left:4286;top:2208;width:226;height:637;visibility:visible;mso-wrap-style:square;v-text-anchor:top" coordsize="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" path="m8,25v-7,,-7,,-7,c,25,,25,,24,,1,,1,,1,,1,,,1,,8,,8,,8,v,,1,1,1,1c9,24,9,24,9,24v,1,-1,1,-1,1xm2,23v5,,5,,5,c7,2,7,2,7,2,2,2,2,2,2,2r,21xe" fillcolor="#65bbc8" stroked="f">
                        <v:path arrowok="t" o:connecttype="custom" o:connectlocs="20148,63707;2518,63707;0,61159;0,2548;2518,0;20148,0;22666,2548;22666,61159;20148,63707;5037,58610;17629,58610;17629,5097;5037,5097;5037,58610" o:connectangles="0,0,0,0,0,0,0,0,0,0,0,0,0,0"/>
                        <o:lock v:ext="edit" verticies="t"/>
                      </v:shape>
                      <v:shape id="Freeform 240" o:spid="_x0000_s1085" style="position:absolute;left:4286;top:2361;width:226;height:49;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" path="m8,2c1,2,1,2,1,2,,2,,2,,1,,,,,1,,8,,8,,8,v,,1,,1,1c9,2,8,2,8,2xe" fillcolor="#65bbc8" stroked="f">
                        <v:path arrowok="t" o:connecttype="custom" o:connectlocs="20148,4903;2518,4903;0,2452;2518,0;20148,0;22666,2452;20148,4903" o:connectangles="0,0,0,0,0,0,0"/>
                      </v:shape>
                      <v:shape id="Freeform 241" o:spid="_x0000_s1086" style="position:absolute;left:4286;top:2643;width:226;height:7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" path="m8,3c1,3,1,3,1,3,,3,,2,,1,,1,,,1,,8,,8,,8,v,,1,1,1,1c9,2,8,3,8,3xe" fillcolor="#65bbc8" stroked="f">
                        <v:path arrowok="t" o:connecttype="custom" o:connectlocs="20148,7349;2518,7349;0,2450;2518,0;20148,0;22666,2450;20148,7349" o:connectangles="0,0,0,0,0,0,0"/>
                      </v:shape>
                      <v:shape id="Freeform 242" o:spid="_x0000_s1087" style="position:absolute;left:4286;top:2514;width:226;height:49;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" path="m8,2c1,2,1,2,1,2,,2,,1,,1,,,,,1,,8,,8,,8,v,,1,,1,1c9,1,8,2,8,2xe" fillcolor="#65bbc8" stroked="f">
                        <v:path arrowok="t" o:connecttype="custom" o:connectlocs="20148,4903;2518,4903;0,2452;2518,0;20148,0;22666,2452;20148,4903" o:connectangles="0,0,0,0,0,0,0"/>
                      </v:shape>
                      <v:shape id="Freeform 243" o:spid="_x0000_s1088" style="position:absolute;left:49745;top:1571;width:943;height:177;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" path="m33,7c3,7,3,7,3,7,3,7,2,6,2,6,,1,,1,,1,,1,,1,,,,,,,1,,35,,35,,35,v1,,1,,1,c37,1,37,1,36,1,34,6,34,6,34,6v,,,1,-1,1xm4,4v28,,28,,28,c34,2,34,2,34,2,3,2,3,2,3,2l4,4xe" fillcolor="#e48c32" stroked="f">
                        <v:path arrowok="t" o:connecttype="custom" o:connectlocs="84137,17763;7649,17763;5099,15225;0,2538;0,0;2550,0;89236,0;91785,0;91785,2538;86686,15225;84137,17763;10198,10150;81587,10150;86686,5075;7649,5075;10198,10150" o:connectangles="0,0,0,0,0,0,0,0,0,0,0,0,0,0,0,0"/>
                        <o:lock v:ext="edit" verticies="t"/>
                      </v:shape>
                      <v:shape id="Freeform 244" o:spid="_x0000_s1089" style="position:absolute;left:49310;top:2925;width:1789;height:177;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" path="m69,7c2,7,2,7,2,7,1,7,,6,,5,,1,,1,,1,,,1,,2,,69,,69,,69,v,,1,,1,1c70,5,70,5,70,5v,1,-1,2,-1,2xm3,4v64,,64,,64,c67,2,67,2,67,2,3,2,3,2,3,2r,2xe" fillcolor="#e48c32" stroked="f">
                        <v:path arrowok="t" o:connecttype="custom" o:connectlocs="176315,17763;5111,17763;0,12688;0,2538;5111,0;176315,0;178870,2538;178870,12688;176315,17763;7666,10150;171204,10150;171204,5075;7666,5075;7666,10150" o:connectangles="0,0,0,0,0,0,0,0,0,0,0,0,0,0"/>
                        <o:lock v:ext="edit" verticies="t"/>
                      </v:shape>
                      <v:shape id="Freeform 245" o:spid="_x0000_s1090" style="position:absolute;left:49794;top:1669;width:821;height:1305;visibility:visible;mso-wrap-style:square;v-text-anchor:top" coordsize="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" path="m31,51c1,51,1,51,1,51,,51,,51,,50,,1,,1,,1,,1,,,1,,31,,31,,31,v1,,1,1,1,1c32,50,32,50,32,50v,1,,1,-1,1xm2,49v28,,28,,28,c30,3,30,3,30,3,2,3,2,3,2,3r,46xe" fillcolor="#e48c32" stroked="f">
                        <v:path arrowok="t" o:connecttype="custom" o:connectlocs="79518,130479;2565,130479;0,127921;0,2558;2565,0;79518,0;82083,2558;82083,127921;79518,130479;5130,125362;76953,125362;76953,7675;5130,7675;5130,125362" o:connectangles="0,0,0,0,0,0,0,0,0,0,0,0,0,0"/>
                        <o:lock v:ext="edit" verticies="t"/>
                      </v:shape>
                      <v:shape id="Freeform 246" o:spid="_x0000_s1091" style="position:absolute;left:49390;top:2079;width:459;height:895;visibility:visible;mso-wrap-style:square;v-text-anchor:top" coordsize="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" path="m17,35c1,35,1,35,1,35,,35,,35,,34,,2,,2,,2,,1,,,1,,17,,17,,17,v1,,1,1,1,2c18,34,18,34,18,34v,1,,1,-1,1xm2,33v14,,14,,14,c16,3,16,3,16,3,2,3,2,3,2,3r,30xe" fillcolor="#e48c32" stroked="f">
                        <v:path arrowok="t" o:connecttype="custom" o:connectlocs="43393,89438;2553,89438;0,86883;0,5111;2553,0;43393,0;45945,5111;45945,86883;43393,89438;5105,84327;40840,84327;40840,7666;5105,7666;5105,84327" o:connectangles="0,0,0,0,0,0,0,0,0,0,0,0,0,0"/>
                        <o:lock v:ext="edit" verticies="t"/>
                      </v:shape>
                      <v:shape id="Freeform 247" o:spid="_x0000_s1092" style="position:absolute;left:50560;top:2079;width:465;height:895;visibility:visible;mso-wrap-style:square;v-text-anchor:top" coordsize="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" path="m17,35c1,35,1,35,1,35,,35,,35,,34,,2,,2,,2,,1,,,1,,17,,17,,17,v1,,1,1,1,2c18,34,18,34,18,34v,1,,1,-1,1xm2,33v14,,14,,14,c16,3,16,3,16,3,2,3,2,3,2,3r,30xe" fillcolor="#e48c32" stroked="f">
                        <v:path arrowok="t" o:connecttype="custom" o:connectlocs="43971,89438;2587,89438;0,86883;0,5111;2587,0;43971,0;46557,5111;46557,86883;43971,89438;5173,84327;41384,84327;41384,7666;5173,7666;5173,84327" o:connectangles="0,0,0,0,0,0,0,0,0,0,0,0,0,0"/>
                        <o:lock v:ext="edit" verticies="t"/>
                      </v:shape>
                      <v:shape id="Freeform 248" o:spid="_x0000_s1093" style="position:absolute;left:49978;top:1822;width:459;height:459;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" path="m9,18c4,18,,14,,9,,4,4,,9,v5,,9,4,9,9c18,14,14,18,9,18xm9,2c5,2,2,5,2,9v,4,3,7,7,7c13,16,16,13,16,9,16,5,13,2,9,2xe" fillcolor="#e48c32" stroked="f">
                        <v:path arrowok="t" o:connecttype="custom" o:connectlocs="22973,45945;0,22973;22973,0;45945,22973;22973,45945;22973,5105;5105,22973;22973,40840;40840,22973;22973,5105" o:connectangles="0,0,0,0,0,0,0,0,0,0"/>
                        <o:lock v:ext="edit" verticies="t"/>
                      </v:shape>
                      <v:shape id="Freeform 249" o:spid="_x0000_s1094" style="position:absolute;left:50180;top:1951;width:49;height:128;visibility:visible;mso-wrap-style:square;v-text-anchor:top" coordsize="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" path="m1,5c,5,,5,,4,,1,,1,,1,,,,,1,,2,,2,,2,1v,3,,3,,3c2,5,2,5,1,5xe" fillcolor="#e48c32" stroked="f">
                        <v:path arrowok="t" o:connecttype="custom" o:connectlocs="2452,12865;0,10292;0,2573;2452,0;4903,2573;4903,10292;2452,12865" o:connectangles="0,0,0,0,0,0,0"/>
                      </v:shape>
                      <v:shape id="Freeform 250" o:spid="_x0000_s1095" style="position:absolute;left:50180;top:2030;width:129;height:49;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" path="m3,2c1,2,1,2,1,2,,2,,2,,1,,1,,,1,,3,,3,,3,,4,,5,1,5,1,5,2,4,2,3,2xe" fillcolor="#e48c32" stroked="f">
                        <v:path arrowok="t" o:connecttype="custom" o:connectlocs="7719,4903;2573,4903;0,2452;2573,0;7719,0;12865,2452;7719,4903" o:connectangles="0,0,0,0,0,0,0"/>
                      </v:shape>
                      <v:shape id="Freeform 251" o:spid="_x0000_s1096" style="position:absolute;left:50180;top:1314;width:49;height:306;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" path="m1,12c,12,,11,,11,,2,,2,,2,,1,,,1,,2,,2,1,2,2v,9,,9,,9c2,11,2,12,1,12xe" fillcolor="#e48c32" stroked="f">
                        <v:path arrowok="t" o:connecttype="custom" o:connectlocs="2452,30628;0,28076;0,5105;2452,0;4903,5105;4903,28076;2452,30628" o:connectangles="0,0,0,0,0,0,0"/>
                      </v:shape>
                      <v:shape id="Freeform 252" o:spid="_x0000_s1097" style="position:absolute;left:50309;top:1442;width:49;height:178;visibility:visible;mso-wrap-style:square;v-text-anchor:top" coordsize="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" path="m1,7c,7,,6,,6,,1,,1,,1,,1,,,1,v,,1,1,1,1c2,6,2,6,2,6,2,6,1,7,1,7xe" fillcolor="#e48c32" stroked="f">
                        <v:path arrowok="t" o:connecttype="custom" o:connectlocs="2452,17763;0,15225;0,2538;2452,0;4903,2538;4903,15225;2452,17763" o:connectangles="0,0,0,0,0,0,0"/>
                      </v:shape>
                      <v:shape id="Freeform 253" o:spid="_x0000_s1098" style="position:absolute;left:50051;top:1442;width:80;height:178;visibility:visible;mso-wrap-style:square;v-text-anchor:top" coordsize="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" path="m2,7c1,7,,6,,6,,1,,1,,1,,1,1,,2,v,,1,1,1,1c3,6,3,6,3,6,3,6,2,7,2,7xe" fillcolor="#e48c32" stroked="f">
                        <v:path arrowok="t" o:connecttype="custom" o:connectlocs="5308,17763;0,15225;0,2538;5308,0;7962,2538;7962,15225;5308,17763" o:connectangles="0,0,0,0,0,0,0"/>
                      </v:shape>
                      <v:shape id="Freeform 254" o:spid="_x0000_s1099" style="position:absolute;left:49310;top:1975;width:539;height:178;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" path="m20,7c4,7,4,7,4,7,4,7,3,6,3,6,1,1,1,1,1,1,,1,,1,1,v,,,,1,c20,,20,,20,v1,,1,,1,1c21,6,21,6,21,6v,,,1,-1,1xm5,4v14,,14,,14,c19,2,19,2,19,2,4,2,4,2,4,2l5,4xe" fillcolor="#e48c32" stroked="f">
                        <v:path arrowok="t" o:connecttype="custom" o:connectlocs="51340,17763;10268,17763;7701,15225;2567,2538;2567,0;5134,0;51340,0;53907,2538;53907,15225;51340,17763;12835,10150;48773,10150;48773,5075;10268,5075;12835,10150" o:connectangles="0,0,0,0,0,0,0,0,0,0,0,0,0,0,0"/>
                        <o:lock v:ext="edit" verticies="t"/>
                      </v:shape>
                      <v:shape id="Freeform 255" o:spid="_x0000_s1100" style="position:absolute;left:50560;top:1975;width:539;height:178;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" path="m17,7c1,7,1,7,1,7,,7,,6,,6,,1,,1,,1,,,,,1,,20,,20,,20,v,,,,1,c21,1,21,1,21,1,18,6,18,6,18,6v,,,1,-1,1xm2,4v15,,15,,15,c18,2,18,2,18,2,2,2,2,2,2,2r,2xe" fillcolor="#e48c32" stroked="f">
                        <v:path arrowok="t" o:connecttype="custom" o:connectlocs="43639,17763;2567,17763;0,15225;0,2538;2567,0;51340,0;53907,0;53907,2538;46206,15225;43639,17763;5134,10150;43639,10150;46206,5075;5134,5075;5134,10150" o:connectangles="0,0,0,0,0,0,0,0,0,0,0,0,0,0,0"/>
                        <o:lock v:ext="edit" verticies="t"/>
                      </v:shape>
                      <v:shape id="Freeform 256" o:spid="_x0000_s1101" style="position:absolute;left:50002;top:2563;width:405;height:411;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" path="m15,16c1,16,1,16,1,16v,,-1,,-1,-1c,1,,1,,1,,,1,,1,,15,,15,,15,v1,,1,,1,1c16,15,16,15,16,15v,1,,1,-1,1xm2,14v12,,12,,12,c14,2,14,2,14,2,2,2,2,2,2,2r,12xe" fillcolor="#e48c32" stroked="f">
                        <v:path arrowok="t" o:connecttype="custom" o:connectlocs="37902,41042;2527,41042;0,38477;0,2565;2527,0;37902,0;40429,2565;40429,38477;37902,41042;5054,35912;35375,35912;35375,5130;5054,5130;5054,35912" o:connectangles="0,0,0,0,0,0,0,0,0,0,0,0,0,0"/>
                        <o:lock v:ext="edit" verticies="t"/>
                      </v:shape>
                      <v:shape id="Freeform 257" o:spid="_x0000_s1102" style="position:absolute;left:49947;top:2459;width:539;height:153;visibility:visible;mso-wrap-style:square;v-text-anchor:top" coordsize="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" path="m19,6c1,6,1,6,1,6,,6,,6,,5,,2,,2,,2,,1,,,1,,19,,19,,19,v1,,2,1,2,2c21,5,21,5,21,5v,1,-1,1,-2,1xm2,4v16,,16,,16,c18,3,18,3,18,3,2,3,2,3,2,3r,1xe" fillcolor="#e48c32" stroked="f">
                        <v:path arrowok="t" o:connecttype="custom" o:connectlocs="48773,15317;2567,15317;0,12764;0,5106;2567,0;48773,0;53907,5106;53907,12764;48773,15317;5134,10211;46206,10211;46206,7659;5134,7659;5134,10211" o:connectangles="0,0,0,0,0,0,0,0,0,0,0,0,0,0"/>
                        <o:lock v:ext="edit" verticies="t"/>
                      </v:shape>
                      <v:shape id="Freeform 258" o:spid="_x0000_s1103" style="position:absolute;left:50027;top:2361;width:355;height:178;visibility:visible;mso-wrap-style:square;v-text-anchor:top" coordsize="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" path="m13,7c1,7,1,7,1,7,1,7,,6,,6,,2,3,,7,v4,,7,2,7,6c14,6,14,7,13,7xm3,4v8,,8,,8,c11,3,9,2,7,2,5,2,3,3,3,4xe" fillcolor="#e48c32" stroked="f">
                        <v:path arrowok="t" o:connecttype="custom" o:connectlocs="32993,17763;2538,17763;0,15225;17766,0;35531,15225;32993,17763;7614,10150;27917,10150;17766,5075;7614,10150" o:connectangles="0,0,0,0,0,0,0,0,0,0"/>
                        <o:lock v:ext="edit" verticies="t"/>
                      </v:shape>
                      <v:shape id="Freeform 259" o:spid="_x0000_s1104" style="position:absolute;left:50180;top:2741;width:129;height:55;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" path="m3,2c1,2,1,2,1,2,,2,,2,,1,,,,,1,,3,,3,,3,,4,,5,,5,1,5,2,4,2,3,2xe" fillcolor="#e48c32" stroked="f">
                        <v:path arrowok="t" o:connecttype="custom" o:connectlocs="7719,5511;2573,5511;0,2756;2573,0;7719,0;12865,2756;7719,5511" o:connectangles="0,0,0,0,0,0,0"/>
                      </v:shape>
                      <v:shape id="Freeform 260" o:spid="_x0000_s1105" style="position:absolute;left:49488;top:2208;width:257;height:637;visibility:visible;mso-wrap-style:square;v-text-anchor:top" coordsize="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" path="m8,25v-6,,-6,,-6,c1,25,,25,,24,,1,,1,,1,,1,1,,2,,8,,8,,8,v1,,2,1,2,1c10,24,10,24,10,24v,1,-1,1,-2,1xm3,23v4,,4,,4,c7,2,7,2,7,2,3,2,3,2,3,2r,21xe" fillcolor="#e48c32" stroked="f">
                        <v:path arrowok="t" o:connecttype="custom" o:connectlocs="20584,63707;5146,63707;0,61159;0,2548;5146,0;20584,0;25730,2548;25730,61159;20584,63707;7719,58610;18011,58610;18011,5097;7719,5097;7719,58610" o:connectangles="0,0,0,0,0,0,0,0,0,0,0,0,0,0"/>
                        <o:lock v:ext="edit" verticies="t"/>
                      </v:shape>
                      <v:shape id="Freeform 261" o:spid="_x0000_s1106" style="position:absolute;left:49488;top:2361;width:257;height:49;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" path="m8,2c2,2,2,2,2,2,1,2,,2,,1,,,1,,2,,8,,8,,8,v1,,2,,2,1c10,2,9,2,8,2xe" fillcolor="#e48c32" stroked="f">
                        <v:path arrowok="t" o:connecttype="custom" o:connectlocs="20584,4903;5146,4903;0,2452;5146,0;20584,0;25730,2452;20584,4903" o:connectangles="0,0,0,0,0,0,0"/>
                      </v:shape>
                      <v:shape id="Freeform 262" o:spid="_x0000_s1107" style="position:absolute;left:49488;top:2643;width:257;height:73;visibility:visible;mso-wrap-style:square;v-text-anchor:top"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" path="m8,3c2,3,2,3,2,3,1,3,,2,,1,,1,1,,2,,8,,8,,8,v1,,2,1,2,1c10,2,9,3,8,3xe" fillcolor="#e48c32" stroked="f">
                        <v:path arrowok="t" o:connecttype="custom" o:connectlocs="20584,7349;5146,7349;0,2450;5146,0;20584,0;25730,2450;20584,7349" o:connectangles="0,0,0,0,0,0,0"/>
                      </v:shape>
                      <v:shape id="Freeform 263" o:spid="_x0000_s1108" style="position:absolute;left:49488;top:2514;width:257;height:49;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" path="m8,2c2,2,2,2,2,2,1,2,,1,,1,,,1,,2,,8,,8,,8,v1,,2,,2,1c10,1,9,2,8,2xe" fillcolor="#e48c32" stroked="f">
                        <v:path arrowok="t" o:connecttype="custom" o:connectlocs="20584,4903;5146,4903;0,2452;5146,0;20584,0;25730,2452;20584,4903" o:connectangles="0,0,0,0,0,0,0"/>
                      </v:shape>
                      <v:shape id="Freeform 264" o:spid="_x0000_s1109" style="position:absolute;left:50688;top:2208;width:233;height:637;visibility:visible;mso-wrap-style:square;v-text-anchor:top" coordsize="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" path="m8,25v-7,,-7,,-7,c,25,,25,,24,,1,,1,,1,,1,,,1,,8,,8,,8,v,,1,1,1,1c9,24,9,24,9,24v,1,-1,1,-1,1xm2,23v5,,5,,5,c7,2,7,2,7,2,2,2,2,2,2,2r,21xe" fillcolor="#e48c32" stroked="f">
                        <v:path arrowok="t" o:connecttype="custom" o:connectlocs="20692,63707;2587,63707;0,61159;0,2548;2587,0;20692,0;23279,2548;23279,61159;20692,63707;5173,58610;18106,58610;18106,5097;5173,5097;5173,58610" o:connectangles="0,0,0,0,0,0,0,0,0,0,0,0,0,0"/>
                        <o:lock v:ext="edit" verticies="t"/>
                      </v:shape>
                      <v:shape id="Freeform 265" o:spid="_x0000_s1110" style="position:absolute;left:50688;top:2361;width:233;height:49;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" path="m8,2c1,2,1,2,1,2,,2,,2,,1,,,,,1,,8,,8,,8,v,,1,,1,1c9,2,8,2,8,2xe" fillcolor="#e48c32" stroked="f">
                        <v:path arrowok="t" o:connecttype="custom" o:connectlocs="20692,4903;2587,4903;0,2452;2587,0;20692,0;23279,2452;20692,4903" o:connectangles="0,0,0,0,0,0,0"/>
                      </v:shape>
                      <v:shape id="Freeform 266" o:spid="_x0000_s1111" style="position:absolute;left:50688;top:2643;width:233;height:73;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" path="m8,3c1,3,1,3,1,3,,3,,2,,1,,1,,,1,,8,,8,,8,v,,1,1,1,1c9,2,8,3,8,3xe" fillcolor="#e48c32" stroked="f">
                        <v:path arrowok="t" o:connecttype="custom" o:connectlocs="20692,7349;2587,7349;0,2450;2587,0;20692,0;23279,2450;20692,7349" o:connectangles="0,0,0,0,0,0,0"/>
                      </v:shape>
                      <v:shape id="Freeform 267" o:spid="_x0000_s1112" style="position:absolute;left:50688;top:2514;width:233;height:49;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" path="m8,2c1,2,1,2,1,2,,2,,1,,1,,,,,1,,8,,8,,8,v,,1,,1,1c9,1,8,2,8,2xe" fillcolor="#e48c32" stroked="f">
                        <v:path arrowok="t" o:connecttype="custom" o:connectlocs="20692,4903;2587,4903;0,2452;2587,0;20692,0;23279,2452;20692,4903" o:connectangles="0,0,0,0,0,0,0"/>
                      </v:shape>
                      <v:shape id="Freeform 268" o:spid="_x0000_s1113" style="position:absolute;left:27398;top:2128;width:2273;height:1152;visibility:visible;mso-wrap-style:square;v-text-anchor:top" coordsize="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" path="m74,45c89,30,89,30,89,30v,-1,,-1,,-2c89,28,88,27,87,27v-19,,-19,,-19,c55,12,55,12,55,12v,,-1,,-1,c39,12,39,12,39,12v,,,,-1,c33,1,33,1,33,1,32,,32,,31,,24,,24,,24,,23,,22,,22,1v,11,,11,,11c16,12,16,12,16,12v-1,,-1,,-2,c6,27,6,27,6,27v-5,,-5,,-5,c,27,,28,,29v,,,6,2,11c4,43,4,43,4,43v3,,3,,3,c4,39,3,33,3,30v81,,81,,81,c71,44,71,44,71,44r3,1xm30,3v1,1,1,1,1,1c25,4,25,4,25,4v,-1,,-1,,-1l30,3xm25,7v8,,8,,8,c35,12,35,12,35,12v-10,,-10,,-10,c25,7,25,7,25,7xm17,15v36,,36,,36,c58,20,58,20,58,20v-45,,-45,,-45,l17,15xm12,24v49,,49,,49,c64,27,64,27,64,27,9,27,9,27,9,27r3,-3xe" fillcolor="#82d2e8" stroked="f">
                        <v:path arrowok="t" o:connecttype="custom" o:connectlocs="188963,115163;227266,76775;227266,71657;222159,69098;173641,69098;140445,30710;137892,30710;99588,30710;97035,30710;84267,2559;79160,0;61285,0;56178,2559;56178,30710;40857,30710;35750,30710;15321,69098;2554,69098;0,74216;5107,102367;10214,110045;17875,110045;7661,76775;214498,76775;181302,112604;188963,115163;76607,7678;79160,10237;63839,10237;63839,7678;76607,7678;63839,17914;84267,17914;89374,30710;63839,30710;63839,17914;43410,38388;135338,38388;148106,51184;33196,51184;43410,38388;30643,61420;155767,61420;163427,69098;22982,69098;30643,61420" o:connectangles="0,0,0,0,0,0,0,0,0,0,0,0,0,0,0,0,0,0,0,0,0,0,0,0,0,0,0,0,0,0,0,0,0,0,0,0,0,0,0,0,0,0,0,0,0,0"/>
                        <o:lock v:ext="edit" verticies="t"/>
                      </v:shape>
                      <v:shape id="_x0000_s1114" type="#_x0000_t202" style="position:absolute;top:3736;width:7540;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" filled="f" stroked="f">
                        <v:textbox inset="2.44967mm,1.2249mm,2.44967mm,1.2249mm">
                          <w:txbxContent>
                            <w:p w14:paraId="5333338A" w14:textId="77777777" w:rsidR="003C0461" w:rsidRPr="00071BB5" w:rsidRDefault="003C0461" w:rsidP="00353B28">
                              <w:pPr>
                                <w:pStyle w:val="NormalWeb"/>
                                <w:spacing w:after="200"/>
                                <w:jc w:val="center"/>
                                <w:rPr>
                                  <w:color w:val="808080" w:themeColor="background1" w:themeShade="80"/>
                                  <w:sz w:val="14"/>
                                  <w:szCs w:val="14"/>
                                </w:rPr>
                              </w:pPr>
                              <w:r w:rsidRPr="00A03CD8">
                                <w:rPr>
                                  <w:rFonts w:eastAsia="Calibri"/>
                                  <w:b/>
                                  <w:bCs/>
                                  <w:color w:val="65BBC8"/>
                                  <w:sz w:val="16"/>
                                  <w:szCs w:val="16"/>
                                </w:rPr>
                                <w:t>Cubnezais</w:t>
                              </w:r>
                              <w:r w:rsidRPr="00D4351D">
                                <w:rPr>
                                  <w:rFonts w:eastAsia="Calibri"/>
                                  <w:sz w:val="22"/>
                                  <w:szCs w:val="22"/>
                                </w:rPr>
                                <w:br/>
                              </w:r>
                              <w:r w:rsidRPr="00A64D07">
                                <w:rPr>
                                  <w:rFonts w:eastAsia="Calibri"/>
                                  <w:color w:val="7F7F7F" w:themeColor="text1" w:themeTint="80"/>
                                  <w:sz w:val="14"/>
                                  <w:szCs w:val="14"/>
                                </w:rPr>
                                <w:t>CONVERTER STATION</w:t>
                              </w:r>
                            </w:p>
                          </w:txbxContent>
                        </v:textbox>
                      </v:shape>
                      <v:shape id="_x0000_s1115" type="#_x0000_t202" style="position:absolute;left:11687;top:3742;width:9768;height:5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" filled="f" stroked="f">
                        <v:textbox inset="2.44967mm,1.2249mm,2.44967mm,1.2249mm">
                          <w:txbxContent>
                            <w:p w14:paraId="1EA5C839" w14:textId="77777777" w:rsidR="003C0461" w:rsidRPr="00A64D07" w:rsidRDefault="003C0461" w:rsidP="00353B28">
                              <w:pPr>
                                <w:pStyle w:val="NormalWeb"/>
                                <w:spacing w:after="200"/>
                                <w:jc w:val="center"/>
                                <w:rPr>
                                  <w:color w:val="7F7F7F" w:themeColor="text1" w:themeTint="80"/>
                                  <w:sz w:val="14"/>
                                  <w:szCs w:val="14"/>
                                </w:rPr>
                              </w:pPr>
                              <w:r w:rsidRPr="00A03CD8">
                                <w:rPr>
                                  <w:rFonts w:eastAsia="Calibri"/>
                                  <w:b/>
                                  <w:bCs/>
                                  <w:color w:val="65BBC8"/>
                                  <w:sz w:val="16"/>
                                  <w:szCs w:val="16"/>
                                </w:rPr>
                                <w:t>80 km</w:t>
                              </w:r>
                              <w:r w:rsidRPr="00D4351D">
                                <w:rPr>
                                  <w:rFonts w:eastAsia="Calibri"/>
                                  <w:sz w:val="22"/>
                                  <w:szCs w:val="22"/>
                                </w:rPr>
                                <w:br/>
                              </w:r>
                              <w:r w:rsidRPr="00A64D07">
                                <w:rPr>
                                  <w:rFonts w:eastAsia="Calibri"/>
                                  <w:color w:val="7F7F7F" w:themeColor="text1" w:themeTint="80"/>
                                  <w:sz w:val="14"/>
                                  <w:szCs w:val="14"/>
                                </w:rPr>
                                <w:t>UNDERGROUND DIRECT CURRENT LINK</w:t>
                              </w:r>
                            </w:p>
                          </w:txbxContent>
                        </v:textbox>
                      </v:shape>
                      <v:shape id="_x0000_s1116" type="#_x0000_t202" style="position:absolute;left:23574;top:3744;width:9457;height:5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" filled="f" stroked="f">
                        <v:textbox inset="2.44967mm,1.2249mm,2.44967mm,1.2249mm">
                          <w:txbxContent>
                            <w:p w14:paraId="4A497746" w14:textId="77777777" w:rsidR="003C0461" w:rsidRPr="00A64D07" w:rsidRDefault="003C0461" w:rsidP="00353B28">
                              <w:pPr>
                                <w:pStyle w:val="NormalWeb"/>
                                <w:spacing w:after="200"/>
                                <w:jc w:val="center"/>
                                <w:rPr>
                                  <w:color w:val="7F7F7F" w:themeColor="text1" w:themeTint="80"/>
                                  <w:sz w:val="14"/>
                                  <w:szCs w:val="14"/>
                                </w:rPr>
                              </w:pPr>
                              <w:r w:rsidRPr="00A03CD8">
                                <w:rPr>
                                  <w:rFonts w:eastAsia="Calibri"/>
                                  <w:b/>
                                  <w:bCs/>
                                  <w:color w:val="82D2E8"/>
                                  <w:sz w:val="16"/>
                                  <w:szCs w:val="16"/>
                                </w:rPr>
                                <w:t>280 km</w:t>
                              </w:r>
                              <w:r w:rsidRPr="00D4351D">
                                <w:rPr>
                                  <w:rFonts w:eastAsia="Calibri"/>
                                  <w:sz w:val="22"/>
                                  <w:szCs w:val="22"/>
                                </w:rPr>
                                <w:br/>
                              </w:r>
                              <w:r w:rsidRPr="00A64D07">
                                <w:rPr>
                                  <w:rFonts w:eastAsia="Calibri"/>
                                  <w:color w:val="7F7F7F" w:themeColor="text1" w:themeTint="80"/>
                                  <w:sz w:val="14"/>
                                  <w:szCs w:val="14"/>
                                </w:rPr>
                                <w:t xml:space="preserve">SUBMARINE </w:t>
                              </w:r>
                              <w:r>
                                <w:rPr>
                                  <w:rFonts w:eastAsia="Calibri"/>
                                  <w:color w:val="7F7F7F" w:themeColor="text1" w:themeTint="80"/>
                                  <w:sz w:val="14"/>
                                  <w:szCs w:val="14"/>
                                </w:rPr>
                                <w:br/>
                              </w:r>
                              <w:r w:rsidRPr="00A64D07">
                                <w:rPr>
                                  <w:rFonts w:eastAsia="Calibri"/>
                                  <w:color w:val="7F7F7F" w:themeColor="text1" w:themeTint="80"/>
                                  <w:sz w:val="14"/>
                                  <w:szCs w:val="14"/>
                                </w:rPr>
                                <w:t>DIRECT CURRENT LINK</w:t>
                              </w:r>
                            </w:p>
                          </w:txbxContent>
                        </v:textbox>
                      </v:shape>
                      <v:shape id="_x0000_s1117" type="#_x0000_t202" style="position:absolute;left:37983;top:3739;width:9457;height:6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" filled="f" stroked="f">
                        <v:textbox inset="2.44967mm,1.2249mm,2.44967mm,1.2249mm">
                          <w:txbxContent>
                            <w:p w14:paraId="445E2338" w14:textId="77777777" w:rsidR="003C0461" w:rsidRPr="00A64D07" w:rsidRDefault="003C0461" w:rsidP="00353B28">
                              <w:pPr>
                                <w:pStyle w:val="NormalWeb"/>
                                <w:spacing w:after="200"/>
                                <w:jc w:val="center"/>
                                <w:rPr>
                                  <w:color w:val="7F7F7F" w:themeColor="text1" w:themeTint="80"/>
                                  <w:sz w:val="14"/>
                                  <w:szCs w:val="14"/>
                                </w:rPr>
                              </w:pPr>
                              <w:r w:rsidRPr="00A03CD8">
                                <w:rPr>
                                  <w:rFonts w:eastAsia="Calibri"/>
                                  <w:b/>
                                  <w:bCs/>
                                  <w:color w:val="E48C32"/>
                                  <w:sz w:val="16"/>
                                  <w:szCs w:val="16"/>
                                </w:rPr>
                                <w:t>10 km</w:t>
                              </w:r>
                              <w:r w:rsidRPr="00D4351D">
                                <w:rPr>
                                  <w:rFonts w:eastAsia="Calibri"/>
                                  <w:sz w:val="22"/>
                                  <w:szCs w:val="22"/>
                                </w:rPr>
                                <w:br/>
                              </w:r>
                              <w:r w:rsidRPr="00A64D07">
                                <w:rPr>
                                  <w:rFonts w:eastAsia="Calibri"/>
                                  <w:color w:val="7F7F7F" w:themeColor="text1" w:themeTint="80"/>
                                  <w:sz w:val="14"/>
                                  <w:szCs w:val="14"/>
                                </w:rPr>
                                <w:t>AERIAL/</w:t>
                              </w:r>
                              <w:r w:rsidRPr="00A64D07">
                                <w:rPr>
                                  <w:rFonts w:eastAsia="Calibri"/>
                                  <w:color w:val="7F7F7F" w:themeColor="text1" w:themeTint="80"/>
                                  <w:sz w:val="14"/>
                                  <w:szCs w:val="14"/>
                                </w:rPr>
                                <w:br/>
                                <w:t xml:space="preserve">UNDERGROUND DIRECT </w:t>
                              </w:r>
                              <w:r>
                                <w:rPr>
                                  <w:rFonts w:eastAsia="Calibri"/>
                                  <w:color w:val="7F7F7F" w:themeColor="text1" w:themeTint="80"/>
                                  <w:sz w:val="14"/>
                                  <w:szCs w:val="14"/>
                                </w:rPr>
                                <w:br/>
                              </w:r>
                              <w:r w:rsidRPr="00A64D07">
                                <w:rPr>
                                  <w:rFonts w:eastAsia="Calibri"/>
                                  <w:color w:val="7F7F7F" w:themeColor="text1" w:themeTint="80"/>
                                  <w:sz w:val="14"/>
                                  <w:szCs w:val="14"/>
                                </w:rPr>
                                <w:t>CURRENT LINK</w:t>
                              </w:r>
                            </w:p>
                          </w:txbxContent>
                        </v:textbox>
                      </v:shape>
                      <v:shape id="_x0000_s1118" type="#_x0000_t202" style="position:absolute;left:46378;top:3748;width:7641;height:4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" filled="f" stroked="f">
                        <v:textbox inset="2.44967mm,1.2249mm,2.44967mm,1.2249mm">
                          <w:txbxContent>
                            <w:p w14:paraId="64555705" w14:textId="77777777" w:rsidR="003C0461" w:rsidRPr="00071BB5" w:rsidRDefault="003C0461" w:rsidP="00353B28">
                              <w:pPr>
                                <w:pStyle w:val="NormalWeb"/>
                                <w:spacing w:after="200"/>
                                <w:jc w:val="center"/>
                                <w:rPr>
                                  <w:color w:val="7F7F7F" w:themeColor="text1" w:themeTint="80"/>
                                  <w:sz w:val="14"/>
                                  <w:szCs w:val="14"/>
                                </w:rPr>
                              </w:pPr>
                              <w:r w:rsidRPr="00A03CD8">
                                <w:rPr>
                                  <w:rFonts w:eastAsia="Calibri"/>
                                  <w:b/>
                                  <w:bCs/>
                                  <w:color w:val="E48C32"/>
                                  <w:sz w:val="16"/>
                                  <w:szCs w:val="16"/>
                                </w:rPr>
                                <w:t>Gatika</w:t>
                              </w:r>
                              <w:r w:rsidRPr="00D4351D">
                                <w:rPr>
                                  <w:rFonts w:eastAsia="Calibri"/>
                                  <w:sz w:val="22"/>
                                  <w:szCs w:val="22"/>
                                </w:rPr>
                                <w:br/>
                              </w:r>
                              <w:r w:rsidRPr="00071BB5">
                                <w:rPr>
                                  <w:rFonts w:eastAsia="Calibri"/>
                                  <w:color w:val="7F7F7F" w:themeColor="text1" w:themeTint="80"/>
                                  <w:sz w:val="14"/>
                                  <w:szCs w:val="14"/>
                                </w:rPr>
                                <w:t>CONVERTER STATION</w:t>
                              </w:r>
                            </w:p>
                          </w:txbxContent>
                        </v:textbox>
                      </v:shape>
                      <w10:anchorlock/>
                    </v:group>
                  </w:pict>
                </mc:Fallback>
              </mc:AlternateContent>
            </w:r>
          </w:p>
        </w:tc>
      </w:tr>
    </w:tbl>
    <w:p w14:paraId="00B6AD6B" w14:textId="120DB830" w:rsidR="00FA0AAF" w:rsidRPr="00A04E56" w:rsidRDefault="00FA0AAF" w:rsidP="0062263B">
      <w:pPr>
        <w:pStyle w:val="BodyText1spacebeforeandafter"/>
      </w:pPr>
      <w:r w:rsidRPr="00A766ED">
        <w:rPr>
          <w:spacing w:val="-2"/>
        </w:rPr>
        <w:t xml:space="preserve">The WiFi4EU initiative was announced by President Juncker in 2016 as part of the digital single market strategy, a framework including new measures to meet Europeans' growing connectivity needs and boost Europe's competitiveness. The WiFi4EU initiative aims to provide high-quality </w:t>
      </w:r>
      <w:r w:rsidR="00AE4B2D" w:rsidRPr="00A766ED">
        <w:rPr>
          <w:spacing w:val="-2"/>
        </w:rPr>
        <w:t>internet</w:t>
      </w:r>
      <w:r w:rsidRPr="00A766ED">
        <w:rPr>
          <w:spacing w:val="-2"/>
        </w:rPr>
        <w:t xml:space="preserve"> access across the EU to citizens and visitors via free</w:t>
      </w:r>
      <w:r w:rsidR="00DF0116" w:rsidRPr="00A766ED">
        <w:rPr>
          <w:spacing w:val="-2"/>
        </w:rPr>
        <w:t>-of-charge</w:t>
      </w:r>
      <w:r w:rsidRPr="00A766ED">
        <w:rPr>
          <w:spacing w:val="-2"/>
        </w:rPr>
        <w:t xml:space="preserve"> Wi-Fi hotspots in public spaces such as parks, squares, administrations, libraries</w:t>
      </w:r>
      <w:r w:rsidR="00091924" w:rsidRPr="00A766ED">
        <w:rPr>
          <w:spacing w:val="-2"/>
        </w:rPr>
        <w:t xml:space="preserve"> and</w:t>
      </w:r>
      <w:r w:rsidRPr="00A766ED">
        <w:rPr>
          <w:spacing w:val="-2"/>
        </w:rPr>
        <w:t xml:space="preserve"> health centres. Vouchers worth EUR 15</w:t>
      </w:r>
      <w:r w:rsidRPr="00A766ED">
        <w:rPr>
          <w:rFonts w:ascii="Calibri" w:hAnsi="Calibri" w:cs="Calibri"/>
          <w:spacing w:val="-2"/>
        </w:rPr>
        <w:t> </w:t>
      </w:r>
      <w:r w:rsidRPr="00A766ED">
        <w:rPr>
          <w:spacing w:val="-2"/>
        </w:rPr>
        <w:t>000 each funded by the European Commission will be awarded to support close to 9</w:t>
      </w:r>
      <w:r w:rsidRPr="00A766ED">
        <w:rPr>
          <w:rFonts w:ascii="Calibri" w:hAnsi="Calibri" w:cs="Calibri"/>
          <w:spacing w:val="-2"/>
        </w:rPr>
        <w:t> </w:t>
      </w:r>
      <w:r w:rsidRPr="00A766ED">
        <w:rPr>
          <w:spacing w:val="-2"/>
        </w:rPr>
        <w:t>000 municipalities across the EU, Norway and Iceland for the installation of the Wi-Fi hot spots in these centres of public life, using the services of Wi</w:t>
      </w:r>
      <w:r w:rsidR="00756904" w:rsidRPr="00A766ED">
        <w:rPr>
          <w:spacing w:val="-2"/>
        </w:rPr>
        <w:t>-</w:t>
      </w:r>
      <w:r w:rsidRPr="00A766ED">
        <w:rPr>
          <w:spacing w:val="-2"/>
        </w:rPr>
        <w:t>Fi installation companies</w:t>
      </w:r>
      <w:r w:rsidR="000544A6" w:rsidRPr="00A04E56">
        <w:rPr>
          <w:rFonts w:ascii="Calibri" w:hAnsi="Calibri" w:cs="Calibri"/>
        </w:rPr>
        <w:t> </w:t>
      </w:r>
      <w:r w:rsidRPr="00A04E56">
        <w:rPr>
          <w:rStyle w:val="fnRef"/>
        </w:rPr>
        <w:t>(</w:t>
      </w:r>
      <w:r w:rsidRPr="00A04E56">
        <w:rPr>
          <w:rStyle w:val="fnRefNo"/>
        </w:rPr>
        <w:footnoteReference w:id="70"/>
      </w:r>
      <w:r w:rsidRPr="00A04E56">
        <w:rPr>
          <w:rStyle w:val="fnRef"/>
        </w:rPr>
        <w:t>)</w:t>
      </w:r>
      <w:r w:rsidRPr="00A04E56">
        <w:t>.</w:t>
      </w:r>
    </w:p>
    <w:p w14:paraId="7B278A1B" w14:textId="35A24496" w:rsidR="00FA0AAF" w:rsidRPr="00A04E56" w:rsidRDefault="00FA0AAF" w:rsidP="00FA0AAF">
      <w:pPr>
        <w:pStyle w:val="BodyText1spaceafter"/>
      </w:pPr>
      <w:r w:rsidRPr="00A04E56">
        <w:t xml:space="preserve">The first WiFi4EU call for applications took place in </w:t>
      </w:r>
      <w:r w:rsidRPr="00277538">
        <w:rPr>
          <w:i/>
          <w:u w:val="single"/>
        </w:rPr>
        <w:t>November 2018</w:t>
      </w:r>
      <w:r w:rsidRPr="00A04E56">
        <w:t>, with over 13</w:t>
      </w:r>
      <w:r w:rsidRPr="00A04E56">
        <w:rPr>
          <w:rFonts w:ascii="Calibri" w:hAnsi="Calibri" w:cs="Calibri"/>
        </w:rPr>
        <w:t> </w:t>
      </w:r>
      <w:r w:rsidRPr="00A04E56">
        <w:t>000 municipalities applying from all across Europe and 2</w:t>
      </w:r>
      <w:r w:rsidRPr="00A04E56">
        <w:rPr>
          <w:rFonts w:ascii="Calibri" w:hAnsi="Calibri" w:cs="Calibri"/>
        </w:rPr>
        <w:t> </w:t>
      </w:r>
      <w:r w:rsidRPr="00A04E56">
        <w:t>800 vouchers awarded</w:t>
      </w:r>
      <w:r w:rsidR="000544A6" w:rsidRPr="00A04E56">
        <w:rPr>
          <w:rFonts w:ascii="Calibri" w:hAnsi="Calibri" w:cs="Calibri"/>
        </w:rPr>
        <w:t> </w:t>
      </w:r>
      <w:r w:rsidR="00651E53" w:rsidRPr="00A04E56">
        <w:rPr>
          <w:rStyle w:val="fnRef"/>
        </w:rPr>
        <w:t>(</w:t>
      </w:r>
      <w:r w:rsidR="00651E53" w:rsidRPr="00A04E56">
        <w:rPr>
          <w:rStyle w:val="fnRefNo"/>
        </w:rPr>
        <w:footnoteReference w:id="71"/>
      </w:r>
      <w:r w:rsidR="00651E53" w:rsidRPr="00A04E56">
        <w:rPr>
          <w:rStyle w:val="fnRef"/>
        </w:rPr>
        <w:t>)</w:t>
      </w:r>
      <w:r w:rsidRPr="00A04E56">
        <w:t>.</w:t>
      </w:r>
    </w:p>
    <w:p w14:paraId="59CCCD77" w14:textId="359B2D14" w:rsidR="00F627E9" w:rsidRPr="00A04E56" w:rsidRDefault="00F627E9" w:rsidP="00AA0340">
      <w:pPr>
        <w:pStyle w:val="Title3NumberedReport"/>
      </w:pPr>
      <w:r w:rsidRPr="00A04E56">
        <w:t>Assessment and evaluation</w:t>
      </w:r>
    </w:p>
    <w:p w14:paraId="2FEDD66C" w14:textId="29813742" w:rsidR="001B412E" w:rsidRPr="00A04E56" w:rsidRDefault="001B412E" w:rsidP="00E32D16">
      <w:pPr>
        <w:pStyle w:val="BodyText1spaceafter"/>
        <w:rPr>
          <w:b/>
          <w:color w:val="auto"/>
          <w:szCs w:val="20"/>
        </w:rPr>
      </w:pPr>
      <w:bookmarkStart w:id="44" w:name="_Toc4680710"/>
      <w:bookmarkStart w:id="45" w:name="_Toc4682984"/>
      <w:r w:rsidRPr="00A04E56">
        <w:t>The evaluation of the Connecting Europe Facility</w:t>
      </w:r>
      <w:r w:rsidR="003325E3" w:rsidRPr="00A04E56">
        <w:rPr>
          <w:rStyle w:val="fnRef"/>
          <w:rFonts w:ascii="Arial" w:hAnsi="Arial" w:cs="Arial"/>
        </w:rPr>
        <w:t> </w:t>
      </w:r>
      <w:r w:rsidR="0035678A" w:rsidRPr="00A04E56">
        <w:rPr>
          <w:rStyle w:val="fnRef"/>
        </w:rPr>
        <w:t>(</w:t>
      </w:r>
      <w:r w:rsidR="0035678A" w:rsidRPr="00A04E56">
        <w:rPr>
          <w:rStyle w:val="fnRefNo"/>
        </w:rPr>
        <w:footnoteReference w:id="72"/>
      </w:r>
      <w:r w:rsidR="0035678A" w:rsidRPr="00A04E56">
        <w:rPr>
          <w:rStyle w:val="fnRef"/>
        </w:rPr>
        <w:t>)</w:t>
      </w:r>
      <w:r w:rsidRPr="00A04E56">
        <w:t xml:space="preserve"> found that bringing together transport, energy and telecommunication</w:t>
      </w:r>
      <w:r w:rsidR="00CD5FD5" w:rsidRPr="00A04E56">
        <w:t>s</w:t>
      </w:r>
      <w:r w:rsidRPr="00A04E56">
        <w:t xml:space="preserve"> under a common funding framework has allowed for</w:t>
      </w:r>
      <w:r w:rsidRPr="00A04E56">
        <w:rPr>
          <w:b/>
        </w:rPr>
        <w:t xml:space="preserve"> </w:t>
      </w:r>
      <w:r w:rsidRPr="00A04E56">
        <w:rPr>
          <w:rStyle w:val="BOLDLIGHTBLUEReport"/>
          <w:rFonts w:eastAsia="Calibri"/>
        </w:rPr>
        <w:t>economies</w:t>
      </w:r>
      <w:r w:rsidRPr="00A04E56">
        <w:rPr>
          <w:b/>
        </w:rPr>
        <w:t xml:space="preserve"> </w:t>
      </w:r>
      <w:r w:rsidRPr="00A04E56">
        <w:rPr>
          <w:rStyle w:val="BOLDLIGHTBLUEReport"/>
          <w:rFonts w:eastAsia="Calibri"/>
        </w:rPr>
        <w:t>of</w:t>
      </w:r>
      <w:r w:rsidRPr="00A04E56">
        <w:rPr>
          <w:b/>
        </w:rPr>
        <w:t xml:space="preserve"> </w:t>
      </w:r>
      <w:r w:rsidRPr="00A04E56">
        <w:rPr>
          <w:rStyle w:val="BOLDLIGHTBLUEReport"/>
          <w:rFonts w:eastAsia="Calibri"/>
        </w:rPr>
        <w:t>scale</w:t>
      </w:r>
      <w:r w:rsidRPr="00A04E56">
        <w:t xml:space="preserve"> at programme level, with a single executive agency and common procedures. At project level</w:t>
      </w:r>
      <w:r w:rsidR="00CD5FD5" w:rsidRPr="00A04E56">
        <w:t>,</w:t>
      </w:r>
      <w:r w:rsidRPr="00A04E56">
        <w:t xml:space="preserve"> however, the Connecting Europe Facility did not </w:t>
      </w:r>
      <w:r w:rsidR="00C4734E" w:rsidRPr="00A04E56">
        <w:t xml:space="preserve">sufficiently </w:t>
      </w:r>
      <w:r w:rsidRPr="00A04E56">
        <w:t>succeed in bringing the expected synergies.</w:t>
      </w:r>
      <w:bookmarkEnd w:id="44"/>
      <w:bookmarkEnd w:id="45"/>
    </w:p>
    <w:p w14:paraId="5247C4AD" w14:textId="5AC9197E" w:rsidR="001B412E" w:rsidRPr="00A04E56" w:rsidRDefault="001B412E" w:rsidP="00E32D16">
      <w:pPr>
        <w:pStyle w:val="BodyText1spaceafter"/>
        <w:rPr>
          <w:b/>
          <w:color w:val="auto"/>
          <w:szCs w:val="20"/>
        </w:rPr>
      </w:pPr>
      <w:bookmarkStart w:id="46" w:name="_Toc4680711"/>
      <w:bookmarkStart w:id="47" w:name="_Toc4682985"/>
      <w:r w:rsidRPr="00A04E56">
        <w:t xml:space="preserve">The findings of the evaluation </w:t>
      </w:r>
      <w:r w:rsidR="005C2683" w:rsidRPr="00A04E56">
        <w:t>have fed</w:t>
      </w:r>
      <w:r w:rsidRPr="00A04E56">
        <w:t xml:space="preserve"> into the proposal for the next Connecting Europe Facility by adding particular emphasis on simplification, enhanced flexibility and better monitoring of performance</w:t>
      </w:r>
      <w:r w:rsidR="003325E3" w:rsidRPr="00A04E56">
        <w:rPr>
          <w:rStyle w:val="fnRef"/>
          <w:rFonts w:ascii="Arial" w:hAnsi="Arial" w:cs="Arial"/>
        </w:rPr>
        <w:t> </w:t>
      </w:r>
      <w:r w:rsidR="0035678A" w:rsidRPr="00A04E56">
        <w:rPr>
          <w:rStyle w:val="fnRef"/>
        </w:rPr>
        <w:t>(</w:t>
      </w:r>
      <w:r w:rsidR="0035678A" w:rsidRPr="00A04E56">
        <w:rPr>
          <w:rStyle w:val="fnRefNo"/>
        </w:rPr>
        <w:footnoteReference w:id="73"/>
      </w:r>
      <w:r w:rsidR="0035678A" w:rsidRPr="00A04E56">
        <w:rPr>
          <w:rStyle w:val="fnRef"/>
        </w:rPr>
        <w:t>)</w:t>
      </w:r>
      <w:r w:rsidRPr="00A04E56">
        <w:rPr>
          <w:color w:val="auto"/>
          <w:szCs w:val="20"/>
        </w:rPr>
        <w:t>.</w:t>
      </w:r>
      <w:bookmarkEnd w:id="46"/>
      <w:bookmarkEnd w:id="47"/>
    </w:p>
    <w:p w14:paraId="2650F9B7" w14:textId="782E9DF6" w:rsidR="001B412E" w:rsidRPr="00A04E56" w:rsidRDefault="001B412E" w:rsidP="00E32D16">
      <w:pPr>
        <w:pStyle w:val="BodyText1spaceafter"/>
        <w:rPr>
          <w:color w:val="auto"/>
          <w:szCs w:val="20"/>
        </w:rPr>
      </w:pPr>
      <w:bookmarkStart w:id="48" w:name="_Toc4680712"/>
      <w:bookmarkStart w:id="49" w:name="_Toc4682986"/>
      <w:r w:rsidRPr="00A04E56">
        <w:t xml:space="preserve">The </w:t>
      </w:r>
      <w:r w:rsidRPr="00A04E56">
        <w:rPr>
          <w:color w:val="auto"/>
          <w:szCs w:val="20"/>
        </w:rPr>
        <w:t>future challenges for the EU economy linked to the goals of decarbonisation and digitalisation will imply a growing convergence of the transport, energy and digital sectors. Examples of synergy areas include connected and autonomous mobility, clean mobility based on alternative fuels, energy storage and smart grids. The proposal for the Connecting Europe Facility after 2020</w:t>
      </w:r>
      <w:r w:rsidR="003325E3" w:rsidRPr="00A04E56">
        <w:rPr>
          <w:rStyle w:val="fnRef"/>
          <w:rFonts w:ascii="Arial" w:hAnsi="Arial" w:cs="Arial"/>
        </w:rPr>
        <w:t> </w:t>
      </w:r>
      <w:r w:rsidR="0035678A" w:rsidRPr="00A04E56">
        <w:rPr>
          <w:rStyle w:val="fnRef"/>
        </w:rPr>
        <w:t>(</w:t>
      </w:r>
      <w:r w:rsidR="0035678A" w:rsidRPr="00A04E56">
        <w:rPr>
          <w:rStyle w:val="fnRefNo"/>
        </w:rPr>
        <w:footnoteReference w:id="74"/>
      </w:r>
      <w:r w:rsidR="0035678A" w:rsidRPr="00A04E56">
        <w:rPr>
          <w:rStyle w:val="fnRef"/>
        </w:rPr>
        <w:t>)</w:t>
      </w:r>
      <w:r w:rsidRPr="00A04E56">
        <w:rPr>
          <w:color w:val="auto"/>
          <w:szCs w:val="20"/>
        </w:rPr>
        <w:t xml:space="preserve"> seeks to increase these synergies: in order to promote projects encompassing more than one sector, incentives will include the possibility to apply the highest co-funding rate of the sectors concerned. In addition, it will be possible for each sector to accept ancillary elements pertaining to another sector</w:t>
      </w:r>
      <w:r w:rsidR="00CD5FD5" w:rsidRPr="00A04E56">
        <w:rPr>
          <w:noProof w:val="0"/>
          <w:color w:val="auto"/>
          <w:szCs w:val="20"/>
        </w:rPr>
        <w:t xml:space="preserve"> as eligible costs</w:t>
      </w:r>
      <w:r w:rsidRPr="00A04E56">
        <w:rPr>
          <w:color w:val="auto"/>
          <w:szCs w:val="20"/>
        </w:rPr>
        <w:t>, for instance renewable</w:t>
      </w:r>
      <w:r w:rsidR="006406DB" w:rsidRPr="00A04E56">
        <w:rPr>
          <w:color w:val="auto"/>
          <w:szCs w:val="20"/>
        </w:rPr>
        <w:t>-</w:t>
      </w:r>
      <w:r w:rsidRPr="00A04E56">
        <w:rPr>
          <w:color w:val="auto"/>
          <w:szCs w:val="20"/>
        </w:rPr>
        <w:t>energy generation within a transport project. In order to incentivi</w:t>
      </w:r>
      <w:r w:rsidR="00975FF2" w:rsidRPr="00A04E56">
        <w:rPr>
          <w:color w:val="auto"/>
          <w:szCs w:val="20"/>
        </w:rPr>
        <w:t>s</w:t>
      </w:r>
      <w:r w:rsidRPr="00A04E56">
        <w:rPr>
          <w:color w:val="auto"/>
          <w:szCs w:val="20"/>
        </w:rPr>
        <w:t xml:space="preserve">e and prioritise cross-sectoral proposals, the synergy dimension of a proposed action will be assessed under the award criteria. Synergies will be implemented through joint work programmes and joint financing involving the </w:t>
      </w:r>
      <w:r w:rsidR="008E12FB" w:rsidRPr="00A04E56">
        <w:rPr>
          <w:color w:val="auto"/>
          <w:szCs w:val="20"/>
        </w:rPr>
        <w:t xml:space="preserve">three </w:t>
      </w:r>
      <w:r w:rsidRPr="00A04E56">
        <w:rPr>
          <w:color w:val="auto"/>
          <w:szCs w:val="20"/>
        </w:rPr>
        <w:t>sectors.</w:t>
      </w:r>
      <w:bookmarkEnd w:id="48"/>
      <w:bookmarkEnd w:id="49"/>
      <w:r w:rsidR="008E12FB" w:rsidRPr="00A04E56">
        <w:rPr>
          <w:color w:val="auto"/>
          <w:szCs w:val="20"/>
        </w:rPr>
        <w:t xml:space="preserve"> It is foreseen that certain activities currently undertaken under the Connecting Europe Facility for telecom will be taken forward in the context of the new digital Europe programme.</w:t>
      </w:r>
    </w:p>
    <w:p w14:paraId="7D6B83F3" w14:textId="6213E423" w:rsidR="00A15AB8" w:rsidRPr="00A04E56" w:rsidRDefault="00A15AB8" w:rsidP="00A766ED">
      <w:pPr>
        <w:pStyle w:val="Title2Report"/>
        <w:spacing w:before="400" w:after="200"/>
      </w:pPr>
      <w:bookmarkStart w:id="50" w:name="_Toc12020998"/>
      <w:bookmarkStart w:id="51" w:name="_Toc4603968"/>
      <w:bookmarkStart w:id="52" w:name="_Toc4680713"/>
      <w:bookmarkStart w:id="53" w:name="_Toc4682987"/>
      <w:bookmarkStart w:id="54" w:name="_Toc4683090"/>
      <w:r w:rsidRPr="00A04E56">
        <w:t>Competit</w:t>
      </w:r>
      <w:r w:rsidR="003D75CC" w:rsidRPr="00A04E56">
        <w:t xml:space="preserve">iveness of </w:t>
      </w:r>
      <w:r w:rsidR="00074D62" w:rsidRPr="00A04E56">
        <w:t>E</w:t>
      </w:r>
      <w:r w:rsidR="003D75CC" w:rsidRPr="00A04E56">
        <w:t>nterprises and small and medium-sized enterprises</w:t>
      </w:r>
      <w:bookmarkEnd w:id="50"/>
      <w:r w:rsidR="003D75CC" w:rsidRPr="00A04E56">
        <w:t xml:space="preserve"> </w:t>
      </w:r>
      <w:bookmarkEnd w:id="51"/>
      <w:bookmarkEnd w:id="52"/>
      <w:bookmarkEnd w:id="53"/>
      <w:bookmarkEnd w:id="54"/>
    </w:p>
    <w:p w14:paraId="20B1E9BB" w14:textId="77777777" w:rsidR="00A15AB8" w:rsidRPr="00A04E56" w:rsidRDefault="00A15AB8" w:rsidP="00A766ED">
      <w:pPr>
        <w:pStyle w:val="Title3NumberedReport"/>
        <w:spacing w:before="300" w:after="200"/>
      </w:pPr>
      <w:bookmarkStart w:id="55" w:name="_Toc4680714"/>
      <w:bookmarkStart w:id="56" w:name="_Toc4682988"/>
      <w:r w:rsidRPr="00A04E56">
        <w:t>Programme objectives</w:t>
      </w:r>
      <w:bookmarkEnd w:id="55"/>
      <w:bookmarkEnd w:id="56"/>
      <w:r w:rsidRPr="00A04E56">
        <w:t xml:space="preserve"> </w:t>
      </w:r>
    </w:p>
    <w:p w14:paraId="7E787D45" w14:textId="47408661" w:rsidR="00A15AB8" w:rsidRPr="00A04E56" w:rsidRDefault="00A15AB8" w:rsidP="00A766ED">
      <w:pPr>
        <w:pStyle w:val="BodyText1spaceafter"/>
        <w:keepNext/>
        <w:spacing w:after="200"/>
      </w:pPr>
      <w:r w:rsidRPr="00A04E56">
        <w:t xml:space="preserve">The </w:t>
      </w:r>
      <w:hyperlink r:id="rId115" w:history="1">
        <w:r w:rsidR="00A3328A" w:rsidRPr="00A04E56">
          <w:t>P</w:t>
        </w:r>
        <w:r w:rsidRPr="00A04E56">
          <w:t>rogramme for the</w:t>
        </w:r>
        <w:r w:rsidR="003D75CC" w:rsidRPr="00A04E56">
          <w:rPr>
            <w:noProof w:val="0"/>
          </w:rPr>
          <w:t xml:space="preserve"> </w:t>
        </w:r>
        <w:r w:rsidR="00A3328A" w:rsidRPr="00A04E56">
          <w:rPr>
            <w:noProof w:val="0"/>
          </w:rPr>
          <w:t>C</w:t>
        </w:r>
        <w:r w:rsidR="003D75CC" w:rsidRPr="00A04E56">
          <w:rPr>
            <w:noProof w:val="0"/>
          </w:rPr>
          <w:t xml:space="preserve">ompetitiveness of </w:t>
        </w:r>
        <w:r w:rsidR="00A3328A" w:rsidRPr="00A04E56">
          <w:rPr>
            <w:noProof w:val="0"/>
          </w:rPr>
          <w:t>E</w:t>
        </w:r>
        <w:r w:rsidR="003D75CC" w:rsidRPr="00A04E56">
          <w:rPr>
            <w:noProof w:val="0"/>
          </w:rPr>
          <w:t>nterprises and small and medium-sized ent</w:t>
        </w:r>
        <w:r w:rsidRPr="00A04E56">
          <w:t>erprises</w:t>
        </w:r>
      </w:hyperlink>
      <w:r w:rsidRPr="00A04E56">
        <w:t xml:space="preserve"> encompasses </w:t>
      </w:r>
      <w:r w:rsidRPr="00A04E56">
        <w:rPr>
          <w:rStyle w:val="BOLDLIGHTBLUEReport"/>
          <w:rFonts w:eastAsiaTheme="minorHAnsi"/>
        </w:rPr>
        <w:t xml:space="preserve">actions to support small </w:t>
      </w:r>
      <w:r w:rsidR="00743CDF" w:rsidRPr="00A04E56">
        <w:rPr>
          <w:rStyle w:val="BOLDLIGHTBLUEReport"/>
          <w:rFonts w:eastAsiaTheme="minorHAnsi"/>
        </w:rPr>
        <w:t>businesses</w:t>
      </w:r>
      <w:r w:rsidRPr="00A04E56">
        <w:t xml:space="preserve"> via grants</w:t>
      </w:r>
      <w:r w:rsidR="00D629DE" w:rsidRPr="00A04E56">
        <w:t>,</w:t>
      </w:r>
      <w:r w:rsidRPr="00A04E56">
        <w:t xml:space="preserve"> financial instruments</w:t>
      </w:r>
      <w:r w:rsidR="00743CDF" w:rsidRPr="00A04E56">
        <w:t xml:space="preserve"> and </w:t>
      </w:r>
      <w:r w:rsidR="00F27F0E" w:rsidRPr="00A04E56">
        <w:t>support</w:t>
      </w:r>
      <w:r w:rsidR="00743CDF" w:rsidRPr="00A04E56">
        <w:t xml:space="preserve"> services</w:t>
      </w:r>
      <w:r w:rsidRPr="00A04E56">
        <w:t xml:space="preserve">. </w:t>
      </w:r>
    </w:p>
    <w:p w14:paraId="36D7F10E" w14:textId="6F26C05C" w:rsidR="007E5B9B" w:rsidRPr="00A04E56" w:rsidRDefault="00D17ABA" w:rsidP="0010299C">
      <w:pPr>
        <w:pStyle w:val="BodyText"/>
        <w:keepNext/>
        <w:keepLines/>
        <w:spacing w:after="0"/>
        <w:jc w:val="center"/>
      </w:pPr>
      <w:r w:rsidRPr="00A04E56">
        <w:rPr>
          <w:noProof/>
          <w:lang w:val="fr-BE" w:eastAsia="fr-BE"/>
        </w:rPr>
        <mc:AlternateContent>
          <mc:Choice Requires="wps">
            <w:drawing>
              <wp:anchor distT="45720" distB="45720" distL="114300" distR="114300" simplePos="0" relativeHeight="251590656" behindDoc="0" locked="0" layoutInCell="1" allowOverlap="1" wp14:anchorId="13C2FE4A" wp14:editId="01E102D2">
                <wp:simplePos x="0" y="0"/>
                <wp:positionH relativeFrom="column">
                  <wp:posOffset>367284</wp:posOffset>
                </wp:positionH>
                <wp:positionV relativeFrom="paragraph">
                  <wp:posOffset>1488821</wp:posOffset>
                </wp:positionV>
                <wp:extent cx="4986528" cy="1404620"/>
                <wp:effectExtent l="0" t="0" r="5080" b="3175"/>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528" cy="1404620"/>
                        </a:xfrm>
                        <a:prstGeom prst="rect">
                          <a:avLst/>
                        </a:prstGeom>
                        <a:solidFill>
                          <a:srgbClr val="FFFFFF"/>
                        </a:solidFill>
                        <a:ln w="9525">
                          <a:noFill/>
                          <a:miter lim="800000"/>
                          <a:headEnd/>
                          <a:tailEnd/>
                        </a:ln>
                      </wps:spPr>
                      <wps:txbx>
                        <w:txbxContent>
                          <w:p w14:paraId="28427BA7" w14:textId="77777777" w:rsidR="003C0461" w:rsidRPr="007E5B9B" w:rsidRDefault="003C0461" w:rsidP="007E5B9B">
                            <w:pPr>
                              <w:jc w:val="center"/>
                              <w:rPr>
                                <w:color w:val="1C7E99" w:themeColor="accent2" w:themeShade="80"/>
                                <w:sz w:val="32"/>
                              </w:rPr>
                            </w:pPr>
                            <w:r w:rsidRPr="007E5B9B">
                              <w:rPr>
                                <w:color w:val="1C7E99" w:themeColor="accent2" w:themeShade="80"/>
                                <w:sz w:val="32"/>
                              </w:rPr>
                              <w:t>Helping European business</w:t>
                            </w:r>
                            <w:r>
                              <w:rPr>
                                <w:color w:val="1C7E99" w:themeColor="accent2" w:themeShade="80"/>
                                <w:sz w:val="32"/>
                              </w:rPr>
                              <w:t>es</w:t>
                            </w:r>
                            <w:r w:rsidRPr="007E5B9B">
                              <w:rPr>
                                <w:color w:val="1C7E99" w:themeColor="accent2" w:themeShade="80"/>
                                <w:sz w:val="32"/>
                              </w:rPr>
                              <w:t xml:space="preserve"> reach their full potential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2FE4A" id="_x0000_s1119" type="#_x0000_t202" style="position:absolute;left:0;text-align:left;margin-left:28.9pt;margin-top:117.25pt;width:392.65pt;height:110.6pt;z-index:251590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" stroked="f">
                <v:textbox style="mso-fit-shape-to-text:t">
                  <w:txbxContent>
                    <w:p w14:paraId="28427BA7" w14:textId="77777777" w:rsidR="003C0461" w:rsidRPr="007E5B9B" w:rsidRDefault="003C0461" w:rsidP="007E5B9B">
                      <w:pPr>
                        <w:jc w:val="center"/>
                        <w:rPr>
                          <w:color w:val="1C7E99" w:themeColor="accent2" w:themeShade="80"/>
                          <w:sz w:val="32"/>
                        </w:rPr>
                      </w:pPr>
                      <w:r w:rsidRPr="007E5B9B">
                        <w:rPr>
                          <w:color w:val="1C7E99" w:themeColor="accent2" w:themeShade="80"/>
                          <w:sz w:val="32"/>
                        </w:rPr>
                        <w:t>Helping European business</w:t>
                      </w:r>
                      <w:r>
                        <w:rPr>
                          <w:color w:val="1C7E99" w:themeColor="accent2" w:themeShade="80"/>
                          <w:sz w:val="32"/>
                        </w:rPr>
                        <w:t>es</w:t>
                      </w:r>
                      <w:r w:rsidRPr="007E5B9B">
                        <w:rPr>
                          <w:color w:val="1C7E99" w:themeColor="accent2" w:themeShade="80"/>
                          <w:sz w:val="32"/>
                        </w:rPr>
                        <w:t xml:space="preserve"> reach their full potential</w:t>
                      </w:r>
                    </w:p>
                  </w:txbxContent>
                </v:textbox>
              </v:shape>
            </w:pict>
          </mc:Fallback>
        </mc:AlternateContent>
      </w:r>
      <w:r w:rsidR="00153E6E" w:rsidRPr="00A04E56">
        <w:rPr>
          <w:noProof/>
          <w:lang w:val="fr-BE" w:eastAsia="fr-BE"/>
        </w:rPr>
        <mc:AlternateContent>
          <mc:Choice Requires="wps">
            <w:drawing>
              <wp:anchor distT="45720" distB="45720" distL="114300" distR="114300" simplePos="0" relativeHeight="251594752" behindDoc="0" locked="0" layoutInCell="1" allowOverlap="1" wp14:anchorId="1F60FCE6" wp14:editId="3035F25B">
                <wp:simplePos x="0" y="0"/>
                <wp:positionH relativeFrom="column">
                  <wp:posOffset>382270</wp:posOffset>
                </wp:positionH>
                <wp:positionV relativeFrom="paragraph">
                  <wp:posOffset>204631</wp:posOffset>
                </wp:positionV>
                <wp:extent cx="4986020" cy="1030406"/>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20" cy="1030406"/>
                        </a:xfrm>
                        <a:prstGeom prst="rect">
                          <a:avLst/>
                        </a:prstGeom>
                        <a:noFill/>
                        <a:ln w="9525">
                          <a:noFill/>
                          <a:miter lim="800000"/>
                          <a:headEnd/>
                          <a:tailEnd/>
                        </a:ln>
                      </wps:spPr>
                      <wps:txbx>
                        <w:txbxContent>
                          <w:p w14:paraId="4D885E28" w14:textId="51DD21AF" w:rsidR="003C0461" w:rsidRPr="00153E6E" w:rsidRDefault="003C0461" w:rsidP="007E5B9B">
                            <w:pPr>
                              <w:jc w:val="center"/>
                              <w:rPr>
                                <w:color w:val="1C7E99" w:themeColor="accent2" w:themeShade="80"/>
                                <w:sz w:val="28"/>
                              </w:rPr>
                            </w:pPr>
                            <w:r w:rsidRPr="00153E6E">
                              <w:rPr>
                                <w:color w:val="1C7E99" w:themeColor="accent2" w:themeShade="80"/>
                                <w:sz w:val="28"/>
                              </w:rPr>
                              <w:t>2014-2020</w:t>
                            </w:r>
                          </w:p>
                          <w:p w14:paraId="198E749C" w14:textId="77777777" w:rsidR="003C0461" w:rsidRPr="0057344B" w:rsidRDefault="003C0461" w:rsidP="007E5B9B">
                            <w:pPr>
                              <w:jc w:val="center"/>
                              <w:rPr>
                                <w:color w:val="1C7E99" w:themeColor="accent2" w:themeShade="80"/>
                                <w:sz w:val="48"/>
                              </w:rPr>
                            </w:pPr>
                            <w:r w:rsidRPr="0057344B">
                              <w:rPr>
                                <w:color w:val="1C7E99" w:themeColor="accent2" w:themeShade="80"/>
                                <w:sz w:val="48"/>
                              </w:rPr>
                              <w:t>EUR 2.4</w:t>
                            </w:r>
                          </w:p>
                          <w:p w14:paraId="091C4E54" w14:textId="77777777" w:rsidR="003C0461" w:rsidRPr="0057344B" w:rsidRDefault="003C0461" w:rsidP="007E5B9B">
                            <w:pPr>
                              <w:jc w:val="center"/>
                              <w:rPr>
                                <w:color w:val="1C7E99" w:themeColor="accent2" w:themeShade="80"/>
                                <w:sz w:val="32"/>
                              </w:rPr>
                            </w:pPr>
                            <w:r w:rsidRPr="0057344B">
                              <w:rPr>
                                <w:color w:val="1C7E99" w:themeColor="accent2" w:themeShade="80"/>
                                <w:sz w:val="32"/>
                              </w:rPr>
                              <w:t>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0FCE6" id="_x0000_s1120" type="#_x0000_t202" style="position:absolute;left:0;text-align:left;margin-left:30.1pt;margin-top:16.1pt;width:392.6pt;height:81.15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" filled="f" stroked="f">
                <v:textbox>
                  <w:txbxContent>
                    <w:p w14:paraId="4D885E28" w14:textId="51DD21AF" w:rsidR="003C0461" w:rsidRPr="00153E6E" w:rsidRDefault="003C0461" w:rsidP="007E5B9B">
                      <w:pPr>
                        <w:jc w:val="center"/>
                        <w:rPr>
                          <w:color w:val="1C7E99" w:themeColor="accent2" w:themeShade="80"/>
                          <w:sz w:val="28"/>
                        </w:rPr>
                      </w:pPr>
                      <w:r w:rsidRPr="00153E6E">
                        <w:rPr>
                          <w:color w:val="1C7E99" w:themeColor="accent2" w:themeShade="80"/>
                          <w:sz w:val="28"/>
                        </w:rPr>
                        <w:t>2014-2020</w:t>
                      </w:r>
                    </w:p>
                    <w:p w14:paraId="198E749C" w14:textId="77777777" w:rsidR="003C0461" w:rsidRPr="0057344B" w:rsidRDefault="003C0461" w:rsidP="007E5B9B">
                      <w:pPr>
                        <w:jc w:val="center"/>
                        <w:rPr>
                          <w:color w:val="1C7E99" w:themeColor="accent2" w:themeShade="80"/>
                          <w:sz w:val="48"/>
                        </w:rPr>
                      </w:pPr>
                      <w:r w:rsidRPr="0057344B">
                        <w:rPr>
                          <w:color w:val="1C7E99" w:themeColor="accent2" w:themeShade="80"/>
                          <w:sz w:val="48"/>
                        </w:rPr>
                        <w:t>EUR 2.4</w:t>
                      </w:r>
                    </w:p>
                    <w:p w14:paraId="091C4E54" w14:textId="77777777" w:rsidR="003C0461" w:rsidRPr="0057344B" w:rsidRDefault="003C0461" w:rsidP="007E5B9B">
                      <w:pPr>
                        <w:jc w:val="center"/>
                        <w:rPr>
                          <w:color w:val="1C7E99" w:themeColor="accent2" w:themeShade="80"/>
                          <w:sz w:val="32"/>
                        </w:rPr>
                      </w:pPr>
                      <w:r w:rsidRPr="0057344B">
                        <w:rPr>
                          <w:color w:val="1C7E99" w:themeColor="accent2" w:themeShade="80"/>
                          <w:sz w:val="32"/>
                        </w:rPr>
                        <w:t>billion</w:t>
                      </w:r>
                    </w:p>
                  </w:txbxContent>
                </v:textbox>
              </v:shape>
            </w:pict>
          </mc:Fallback>
        </mc:AlternateContent>
      </w:r>
      <w:r w:rsidR="00046FF3" w:rsidRPr="00A04E56">
        <w:rPr>
          <w:noProof/>
          <w:lang w:val="fr-BE" w:eastAsia="fr-BE"/>
        </w:rPr>
        <mc:AlternateContent>
          <mc:Choice Requires="wps">
            <w:drawing>
              <wp:anchor distT="45720" distB="45720" distL="114300" distR="114300" simplePos="0" relativeHeight="251654144" behindDoc="0" locked="0" layoutInCell="1" allowOverlap="1" wp14:anchorId="2CA9C265" wp14:editId="209F4C27">
                <wp:simplePos x="0" y="0"/>
                <wp:positionH relativeFrom="column">
                  <wp:posOffset>1622425</wp:posOffset>
                </wp:positionH>
                <wp:positionV relativeFrom="paragraph">
                  <wp:posOffset>2792222</wp:posOffset>
                </wp:positionV>
                <wp:extent cx="1280160" cy="524256"/>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4256"/>
                        </a:xfrm>
                        <a:prstGeom prst="rect">
                          <a:avLst/>
                        </a:prstGeom>
                        <a:noFill/>
                        <a:ln w="9525">
                          <a:noFill/>
                          <a:miter lim="800000"/>
                          <a:headEnd/>
                          <a:tailEnd/>
                        </a:ln>
                      </wps:spPr>
                      <wps:txbx>
                        <w:txbxContent>
                          <w:p w14:paraId="7A6F6CA2" w14:textId="01A4B467"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Access</w:t>
                            </w:r>
                          </w:p>
                          <w:p w14:paraId="39630F87" w14:textId="110EA8D3"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to markets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9C265" id="_x0000_s1121" type="#_x0000_t202" style="position:absolute;left:0;text-align:left;margin-left:127.75pt;margin-top:219.85pt;width:100.8pt;height:41.3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" filled="f" stroked="f">
                <v:textbox>
                  <w:txbxContent>
                    <w:p w14:paraId="7A6F6CA2" w14:textId="01A4B467"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Access</w:t>
                      </w:r>
                    </w:p>
                    <w:p w14:paraId="39630F87" w14:textId="110EA8D3"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to markets</w:t>
                      </w:r>
                    </w:p>
                  </w:txbxContent>
                </v:textbox>
              </v:shape>
            </w:pict>
          </mc:Fallback>
        </mc:AlternateContent>
      </w:r>
      <w:r w:rsidR="00046FF3" w:rsidRPr="00A04E56">
        <w:rPr>
          <w:noProof/>
          <w:lang w:val="fr-BE" w:eastAsia="fr-BE"/>
        </w:rPr>
        <mc:AlternateContent>
          <mc:Choice Requires="wps">
            <w:drawing>
              <wp:anchor distT="45720" distB="45720" distL="114300" distR="114300" simplePos="0" relativeHeight="251658240" behindDoc="0" locked="0" layoutInCell="1" allowOverlap="1" wp14:anchorId="1CF3E6FC" wp14:editId="1A393C67">
                <wp:simplePos x="0" y="0"/>
                <wp:positionH relativeFrom="column">
                  <wp:posOffset>2872359</wp:posOffset>
                </wp:positionH>
                <wp:positionV relativeFrom="paragraph">
                  <wp:posOffset>2824226</wp:posOffset>
                </wp:positionV>
                <wp:extent cx="1280160" cy="524256"/>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4256"/>
                        </a:xfrm>
                        <a:prstGeom prst="rect">
                          <a:avLst/>
                        </a:prstGeom>
                        <a:noFill/>
                        <a:ln w="9525">
                          <a:noFill/>
                          <a:miter lim="800000"/>
                          <a:headEnd/>
                          <a:tailEnd/>
                        </a:ln>
                      </wps:spPr>
                      <wps:txbx>
                        <w:txbxContent>
                          <w:p w14:paraId="6462784C" w14:textId="6062CC45"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Improving business conditions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3E6FC" id="_x0000_s1122" type="#_x0000_t202" style="position:absolute;left:0;text-align:left;margin-left:226.15pt;margin-top:222.4pt;width:100.8pt;height:41.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" filled="f" stroked="f">
                <v:textbox>
                  <w:txbxContent>
                    <w:p w14:paraId="6462784C" w14:textId="6062CC45"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Improving business conditions</w:t>
                      </w:r>
                    </w:p>
                  </w:txbxContent>
                </v:textbox>
              </v:shape>
            </w:pict>
          </mc:Fallback>
        </mc:AlternateContent>
      </w:r>
      <w:r w:rsidR="00046FF3" w:rsidRPr="00A04E56">
        <w:rPr>
          <w:noProof/>
          <w:lang w:val="fr-BE" w:eastAsia="fr-BE"/>
        </w:rPr>
        <mc:AlternateContent>
          <mc:Choice Requires="wps">
            <w:drawing>
              <wp:anchor distT="45720" distB="45720" distL="114300" distR="114300" simplePos="0" relativeHeight="251645952" behindDoc="0" locked="0" layoutInCell="1" allowOverlap="1" wp14:anchorId="54BA0C45" wp14:editId="20CEF2CB">
                <wp:simplePos x="0" y="0"/>
                <wp:positionH relativeFrom="column">
                  <wp:posOffset>3439414</wp:posOffset>
                </wp:positionH>
                <wp:positionV relativeFrom="paragraph">
                  <wp:posOffset>671830</wp:posOffset>
                </wp:positionV>
                <wp:extent cx="1853184" cy="140462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184" cy="1404620"/>
                        </a:xfrm>
                        <a:prstGeom prst="rect">
                          <a:avLst/>
                        </a:prstGeom>
                        <a:noFill/>
                        <a:ln w="9525">
                          <a:noFill/>
                          <a:miter lim="800000"/>
                          <a:headEnd/>
                          <a:tailEnd/>
                        </a:ln>
                      </wps:spPr>
                      <wps:txbx>
                        <w:txbxContent>
                          <w:p w14:paraId="5310292A" w14:textId="5906632D" w:rsidR="003C0461" w:rsidRPr="007E5B9B" w:rsidRDefault="003C0461" w:rsidP="00046FF3">
                            <w:pPr>
                              <w:jc w:val="right"/>
                              <w:rPr>
                                <w:color w:val="35B6D9" w:themeColor="accent2" w:themeShade="BF"/>
                                <w:sz w:val="22"/>
                              </w:rPr>
                            </w:pPr>
                            <w:r w:rsidRPr="007E5B9B">
                              <w:rPr>
                                <w:color w:val="35B6D9" w:themeColor="accent2" w:themeShade="BF"/>
                                <w:sz w:val="22"/>
                              </w:rPr>
                              <w:t>Small and medium-sized</w:t>
                            </w:r>
                            <w:r>
                              <w:rPr>
                                <w:color w:val="35B6D9" w:themeColor="accent2" w:themeShade="BF"/>
                                <w:sz w:val="22"/>
                              </w:rPr>
                              <w:t xml:space="preserve"> enterprises</w:t>
                            </w:r>
                            <w:r w:rsidRPr="007E5B9B">
                              <w:rPr>
                                <w:color w:val="35B6D9" w:themeColor="accent2" w:themeShade="BF"/>
                                <w:sz w:val="22"/>
                              </w:rPr>
                              <w:t xml:space="preserve"> </w:t>
                            </w:r>
                            <w:r>
                              <w:rPr>
                                <w:color w:val="35B6D9" w:themeColor="accent2" w:themeShade="BF"/>
                                <w:sz w:val="22"/>
                              </w:rPr>
                              <w:t>represent 99% of all businesses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BA0C45" id="_x0000_s1123" type="#_x0000_t202" style="position:absolute;left:0;text-align:left;margin-left:270.8pt;margin-top:52.9pt;width:145.9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" filled="f" stroked="f">
                <v:textbox style="mso-fit-shape-to-text:t">
                  <w:txbxContent>
                    <w:p w14:paraId="5310292A" w14:textId="5906632D" w:rsidR="003C0461" w:rsidRPr="007E5B9B" w:rsidRDefault="003C0461" w:rsidP="00046FF3">
                      <w:pPr>
                        <w:jc w:val="right"/>
                        <w:rPr>
                          <w:color w:val="35B6D9" w:themeColor="accent2" w:themeShade="BF"/>
                          <w:sz w:val="22"/>
                        </w:rPr>
                      </w:pPr>
                      <w:r w:rsidRPr="007E5B9B">
                        <w:rPr>
                          <w:color w:val="35B6D9" w:themeColor="accent2" w:themeShade="BF"/>
                          <w:sz w:val="22"/>
                        </w:rPr>
                        <w:t>Small and medium-sized</w:t>
                      </w:r>
                      <w:r>
                        <w:rPr>
                          <w:color w:val="35B6D9" w:themeColor="accent2" w:themeShade="BF"/>
                          <w:sz w:val="22"/>
                        </w:rPr>
                        <w:t xml:space="preserve"> enterprises</w:t>
                      </w:r>
                      <w:r w:rsidRPr="007E5B9B">
                        <w:rPr>
                          <w:color w:val="35B6D9" w:themeColor="accent2" w:themeShade="BF"/>
                          <w:sz w:val="22"/>
                        </w:rPr>
                        <w:t xml:space="preserve"> </w:t>
                      </w:r>
                      <w:r>
                        <w:rPr>
                          <w:color w:val="35B6D9" w:themeColor="accent2" w:themeShade="BF"/>
                          <w:sz w:val="22"/>
                        </w:rPr>
                        <w:t>represent 99% of all businesses</w:t>
                      </w:r>
                    </w:p>
                  </w:txbxContent>
                </v:textbox>
              </v:shape>
            </w:pict>
          </mc:Fallback>
        </mc:AlternateContent>
      </w:r>
      <w:r w:rsidR="00046FF3" w:rsidRPr="00A04E56">
        <w:rPr>
          <w:noProof/>
          <w:lang w:val="fr-BE" w:eastAsia="fr-BE"/>
        </w:rPr>
        <mc:AlternateContent>
          <mc:Choice Requires="wps">
            <w:drawing>
              <wp:anchor distT="45720" distB="45720" distL="114300" distR="114300" simplePos="0" relativeHeight="251662336" behindDoc="0" locked="0" layoutInCell="1" allowOverlap="1" wp14:anchorId="08736B8A" wp14:editId="3E451224">
                <wp:simplePos x="0" y="0"/>
                <wp:positionH relativeFrom="column">
                  <wp:posOffset>4079113</wp:posOffset>
                </wp:positionH>
                <wp:positionV relativeFrom="paragraph">
                  <wp:posOffset>2872740</wp:posOffset>
                </wp:positionV>
                <wp:extent cx="1280160" cy="524256"/>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4256"/>
                        </a:xfrm>
                        <a:prstGeom prst="rect">
                          <a:avLst/>
                        </a:prstGeom>
                        <a:noFill/>
                        <a:ln w="9525">
                          <a:noFill/>
                          <a:miter lim="800000"/>
                          <a:headEnd/>
                          <a:tailEnd/>
                        </a:ln>
                      </wps:spPr>
                      <wps:txbx>
                        <w:txbxContent>
                          <w:p w14:paraId="704C0617" w14:textId="79F8FA1B"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Entrepreneurship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36B8A" id="_x0000_s1124" type="#_x0000_t202" style="position:absolute;left:0;text-align:left;margin-left:321.2pt;margin-top:226.2pt;width:100.8pt;height:41.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" filled="f" stroked="f">
                <v:textbox>
                  <w:txbxContent>
                    <w:p w14:paraId="704C0617" w14:textId="79F8FA1B" w:rsidR="003C0461" w:rsidRPr="004E0A7C" w:rsidRDefault="003C0461" w:rsidP="00046FF3">
                      <w:pPr>
                        <w:jc w:val="center"/>
                        <w:rPr>
                          <w:color w:val="27656F" w:themeColor="accent1" w:themeShade="80"/>
                          <w:sz w:val="18"/>
                          <w:szCs w:val="18"/>
                        </w:rPr>
                      </w:pPr>
                      <w:r w:rsidRPr="004E0A7C">
                        <w:rPr>
                          <w:color w:val="27656F" w:themeColor="accent1" w:themeShade="80"/>
                          <w:sz w:val="18"/>
                          <w:szCs w:val="18"/>
                        </w:rPr>
                        <w:t>Entrepreneurship</w:t>
                      </w:r>
                    </w:p>
                  </w:txbxContent>
                </v:textbox>
              </v:shape>
            </w:pict>
          </mc:Fallback>
        </mc:AlternateContent>
      </w:r>
      <w:r w:rsidR="00046FF3" w:rsidRPr="00A04E56">
        <w:rPr>
          <w:noProof/>
          <w:lang w:val="fr-BE" w:eastAsia="fr-BE"/>
        </w:rPr>
        <mc:AlternateContent>
          <mc:Choice Requires="wps">
            <w:drawing>
              <wp:anchor distT="45720" distB="45720" distL="114300" distR="114300" simplePos="0" relativeHeight="251650048" behindDoc="0" locked="0" layoutInCell="1" allowOverlap="1" wp14:anchorId="33405599" wp14:editId="7AD5B1FC">
                <wp:simplePos x="0" y="0"/>
                <wp:positionH relativeFrom="column">
                  <wp:posOffset>416179</wp:posOffset>
                </wp:positionH>
                <wp:positionV relativeFrom="paragraph">
                  <wp:posOffset>2805811</wp:posOffset>
                </wp:positionV>
                <wp:extent cx="1280160" cy="475488"/>
                <wp:effectExtent l="0" t="0" r="0" b="127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475488"/>
                        </a:xfrm>
                        <a:prstGeom prst="rect">
                          <a:avLst/>
                        </a:prstGeom>
                        <a:noFill/>
                        <a:ln w="9525">
                          <a:noFill/>
                          <a:miter lim="800000"/>
                          <a:headEnd/>
                          <a:tailEnd/>
                        </a:ln>
                      </wps:spPr>
                      <wps:txbx>
                        <w:txbxContent>
                          <w:p w14:paraId="5749668F" w14:textId="0299880F" w:rsidR="003C0461" w:rsidRPr="004E0A7C" w:rsidRDefault="003C0461" w:rsidP="00046FF3">
                            <w:pPr>
                              <w:jc w:val="center"/>
                              <w:rPr>
                                <w:color w:val="27656F" w:themeColor="accent1" w:themeShade="80"/>
                                <w:sz w:val="18"/>
                              </w:rPr>
                            </w:pPr>
                            <w:r w:rsidRPr="004E0A7C">
                              <w:rPr>
                                <w:color w:val="27656F" w:themeColor="accent1" w:themeShade="80"/>
                                <w:sz w:val="18"/>
                              </w:rPr>
                              <w:t>Access</w:t>
                            </w:r>
                          </w:p>
                          <w:p w14:paraId="187F912D" w14:textId="2A2E8FA5" w:rsidR="003C0461" w:rsidRPr="004E0A7C" w:rsidRDefault="003C0461" w:rsidP="00046FF3">
                            <w:pPr>
                              <w:jc w:val="center"/>
                              <w:rPr>
                                <w:color w:val="27656F" w:themeColor="accent1" w:themeShade="80"/>
                                <w:sz w:val="18"/>
                              </w:rPr>
                            </w:pPr>
                            <w:r w:rsidRPr="004E0A7C">
                              <w:rPr>
                                <w:color w:val="27656F" w:themeColor="accent1" w:themeShade="80"/>
                                <w:sz w:val="18"/>
                              </w:rPr>
                              <w:t>to finance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05599" id="_x0000_s1125" type="#_x0000_t202" style="position:absolute;left:0;text-align:left;margin-left:32.75pt;margin-top:220.95pt;width:100.8pt;height:37.4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" filled="f" stroked="f">
                <v:textbox>
                  <w:txbxContent>
                    <w:p w14:paraId="5749668F" w14:textId="0299880F" w:rsidR="003C0461" w:rsidRPr="004E0A7C" w:rsidRDefault="003C0461" w:rsidP="00046FF3">
                      <w:pPr>
                        <w:jc w:val="center"/>
                        <w:rPr>
                          <w:color w:val="27656F" w:themeColor="accent1" w:themeShade="80"/>
                          <w:sz w:val="18"/>
                        </w:rPr>
                      </w:pPr>
                      <w:r w:rsidRPr="004E0A7C">
                        <w:rPr>
                          <w:color w:val="27656F" w:themeColor="accent1" w:themeShade="80"/>
                          <w:sz w:val="18"/>
                        </w:rPr>
                        <w:t>Access</w:t>
                      </w:r>
                    </w:p>
                    <w:p w14:paraId="187F912D" w14:textId="2A2E8FA5" w:rsidR="003C0461" w:rsidRPr="004E0A7C" w:rsidRDefault="003C0461" w:rsidP="00046FF3">
                      <w:pPr>
                        <w:jc w:val="center"/>
                        <w:rPr>
                          <w:color w:val="27656F" w:themeColor="accent1" w:themeShade="80"/>
                          <w:sz w:val="18"/>
                        </w:rPr>
                      </w:pPr>
                      <w:r w:rsidRPr="004E0A7C">
                        <w:rPr>
                          <w:color w:val="27656F" w:themeColor="accent1" w:themeShade="80"/>
                          <w:sz w:val="18"/>
                        </w:rPr>
                        <w:t>to finance</w:t>
                      </w:r>
                    </w:p>
                  </w:txbxContent>
                </v:textbox>
              </v:shape>
            </w:pict>
          </mc:Fallback>
        </mc:AlternateContent>
      </w:r>
      <w:r w:rsidR="007E5B9B" w:rsidRPr="00A04E56">
        <w:rPr>
          <w:noProof/>
          <w:lang w:val="fr-BE" w:eastAsia="fr-BE"/>
        </w:rPr>
        <mc:AlternateContent>
          <mc:Choice Requires="wps">
            <w:drawing>
              <wp:anchor distT="45720" distB="45720" distL="114300" distR="114300" simplePos="0" relativeHeight="251598848" behindDoc="0" locked="0" layoutInCell="1" allowOverlap="1" wp14:anchorId="338CEBF5" wp14:editId="731A189D">
                <wp:simplePos x="0" y="0"/>
                <wp:positionH relativeFrom="column">
                  <wp:posOffset>379476</wp:posOffset>
                </wp:positionH>
                <wp:positionV relativeFrom="paragraph">
                  <wp:posOffset>671830</wp:posOffset>
                </wp:positionV>
                <wp:extent cx="1853184" cy="140462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184" cy="1404620"/>
                        </a:xfrm>
                        <a:prstGeom prst="rect">
                          <a:avLst/>
                        </a:prstGeom>
                        <a:noFill/>
                        <a:ln w="9525">
                          <a:noFill/>
                          <a:miter lim="800000"/>
                          <a:headEnd/>
                          <a:tailEnd/>
                        </a:ln>
                      </wps:spPr>
                      <wps:txbx>
                        <w:txbxContent>
                          <w:p w14:paraId="3BA36CFE" w14:textId="2D3445AA" w:rsidR="003C0461" w:rsidRPr="007E5B9B" w:rsidRDefault="003C0461" w:rsidP="007E5B9B">
                            <w:pPr>
                              <w:rPr>
                                <w:color w:val="35B6D9" w:themeColor="accent2" w:themeShade="BF"/>
                                <w:sz w:val="22"/>
                              </w:rPr>
                            </w:pPr>
                            <w:r w:rsidRPr="007E5B9B">
                              <w:rPr>
                                <w:color w:val="35B6D9" w:themeColor="accent2" w:themeShade="BF"/>
                                <w:sz w:val="22"/>
                              </w:rPr>
                              <w:t>Small and medium-sized enterprises provide 85% of all new jobs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CEBF5" id="_x0000_s1126" type="#_x0000_t202" style="position:absolute;left:0;text-align:left;margin-left:29.9pt;margin-top:52.9pt;width:145.9pt;height:110.6pt;z-index:251598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" filled="f" stroked="f">
                <v:textbox style="mso-fit-shape-to-text:t">
                  <w:txbxContent>
                    <w:p w14:paraId="3BA36CFE" w14:textId="2D3445AA" w:rsidR="003C0461" w:rsidRPr="007E5B9B" w:rsidRDefault="003C0461" w:rsidP="007E5B9B">
                      <w:pPr>
                        <w:rPr>
                          <w:color w:val="35B6D9" w:themeColor="accent2" w:themeShade="BF"/>
                          <w:sz w:val="22"/>
                        </w:rPr>
                      </w:pPr>
                      <w:r w:rsidRPr="007E5B9B">
                        <w:rPr>
                          <w:color w:val="35B6D9" w:themeColor="accent2" w:themeShade="BF"/>
                          <w:sz w:val="22"/>
                        </w:rPr>
                        <w:t>Small and medium-sized enterprises provide 85% of all new jobs</w:t>
                      </w:r>
                    </w:p>
                  </w:txbxContent>
                </v:textbox>
              </v:shape>
            </w:pict>
          </mc:Fallback>
        </mc:AlternateContent>
      </w:r>
      <w:r w:rsidR="000833BC">
        <w:rPr>
          <w:noProof/>
          <w:lang w:val="fr-BE" w:eastAsia="fr-BE"/>
        </w:rPr>
        <w:drawing>
          <wp:inline distT="0" distB="0" distL="0" distR="0" wp14:anchorId="538628B1" wp14:editId="4B2F39D8">
            <wp:extent cx="5759450" cy="392811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COSME-graph--EN--1.0.png"/>
                    <pic:cNvPicPr/>
                  </pic:nvPicPr>
                  <pic:blipFill>
                    <a:blip r:embed="rId116" cstate="email">
                      <a:extLst>
                        <a:ext uri="{28A0092B-C50C-407E-A947-70E740481C1C}">
                          <a14:useLocalDpi xmlns:a14="http://schemas.microsoft.com/office/drawing/2010/main"/>
                        </a:ext>
                      </a:extLst>
                    </a:blip>
                    <a:stretch>
                      <a:fillRect/>
                    </a:stretch>
                  </pic:blipFill>
                  <pic:spPr>
                    <a:xfrm>
                      <a:off x="0" y="0"/>
                      <a:ext cx="5759450" cy="3928110"/>
                    </a:xfrm>
                    <a:prstGeom prst="rect">
                      <a:avLst/>
                    </a:prstGeom>
                  </pic:spPr>
                </pic:pic>
              </a:graphicData>
            </a:graphic>
          </wp:inline>
        </w:drawing>
      </w:r>
    </w:p>
    <w:p w14:paraId="36C2AD17" w14:textId="51DC9728" w:rsidR="0010549E" w:rsidRPr="00A04E56" w:rsidRDefault="0010549E" w:rsidP="0010549E">
      <w:pPr>
        <w:pStyle w:val="Source-Table-Chart-PhotoCaption"/>
      </w:pPr>
      <w:r w:rsidRPr="00107DA0">
        <w:rPr>
          <w:rStyle w:val="italics"/>
        </w:rPr>
        <w:t>Source:</w:t>
      </w:r>
      <w:r w:rsidRPr="00A04E56">
        <w:t xml:space="preserve"> European </w:t>
      </w:r>
      <w:r>
        <w:t>Commission</w:t>
      </w:r>
    </w:p>
    <w:p w14:paraId="21332CE5" w14:textId="18413E27" w:rsidR="00657E89" w:rsidRPr="00A04E56" w:rsidRDefault="004F2D8F" w:rsidP="006016A8">
      <w:pPr>
        <w:pStyle w:val="BodyText1spacebeforeandafter"/>
      </w:pPr>
      <w:r w:rsidRPr="00A04E56">
        <w:t xml:space="preserve">The programme is improving access to finance for </w:t>
      </w:r>
      <w:r w:rsidRPr="00A04E56" w:rsidDel="00D629DE">
        <w:t>small and medium-sized enterprises</w:t>
      </w:r>
      <w:r w:rsidRPr="00A04E56">
        <w:t xml:space="preserve"> through two financial instruments, the </w:t>
      </w:r>
      <w:r w:rsidR="002B5F47" w:rsidRPr="00A04E56">
        <w:t xml:space="preserve">loan-guarantee facility </w:t>
      </w:r>
      <w:r w:rsidRPr="00A04E56">
        <w:t xml:space="preserve">and the </w:t>
      </w:r>
      <w:r w:rsidR="002B5F47" w:rsidRPr="00A04E56">
        <w:t>equity facility for growth</w:t>
      </w:r>
      <w:r w:rsidRPr="00A04E56">
        <w:t>. Both instruments are managed by the European Investment Fund and facilitate access to loans and equity finance for riskier small businesses, which otherwise would not have been able to get the financing they need.</w:t>
      </w:r>
    </w:p>
    <w:p w14:paraId="433DDC30" w14:textId="5B0F7321" w:rsidR="00D60064" w:rsidRPr="00A04E56" w:rsidRDefault="00D60064" w:rsidP="00AA0340">
      <w:pPr>
        <w:pStyle w:val="Title3NumberedReport"/>
      </w:pPr>
      <w:bookmarkStart w:id="57" w:name="_Toc4680715"/>
      <w:bookmarkStart w:id="58" w:name="_Toc4682989"/>
      <w:r w:rsidRPr="00A04E56">
        <w:t>Implementation and latest achievements</w:t>
      </w:r>
    </w:p>
    <w:bookmarkEnd w:id="57"/>
    <w:bookmarkEnd w:id="58"/>
    <w:p w14:paraId="40E9355E" w14:textId="1CBF8EE0" w:rsidR="00194BFB" w:rsidRPr="00A04E56" w:rsidRDefault="00194BFB" w:rsidP="000005E7">
      <w:pPr>
        <w:pStyle w:val="BodyText1spaceafter"/>
      </w:pPr>
      <w:r w:rsidRPr="00A04E56">
        <w:t xml:space="preserve">Since </w:t>
      </w:r>
      <w:r w:rsidR="00AB32F3" w:rsidRPr="00A04E56">
        <w:t xml:space="preserve">2015 </w:t>
      </w:r>
      <w:r w:rsidR="00E11962" w:rsidRPr="00A04E56">
        <w:t xml:space="preserve">and </w:t>
      </w:r>
      <w:r w:rsidRPr="00A04E56">
        <w:t xml:space="preserve">as part of the </w:t>
      </w:r>
      <w:r w:rsidR="00AE4B2D" w:rsidRPr="00A04E56">
        <w:t>i</w:t>
      </w:r>
      <w:r w:rsidRPr="00A04E56">
        <w:t xml:space="preserve">nvestment </w:t>
      </w:r>
      <w:r w:rsidR="00AE4B2D" w:rsidRPr="00A04E56">
        <w:t>p</w:t>
      </w:r>
      <w:r w:rsidRPr="00A04E56">
        <w:t xml:space="preserve">lan </w:t>
      </w:r>
      <w:r w:rsidR="00743CDF" w:rsidRPr="00A04E56">
        <w:t>for Europe</w:t>
      </w:r>
      <w:r w:rsidRPr="00A04E56">
        <w:t>, funding opportunities under the</w:t>
      </w:r>
      <w:r w:rsidR="00AE4B2D" w:rsidRPr="00A04E56">
        <w:t xml:space="preserve"> </w:t>
      </w:r>
      <w:r w:rsidR="00AE4B2D" w:rsidRPr="00A04E56">
        <w:rPr>
          <w:rStyle w:val="BOLDLIGHTBLUEReport"/>
          <w:rFonts w:eastAsia="Calibri"/>
        </w:rPr>
        <w:t xml:space="preserve">loan-guarantee </w:t>
      </w:r>
      <w:r w:rsidR="002B5F47" w:rsidRPr="00A04E56">
        <w:rPr>
          <w:rStyle w:val="BOLDLIGHTBLUEReport"/>
          <w:rFonts w:eastAsia="Calibri"/>
        </w:rPr>
        <w:t>facility</w:t>
      </w:r>
      <w:r w:rsidRPr="00A04E56">
        <w:t xml:space="preserve"> have been enhanced with the support of the E</w:t>
      </w:r>
      <w:r w:rsidRPr="00A04E56" w:rsidDel="00E11962">
        <w:t xml:space="preserve">uropean </w:t>
      </w:r>
      <w:r w:rsidRPr="00A04E56">
        <w:t>F</w:t>
      </w:r>
      <w:r w:rsidRPr="00A04E56" w:rsidDel="00E11962">
        <w:t xml:space="preserve">und for </w:t>
      </w:r>
      <w:r w:rsidRPr="00A04E56">
        <w:t>S</w:t>
      </w:r>
      <w:r w:rsidRPr="00A04E56" w:rsidDel="00E11962">
        <w:t xml:space="preserve">trategic </w:t>
      </w:r>
      <w:r w:rsidRPr="00A04E56">
        <w:t>I</w:t>
      </w:r>
      <w:r w:rsidRPr="00A04E56" w:rsidDel="00E11962">
        <w:t>nvestments</w:t>
      </w:r>
      <w:r w:rsidRPr="00A04E56">
        <w:t>. The initial front-loading</w:t>
      </w:r>
      <w:r w:rsidRPr="00A04E56" w:rsidDel="00B3612F">
        <w:t xml:space="preserve"> </w:t>
      </w:r>
      <w:r w:rsidRPr="00A04E56">
        <w:t xml:space="preserve">was converted </w:t>
      </w:r>
      <w:r w:rsidR="008C1D39" w:rsidRPr="00277538">
        <w:t>in 2017</w:t>
      </w:r>
      <w:r w:rsidRPr="00A04E56">
        <w:t xml:space="preserve"> into a permanent top-up of the </w:t>
      </w:r>
      <w:r w:rsidR="00AE4B2D" w:rsidRPr="00A04E56">
        <w:t xml:space="preserve">loan-guarantee facility </w:t>
      </w:r>
      <w:r w:rsidRPr="00A04E56">
        <w:t xml:space="preserve">budget by </w:t>
      </w:r>
      <w:r w:rsidRPr="00A04E56" w:rsidDel="00543763">
        <w:t>EUR</w:t>
      </w:r>
      <w:r w:rsidR="00543763" w:rsidRPr="00A04E56">
        <w:rPr>
          <w:rFonts w:ascii="Calibri" w:hAnsi="Calibri" w:cs="Calibri"/>
          <w:noProof w:val="0"/>
        </w:rPr>
        <w:t> </w:t>
      </w:r>
      <w:r w:rsidRPr="00A04E56">
        <w:t>550</w:t>
      </w:r>
      <w:r w:rsidR="009E3512" w:rsidRPr="00A04E56">
        <w:rPr>
          <w:rFonts w:ascii="Calibri" w:hAnsi="Calibri" w:cs="Calibri"/>
          <w:noProof w:val="0"/>
        </w:rPr>
        <w:t> </w:t>
      </w:r>
      <w:r w:rsidR="009E3512" w:rsidRPr="00A04E56">
        <w:rPr>
          <w:noProof w:val="0"/>
        </w:rPr>
        <w:t>million</w:t>
      </w:r>
      <w:r w:rsidRPr="00A04E56">
        <w:t xml:space="preserve"> from the E</w:t>
      </w:r>
      <w:r w:rsidRPr="00A04E56" w:rsidDel="00E11962">
        <w:t xml:space="preserve">uropean </w:t>
      </w:r>
      <w:r w:rsidRPr="00A04E56">
        <w:t>F</w:t>
      </w:r>
      <w:r w:rsidRPr="00A04E56" w:rsidDel="00E11962">
        <w:t xml:space="preserve">und for </w:t>
      </w:r>
      <w:r w:rsidRPr="00A04E56">
        <w:t>S</w:t>
      </w:r>
      <w:r w:rsidRPr="00A04E56" w:rsidDel="00E11962">
        <w:t xml:space="preserve">trategic </w:t>
      </w:r>
      <w:r w:rsidRPr="00A04E56">
        <w:t>I</w:t>
      </w:r>
      <w:r w:rsidRPr="00A04E56" w:rsidDel="00E11962">
        <w:t>nvestments</w:t>
      </w:r>
      <w:r w:rsidRPr="00A04E56">
        <w:t xml:space="preserve">. </w:t>
      </w:r>
      <w:r w:rsidR="00FA466D" w:rsidRPr="00A04E56">
        <w:t xml:space="preserve">This enabled </w:t>
      </w:r>
      <w:r w:rsidRPr="00A04E56">
        <w:t>mak</w:t>
      </w:r>
      <w:r w:rsidR="00743CDF" w:rsidRPr="00A04E56">
        <w:t>ing</w:t>
      </w:r>
      <w:r w:rsidRPr="00A04E56">
        <w:t xml:space="preserve"> available </w:t>
      </w:r>
      <w:r w:rsidR="008C1D39" w:rsidRPr="00A04E56">
        <w:rPr>
          <w:i/>
          <w:u w:val="single"/>
        </w:rPr>
        <w:t>in 2018</w:t>
      </w:r>
      <w:r w:rsidR="00FA466D" w:rsidRPr="00A04E56">
        <w:t xml:space="preserve"> </w:t>
      </w:r>
      <w:r w:rsidRPr="00A04E56">
        <w:t>much more financing to riskier</w:t>
      </w:r>
      <w:r w:rsidR="00E11962" w:rsidRPr="00A04E56">
        <w:t>,</w:t>
      </w:r>
      <w:r w:rsidRPr="00A04E56">
        <w:t xml:space="preserve"> </w:t>
      </w:r>
      <w:r w:rsidR="00F27F0E" w:rsidRPr="00A04E56">
        <w:t xml:space="preserve">smaller companies, including </w:t>
      </w:r>
      <w:r w:rsidRPr="00A04E56">
        <w:t>start-ups</w:t>
      </w:r>
      <w:r w:rsidR="00F27F0E" w:rsidRPr="00A04E56">
        <w:t>,</w:t>
      </w:r>
      <w:r w:rsidRPr="00A04E56">
        <w:t xml:space="preserve"> which find it hardest to access finance due to their perceived higher risk or lack of sufficient collateral. </w:t>
      </w:r>
      <w:r w:rsidR="00E11962" w:rsidRPr="00A04E56">
        <w:t>Throughout</w:t>
      </w:r>
      <w:r w:rsidRPr="00A04E56">
        <w:t xml:space="preserve"> the course of </w:t>
      </w:r>
      <w:r w:rsidR="00AB32F3" w:rsidRPr="00A04E56">
        <w:t>2018</w:t>
      </w:r>
      <w:r w:rsidR="00743CDF" w:rsidRPr="00A04E56">
        <w:t>,</w:t>
      </w:r>
      <w:r w:rsidR="00AB32F3" w:rsidRPr="00A04E56">
        <w:t xml:space="preserve"> </w:t>
      </w:r>
      <w:r w:rsidRPr="00A04E56">
        <w:t xml:space="preserve">the European Investment Fund signed 36 agreements for loan guarantees for a total volume of </w:t>
      </w:r>
      <w:r w:rsidRPr="00A04E56" w:rsidDel="00543763">
        <w:t>EUR</w:t>
      </w:r>
      <w:r w:rsidR="00543763" w:rsidRPr="00A04E56">
        <w:rPr>
          <w:rFonts w:ascii="Calibri" w:hAnsi="Calibri" w:cs="Calibri"/>
          <w:noProof w:val="0"/>
        </w:rPr>
        <w:t> </w:t>
      </w:r>
      <w:r w:rsidRPr="00A04E56">
        <w:rPr>
          <w:noProof w:val="0"/>
        </w:rPr>
        <w:t>387</w:t>
      </w:r>
      <w:r w:rsidR="009E3512" w:rsidRPr="00A04E56">
        <w:rPr>
          <w:rFonts w:ascii="Calibri" w:hAnsi="Calibri" w:cs="Calibri"/>
          <w:noProof w:val="0"/>
        </w:rPr>
        <w:t> </w:t>
      </w:r>
      <w:r w:rsidR="009E3512" w:rsidRPr="00A04E56">
        <w:rPr>
          <w:noProof w:val="0"/>
        </w:rPr>
        <w:t>million</w:t>
      </w:r>
      <w:r w:rsidRPr="00A04E56">
        <w:t>, out of which 33 agreements were jointly backed by the E</w:t>
      </w:r>
      <w:r w:rsidRPr="00A04E56" w:rsidDel="00E11962">
        <w:t xml:space="preserve">uropean </w:t>
      </w:r>
      <w:r w:rsidRPr="00A04E56">
        <w:t>F</w:t>
      </w:r>
      <w:r w:rsidRPr="00A04E56" w:rsidDel="00E11962">
        <w:t xml:space="preserve">und for </w:t>
      </w:r>
      <w:r w:rsidRPr="00A04E56">
        <w:t>S</w:t>
      </w:r>
      <w:r w:rsidRPr="00A04E56" w:rsidDel="00E11962">
        <w:t xml:space="preserve">trategic </w:t>
      </w:r>
      <w:r w:rsidRPr="00A04E56">
        <w:t>I</w:t>
      </w:r>
      <w:r w:rsidRPr="00A04E56" w:rsidDel="00E11962">
        <w:t>nvestmen</w:t>
      </w:r>
      <w:r w:rsidR="00AE4B2D" w:rsidRPr="00A04E56" w:rsidDel="00E11962">
        <w:t>ts</w:t>
      </w:r>
      <w:r w:rsidR="00AE4B2D" w:rsidRPr="00A04E56">
        <w:t xml:space="preserve"> and the loan-guarantee facility</w:t>
      </w:r>
      <w:r w:rsidR="00AE4B2D" w:rsidRPr="00A04E56">
        <w:rPr>
          <w:rStyle w:val="fnRef"/>
          <w:rFonts w:ascii="Arial" w:hAnsi="Arial" w:cs="Arial"/>
        </w:rPr>
        <w:t> </w:t>
      </w:r>
      <w:r w:rsidR="0035678A" w:rsidRPr="00A04E56">
        <w:rPr>
          <w:rStyle w:val="fnRef"/>
        </w:rPr>
        <w:t>(</w:t>
      </w:r>
      <w:r w:rsidR="0035678A" w:rsidRPr="00A04E56">
        <w:rPr>
          <w:rStyle w:val="fnRefNo"/>
        </w:rPr>
        <w:footnoteReference w:id="75"/>
      </w:r>
      <w:r w:rsidR="0035678A" w:rsidRPr="00A04E56">
        <w:rPr>
          <w:rStyle w:val="fnRef"/>
        </w:rPr>
        <w:t>)</w:t>
      </w:r>
      <w:r w:rsidR="00FA466D" w:rsidRPr="00A04E56">
        <w:t>.</w:t>
      </w:r>
      <w:r w:rsidRPr="00A04E56">
        <w:t xml:space="preserve"> These agreements</w:t>
      </w:r>
      <w:r w:rsidR="00E11962" w:rsidRPr="00A04E56">
        <w:t>,</w:t>
      </w:r>
      <w:r w:rsidRPr="00A04E56">
        <w:t xml:space="preserve"> together with those signed in the previous years, </w:t>
      </w:r>
      <w:r w:rsidR="00FA466D" w:rsidRPr="00A04E56">
        <w:t>allowed</w:t>
      </w:r>
      <w:r w:rsidRPr="00A04E56">
        <w:t xml:space="preserve"> more than 381</w:t>
      </w:r>
      <w:r w:rsidR="00E91F65" w:rsidRPr="00A04E56">
        <w:rPr>
          <w:rFonts w:ascii="Calibri" w:hAnsi="Calibri" w:cs="Calibri"/>
          <w:noProof w:val="0"/>
        </w:rPr>
        <w:t> </w:t>
      </w:r>
      <w:r w:rsidR="00E91F65" w:rsidRPr="00A04E56">
        <w:rPr>
          <w:noProof w:val="0"/>
        </w:rPr>
        <w:t>0</w:t>
      </w:r>
      <w:r w:rsidR="006221A4" w:rsidRPr="00A04E56">
        <w:rPr>
          <w:noProof w:val="0"/>
        </w:rPr>
        <w:t>00</w:t>
      </w:r>
      <w:r w:rsidR="005A1331" w:rsidRPr="00A04E56">
        <w:t xml:space="preserve"> small </w:t>
      </w:r>
      <w:r w:rsidR="00743CDF" w:rsidRPr="00A04E56">
        <w:t>businesses</w:t>
      </w:r>
      <w:r w:rsidRPr="00A04E56">
        <w:t xml:space="preserve"> to receive </w:t>
      </w:r>
      <w:r w:rsidR="00FA466D" w:rsidRPr="00A04E56">
        <w:t>over</w:t>
      </w:r>
      <w:r w:rsidRPr="00A04E56">
        <w:t xml:space="preserve"> </w:t>
      </w:r>
      <w:r w:rsidRPr="00A04E56" w:rsidDel="00543763">
        <w:t>EUR</w:t>
      </w:r>
      <w:r w:rsidR="00543763" w:rsidRPr="00A04E56">
        <w:rPr>
          <w:rFonts w:ascii="Calibri" w:hAnsi="Calibri" w:cs="Calibri"/>
          <w:noProof w:val="0"/>
        </w:rPr>
        <w:t> </w:t>
      </w:r>
      <w:r w:rsidRPr="00A04E56">
        <w:t>20</w:t>
      </w:r>
      <w:r w:rsidR="006B7032" w:rsidRPr="00A04E56">
        <w:rPr>
          <w:rFonts w:ascii="Calibri" w:hAnsi="Calibri" w:cs="Calibri"/>
          <w:noProof w:val="0"/>
        </w:rPr>
        <w:t> </w:t>
      </w:r>
      <w:r w:rsidR="006B7032" w:rsidRPr="00A04E56">
        <w:rPr>
          <w:noProof w:val="0"/>
        </w:rPr>
        <w:t>billion</w:t>
      </w:r>
      <w:r w:rsidRPr="00A04E56">
        <w:t xml:space="preserve"> of financial support by the end of September 2018.</w:t>
      </w:r>
    </w:p>
    <w:p w14:paraId="70A88A74" w14:textId="46F449E2" w:rsidR="00062156" w:rsidRPr="00A04E56" w:rsidRDefault="00062156" w:rsidP="000005E7">
      <w:pPr>
        <w:pStyle w:val="BodyText1spaceafter"/>
      </w:pPr>
      <w:r w:rsidRPr="00A04E56">
        <w:t xml:space="preserve">Signing agreements for the </w:t>
      </w:r>
      <w:r w:rsidR="003D55F2" w:rsidRPr="00A04E56">
        <w:rPr>
          <w:rStyle w:val="BOLDLIGHTBLUEReport"/>
          <w:rFonts w:eastAsia="Calibri"/>
        </w:rPr>
        <w:t>e</w:t>
      </w:r>
      <w:r w:rsidRPr="00A04E56">
        <w:rPr>
          <w:rStyle w:val="BOLDLIGHTBLUEReport"/>
          <w:rFonts w:eastAsia="Calibri"/>
        </w:rPr>
        <w:t xml:space="preserve">quity </w:t>
      </w:r>
      <w:r w:rsidR="003D55F2" w:rsidRPr="00A04E56">
        <w:rPr>
          <w:rStyle w:val="BOLDLIGHTBLUEReport"/>
          <w:rFonts w:eastAsia="Calibri"/>
        </w:rPr>
        <w:t>f</w:t>
      </w:r>
      <w:r w:rsidRPr="00A04E56">
        <w:rPr>
          <w:rStyle w:val="BOLDLIGHTBLUEReport"/>
          <w:rFonts w:eastAsia="Calibri"/>
        </w:rPr>
        <w:t xml:space="preserve">acility for </w:t>
      </w:r>
      <w:r w:rsidR="003D55F2" w:rsidRPr="00A04E56">
        <w:rPr>
          <w:rStyle w:val="BOLDLIGHTBLUEReport"/>
          <w:rFonts w:eastAsia="Calibri"/>
        </w:rPr>
        <w:t>g</w:t>
      </w:r>
      <w:r w:rsidRPr="00A04E56">
        <w:rPr>
          <w:rStyle w:val="BOLDLIGHTBLUEReport"/>
          <w:rFonts w:eastAsia="Calibri"/>
        </w:rPr>
        <w:t>rowth</w:t>
      </w:r>
      <w:r w:rsidRPr="00A04E56">
        <w:t xml:space="preserve"> took longer, as equity entails more complex due diligence and fundraising processes. At the end of </w:t>
      </w:r>
      <w:r w:rsidR="00AB32F3" w:rsidRPr="00A04E56">
        <w:t xml:space="preserve">2018 </w:t>
      </w:r>
      <w:r w:rsidRPr="00A04E56">
        <w:t>the European Investment Fund ha</w:t>
      </w:r>
      <w:r w:rsidR="00E11962" w:rsidRPr="00A04E56">
        <w:t>d</w:t>
      </w:r>
      <w:r w:rsidRPr="00A04E56">
        <w:t xml:space="preserve"> invested </w:t>
      </w:r>
      <w:r w:rsidR="00E11962" w:rsidRPr="00A04E56">
        <w:t xml:space="preserve">in 14 funds </w:t>
      </w:r>
      <w:r w:rsidRPr="00A04E56">
        <w:t xml:space="preserve">through the </w:t>
      </w:r>
      <w:r w:rsidR="003D55F2" w:rsidRPr="00A04E56">
        <w:t>e</w:t>
      </w:r>
      <w:r w:rsidRPr="00A04E56">
        <w:t xml:space="preserve">quity </w:t>
      </w:r>
      <w:r w:rsidR="003D55F2" w:rsidRPr="00A04E56">
        <w:t>f</w:t>
      </w:r>
      <w:r w:rsidRPr="00A04E56">
        <w:t xml:space="preserve">acility for </w:t>
      </w:r>
      <w:r w:rsidR="003D55F2" w:rsidRPr="00A04E56">
        <w:t>g</w:t>
      </w:r>
      <w:r w:rsidRPr="00A04E56">
        <w:t>rowth</w:t>
      </w:r>
      <w:r w:rsidRPr="00A04E56" w:rsidDel="00E11962">
        <w:t xml:space="preserve"> </w:t>
      </w:r>
      <w:r w:rsidRPr="00A04E56">
        <w:t xml:space="preserve">for a total amount of </w:t>
      </w:r>
      <w:r w:rsidRPr="00A04E56" w:rsidDel="00543763">
        <w:t>EUR</w:t>
      </w:r>
      <w:r w:rsidR="00543763" w:rsidRPr="00A04E56">
        <w:rPr>
          <w:rFonts w:cs="Calibri"/>
          <w:noProof w:val="0"/>
        </w:rPr>
        <w:t> </w:t>
      </w:r>
      <w:r w:rsidRPr="00A04E56">
        <w:t>163.5</w:t>
      </w:r>
      <w:r w:rsidR="009E3512" w:rsidRPr="00A04E56">
        <w:rPr>
          <w:rFonts w:cs="Calibri"/>
          <w:noProof w:val="0"/>
        </w:rPr>
        <w:t> </w:t>
      </w:r>
      <w:r w:rsidRPr="00A04E56" w:rsidDel="009E3512">
        <w:t>million</w:t>
      </w:r>
      <w:r w:rsidR="003325E3" w:rsidRPr="00A04E56">
        <w:rPr>
          <w:rStyle w:val="fnRef"/>
          <w:rFonts w:ascii="Arial" w:hAnsi="Arial" w:cs="Arial"/>
        </w:rPr>
        <w:t> </w:t>
      </w:r>
      <w:r w:rsidR="0035678A" w:rsidRPr="00A04E56">
        <w:rPr>
          <w:rStyle w:val="fnRef"/>
        </w:rPr>
        <w:t>(</w:t>
      </w:r>
      <w:r w:rsidR="0035678A" w:rsidRPr="00A04E56">
        <w:rPr>
          <w:rStyle w:val="fnRefNo"/>
        </w:rPr>
        <w:footnoteReference w:id="76"/>
      </w:r>
      <w:r w:rsidR="0035678A" w:rsidRPr="00A04E56">
        <w:rPr>
          <w:rStyle w:val="fnRef"/>
        </w:rPr>
        <w:t>)</w:t>
      </w:r>
      <w:r w:rsidR="00A64594" w:rsidRPr="00A04E56">
        <w:t>.</w:t>
      </w:r>
      <w:r w:rsidRPr="00A04E56">
        <w:t xml:space="preserve"> Of these, five were multi-stage funds combined with the InnovFin Equity Facility</w:t>
      </w:r>
      <w:r w:rsidR="00E11962" w:rsidRPr="00A04E56">
        <w:t xml:space="preserve"> for Early </w:t>
      </w:r>
      <w:r w:rsidR="0096197C" w:rsidRPr="00A04E56">
        <w:t>Stage</w:t>
      </w:r>
      <w:r w:rsidR="0096197C">
        <w:rPr>
          <w:rFonts w:ascii="Calibri" w:hAnsi="Calibri" w:cs="Calibri"/>
        </w:rPr>
        <w:t> </w:t>
      </w:r>
      <w:r w:rsidR="0035678A" w:rsidRPr="00A04E56">
        <w:rPr>
          <w:rStyle w:val="fnRef"/>
        </w:rPr>
        <w:t>(</w:t>
      </w:r>
      <w:r w:rsidR="0035678A" w:rsidRPr="00A04E56">
        <w:rPr>
          <w:rStyle w:val="fnRefNo"/>
        </w:rPr>
        <w:footnoteReference w:id="77"/>
      </w:r>
      <w:r w:rsidR="0035678A" w:rsidRPr="00A04E56">
        <w:rPr>
          <w:rStyle w:val="fnRef"/>
        </w:rPr>
        <w:t>)</w:t>
      </w:r>
      <w:r w:rsidRPr="00A04E56">
        <w:t xml:space="preserve"> set up under </w:t>
      </w:r>
      <w:r w:rsidRPr="00A04E56" w:rsidDel="009F0415">
        <w:t>Horizon</w:t>
      </w:r>
      <w:r w:rsidR="009F0415" w:rsidRPr="00A04E56">
        <w:rPr>
          <w:rFonts w:cs="Calibri"/>
          <w:noProof w:val="0"/>
        </w:rPr>
        <w:t> </w:t>
      </w:r>
      <w:r w:rsidR="009F0415" w:rsidRPr="00A04E56">
        <w:rPr>
          <w:noProof w:val="0"/>
        </w:rPr>
        <w:t>2020</w:t>
      </w:r>
      <w:r w:rsidRPr="00A04E56">
        <w:rPr>
          <w:noProof w:val="0"/>
        </w:rPr>
        <w:t>.</w:t>
      </w:r>
    </w:p>
    <w:p w14:paraId="54F2EBF2" w14:textId="251CFDD7" w:rsidR="00C50A2D" w:rsidRPr="00A04E56" w:rsidRDefault="00062156" w:rsidP="000005E7">
      <w:pPr>
        <w:pStyle w:val="BodyText1spaceafter"/>
      </w:pPr>
      <w:r w:rsidRPr="00A04E56">
        <w:rPr>
          <w:rStyle w:val="BodyText1Char"/>
          <w:lang w:val="en-GB"/>
        </w:rPr>
        <w:t xml:space="preserve">The </w:t>
      </w:r>
      <w:r w:rsidRPr="00A04E56">
        <w:rPr>
          <w:rStyle w:val="BOLDLIGHTBLUEReport"/>
          <w:rFonts w:eastAsia="Calibri"/>
        </w:rPr>
        <w:t>Enterprise Europe Network</w:t>
      </w:r>
      <w:r w:rsidRPr="00A04E56">
        <w:rPr>
          <w:rStyle w:val="BodyText1Char"/>
          <w:lang w:val="en-GB"/>
        </w:rPr>
        <w:t xml:space="preserve"> helps </w:t>
      </w:r>
      <w:r w:rsidR="00A56644" w:rsidRPr="00A04E56">
        <w:rPr>
          <w:rStyle w:val="BodyText1Char"/>
          <w:lang w:val="en-GB"/>
        </w:rPr>
        <w:t>small E</w:t>
      </w:r>
      <w:r w:rsidR="007E5E16" w:rsidRPr="00A04E56">
        <w:rPr>
          <w:rStyle w:val="BodyText1Char"/>
          <w:lang w:val="en-GB"/>
        </w:rPr>
        <w:t>uropean companies</w:t>
      </w:r>
      <w:r w:rsidRPr="00A04E56">
        <w:t xml:space="preserve"> to</w:t>
      </w:r>
      <w:r w:rsidRPr="00A04E56">
        <w:rPr>
          <w:rStyle w:val="BodyText1Char"/>
          <w:lang w:val="en-GB"/>
        </w:rPr>
        <w:t xml:space="preserve"> internationalise</w:t>
      </w:r>
      <w:r w:rsidRPr="00A04E56">
        <w:t xml:space="preserve"> through advisory services and by finding business, technology and innovation partners abroad. </w:t>
      </w:r>
      <w:r w:rsidR="00A56644" w:rsidRPr="00A04E56">
        <w:t xml:space="preserve">The </w:t>
      </w:r>
      <w:r w:rsidR="00E11962" w:rsidRPr="00A04E56">
        <w:t>n</w:t>
      </w:r>
      <w:r w:rsidR="00A56644" w:rsidRPr="00A04E56">
        <w:t>etwork</w:t>
      </w:r>
      <w:r w:rsidRPr="00A04E56">
        <w:t xml:space="preserve"> services are available to</w:t>
      </w:r>
      <w:r w:rsidR="00A56644" w:rsidRPr="00A04E56">
        <w:t xml:space="preserve"> smaller</w:t>
      </w:r>
      <w:r w:rsidRPr="00A04E56">
        <w:t xml:space="preserve"> </w:t>
      </w:r>
      <w:r w:rsidR="007E5E16" w:rsidRPr="00A04E56">
        <w:t>businesses</w:t>
      </w:r>
      <w:r w:rsidRPr="00A04E56">
        <w:t xml:space="preserve"> in the EU and countries associated with the programme through </w:t>
      </w:r>
      <w:r w:rsidR="00915CCE">
        <w:t>607 intermediary</w:t>
      </w:r>
      <w:r w:rsidRPr="00A04E56">
        <w:t xml:space="preserve"> organisations. </w:t>
      </w:r>
      <w:r w:rsidR="008C1D39" w:rsidRPr="00A04E56">
        <w:rPr>
          <w:i/>
          <w:u w:val="single"/>
        </w:rPr>
        <w:t>In 2018</w:t>
      </w:r>
      <w:r w:rsidR="000D7FA9" w:rsidRPr="00A04E56">
        <w:t xml:space="preserve"> t</w:t>
      </w:r>
      <w:r w:rsidR="00E11962" w:rsidRPr="00A04E56">
        <w:t xml:space="preserve">he </w:t>
      </w:r>
      <w:r w:rsidR="000D7FA9" w:rsidRPr="00A04E56">
        <w:t xml:space="preserve">network </w:t>
      </w:r>
      <w:r w:rsidRPr="00A04E56">
        <w:t xml:space="preserve">services helped </w:t>
      </w:r>
      <w:r w:rsidR="000D7FA9" w:rsidRPr="00A04E56">
        <w:t xml:space="preserve">an estimated 250 000 </w:t>
      </w:r>
      <w:r w:rsidR="00C50A2D" w:rsidRPr="00A04E56" w:rsidDel="00E11962">
        <w:t>s</w:t>
      </w:r>
      <w:r w:rsidRPr="00A04E56" w:rsidDel="00E11962">
        <w:t>mall and medium-sized enterprises</w:t>
      </w:r>
      <w:r w:rsidRPr="00A04E56">
        <w:t xml:space="preserve"> </w:t>
      </w:r>
      <w:r w:rsidR="000D7FA9" w:rsidRPr="00A04E56">
        <w:t>develop their business outside their home country</w:t>
      </w:r>
      <w:r w:rsidRPr="00A04E56">
        <w:t xml:space="preserve"> </w:t>
      </w:r>
      <w:r w:rsidR="000D7FA9" w:rsidRPr="00A04E56">
        <w:t>and facilitated around 75 000 business cooperation meetings between small businesses</w:t>
      </w:r>
      <w:r w:rsidR="00E11962" w:rsidRPr="00A04E56">
        <w:t>,</w:t>
      </w:r>
      <w:r w:rsidR="00AB32F3" w:rsidRPr="00A04E56">
        <w:t xml:space="preserve"> </w:t>
      </w:r>
      <w:r w:rsidR="00061102" w:rsidRPr="00A04E56">
        <w:t>resulting in</w:t>
      </w:r>
      <w:r w:rsidRPr="00A04E56">
        <w:t xml:space="preserve"> </w:t>
      </w:r>
      <w:r w:rsidR="00301B93" w:rsidRPr="00A04E56">
        <w:t>2</w:t>
      </w:r>
      <w:r w:rsidR="00E11962" w:rsidRPr="00A04E56">
        <w:rPr>
          <w:rFonts w:cs="Calibri"/>
        </w:rPr>
        <w:t> </w:t>
      </w:r>
      <w:r w:rsidRPr="00A04E56">
        <w:t xml:space="preserve">611 international partnership agreements </w:t>
      </w:r>
      <w:r w:rsidR="003136B6" w:rsidRPr="00A04E56">
        <w:t>signed between them</w:t>
      </w:r>
      <w:r w:rsidR="003325E3" w:rsidRPr="00A04E56">
        <w:rPr>
          <w:rStyle w:val="fnRef"/>
          <w:rFonts w:ascii="Arial" w:hAnsi="Arial" w:cs="Arial"/>
        </w:rPr>
        <w:t> </w:t>
      </w:r>
      <w:r w:rsidR="0035678A" w:rsidRPr="00A04E56">
        <w:rPr>
          <w:rStyle w:val="fnRef"/>
        </w:rPr>
        <w:t>(</w:t>
      </w:r>
      <w:r w:rsidR="0035678A" w:rsidRPr="00A04E56">
        <w:rPr>
          <w:rStyle w:val="fnRefNo"/>
        </w:rPr>
        <w:footnoteReference w:id="78"/>
      </w:r>
      <w:r w:rsidR="0035678A" w:rsidRPr="00A04E56">
        <w:rPr>
          <w:rStyle w:val="fnRef"/>
        </w:rPr>
        <w:t>)</w:t>
      </w:r>
      <w:r w:rsidR="00C50A2D" w:rsidRPr="00A04E56">
        <w:t>.</w:t>
      </w:r>
      <w:r w:rsidRPr="00A04E56">
        <w:t xml:space="preserve"> The renewed </w:t>
      </w:r>
      <w:r w:rsidR="00E11962" w:rsidRPr="00A04E56">
        <w:t>n</w:t>
      </w:r>
      <w:r w:rsidRPr="00A04E56">
        <w:t xml:space="preserve">etwork advisory support services helped </w:t>
      </w:r>
      <w:r w:rsidR="00676530" w:rsidRPr="00A04E56">
        <w:t>1</w:t>
      </w:r>
      <w:r w:rsidR="00E11962" w:rsidRPr="00A04E56">
        <w:rPr>
          <w:rFonts w:cs="Calibri"/>
          <w:szCs w:val="20"/>
        </w:rPr>
        <w:t> </w:t>
      </w:r>
      <w:r w:rsidRPr="00A04E56">
        <w:t xml:space="preserve">796 </w:t>
      </w:r>
      <w:r w:rsidRPr="00A04E56" w:rsidDel="00E11962">
        <w:t>small and medium-sized ente</w:t>
      </w:r>
      <w:r w:rsidR="005A1331" w:rsidRPr="00A04E56" w:rsidDel="00E11962">
        <w:t>r</w:t>
      </w:r>
      <w:r w:rsidRPr="00A04E56" w:rsidDel="00E11962">
        <w:t>prises</w:t>
      </w:r>
      <w:r w:rsidRPr="00A04E56">
        <w:t xml:space="preserve"> improve their competitiveness and innovation</w:t>
      </w:r>
      <w:r w:rsidR="003136B6" w:rsidRPr="00A04E56">
        <w:t xml:space="preserve"> </w:t>
      </w:r>
      <w:r w:rsidR="008C1D39" w:rsidRPr="00A04E56">
        <w:rPr>
          <w:i/>
          <w:u w:val="single"/>
        </w:rPr>
        <w:t>in 2018</w:t>
      </w:r>
      <w:r w:rsidRPr="00A04E56">
        <w:t xml:space="preserve">. Enterprise Europe Network </w:t>
      </w:r>
      <w:r w:rsidR="00E11962" w:rsidRPr="00A04E56">
        <w:t>s</w:t>
      </w:r>
      <w:r w:rsidRPr="00A04E56">
        <w:t>cale-</w:t>
      </w:r>
      <w:r w:rsidR="00E11962" w:rsidRPr="00A04E56">
        <w:t>u</w:t>
      </w:r>
      <w:r w:rsidRPr="00A04E56">
        <w:t xml:space="preserve">p </w:t>
      </w:r>
      <w:r w:rsidR="00E11962" w:rsidRPr="00A04E56">
        <w:t>a</w:t>
      </w:r>
      <w:r w:rsidRPr="00A04E56">
        <w:t>dvis</w:t>
      </w:r>
      <w:r w:rsidR="00304671" w:rsidRPr="00A04E56">
        <w:t>ers</w:t>
      </w:r>
      <w:r w:rsidRPr="00A04E56">
        <w:t xml:space="preserve"> were put in place, as set out in the Commission’s </w:t>
      </w:r>
      <w:r w:rsidR="00E11962" w:rsidRPr="00A04E56">
        <w:t>s</w:t>
      </w:r>
      <w:r w:rsidRPr="00A04E56">
        <w:t xml:space="preserve">tart-up and </w:t>
      </w:r>
      <w:r w:rsidR="00E11962" w:rsidRPr="00A04E56">
        <w:t>s</w:t>
      </w:r>
      <w:r w:rsidRPr="00A04E56">
        <w:t xml:space="preserve">cale-up </w:t>
      </w:r>
      <w:r w:rsidR="00E11962" w:rsidRPr="00A04E56">
        <w:t>i</w:t>
      </w:r>
      <w:r w:rsidRPr="00A04E56">
        <w:t>nitiative</w:t>
      </w:r>
      <w:r w:rsidR="003325E3" w:rsidRPr="00A04E56">
        <w:rPr>
          <w:rStyle w:val="fnRef"/>
          <w:rFonts w:ascii="Arial" w:hAnsi="Arial" w:cs="Arial"/>
        </w:rPr>
        <w:t> </w:t>
      </w:r>
      <w:r w:rsidR="0035678A" w:rsidRPr="00A04E56">
        <w:rPr>
          <w:rStyle w:val="fnRef"/>
        </w:rPr>
        <w:t>(</w:t>
      </w:r>
      <w:r w:rsidR="0035678A" w:rsidRPr="00A04E56">
        <w:rPr>
          <w:rStyle w:val="fnRefNo"/>
        </w:rPr>
        <w:footnoteReference w:id="79"/>
      </w:r>
      <w:r w:rsidR="0035678A" w:rsidRPr="00A04E56">
        <w:rPr>
          <w:rStyle w:val="fnRef"/>
        </w:rPr>
        <w:t>)</w:t>
      </w:r>
      <w:r w:rsidRPr="00A04E56">
        <w:t xml:space="preserve"> with the implementation of a specific action covering 56 EU regions, helping scale-ups overcome the barriers to growth. </w:t>
      </w:r>
      <w:r w:rsidR="003136B6" w:rsidRPr="00A04E56">
        <w:t>A new strategic vision for the Enterprise Europe Network has been prepared to ensure it continues delivering services that address small company’s future needs.</w:t>
      </w:r>
    </w:p>
    <w:p w14:paraId="0CD47596" w14:textId="17BFC97B" w:rsidR="00062156" w:rsidRPr="00A04E56" w:rsidRDefault="00A56644" w:rsidP="009B74F7">
      <w:pPr>
        <w:pStyle w:val="BodyText1spaceafter"/>
      </w:pPr>
      <w:r w:rsidRPr="00A04E56">
        <w:t xml:space="preserve">Small businesses value the </w:t>
      </w:r>
      <w:r w:rsidR="00E11962" w:rsidRPr="00A04E56">
        <w:t>n</w:t>
      </w:r>
      <w:r w:rsidRPr="00A04E56">
        <w:t xml:space="preserve">etwork and its support: </w:t>
      </w:r>
      <w:r w:rsidR="00062156" w:rsidRPr="00A04E56">
        <w:t>8</w:t>
      </w:r>
      <w:r w:rsidR="00FA6855" w:rsidRPr="00A04E56">
        <w:t>9%</w:t>
      </w:r>
      <w:r w:rsidR="00062156" w:rsidRPr="00A04E56">
        <w:t xml:space="preserve"> of </w:t>
      </w:r>
      <w:r w:rsidR="00062156" w:rsidRPr="00A04E56" w:rsidDel="00E11962">
        <w:t xml:space="preserve">small and medium-sized </w:t>
      </w:r>
      <w:r w:rsidR="005A1331" w:rsidRPr="00A04E56" w:rsidDel="00E11962">
        <w:t>enterprises</w:t>
      </w:r>
      <w:r w:rsidR="005A1331" w:rsidRPr="00A04E56">
        <w:t xml:space="preserve"> </w:t>
      </w:r>
      <w:r w:rsidR="00062156" w:rsidRPr="00A04E56">
        <w:t>expect their market situation to improve thanks to</w:t>
      </w:r>
      <w:r w:rsidRPr="00A04E56">
        <w:t xml:space="preserve"> this</w:t>
      </w:r>
      <w:r w:rsidR="00062156" w:rsidRPr="00A04E56">
        <w:t xml:space="preserve"> support. </w:t>
      </w:r>
      <w:r w:rsidRPr="00A04E56">
        <w:t>Moreover, c</w:t>
      </w:r>
      <w:r w:rsidR="00062156" w:rsidRPr="00A04E56">
        <w:t>lose to one in two</w:t>
      </w:r>
      <w:r w:rsidR="00062156" w:rsidRPr="00A04E56" w:rsidDel="00603676">
        <w:t xml:space="preserve"> </w:t>
      </w:r>
      <w:r w:rsidR="00062156" w:rsidRPr="00A04E56">
        <w:t xml:space="preserve">feels its competitiveness will improve thanks to improvements in innovation achieved with </w:t>
      </w:r>
      <w:r w:rsidR="00E11962" w:rsidRPr="00A04E56">
        <w:t>n</w:t>
      </w:r>
      <w:r w:rsidR="00062156" w:rsidRPr="00A04E56">
        <w:t xml:space="preserve">etwork help. Nearly 6 out of 10 estimated that </w:t>
      </w:r>
      <w:r w:rsidR="00647ABE" w:rsidRPr="00A04E56">
        <w:t xml:space="preserve">network services </w:t>
      </w:r>
      <w:r w:rsidR="00062156" w:rsidRPr="00A04E56">
        <w:t>will help them preserve or create jobs.</w:t>
      </w:r>
    </w:p>
    <w:p w14:paraId="580EAFBC" w14:textId="6FF0BCA0" w:rsidR="00FC3860" w:rsidRPr="00A04E56" w:rsidRDefault="00A15AB8" w:rsidP="007F3C9B">
      <w:pPr>
        <w:pStyle w:val="BodyText1spaceafter"/>
      </w:pPr>
      <w:r w:rsidRPr="00A04E56">
        <w:rPr>
          <w:rStyle w:val="BodyText1Char"/>
          <w:lang w:val="en-GB"/>
        </w:rPr>
        <w:t>Erasmus for Young Entrepreneurs</w:t>
      </w:r>
      <w:r w:rsidRPr="00A04E56">
        <w:t xml:space="preserve"> holds annual calls for proposals. </w:t>
      </w:r>
      <w:r w:rsidR="008C1D39" w:rsidRPr="00A04E56">
        <w:rPr>
          <w:i/>
          <w:u w:val="single"/>
        </w:rPr>
        <w:t>In 2018</w:t>
      </w:r>
      <w:r w:rsidR="007E5E16" w:rsidRPr="00A04E56">
        <w:t>,</w:t>
      </w:r>
      <w:r w:rsidR="00AB32F3" w:rsidRPr="00A04E56">
        <w:t xml:space="preserve"> </w:t>
      </w:r>
      <w:r w:rsidRPr="00A04E56">
        <w:t>E</w:t>
      </w:r>
      <w:r w:rsidRPr="00A04E56" w:rsidDel="00150068">
        <w:t xml:space="preserve">rasmus for </w:t>
      </w:r>
      <w:r w:rsidRPr="00A04E56">
        <w:t>Y</w:t>
      </w:r>
      <w:r w:rsidRPr="00A04E56" w:rsidDel="00150068">
        <w:t xml:space="preserve">oung </w:t>
      </w:r>
      <w:r w:rsidRPr="00A04E56">
        <w:t>E</w:t>
      </w:r>
      <w:r w:rsidRPr="00A04E56" w:rsidDel="00150068">
        <w:t>ntrepreneurs</w:t>
      </w:r>
      <w:r w:rsidRPr="00A04E56">
        <w:t xml:space="preserve"> ha</w:t>
      </w:r>
      <w:r w:rsidR="00150068" w:rsidRPr="00A04E56">
        <w:t>d</w:t>
      </w:r>
      <w:r w:rsidRPr="00A04E56">
        <w:t xml:space="preserve"> already reached the level of </w:t>
      </w:r>
      <w:r w:rsidR="00301B93" w:rsidRPr="00A04E56">
        <w:t>7</w:t>
      </w:r>
      <w:r w:rsidR="00E91F65" w:rsidRPr="00A04E56">
        <w:rPr>
          <w:rFonts w:cs="Calibri"/>
          <w:noProof w:val="0"/>
        </w:rPr>
        <w:t> </w:t>
      </w:r>
      <w:r w:rsidR="00E91F65" w:rsidRPr="00A04E56">
        <w:rPr>
          <w:noProof w:val="0"/>
        </w:rPr>
        <w:t>0</w:t>
      </w:r>
      <w:r w:rsidR="006221A4" w:rsidRPr="00A04E56">
        <w:rPr>
          <w:noProof w:val="0"/>
        </w:rPr>
        <w:t>00</w:t>
      </w:r>
      <w:r w:rsidRPr="00A04E56">
        <w:t xml:space="preserve"> exchanges between new and experienced entrepreneurs </w:t>
      </w:r>
      <w:r w:rsidR="007E5E16" w:rsidRPr="00A04E56">
        <w:t xml:space="preserve">across Europe </w:t>
      </w:r>
      <w:r w:rsidRPr="00A04E56">
        <w:t>since the start of the programme</w:t>
      </w:r>
      <w:r w:rsidR="003325E3" w:rsidRPr="00A04E56">
        <w:rPr>
          <w:rStyle w:val="fnRef"/>
          <w:rFonts w:ascii="Arial" w:hAnsi="Arial" w:cs="Arial"/>
        </w:rPr>
        <w:t> </w:t>
      </w:r>
      <w:r w:rsidR="0035678A" w:rsidRPr="00A04E56">
        <w:rPr>
          <w:rStyle w:val="fnRef"/>
        </w:rPr>
        <w:t>(</w:t>
      </w:r>
      <w:r w:rsidR="0035678A" w:rsidRPr="00A04E56">
        <w:rPr>
          <w:rStyle w:val="fnRefNo"/>
        </w:rPr>
        <w:footnoteReference w:id="80"/>
      </w:r>
      <w:r w:rsidR="0035678A" w:rsidRPr="00A04E56">
        <w:rPr>
          <w:rStyle w:val="fnRef"/>
        </w:rPr>
        <w:t>)</w:t>
      </w:r>
      <w:r w:rsidR="002D4447" w:rsidRPr="00A04E56">
        <w:t>.</w:t>
      </w:r>
      <w:r w:rsidRPr="00A04E56">
        <w:t xml:space="preserve"> </w:t>
      </w:r>
      <w:r w:rsidR="00A56644" w:rsidRPr="00A04E56">
        <w:t>In order to test the geographical extension of E</w:t>
      </w:r>
      <w:r w:rsidR="00A56644" w:rsidRPr="00A04E56" w:rsidDel="00150068">
        <w:t xml:space="preserve">rasmus for </w:t>
      </w:r>
      <w:r w:rsidR="00A56644" w:rsidRPr="00A04E56">
        <w:t>Y</w:t>
      </w:r>
      <w:r w:rsidR="00A56644" w:rsidRPr="00A04E56" w:rsidDel="00150068">
        <w:t xml:space="preserve">oung </w:t>
      </w:r>
      <w:r w:rsidR="00A56644" w:rsidRPr="00A04E56">
        <w:t>E</w:t>
      </w:r>
      <w:r w:rsidR="00A56644" w:rsidRPr="00A04E56" w:rsidDel="00150068">
        <w:t>ntrepreneurs</w:t>
      </w:r>
      <w:r w:rsidR="00A56644" w:rsidRPr="00A04E56">
        <w:t xml:space="preserve"> to new destinations outside Europe, </w:t>
      </w:r>
      <w:r w:rsidRPr="00A04E56">
        <w:t xml:space="preserve">the implementation of </w:t>
      </w:r>
      <w:r w:rsidR="00513AA4" w:rsidRPr="00A04E56">
        <w:rPr>
          <w:noProof w:val="0"/>
        </w:rPr>
        <w:t xml:space="preserve">the </w:t>
      </w:r>
      <w:r w:rsidRPr="00A04E56">
        <w:t>24</w:t>
      </w:r>
      <w:r w:rsidR="00513AA4" w:rsidRPr="00A04E56">
        <w:rPr>
          <w:noProof w:val="0"/>
        </w:rPr>
        <w:t>-</w:t>
      </w:r>
      <w:r w:rsidRPr="00A04E56">
        <w:rPr>
          <w:noProof w:val="0"/>
        </w:rPr>
        <w:t>month</w:t>
      </w:r>
      <w:r w:rsidRPr="00A04E56">
        <w:t xml:space="preserve"> E</w:t>
      </w:r>
      <w:r w:rsidRPr="00A04E56" w:rsidDel="00150068">
        <w:t xml:space="preserve">rasmus for </w:t>
      </w:r>
      <w:r w:rsidRPr="00A04E56">
        <w:t>Y</w:t>
      </w:r>
      <w:r w:rsidRPr="00A04E56" w:rsidDel="00150068">
        <w:t xml:space="preserve">oung </w:t>
      </w:r>
      <w:r w:rsidRPr="00A04E56">
        <w:t>E</w:t>
      </w:r>
      <w:r w:rsidRPr="00A04E56" w:rsidDel="00150068">
        <w:t>ntrepreneurs</w:t>
      </w:r>
      <w:r w:rsidRPr="00A04E56">
        <w:t xml:space="preserve"> Global pilot project started</w:t>
      </w:r>
      <w:r w:rsidR="00150068" w:rsidRPr="00A04E56">
        <w:t xml:space="preserve"> in April 2018</w:t>
      </w:r>
      <w:r w:rsidRPr="00A04E56">
        <w:t xml:space="preserve">. </w:t>
      </w:r>
    </w:p>
    <w:p w14:paraId="2D8ACA07" w14:textId="41E15364" w:rsidR="00FC3860" w:rsidRPr="00A04E56" w:rsidRDefault="00A15AB8" w:rsidP="007F3C9B">
      <w:pPr>
        <w:pStyle w:val="BodyText1spaceafter"/>
      </w:pPr>
      <w:r w:rsidRPr="00A04E56">
        <w:t xml:space="preserve">The programme for </w:t>
      </w:r>
      <w:r w:rsidRPr="00A04E56" w:rsidDel="00150068">
        <w:t xml:space="preserve">the </w:t>
      </w:r>
      <w:r w:rsidR="00513AA4" w:rsidRPr="00A04E56" w:rsidDel="00150068">
        <w:rPr>
          <w:noProof w:val="0"/>
        </w:rPr>
        <w:t>competitiveness of enterprises and small and medium-sized enterprises</w:t>
      </w:r>
      <w:r w:rsidR="00513AA4" w:rsidRPr="00A04E56">
        <w:rPr>
          <w:noProof w:val="0"/>
        </w:rPr>
        <w:t xml:space="preserve"> </w:t>
      </w:r>
      <w:r w:rsidRPr="00A04E56">
        <w:t>also contribute</w:t>
      </w:r>
      <w:r w:rsidR="00FC3860" w:rsidRPr="00A04E56">
        <w:t>s</w:t>
      </w:r>
      <w:r w:rsidRPr="00A04E56">
        <w:t xml:space="preserve"> to </w:t>
      </w:r>
      <w:r w:rsidRPr="00A04E56">
        <w:rPr>
          <w:rStyle w:val="BOLDLIGHTBLUEReport"/>
          <w:rFonts w:eastAsia="Calibri"/>
        </w:rPr>
        <w:t>improving the framework conditions for the competitiveness of EU enterprises</w:t>
      </w:r>
      <w:r w:rsidRPr="00A04E56">
        <w:t xml:space="preserve"> in a number of ways. In the context of the </w:t>
      </w:r>
      <w:r w:rsidR="00150068" w:rsidRPr="00A04E56">
        <w:t>‘</w:t>
      </w:r>
      <w:r w:rsidR="00150068" w:rsidRPr="00A04E56">
        <w:rPr>
          <w:szCs w:val="20"/>
        </w:rPr>
        <w:t>c</w:t>
      </w:r>
      <w:r w:rsidRPr="00A04E56">
        <w:rPr>
          <w:szCs w:val="20"/>
        </w:rPr>
        <w:t xml:space="preserve">luster </w:t>
      </w:r>
      <w:r w:rsidR="00150068" w:rsidRPr="00A04E56">
        <w:rPr>
          <w:szCs w:val="20"/>
        </w:rPr>
        <w:t>g</w:t>
      </w:r>
      <w:r w:rsidRPr="00A04E56">
        <w:rPr>
          <w:szCs w:val="20"/>
        </w:rPr>
        <w:t>o</w:t>
      </w:r>
      <w:r w:rsidR="00150068" w:rsidRPr="00A04E56">
        <w:rPr>
          <w:szCs w:val="20"/>
        </w:rPr>
        <w:t>’</w:t>
      </w:r>
      <w:r w:rsidRPr="00A04E56">
        <w:rPr>
          <w:szCs w:val="20"/>
        </w:rPr>
        <w:t xml:space="preserve"> international </w:t>
      </w:r>
      <w:r w:rsidR="00150068" w:rsidRPr="00A04E56">
        <w:rPr>
          <w:szCs w:val="20"/>
        </w:rPr>
        <w:t>i</w:t>
      </w:r>
      <w:r w:rsidRPr="00A04E56">
        <w:rPr>
          <w:szCs w:val="20"/>
        </w:rPr>
        <w:t>nitiative</w:t>
      </w:r>
      <w:r w:rsidRPr="00A04E56">
        <w:t xml:space="preserve">, the programme enabled the establishment of 25 EU cluster partnerships </w:t>
      </w:r>
      <w:r w:rsidR="008C1D39" w:rsidRPr="00A04E56">
        <w:rPr>
          <w:i/>
          <w:u w:val="single"/>
        </w:rPr>
        <w:t>in 2018</w:t>
      </w:r>
      <w:r w:rsidR="00150068" w:rsidRPr="00A04E56">
        <w:t>,</w:t>
      </w:r>
      <w:r w:rsidRPr="00A04E56">
        <w:t xml:space="preserve"> supporting 134 clusters in Europe to go international for the benefit of their </w:t>
      </w:r>
      <w:r w:rsidRPr="00A04E56" w:rsidDel="00150068">
        <w:t>small and medium-sized enterprises</w:t>
      </w:r>
      <w:r w:rsidR="003325E3" w:rsidRPr="00A04E56">
        <w:rPr>
          <w:rStyle w:val="fnRef"/>
          <w:rFonts w:ascii="Arial" w:hAnsi="Arial" w:cs="Arial"/>
        </w:rPr>
        <w:t> </w:t>
      </w:r>
      <w:r w:rsidR="0035678A" w:rsidRPr="00A04E56">
        <w:rPr>
          <w:rStyle w:val="fnRef"/>
        </w:rPr>
        <w:t>(</w:t>
      </w:r>
      <w:r w:rsidR="0035678A" w:rsidRPr="00A04E56">
        <w:rPr>
          <w:rStyle w:val="fnRefNo"/>
        </w:rPr>
        <w:footnoteReference w:id="81"/>
      </w:r>
      <w:r w:rsidR="0035678A" w:rsidRPr="00A04E56">
        <w:rPr>
          <w:rStyle w:val="fnRef"/>
        </w:rPr>
        <w:t>)</w:t>
      </w:r>
      <w:r w:rsidR="00FC3860" w:rsidRPr="00A04E56">
        <w:t>.</w:t>
      </w:r>
      <w:r w:rsidRPr="00A04E56">
        <w:t xml:space="preserve"> This initiative encourages </w:t>
      </w:r>
      <w:r w:rsidR="00FC3860" w:rsidRPr="00A04E56">
        <w:t xml:space="preserve">participating </w:t>
      </w:r>
      <w:r w:rsidRPr="00A04E56">
        <w:t xml:space="preserve">clusters and small </w:t>
      </w:r>
      <w:r w:rsidR="00A56644" w:rsidRPr="00A04E56">
        <w:t>companies</w:t>
      </w:r>
      <w:r w:rsidRPr="00A04E56">
        <w:t xml:space="preserve"> to access global value chains and find strategic partners beyond Europe. Nine European </w:t>
      </w:r>
      <w:r w:rsidR="00150068" w:rsidRPr="00A04E56">
        <w:t>s</w:t>
      </w:r>
      <w:r w:rsidRPr="00A04E56">
        <w:t xml:space="preserve">trategic </w:t>
      </w:r>
      <w:r w:rsidR="00150068" w:rsidRPr="00A04E56">
        <w:t>c</w:t>
      </w:r>
      <w:r w:rsidRPr="00A04E56">
        <w:t xml:space="preserve">luster </w:t>
      </w:r>
      <w:r w:rsidR="00150068" w:rsidRPr="00A04E56">
        <w:t>p</w:t>
      </w:r>
      <w:r w:rsidRPr="00A04E56">
        <w:t xml:space="preserve">artnerships for smart specialisation and investments were </w:t>
      </w:r>
      <w:r w:rsidR="009A0795" w:rsidRPr="00A04E56">
        <w:rPr>
          <w:noProof w:val="0"/>
        </w:rPr>
        <w:t xml:space="preserve">set up </w:t>
      </w:r>
      <w:r w:rsidR="008C1D39" w:rsidRPr="00A04E56">
        <w:rPr>
          <w:i/>
          <w:u w:val="single"/>
        </w:rPr>
        <w:t>in 2018</w:t>
      </w:r>
      <w:r w:rsidR="00FC3860" w:rsidRPr="00A04E56">
        <w:t>.</w:t>
      </w:r>
      <w:r w:rsidR="00AB32F3" w:rsidRPr="00A04E56">
        <w:t xml:space="preserve"> </w:t>
      </w:r>
      <w:r w:rsidRPr="00A04E56">
        <w:t xml:space="preserve">These partnerships gather 57 clusters across Europe and reach out to over </w:t>
      </w:r>
      <w:r w:rsidR="00676530" w:rsidRPr="00A04E56">
        <w:t>6</w:t>
      </w:r>
      <w:r w:rsidR="00676530" w:rsidRPr="00A04E56" w:rsidDel="006221A4">
        <w:rPr>
          <w:rFonts w:cs="Calibri"/>
          <w:szCs w:val="20"/>
        </w:rPr>
        <w:t> </w:t>
      </w:r>
      <w:r w:rsidRPr="00A04E56" w:rsidDel="006221A4">
        <w:rPr>
          <w:rFonts w:cs="Calibri"/>
          <w:szCs w:val="20"/>
        </w:rPr>
        <w:t>000</w:t>
      </w:r>
      <w:r w:rsidRPr="00A04E56">
        <w:t xml:space="preserve"> </w:t>
      </w:r>
      <w:r w:rsidR="00FC3860" w:rsidRPr="00A04E56" w:rsidDel="00150068">
        <w:t>s</w:t>
      </w:r>
      <w:r w:rsidRPr="00A04E56" w:rsidDel="00150068">
        <w:t xml:space="preserve">mall and </w:t>
      </w:r>
      <w:r w:rsidR="00FC3860" w:rsidRPr="00A04E56" w:rsidDel="00150068">
        <w:t>m</w:t>
      </w:r>
      <w:r w:rsidRPr="00A04E56" w:rsidDel="00150068">
        <w:t xml:space="preserve">edium-sized </w:t>
      </w:r>
      <w:r w:rsidR="0013189B" w:rsidRPr="00A04E56" w:rsidDel="00150068">
        <w:t>e</w:t>
      </w:r>
      <w:r w:rsidRPr="00A04E56" w:rsidDel="00150068">
        <w:t>nterprises</w:t>
      </w:r>
      <w:r w:rsidRPr="00A04E56">
        <w:t xml:space="preserve">. </w:t>
      </w:r>
    </w:p>
    <w:p w14:paraId="1D29D974" w14:textId="194A3398" w:rsidR="00A15AB8" w:rsidRPr="00A04E56" w:rsidRDefault="00A15AB8" w:rsidP="006F69A2">
      <w:pPr>
        <w:pStyle w:val="BodyText1spaceafter"/>
      </w:pPr>
      <w:r w:rsidRPr="00A04E56">
        <w:t xml:space="preserve">The European </w:t>
      </w:r>
      <w:r w:rsidR="00150068" w:rsidRPr="00A04E56">
        <w:t>c</w:t>
      </w:r>
      <w:r w:rsidRPr="00A04E56">
        <w:t xml:space="preserve">luster </w:t>
      </w:r>
      <w:r w:rsidR="00150068" w:rsidRPr="00A04E56">
        <w:t>c</w:t>
      </w:r>
      <w:r w:rsidRPr="00A04E56">
        <w:t xml:space="preserve">ollaboration </w:t>
      </w:r>
      <w:r w:rsidR="00150068" w:rsidRPr="00A04E56">
        <w:t>p</w:t>
      </w:r>
      <w:r w:rsidRPr="00A04E56">
        <w:t>latform</w:t>
      </w:r>
      <w:r w:rsidR="003325E3" w:rsidRPr="00A04E56">
        <w:rPr>
          <w:rStyle w:val="fnRef"/>
          <w:rFonts w:ascii="Arial" w:hAnsi="Arial" w:cs="Arial"/>
        </w:rPr>
        <w:t> </w:t>
      </w:r>
      <w:r w:rsidR="0035678A" w:rsidRPr="00A04E56">
        <w:rPr>
          <w:rStyle w:val="fnRef"/>
        </w:rPr>
        <w:t>(</w:t>
      </w:r>
      <w:r w:rsidR="0035678A" w:rsidRPr="00A04E56">
        <w:rPr>
          <w:rStyle w:val="fnRefNo"/>
        </w:rPr>
        <w:footnoteReference w:id="82"/>
      </w:r>
      <w:r w:rsidR="0035678A" w:rsidRPr="00A04E56">
        <w:rPr>
          <w:rStyle w:val="fnRef"/>
        </w:rPr>
        <w:t>)</w:t>
      </w:r>
      <w:r w:rsidRPr="00A04E56">
        <w:t xml:space="preserve"> has developed into a leading hub for facilitating cluster collaboration at EU and global level. It gathers more than 930 cluster organisations, reaching out to about 100</w:t>
      </w:r>
      <w:r w:rsidR="00E91F65" w:rsidRPr="00A04E56">
        <w:rPr>
          <w:rFonts w:cs="Calibri"/>
          <w:noProof w:val="0"/>
        </w:rPr>
        <w:t> </w:t>
      </w:r>
      <w:r w:rsidR="00E91F65" w:rsidRPr="00A04E56">
        <w:rPr>
          <w:noProof w:val="0"/>
        </w:rPr>
        <w:t>0</w:t>
      </w:r>
      <w:r w:rsidR="006221A4" w:rsidRPr="00A04E56">
        <w:rPr>
          <w:noProof w:val="0"/>
        </w:rPr>
        <w:t>00</w:t>
      </w:r>
      <w:r w:rsidRPr="00A04E56">
        <w:t xml:space="preserve"> small </w:t>
      </w:r>
      <w:r w:rsidR="0013189B" w:rsidRPr="00A04E56">
        <w:t>businesses</w:t>
      </w:r>
      <w:r w:rsidRPr="00A04E56">
        <w:t xml:space="preserve">. With the facilitation of over </w:t>
      </w:r>
      <w:r w:rsidR="00676530" w:rsidRPr="00A04E56">
        <w:t>1</w:t>
      </w:r>
      <w:r w:rsidR="00692EFE" w:rsidRPr="00A04E56">
        <w:rPr>
          <w:rFonts w:cs="Calibri"/>
          <w:szCs w:val="20"/>
        </w:rPr>
        <w:t> </w:t>
      </w:r>
      <w:r w:rsidRPr="00A04E56">
        <w:t xml:space="preserve">100 international matchmaking meetings between clusters </w:t>
      </w:r>
      <w:r w:rsidR="008C1D39" w:rsidRPr="00A04E56">
        <w:rPr>
          <w:i/>
          <w:u w:val="single"/>
        </w:rPr>
        <w:t>in 2018</w:t>
      </w:r>
      <w:r w:rsidR="00AB32F3" w:rsidRPr="00A04E56">
        <w:t xml:space="preserve"> </w:t>
      </w:r>
      <w:r w:rsidRPr="00A04E56">
        <w:t xml:space="preserve">where the European </w:t>
      </w:r>
      <w:r w:rsidR="00692EFE" w:rsidRPr="00A04E56">
        <w:t>c</w:t>
      </w:r>
      <w:r w:rsidRPr="00A04E56">
        <w:t xml:space="preserve">luster </w:t>
      </w:r>
      <w:r w:rsidR="00692EFE" w:rsidRPr="00A04E56">
        <w:t>c</w:t>
      </w:r>
      <w:r w:rsidRPr="00A04E56">
        <w:t xml:space="preserve">ollaboration </w:t>
      </w:r>
      <w:r w:rsidR="00692EFE" w:rsidRPr="00A04E56">
        <w:t>p</w:t>
      </w:r>
      <w:r w:rsidRPr="00A04E56">
        <w:t xml:space="preserve">latform took part, it has become a key EU instrument in supporting </w:t>
      </w:r>
      <w:r w:rsidR="00692EFE" w:rsidRPr="00A04E56">
        <w:t xml:space="preserve">the </w:t>
      </w:r>
      <w:r w:rsidRPr="00A04E56">
        <w:t>internationalisation</w:t>
      </w:r>
      <w:r w:rsidR="00FC3860" w:rsidRPr="00A04E56">
        <w:t xml:space="preserve"> of such </w:t>
      </w:r>
      <w:r w:rsidRPr="00A04E56">
        <w:t>enterprises.</w:t>
      </w:r>
      <w:r w:rsidRPr="00A04E56" w:rsidDel="00603676">
        <w:t xml:space="preserve"> </w:t>
      </w:r>
    </w:p>
    <w:p w14:paraId="25ED5594" w14:textId="4EAA13D4" w:rsidR="00D60064" w:rsidRPr="00A04E56" w:rsidRDefault="00C63DC4" w:rsidP="00AA0340">
      <w:pPr>
        <w:pStyle w:val="Title3NumberedReport"/>
      </w:pPr>
      <w:bookmarkStart w:id="59" w:name="_Toc4680716"/>
      <w:bookmarkStart w:id="60" w:name="_Toc4682990"/>
      <w:r w:rsidRPr="00A04E56">
        <w:t>Assessment and evaluation</w:t>
      </w:r>
    </w:p>
    <w:bookmarkEnd w:id="59"/>
    <w:bookmarkEnd w:id="60"/>
    <w:p w14:paraId="11652257" w14:textId="1F6983FD" w:rsidR="00062156" w:rsidRPr="00A04E56" w:rsidRDefault="00062156" w:rsidP="006F69A2">
      <w:pPr>
        <w:pStyle w:val="BodyText1spaceafter"/>
      </w:pPr>
      <w:r w:rsidRPr="00A04E56">
        <w:t xml:space="preserve">A study evaluating the </w:t>
      </w:r>
      <w:r w:rsidR="00A3328A" w:rsidRPr="00A04E56">
        <w:t>P</w:t>
      </w:r>
      <w:r w:rsidRPr="00A04E56">
        <w:t xml:space="preserve">rogramme for </w:t>
      </w:r>
      <w:r w:rsidR="00513AA4" w:rsidRPr="00A04E56" w:rsidDel="00B86BDD">
        <w:rPr>
          <w:noProof w:val="0"/>
        </w:rPr>
        <w:t xml:space="preserve">the </w:t>
      </w:r>
      <w:r w:rsidR="00A3328A" w:rsidRPr="00A04E56">
        <w:rPr>
          <w:noProof w:val="0"/>
        </w:rPr>
        <w:t>C</w:t>
      </w:r>
      <w:r w:rsidR="00513AA4" w:rsidRPr="00A04E56" w:rsidDel="00B86BDD">
        <w:rPr>
          <w:noProof w:val="0"/>
        </w:rPr>
        <w:t xml:space="preserve">ompetitiveness of </w:t>
      </w:r>
      <w:r w:rsidR="00A3328A" w:rsidRPr="00A04E56">
        <w:rPr>
          <w:noProof w:val="0"/>
        </w:rPr>
        <w:t>E</w:t>
      </w:r>
      <w:r w:rsidR="00513AA4" w:rsidRPr="00A04E56" w:rsidDel="00B86BDD">
        <w:rPr>
          <w:noProof w:val="0"/>
        </w:rPr>
        <w:t>nterprises and small and medium-sized e</w:t>
      </w:r>
      <w:r w:rsidR="005A1331" w:rsidRPr="00A04E56" w:rsidDel="00B86BDD">
        <w:t>nt</w:t>
      </w:r>
      <w:r w:rsidRPr="00A04E56" w:rsidDel="00B86BDD">
        <w:t>e</w:t>
      </w:r>
      <w:r w:rsidR="005A1331" w:rsidRPr="00A04E56" w:rsidDel="00B86BDD">
        <w:t>r</w:t>
      </w:r>
      <w:r w:rsidRPr="00A04E56" w:rsidDel="00B86BDD">
        <w:t>prises</w:t>
      </w:r>
      <w:r w:rsidR="003325E3" w:rsidRPr="00A04E56">
        <w:rPr>
          <w:rStyle w:val="fnRef"/>
          <w:rFonts w:ascii="Arial" w:hAnsi="Arial" w:cs="Arial"/>
        </w:rPr>
        <w:t> </w:t>
      </w:r>
      <w:r w:rsidR="0035678A" w:rsidRPr="00A04E56">
        <w:rPr>
          <w:rStyle w:val="fnRef"/>
        </w:rPr>
        <w:t>(</w:t>
      </w:r>
      <w:r w:rsidR="0035678A" w:rsidRPr="00A04E56">
        <w:rPr>
          <w:rStyle w:val="fnRefNo"/>
        </w:rPr>
        <w:footnoteReference w:id="83"/>
      </w:r>
      <w:r w:rsidR="0035678A" w:rsidRPr="00A04E56">
        <w:rPr>
          <w:rStyle w:val="fnRef"/>
        </w:rPr>
        <w:t>)</w:t>
      </w:r>
      <w:r w:rsidRPr="00A04E56">
        <w:t xml:space="preserve"> found a strong alignment of the programme with the evolving needs of </w:t>
      </w:r>
      <w:r w:rsidR="0013189B" w:rsidRPr="00A04E56">
        <w:t xml:space="preserve">small </w:t>
      </w:r>
      <w:r w:rsidR="0097782C" w:rsidRPr="00A04E56">
        <w:t>e</w:t>
      </w:r>
      <w:r w:rsidR="005A1331" w:rsidRPr="00A04E56">
        <w:t>nt</w:t>
      </w:r>
      <w:r w:rsidRPr="00A04E56">
        <w:t>e</w:t>
      </w:r>
      <w:r w:rsidR="005A1331" w:rsidRPr="00A04E56">
        <w:t>r</w:t>
      </w:r>
      <w:r w:rsidRPr="00A04E56">
        <w:t xml:space="preserve">prises in Europe and a high relevance for </w:t>
      </w:r>
      <w:r w:rsidR="00276B51" w:rsidRPr="00A04E56">
        <w:rPr>
          <w:noProof w:val="0"/>
        </w:rPr>
        <w:t>the public</w:t>
      </w:r>
      <w:r w:rsidRPr="00A04E56">
        <w:t>, thanks to focus on fostering employment opportunities and growth creation. The EU dimension is at the core of the programme and</w:t>
      </w:r>
      <w:r w:rsidR="00B86BDD" w:rsidRPr="00A04E56">
        <w:t xml:space="preserve"> is</w:t>
      </w:r>
      <w:r w:rsidRPr="00A04E56">
        <w:t xml:space="preserve"> critical for most actions. The programme has successfully set the building blocks for attain</w:t>
      </w:r>
      <w:r w:rsidR="00B86BDD" w:rsidRPr="00A04E56">
        <w:t>ing</w:t>
      </w:r>
      <w:r w:rsidRPr="00A04E56">
        <w:t xml:space="preserve"> the expected results. The strength of the programme lies in the use of intermediary organisations (financial intermediaries, Enterprise Europe Network </w:t>
      </w:r>
      <w:r w:rsidR="0013189B" w:rsidRPr="00A04E56">
        <w:t>m</w:t>
      </w:r>
      <w:r w:rsidRPr="00A04E56">
        <w:t>embers, intermediary organisations for E</w:t>
      </w:r>
      <w:r w:rsidRPr="00A04E56" w:rsidDel="00B86BDD">
        <w:t xml:space="preserve">rasmus for </w:t>
      </w:r>
      <w:r w:rsidRPr="00A04E56">
        <w:t>Y</w:t>
      </w:r>
      <w:r w:rsidRPr="00A04E56" w:rsidDel="00B86BDD">
        <w:t xml:space="preserve">oung </w:t>
      </w:r>
      <w:r w:rsidRPr="00A04E56">
        <w:t>E</w:t>
      </w:r>
      <w:r w:rsidRPr="00A04E56" w:rsidDel="00B86BDD">
        <w:t>ntrepreneurs</w:t>
      </w:r>
      <w:r w:rsidRPr="00A04E56">
        <w:t xml:space="preserve"> and cluster organisations). The programme uses the proximity of these </w:t>
      </w:r>
      <w:r w:rsidR="0013189B" w:rsidRPr="00A04E56">
        <w:t xml:space="preserve">local </w:t>
      </w:r>
      <w:r w:rsidRPr="00A04E56">
        <w:t xml:space="preserve">intermediaries to small </w:t>
      </w:r>
      <w:r w:rsidR="005A1331" w:rsidRPr="00A04E56">
        <w:t xml:space="preserve">enterprises </w:t>
      </w:r>
      <w:r w:rsidRPr="00A04E56">
        <w:t>and facilitates the integration of the programme services with services provided by these national and regional intermediaries. The feedback from beneficiaries is generally positive with a substantial majority reporting a good cost</w:t>
      </w:r>
      <w:r w:rsidR="00CB6A77" w:rsidRPr="00A04E56">
        <w:t>-</w:t>
      </w:r>
      <w:r w:rsidRPr="00A04E56">
        <w:t>benefit ratio of their participation. The European dimension is the added value of the programme.</w:t>
      </w:r>
    </w:p>
    <w:p w14:paraId="6FE32218" w14:textId="62EC595F" w:rsidR="00062156" w:rsidRPr="00A04E56" w:rsidRDefault="00062156" w:rsidP="006F69A2">
      <w:pPr>
        <w:pStyle w:val="BodyText1spaceafter"/>
      </w:pPr>
      <w:r w:rsidRPr="00A04E56">
        <w:t>The study made proposals to improve shortcomings in the performance of the programme: the fragmentation of the budget into many small actions should be reduced to improve efficiency and cost-effectiveness</w:t>
      </w:r>
      <w:r w:rsidR="00B86BDD" w:rsidRPr="00A04E56">
        <w:t>;</w:t>
      </w:r>
      <w:r w:rsidRPr="00A04E56">
        <w:t xml:space="preserve"> </w:t>
      </w:r>
      <w:r w:rsidR="00B86BDD" w:rsidRPr="00A04E56">
        <w:t>and a</w:t>
      </w:r>
      <w:r w:rsidRPr="00A04E56">
        <w:t>vailability of monitoring data should be provided centrally to strategically guide implementation. There are no major overlaps of the programme activities with other policy initiatives, both at EU and national and regional levels. However, for some actions, synergies and complementarity with other EU</w:t>
      </w:r>
      <w:r w:rsidR="00B86BDD" w:rsidRPr="00A04E56">
        <w:t xml:space="preserve">, </w:t>
      </w:r>
      <w:r w:rsidRPr="00A04E56">
        <w:t>national</w:t>
      </w:r>
      <w:r w:rsidR="00B86BDD" w:rsidRPr="00A04E56">
        <w:t xml:space="preserve"> and </w:t>
      </w:r>
      <w:r w:rsidRPr="00A04E56">
        <w:t>regional actions could be improved.</w:t>
      </w:r>
    </w:p>
    <w:p w14:paraId="4759466B" w14:textId="5C1B2EBC" w:rsidR="00A15AB8" w:rsidRPr="00A04E56" w:rsidRDefault="00062156" w:rsidP="006F69A2">
      <w:pPr>
        <w:pStyle w:val="BodyText1spaceafter"/>
      </w:pPr>
      <w:r w:rsidRPr="00A04E56">
        <w:t xml:space="preserve">The study was used for the preparation of the proposals of successor programmes for the post-2020 </w:t>
      </w:r>
      <w:r w:rsidR="00AA1FB8" w:rsidRPr="00A04E56">
        <w:t>multiannual financial framework</w:t>
      </w:r>
      <w:r w:rsidRPr="00A04E56">
        <w:t xml:space="preserve">. The </w:t>
      </w:r>
      <w:r w:rsidR="00A3328A" w:rsidRPr="00A04E56">
        <w:t>P</w:t>
      </w:r>
      <w:r w:rsidRPr="00A04E56">
        <w:t xml:space="preserve">rogramme for </w:t>
      </w:r>
      <w:r w:rsidRPr="00A04E56" w:rsidDel="00B86BDD">
        <w:t>the</w:t>
      </w:r>
      <w:r w:rsidR="00513AA4" w:rsidRPr="00A04E56" w:rsidDel="00B86BDD">
        <w:rPr>
          <w:noProof w:val="0"/>
        </w:rPr>
        <w:t xml:space="preserve"> </w:t>
      </w:r>
      <w:r w:rsidR="00A3328A" w:rsidRPr="00A04E56">
        <w:rPr>
          <w:noProof w:val="0"/>
        </w:rPr>
        <w:t>C</w:t>
      </w:r>
      <w:r w:rsidR="00513AA4" w:rsidRPr="00A04E56" w:rsidDel="00B86BDD">
        <w:rPr>
          <w:noProof w:val="0"/>
        </w:rPr>
        <w:t xml:space="preserve">ompetitiveness of </w:t>
      </w:r>
      <w:r w:rsidR="00A3328A" w:rsidRPr="00A04E56">
        <w:rPr>
          <w:noProof w:val="0"/>
        </w:rPr>
        <w:t>E</w:t>
      </w:r>
      <w:r w:rsidR="00513AA4" w:rsidRPr="00A04E56" w:rsidDel="00B86BDD">
        <w:rPr>
          <w:noProof w:val="0"/>
        </w:rPr>
        <w:t>nterprises and small and medium-sized enterprises</w:t>
      </w:r>
      <w:r w:rsidR="00513AA4" w:rsidRPr="00A04E56">
        <w:rPr>
          <w:noProof w:val="0"/>
        </w:rPr>
        <w:t xml:space="preserve"> </w:t>
      </w:r>
      <w:r w:rsidR="0097782C" w:rsidRPr="00A04E56">
        <w:t>(</w:t>
      </w:r>
      <w:r w:rsidRPr="00A04E56">
        <w:t xml:space="preserve">except for the </w:t>
      </w:r>
      <w:r w:rsidR="0097782C" w:rsidRPr="00A04E56">
        <w:t>f</w:t>
      </w:r>
      <w:r w:rsidRPr="00A04E56">
        <w:t xml:space="preserve">inancial </w:t>
      </w:r>
      <w:r w:rsidR="0097782C" w:rsidRPr="00A04E56">
        <w:t>i</w:t>
      </w:r>
      <w:r w:rsidRPr="00A04E56">
        <w:t>nstruments</w:t>
      </w:r>
      <w:r w:rsidR="0097782C" w:rsidRPr="00A04E56">
        <w:t>)</w:t>
      </w:r>
      <w:r w:rsidRPr="00A04E56">
        <w:t xml:space="preserve"> will be integrated in</w:t>
      </w:r>
      <w:r w:rsidR="00B86BDD" w:rsidRPr="00A04E56">
        <w:t>to</w:t>
      </w:r>
      <w:r w:rsidRPr="00A04E56">
        <w:t xml:space="preserve"> a new programme called the </w:t>
      </w:r>
      <w:r w:rsidR="00B86BDD" w:rsidRPr="00A04E56">
        <w:t>s</w:t>
      </w:r>
      <w:r w:rsidRPr="00A04E56">
        <w:t xml:space="preserve">ingle </w:t>
      </w:r>
      <w:r w:rsidR="00B86BDD" w:rsidRPr="00A04E56">
        <w:t>m</w:t>
      </w:r>
      <w:r w:rsidRPr="00A04E56">
        <w:t xml:space="preserve">arket </w:t>
      </w:r>
      <w:r w:rsidR="00B86BDD" w:rsidRPr="00A04E56">
        <w:t>p</w:t>
      </w:r>
      <w:r w:rsidRPr="00A04E56">
        <w:t>rogramme</w:t>
      </w:r>
      <w:r w:rsidR="003325E3" w:rsidRPr="00A04E56">
        <w:rPr>
          <w:rStyle w:val="fnRef"/>
          <w:rFonts w:ascii="Arial" w:hAnsi="Arial" w:cs="Arial"/>
        </w:rPr>
        <w:t> </w:t>
      </w:r>
      <w:r w:rsidR="0035678A" w:rsidRPr="00A04E56">
        <w:rPr>
          <w:rStyle w:val="fnRef"/>
        </w:rPr>
        <w:t>(</w:t>
      </w:r>
      <w:r w:rsidR="0035678A" w:rsidRPr="00A04E56">
        <w:rPr>
          <w:rStyle w:val="fnRefNo"/>
        </w:rPr>
        <w:footnoteReference w:id="84"/>
      </w:r>
      <w:r w:rsidR="0035678A" w:rsidRPr="00A04E56">
        <w:rPr>
          <w:rStyle w:val="fnRef"/>
        </w:rPr>
        <w:t>)</w:t>
      </w:r>
      <w:r w:rsidR="003136B6" w:rsidRPr="00A04E56">
        <w:rPr>
          <w:rStyle w:val="fnRef"/>
        </w:rPr>
        <w:t xml:space="preserve">. </w:t>
      </w:r>
      <w:r w:rsidR="003136B6" w:rsidRPr="00A04E56">
        <w:t xml:space="preserve">The new programme will support specific types of actions in the areas of improved competitiveness, notably of </w:t>
      </w:r>
      <w:r w:rsidR="003136B6" w:rsidRPr="00A04E56" w:rsidDel="00B86BDD">
        <w:rPr>
          <w:noProof w:val="0"/>
        </w:rPr>
        <w:t>small and medium-sized enterprises</w:t>
      </w:r>
      <w:r w:rsidR="003136B6" w:rsidRPr="00A04E56">
        <w:t xml:space="preserve">, standardisation, consumer protection, anti-money laundering, competition, financial reporting and auditing, veterinary and phytosanitary measures along the food chain and European </w:t>
      </w:r>
      <w:r w:rsidR="00AE4B2D" w:rsidRPr="00A04E56">
        <w:t>statistics</w:t>
      </w:r>
      <w:r w:rsidR="003136B6" w:rsidRPr="00A04E56">
        <w:t xml:space="preserve">. </w:t>
      </w:r>
      <w:r w:rsidRPr="00A04E56">
        <w:t xml:space="preserve">The </w:t>
      </w:r>
      <w:r w:rsidR="0097782C" w:rsidRPr="00A04E56">
        <w:t>f</w:t>
      </w:r>
      <w:r w:rsidRPr="00A04E56">
        <w:t xml:space="preserve">inancial </w:t>
      </w:r>
      <w:r w:rsidR="0097782C" w:rsidRPr="00A04E56">
        <w:t>i</w:t>
      </w:r>
      <w:r w:rsidRPr="00A04E56">
        <w:t>nstruments from the programme will be integrated in</w:t>
      </w:r>
      <w:r w:rsidR="00B86BDD" w:rsidRPr="00A04E56">
        <w:t>to</w:t>
      </w:r>
      <w:r w:rsidRPr="00A04E56">
        <w:t xml:space="preserve"> a new fund called InvestEU, bringing EU financing in the form of </w:t>
      </w:r>
      <w:r w:rsidR="003136B6" w:rsidRPr="00A04E56">
        <w:t xml:space="preserve">debt and equity </w:t>
      </w:r>
      <w:r w:rsidRPr="00A04E56">
        <w:t>under one roof.</w:t>
      </w:r>
    </w:p>
    <w:p w14:paraId="05DC8075" w14:textId="2156A642" w:rsidR="00EE41E4" w:rsidRPr="00A04E56" w:rsidRDefault="00EE41E4" w:rsidP="0083276E">
      <w:pPr>
        <w:pStyle w:val="Title2Report"/>
      </w:pPr>
      <w:bookmarkStart w:id="61" w:name="_Toc12020999"/>
      <w:r w:rsidRPr="00A04E56">
        <w:t>ERASMUS+</w:t>
      </w:r>
      <w:bookmarkEnd w:id="61"/>
    </w:p>
    <w:p w14:paraId="7738C9D7" w14:textId="77777777" w:rsidR="00EE41E4" w:rsidRPr="00A04E56" w:rsidRDefault="00EE41E4" w:rsidP="00AA0340">
      <w:pPr>
        <w:pStyle w:val="Title3NumberedReport"/>
      </w:pPr>
      <w:r w:rsidRPr="00A04E56">
        <w:t xml:space="preserve">Programme objectives </w:t>
      </w:r>
    </w:p>
    <w:p w14:paraId="1DB4E21E" w14:textId="3C218862" w:rsidR="008B4541" w:rsidRPr="00A04E56" w:rsidRDefault="00EE41E4" w:rsidP="003C43A8">
      <w:pPr>
        <w:pStyle w:val="BodyText1spaceafter"/>
        <w:rPr>
          <w:rFonts w:eastAsiaTheme="minorHAnsi"/>
        </w:rPr>
      </w:pPr>
      <w:r w:rsidRPr="00A04E56">
        <w:rPr>
          <w:rStyle w:val="BodyText1Char"/>
          <w:lang w:val="en-GB"/>
        </w:rPr>
        <w:t>Erasmus+ is the EU’s flagship programme</w:t>
      </w:r>
      <w:r w:rsidRPr="00A04E56">
        <w:rPr>
          <w:rStyle w:val="Bodytext2"/>
          <w:sz w:val="20"/>
          <w:szCs w:val="20"/>
        </w:rPr>
        <w:t xml:space="preserve"> to support and strengthen </w:t>
      </w:r>
      <w:r w:rsidRPr="00A04E56">
        <w:rPr>
          <w:rStyle w:val="BodyText1Char"/>
          <w:lang w:val="en-GB"/>
        </w:rPr>
        <w:t>education, training, youth and sport in Europe.</w:t>
      </w:r>
      <w:r w:rsidRPr="00A04E56">
        <w:rPr>
          <w:rStyle w:val="Bodytext2"/>
          <w:sz w:val="20"/>
          <w:szCs w:val="20"/>
        </w:rPr>
        <w:t xml:space="preserve"> For three decades, Erasmus+ and its predecessors have been offering </w:t>
      </w:r>
      <w:r w:rsidR="00162779" w:rsidRPr="00A04E56">
        <w:rPr>
          <w:rStyle w:val="Bodytext2"/>
          <w:sz w:val="20"/>
          <w:szCs w:val="20"/>
        </w:rPr>
        <w:t xml:space="preserve">mobility </w:t>
      </w:r>
      <w:r w:rsidRPr="00A04E56">
        <w:rPr>
          <w:rStyle w:val="Bodytext2"/>
          <w:sz w:val="20"/>
          <w:szCs w:val="20"/>
        </w:rPr>
        <w:t xml:space="preserve">opportunities to young people, students </w:t>
      </w:r>
      <w:r w:rsidR="00162779" w:rsidRPr="00A04E56">
        <w:rPr>
          <w:rStyle w:val="BodyText1Char"/>
          <w:lang w:val="en-GB"/>
        </w:rPr>
        <w:t>vocational education and training learners</w:t>
      </w:r>
      <w:r w:rsidR="00162779" w:rsidRPr="00A04E56">
        <w:t xml:space="preserve"> </w:t>
      </w:r>
      <w:r w:rsidRPr="00A04E56">
        <w:rPr>
          <w:rStyle w:val="Bodytext2"/>
          <w:sz w:val="20"/>
          <w:szCs w:val="20"/>
        </w:rPr>
        <w:t xml:space="preserve">and adults to study, train, gain experience and volunteer abroad, in Europe or beyond. </w:t>
      </w:r>
      <w:r w:rsidRPr="00A04E56">
        <w:t xml:space="preserve">The Erasmus+ </w:t>
      </w:r>
      <w:r w:rsidR="00B86BDD" w:rsidRPr="00A04E56">
        <w:t>p</w:t>
      </w:r>
      <w:r w:rsidRPr="00A04E56">
        <w:t xml:space="preserve">rogramme plays an important role in </w:t>
      </w:r>
      <w:r w:rsidRPr="00A04E56">
        <w:rPr>
          <w:rStyle w:val="BOLDLIGHTBLUEReport"/>
          <w:rFonts w:eastAsia="Calibri"/>
        </w:rPr>
        <w:t xml:space="preserve">supporting cooperation between </w:t>
      </w:r>
      <w:r w:rsidR="00162779" w:rsidRPr="00A04E56">
        <w:rPr>
          <w:rStyle w:val="BOLDLIGHTBLUEReport"/>
          <w:rFonts w:eastAsia="Calibri"/>
        </w:rPr>
        <w:t xml:space="preserve">universities, </w:t>
      </w:r>
      <w:r w:rsidRPr="00A04E56">
        <w:rPr>
          <w:rStyle w:val="BOLDLIGHTBLUEReport"/>
          <w:rFonts w:eastAsia="Calibri"/>
        </w:rPr>
        <w:t>schools</w:t>
      </w:r>
      <w:r w:rsidR="00162779" w:rsidRPr="00A04E56">
        <w:rPr>
          <w:rStyle w:val="BOLDLIGHTBLUEReport"/>
          <w:rFonts w:eastAsia="Calibri"/>
        </w:rPr>
        <w:t>,</w:t>
      </w:r>
      <w:r w:rsidRPr="00A04E56">
        <w:rPr>
          <w:b/>
        </w:rPr>
        <w:t xml:space="preserve"> </w:t>
      </w:r>
      <w:r w:rsidR="00162779" w:rsidRPr="00A04E56">
        <w:rPr>
          <w:rStyle w:val="BOLDLIGHTBLUEReport"/>
          <w:rFonts w:eastAsia="Calibri"/>
        </w:rPr>
        <w:t>vocational</w:t>
      </w:r>
      <w:r w:rsidR="00C010D2" w:rsidRPr="00A04E56">
        <w:rPr>
          <w:rStyle w:val="BOLDLIGHTBLUEReport"/>
          <w:rFonts w:eastAsia="Calibri"/>
        </w:rPr>
        <w:t>-training</w:t>
      </w:r>
      <w:r w:rsidR="00162779" w:rsidRPr="00A04E56">
        <w:rPr>
          <w:rStyle w:val="BodyText1Char"/>
          <w:lang w:val="en-GB"/>
        </w:rPr>
        <w:t xml:space="preserve"> providers, youth and sport organisations</w:t>
      </w:r>
      <w:r w:rsidRPr="00A04E56">
        <w:rPr>
          <w:rStyle w:val="BodyText1Char"/>
          <w:lang w:val="en-GB"/>
        </w:rPr>
        <w:t xml:space="preserve"> </w:t>
      </w:r>
      <w:r w:rsidR="00B86BDD" w:rsidRPr="00A04E56">
        <w:rPr>
          <w:rStyle w:val="BodyText1Char"/>
          <w:lang w:val="en-GB"/>
        </w:rPr>
        <w:t>,</w:t>
      </w:r>
      <w:r w:rsidRPr="00A04E56">
        <w:rPr>
          <w:rStyle w:val="BodyText1Char"/>
          <w:lang w:val="en-GB"/>
        </w:rPr>
        <w:t xml:space="preserve"> as well as learning opportunities for future teachers and professional development for teachers and school leaders</w:t>
      </w:r>
      <w:r w:rsidR="00162779" w:rsidRPr="00A04E56">
        <w:rPr>
          <w:rStyle w:val="BodyText1Char"/>
          <w:lang w:val="en-GB"/>
        </w:rPr>
        <w:t>.</w:t>
      </w:r>
      <w:r w:rsidR="00843820" w:rsidRPr="00A04E56">
        <w:rPr>
          <w:rStyle w:val="BodyText1Char"/>
          <w:lang w:val="en-GB"/>
        </w:rPr>
        <w:t xml:space="preserve"> </w:t>
      </w:r>
      <w:r w:rsidR="00E525E2" w:rsidRPr="00A04E56">
        <w:rPr>
          <w:rStyle w:val="BodyText1Char"/>
          <w:lang w:val="en-GB"/>
        </w:rPr>
        <w:t xml:space="preserve">The programme fosters the mobility of learners and staff in </w:t>
      </w:r>
      <w:r w:rsidR="00AE4B2D" w:rsidRPr="00A04E56">
        <w:rPr>
          <w:rStyle w:val="BodyText1Char"/>
          <w:lang w:val="en-GB"/>
        </w:rPr>
        <w:t>vocational education and training</w:t>
      </w:r>
      <w:r w:rsidR="000433A4" w:rsidRPr="00A04E56">
        <w:rPr>
          <w:rStyle w:val="BodyText1Char"/>
          <w:lang w:val="en-GB"/>
        </w:rPr>
        <w:t xml:space="preserve">, </w:t>
      </w:r>
      <w:r w:rsidR="00E525E2" w:rsidRPr="00A04E56">
        <w:rPr>
          <w:rStyle w:val="BodyText1Char"/>
          <w:lang w:val="en-GB"/>
        </w:rPr>
        <w:t xml:space="preserve">as well as staff in the adult education sector, while also supporting internationalisation through strategic partnerships taking forward the priorities set in </w:t>
      </w:r>
      <w:r w:rsidR="00AE4B2D" w:rsidRPr="00A04E56">
        <w:rPr>
          <w:rStyle w:val="BodyText1Char"/>
          <w:lang w:val="en-GB"/>
        </w:rPr>
        <w:t xml:space="preserve">the vocational education and training </w:t>
      </w:r>
      <w:r w:rsidR="00E525E2" w:rsidRPr="00A04E56">
        <w:rPr>
          <w:rStyle w:val="BodyText1Char"/>
          <w:lang w:val="en-GB"/>
        </w:rPr>
        <w:t xml:space="preserve">Riga Conclusions and the European </w:t>
      </w:r>
      <w:r w:rsidR="00F504A4" w:rsidRPr="00A04E56">
        <w:rPr>
          <w:rStyle w:val="BodyText1Char"/>
          <w:lang w:val="en-GB"/>
        </w:rPr>
        <w:t>agenda for adult learning</w:t>
      </w:r>
      <w:r w:rsidR="000433A4" w:rsidRPr="00A04E56">
        <w:rPr>
          <w:rStyle w:val="BodyText1Char"/>
          <w:lang w:val="en-GB"/>
        </w:rPr>
        <w:t>.</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701"/>
        <w:gridCol w:w="7370"/>
      </w:tblGrid>
      <w:tr w:rsidR="002E684B" w:rsidRPr="00A04E56" w14:paraId="5937A155" w14:textId="77777777" w:rsidTr="00AE38A0">
        <w:trPr>
          <w:cantSplit/>
          <w:trHeight w:val="5216"/>
          <w:jc w:val="center"/>
        </w:trPr>
        <w:tc>
          <w:tcPr>
            <w:tcW w:w="170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2934736" w14:textId="042AAE96" w:rsidR="009447B1" w:rsidRPr="00A04E56" w:rsidRDefault="00351310" w:rsidP="00277538">
            <w:pPr>
              <w:spacing w:line="276" w:lineRule="auto"/>
              <w:jc w:val="right"/>
              <w:rPr>
                <w:rFonts w:cstheme="minorHAnsi"/>
                <w:szCs w:val="20"/>
              </w:rPr>
            </w:pPr>
            <w:r w:rsidRPr="00A04E56">
              <w:rPr>
                <w:noProof/>
                <w:lang w:val="fr-BE" w:eastAsia="fr-BE"/>
              </w:rPr>
              <w:drawing>
                <wp:inline distT="0" distB="0" distL="0" distR="0" wp14:anchorId="13800CB2" wp14:editId="6DCAE237">
                  <wp:extent cx="468000" cy="468000"/>
                  <wp:effectExtent l="0" t="0" r="8255" b="8255"/>
                  <wp:docPr id="26" name="Picture 26" descr="G:\Production\B2 prepresse\Raimonds\2019.1745 AMPR\50 - work on images\AMPR Icons\AMPR Icons_Send1\AMPR Icons_Send1\Icon_10301_ERASMUS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roduction\B2 prepresse\Raimonds\2019.1745 AMPR\50 - work on images\AMPR Icons\AMPR Icons_Send1\AMPR Icons_Send1\Icon_10301_ERASMUS_01.emf"/>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94" w:type="dxa"/>
            </w:tcMar>
            <w:vAlign w:val="center"/>
          </w:tcPr>
          <w:p w14:paraId="471FCDFD" w14:textId="07A7A13C" w:rsidR="009447B1" w:rsidRPr="00A04E56" w:rsidRDefault="009447B1" w:rsidP="00E74A62">
            <w:pPr>
              <w:pStyle w:val="BodyText1spaceafter"/>
              <w:keepNext/>
              <w:spacing w:after="120"/>
              <w:rPr>
                <w:b/>
              </w:rPr>
            </w:pPr>
            <w:r w:rsidRPr="00A04E56">
              <w:rPr>
                <w:b/>
              </w:rPr>
              <w:t xml:space="preserve">Supporting </w:t>
            </w:r>
            <w:r w:rsidR="005C2683" w:rsidRPr="00A04E56">
              <w:rPr>
                <w:b/>
              </w:rPr>
              <w:t>e</w:t>
            </w:r>
            <w:r w:rsidRPr="00A04E56">
              <w:rPr>
                <w:b/>
              </w:rPr>
              <w:t xml:space="preserve">ducation and </w:t>
            </w:r>
            <w:r w:rsidR="005C2683" w:rsidRPr="00A04E56">
              <w:rPr>
                <w:b/>
              </w:rPr>
              <w:t>t</w:t>
            </w:r>
            <w:r w:rsidRPr="00A04E56">
              <w:rPr>
                <w:b/>
              </w:rPr>
              <w:t>raining</w:t>
            </w:r>
          </w:p>
          <w:p w14:paraId="781521C6" w14:textId="20AB8868" w:rsidR="00162779" w:rsidRPr="00A04E56" w:rsidRDefault="00162779" w:rsidP="00107DA0">
            <w:pPr>
              <w:pStyle w:val="BulletsblueNew"/>
            </w:pPr>
            <w:r w:rsidRPr="00A04E56">
              <w:t>Working towards a European Education Area by 2025</w:t>
            </w:r>
            <w:r w:rsidR="00A2656B" w:rsidRPr="00A04E56">
              <w:t>.</w:t>
            </w:r>
          </w:p>
          <w:p w14:paraId="0CEEB286" w14:textId="6D79FA6E" w:rsidR="009447B1" w:rsidRPr="00A04E56" w:rsidRDefault="009447B1" w:rsidP="00107DA0">
            <w:pPr>
              <w:pStyle w:val="BulletsblueNew"/>
            </w:pPr>
            <w:r w:rsidRPr="00A04E56">
              <w:t>Improving the level of key competencies and skills</w:t>
            </w:r>
            <w:r w:rsidR="00162779" w:rsidRPr="00A04E56">
              <w:rPr>
                <w:noProof w:val="0"/>
              </w:rPr>
              <w:t xml:space="preserve"> for a more cohesive society</w:t>
            </w:r>
            <w:r w:rsidRPr="00A04E56">
              <w:t>, in particular through learning mobility</w:t>
            </w:r>
            <w:r w:rsidR="00162779" w:rsidRPr="00A04E56">
              <w:rPr>
                <w:noProof w:val="0"/>
              </w:rPr>
              <w:t xml:space="preserve"> and cooperation with the world of work.</w:t>
            </w:r>
          </w:p>
          <w:p w14:paraId="70F7B630" w14:textId="505502F1" w:rsidR="009447B1" w:rsidRPr="00A04E56" w:rsidRDefault="009447B1" w:rsidP="00107DA0">
            <w:pPr>
              <w:pStyle w:val="BulletsblueNew"/>
            </w:pPr>
            <w:r w:rsidRPr="00A04E56">
              <w:t xml:space="preserve">Fostering </w:t>
            </w:r>
            <w:r w:rsidR="00162779" w:rsidRPr="00A04E56">
              <w:rPr>
                <w:noProof w:val="0"/>
              </w:rPr>
              <w:t xml:space="preserve">quality improvements, </w:t>
            </w:r>
            <w:r w:rsidRPr="00A04E56">
              <w:t>innovation excellence and internationalisation of education and training institutions.</w:t>
            </w:r>
          </w:p>
          <w:p w14:paraId="172EFE5F" w14:textId="77777777" w:rsidR="00CB7132" w:rsidRPr="00A04E56" w:rsidRDefault="00CB7132" w:rsidP="00107DA0">
            <w:pPr>
              <w:pStyle w:val="BulletsblueNew"/>
            </w:pPr>
            <w:r w:rsidRPr="00A04E56">
              <w:t xml:space="preserve">Stimulating innovative policy development, policy dialogue and implementation, and the exchange of knowledge in the fields of education, training and youth. </w:t>
            </w:r>
          </w:p>
          <w:p w14:paraId="6C43CDCF" w14:textId="7B893E33" w:rsidR="009447B1" w:rsidRPr="00A04E56" w:rsidRDefault="009447B1" w:rsidP="00107DA0">
            <w:pPr>
              <w:pStyle w:val="BulletsblueNew"/>
            </w:pPr>
            <w:r w:rsidRPr="00A04E56">
              <w:t xml:space="preserve">Raising awareness of </w:t>
            </w:r>
            <w:r w:rsidR="00CB7132" w:rsidRPr="00A04E56">
              <w:t xml:space="preserve">the importance of </w:t>
            </w:r>
            <w:r w:rsidRPr="00A04E56">
              <w:t>lifelong learning area.</w:t>
            </w:r>
          </w:p>
          <w:p w14:paraId="6A154C0A" w14:textId="52F71740" w:rsidR="009447B1" w:rsidRPr="00A04E56" w:rsidRDefault="009447B1" w:rsidP="00107DA0">
            <w:pPr>
              <w:pStyle w:val="BulletsblueNew"/>
            </w:pPr>
            <w:r w:rsidRPr="00A04E56">
              <w:t xml:space="preserve">Supporting the international dimension of education and training. </w:t>
            </w:r>
          </w:p>
          <w:p w14:paraId="2BEA8E83" w14:textId="77777777" w:rsidR="00CB7132" w:rsidRPr="00A04E56" w:rsidRDefault="009447B1" w:rsidP="00107DA0">
            <w:pPr>
              <w:pStyle w:val="BulletsblueNew"/>
            </w:pPr>
            <w:r w:rsidRPr="00A04E56">
              <w:t>Teaching and learning languages.</w:t>
            </w:r>
          </w:p>
          <w:p w14:paraId="4C89B027" w14:textId="5B242EA0" w:rsidR="009447B1" w:rsidRPr="00A04E56" w:rsidRDefault="009447B1" w:rsidP="00107DA0">
            <w:pPr>
              <w:pStyle w:val="BulletsblueNew"/>
            </w:pPr>
            <w:r w:rsidRPr="00A04E56">
              <w:t>Promoting teaching and research in European integration through the Jean Monnet activities.</w:t>
            </w:r>
          </w:p>
        </w:tc>
      </w:tr>
      <w:tr w:rsidR="002E684B" w:rsidRPr="00A04E56" w14:paraId="737922F0" w14:textId="77777777" w:rsidTr="003E0C2E">
        <w:trPr>
          <w:cantSplit/>
          <w:trHeight w:val="2880"/>
          <w:jc w:val="center"/>
        </w:trPr>
        <w:tc>
          <w:tcPr>
            <w:tcW w:w="170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46351990" w14:textId="65A1D7F4" w:rsidR="009447B1" w:rsidRPr="00A04E56" w:rsidRDefault="00351310" w:rsidP="00277538">
            <w:pPr>
              <w:spacing w:after="120" w:line="276" w:lineRule="auto"/>
              <w:jc w:val="right"/>
              <w:rPr>
                <w:rFonts w:cstheme="minorHAnsi"/>
                <w:szCs w:val="20"/>
              </w:rPr>
            </w:pPr>
            <w:r w:rsidRPr="00A04E56">
              <w:rPr>
                <w:noProof/>
                <w:lang w:val="fr-BE" w:eastAsia="fr-BE"/>
              </w:rPr>
              <w:drawing>
                <wp:inline distT="0" distB="0" distL="0" distR="0" wp14:anchorId="4AD82E69" wp14:editId="1B555484">
                  <wp:extent cx="468000" cy="468000"/>
                  <wp:effectExtent l="0" t="0" r="8255" b="8255"/>
                  <wp:docPr id="27" name="Picture 27" descr="G:\Production\B2 prepresse\Raimonds\2019.1745 AMPR\50 - work on images\AMPR Icons\AMPR Icons_Send1\AMPR Icons_Send1\Icon_10301_ERASMUS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Production\B2 prepresse\Raimonds\2019.1745 AMPR\50 - work on images\AMPR Icons\AMPR Icons_Send1\AMPR Icons_Send1\Icon_10301_ERASMUS_02.emf"/>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tcMar>
              <w:right w:w="794" w:type="dxa"/>
            </w:tcMar>
            <w:vAlign w:val="center"/>
          </w:tcPr>
          <w:p w14:paraId="7E22816D" w14:textId="3ACB1841" w:rsidR="009447B1" w:rsidRPr="00A04E56" w:rsidRDefault="009447B1" w:rsidP="005926AD">
            <w:pPr>
              <w:pStyle w:val="BodyText1spacebeforeandafter"/>
              <w:spacing w:before="0" w:after="120"/>
              <w:rPr>
                <w:b/>
              </w:rPr>
            </w:pPr>
            <w:r w:rsidRPr="00A04E56">
              <w:rPr>
                <w:b/>
              </w:rPr>
              <w:t>Youth</w:t>
            </w:r>
          </w:p>
          <w:p w14:paraId="32BA86C3" w14:textId="3EA1EFBF" w:rsidR="009447B1" w:rsidRPr="00A04E56" w:rsidRDefault="009447B1" w:rsidP="00107DA0">
            <w:pPr>
              <w:pStyle w:val="BulletsblueNew"/>
            </w:pPr>
            <w:r w:rsidRPr="00A04E56">
              <w:t xml:space="preserve">Improving the level of key competencies and skills of young people, in particular through increased </w:t>
            </w:r>
            <w:r w:rsidR="00CB7132" w:rsidRPr="00A04E56">
              <w:rPr>
                <w:noProof w:val="0"/>
              </w:rPr>
              <w:t xml:space="preserve">non-formal </w:t>
            </w:r>
            <w:r w:rsidRPr="00A04E56">
              <w:t xml:space="preserve">learning-mobility opportunities. </w:t>
            </w:r>
          </w:p>
          <w:p w14:paraId="383B0A63" w14:textId="65E579F3" w:rsidR="009447B1" w:rsidRPr="00A04E56" w:rsidRDefault="009447B1" w:rsidP="00107DA0">
            <w:pPr>
              <w:pStyle w:val="BulletsblueNew"/>
            </w:pPr>
            <w:r w:rsidRPr="00A04E56">
              <w:t>Enhanced cooperation between organisations in the youth field.</w:t>
            </w:r>
          </w:p>
          <w:p w14:paraId="649CEE91" w14:textId="055C5BE4" w:rsidR="009447B1" w:rsidRPr="00A04E56" w:rsidRDefault="009447B1" w:rsidP="00107DA0">
            <w:pPr>
              <w:pStyle w:val="BulletsblueNew"/>
            </w:pPr>
            <w:r w:rsidRPr="00A04E56">
              <w:t>Supporting the international dimension of youth activities and the role of youth workers and organisations.</w:t>
            </w:r>
          </w:p>
        </w:tc>
      </w:tr>
      <w:tr w:rsidR="002E684B" w:rsidRPr="00A04E56" w14:paraId="0414D4B6" w14:textId="77777777" w:rsidTr="003E0C2E">
        <w:trPr>
          <w:cantSplit/>
          <w:trHeight w:val="2075"/>
          <w:jc w:val="center"/>
        </w:trPr>
        <w:tc>
          <w:tcPr>
            <w:tcW w:w="1701"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14:paraId="093E5178" w14:textId="7B61C4AD" w:rsidR="009447B1" w:rsidRPr="00A04E56" w:rsidRDefault="00351310" w:rsidP="00277538">
            <w:pPr>
              <w:spacing w:after="120" w:line="276" w:lineRule="auto"/>
              <w:jc w:val="right"/>
              <w:rPr>
                <w:rFonts w:cstheme="minorHAnsi"/>
                <w:szCs w:val="20"/>
                <w:lang w:eastAsia="fr-BE"/>
              </w:rPr>
            </w:pPr>
            <w:r w:rsidRPr="00A04E56">
              <w:rPr>
                <w:noProof/>
                <w:lang w:val="fr-BE" w:eastAsia="fr-BE"/>
              </w:rPr>
              <w:drawing>
                <wp:inline distT="0" distB="0" distL="0" distR="0" wp14:anchorId="61D4D189" wp14:editId="3397FB3C">
                  <wp:extent cx="468000" cy="468000"/>
                  <wp:effectExtent l="0" t="0" r="8255" b="8255"/>
                  <wp:docPr id="29" name="Picture 29" descr="G:\Production\B2 prepresse\Raimonds\2019.1745 AMPR\50 - work on images\AMPR Icons\AMPR Icons_Send1\AMPR Icons_Send1\Icon_10301_ERASMUS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Production\B2 prepresse\Raimonds\2019.1745 AMPR\50 - work on images\AMPR Icons\AMPR Icons_Send1\AMPR Icons_Send1\Icon_10301_ERASMUS_03.emf"/>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7370"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tcMar>
              <w:right w:w="794" w:type="dxa"/>
            </w:tcMar>
            <w:vAlign w:val="center"/>
          </w:tcPr>
          <w:p w14:paraId="36C81ADF" w14:textId="35CD3438" w:rsidR="009447B1" w:rsidRPr="00A04E56" w:rsidRDefault="009447B1" w:rsidP="005926AD">
            <w:pPr>
              <w:pStyle w:val="BodyText1spacebeforeandafter"/>
              <w:spacing w:before="0" w:after="120"/>
              <w:rPr>
                <w:b/>
              </w:rPr>
            </w:pPr>
            <w:r w:rsidRPr="00A04E56">
              <w:rPr>
                <w:b/>
              </w:rPr>
              <w:t>Sport</w:t>
            </w:r>
          </w:p>
          <w:p w14:paraId="749FBF5B" w14:textId="1FE4031B" w:rsidR="009447B1" w:rsidRPr="00A04E56" w:rsidRDefault="009447B1" w:rsidP="00107DA0">
            <w:pPr>
              <w:pStyle w:val="BulletsblueNew"/>
            </w:pPr>
            <w:r w:rsidRPr="00A04E56">
              <w:t>Tackling cross-border threats to the integrity of sport.</w:t>
            </w:r>
          </w:p>
          <w:p w14:paraId="2F7D0211" w14:textId="1BD69514" w:rsidR="009447B1" w:rsidRPr="00A04E56" w:rsidRDefault="009447B1" w:rsidP="00107DA0">
            <w:pPr>
              <w:pStyle w:val="BulletsblueNew"/>
            </w:pPr>
            <w:r w:rsidRPr="00A04E56">
              <w:t>Supporting good governance in sport and dual careers of athletes.</w:t>
            </w:r>
          </w:p>
          <w:p w14:paraId="7CB342C1" w14:textId="6C2C7446" w:rsidR="009447B1" w:rsidRPr="00A04E56" w:rsidRDefault="009447B1" w:rsidP="00107DA0">
            <w:pPr>
              <w:pStyle w:val="BulletsblueNew"/>
            </w:pPr>
            <w:r w:rsidRPr="00A04E56">
              <w:t>Promoting voluntary activities in sport.</w:t>
            </w:r>
          </w:p>
        </w:tc>
      </w:tr>
    </w:tbl>
    <w:p w14:paraId="132ED4E3" w14:textId="746A2198" w:rsidR="0079408B" w:rsidRPr="00A04E56" w:rsidRDefault="0079408B" w:rsidP="00EE41E4">
      <w:pPr>
        <w:spacing w:after="214"/>
      </w:pPr>
    </w:p>
    <w:p w14:paraId="2EF069FF" w14:textId="77777777" w:rsidR="003E0C2E" w:rsidRDefault="003E0C2E">
      <w:pPr>
        <w:rPr>
          <w:b/>
          <w:color w:val="65BBC8"/>
          <w:sz w:val="24"/>
          <w:lang w:eastAsia="zh-CN"/>
        </w:rPr>
      </w:pPr>
      <w:r>
        <w:br w:type="page"/>
      </w:r>
    </w:p>
    <w:p w14:paraId="36A74B36" w14:textId="057D31E9" w:rsidR="00D60064" w:rsidRPr="00A04E56" w:rsidRDefault="00D60064" w:rsidP="00AA0340">
      <w:pPr>
        <w:pStyle w:val="Title3NumberedReport"/>
      </w:pPr>
      <w:r w:rsidRPr="00A04E56">
        <w:t>Implementation and latest achievements</w:t>
      </w:r>
    </w:p>
    <w:p w14:paraId="048BFB1A" w14:textId="57C2258C" w:rsidR="00C226C8" w:rsidRDefault="008C1D39" w:rsidP="003E0C2E">
      <w:pPr>
        <w:pStyle w:val="BodyText1spaceafter"/>
        <w:rPr>
          <w:i/>
          <w:u w:val="single"/>
        </w:rPr>
      </w:pPr>
      <w:r w:rsidRPr="00A04E56">
        <w:rPr>
          <w:rStyle w:val="Bodytext2"/>
          <w:i/>
          <w:sz w:val="20"/>
          <w:szCs w:val="20"/>
          <w:u w:val="single"/>
        </w:rPr>
        <w:t>In 2018</w:t>
      </w:r>
      <w:r w:rsidR="004F2D8F" w:rsidRPr="00A04E56">
        <w:rPr>
          <w:rStyle w:val="Bodytext2"/>
          <w:sz w:val="20"/>
          <w:szCs w:val="20"/>
        </w:rPr>
        <w:t xml:space="preserve"> emphasis was put, across all actions of the programme, on activities that support social inclusion and equity in education, training, youth and sport</w:t>
      </w:r>
      <w:r w:rsidR="004F2D8F" w:rsidRPr="00A04E56" w:rsidDel="00EC0B83">
        <w:rPr>
          <w:rStyle w:val="Bodytext2"/>
          <w:sz w:val="20"/>
          <w:szCs w:val="20"/>
        </w:rPr>
        <w:t xml:space="preserve"> </w:t>
      </w:r>
      <w:r w:rsidR="004F2D8F" w:rsidRPr="00A04E56">
        <w:rPr>
          <w:rStyle w:val="Bodytext2"/>
          <w:noProof w:val="0"/>
          <w:sz w:val="20"/>
          <w:szCs w:val="20"/>
        </w:rPr>
        <w:t xml:space="preserve">— </w:t>
      </w:r>
      <w:r w:rsidR="004F2D8F" w:rsidRPr="00A04E56">
        <w:rPr>
          <w:rStyle w:val="Bodytext2"/>
          <w:sz w:val="20"/>
          <w:szCs w:val="20"/>
        </w:rPr>
        <w:t>in line with the Paris Declaration on promoting citizenship and the common values of freedom, tolerance and non-discrimination through education, and with the Commission’s action plan on the integration of third</w:t>
      </w:r>
      <w:r w:rsidR="004F2D8F" w:rsidRPr="00A04E56">
        <w:rPr>
          <w:rStyle w:val="Bodytext2"/>
          <w:noProof w:val="0"/>
          <w:sz w:val="20"/>
          <w:szCs w:val="20"/>
        </w:rPr>
        <w:t>-</w:t>
      </w:r>
      <w:r w:rsidR="004F2D8F" w:rsidRPr="00A04E56">
        <w:rPr>
          <w:rStyle w:val="Bodytext2"/>
          <w:sz w:val="20"/>
          <w:szCs w:val="20"/>
        </w:rPr>
        <w:t xml:space="preserve">country nationals. </w:t>
      </w:r>
    </w:p>
    <w:p w14:paraId="456ACA63" w14:textId="1F4065BE" w:rsidR="0079408B" w:rsidRPr="003E0C2E" w:rsidRDefault="008C1D39">
      <w:pPr>
        <w:pStyle w:val="BodyText1spaceafter"/>
        <w:rPr>
          <w:spacing w:val="-2"/>
        </w:rPr>
      </w:pPr>
      <w:r w:rsidRPr="003E0C2E">
        <w:rPr>
          <w:i/>
          <w:spacing w:val="-2"/>
          <w:u w:val="single"/>
        </w:rPr>
        <w:t>In 2018</w:t>
      </w:r>
      <w:r w:rsidR="00EE41E4" w:rsidRPr="003E0C2E">
        <w:rPr>
          <w:spacing w:val="-2"/>
        </w:rPr>
        <w:t>, ERASMUS+ demonstrated its flexibility in addressing specific policy priorities through different actions.</w:t>
      </w:r>
    </w:p>
    <w:tbl>
      <w:tblPr>
        <w:tblStyle w:val="TableGrid"/>
        <w:tblW w:w="9072" w:type="dxa"/>
        <w:jc w:val="center"/>
        <w:tblBorders>
          <w:top w:val="none" w:sz="0" w:space="0" w:color="auto"/>
          <w:left w:val="none" w:sz="0" w:space="0" w:color="auto"/>
          <w:bottom w:val="none" w:sz="0" w:space="0" w:color="auto"/>
          <w:right w:val="none" w:sz="0" w:space="0" w:color="auto"/>
          <w:insideH w:val="single" w:sz="8" w:space="0" w:color="FFFFFF" w:themeColor="background1"/>
          <w:insideV w:val="single" w:sz="8" w:space="0" w:color="FFFFFF" w:themeColor="background1"/>
        </w:tblBorders>
        <w:shd w:val="clear" w:color="auto" w:fill="E0F1F4"/>
        <w:tblCellMar>
          <w:left w:w="170" w:type="dxa"/>
          <w:right w:w="170" w:type="dxa"/>
        </w:tblCellMar>
        <w:tblLook w:val="04A0" w:firstRow="1" w:lastRow="0" w:firstColumn="1" w:lastColumn="0" w:noHBand="0" w:noVBand="1"/>
      </w:tblPr>
      <w:tblGrid>
        <w:gridCol w:w="1514"/>
        <w:gridCol w:w="1510"/>
        <w:gridCol w:w="1510"/>
        <w:gridCol w:w="1500"/>
        <w:gridCol w:w="1503"/>
        <w:gridCol w:w="1535"/>
      </w:tblGrid>
      <w:tr w:rsidR="00D840ED" w:rsidRPr="00A04E56" w14:paraId="41B10BD7" w14:textId="77777777" w:rsidTr="00B5117A">
        <w:trPr>
          <w:trHeight w:val="624"/>
          <w:jc w:val="center"/>
        </w:trPr>
        <w:tc>
          <w:tcPr>
            <w:tcW w:w="1553" w:type="dxa"/>
            <w:shd w:val="clear" w:color="auto" w:fill="E0F1F4"/>
            <w:vAlign w:val="center"/>
          </w:tcPr>
          <w:p w14:paraId="6CBD17A8" w14:textId="531FA5A3" w:rsidR="000433A4" w:rsidRPr="00277538" w:rsidRDefault="000433A4" w:rsidP="00B5117A">
            <w:pPr>
              <w:jc w:val="center"/>
              <w:rPr>
                <w:b/>
                <w:color w:val="1D3E89"/>
                <w:sz w:val="28"/>
                <w:szCs w:val="30"/>
                <w:lang w:eastAsia="en-GB"/>
              </w:rPr>
            </w:pPr>
            <w:r w:rsidRPr="00277538">
              <w:rPr>
                <w:b/>
                <w:color w:val="1D3E89"/>
                <w:sz w:val="28"/>
                <w:szCs w:val="30"/>
                <w:lang w:eastAsia="en-GB"/>
              </w:rPr>
              <w:t>800 000</w:t>
            </w:r>
          </w:p>
        </w:tc>
        <w:tc>
          <w:tcPr>
            <w:tcW w:w="1554" w:type="dxa"/>
            <w:shd w:val="clear" w:color="auto" w:fill="E0F1F4"/>
            <w:vAlign w:val="center"/>
          </w:tcPr>
          <w:p w14:paraId="2D41828A" w14:textId="52030D28" w:rsidR="000433A4" w:rsidRPr="00277538" w:rsidRDefault="000433A4" w:rsidP="00B5117A">
            <w:pPr>
              <w:jc w:val="center"/>
              <w:rPr>
                <w:b/>
                <w:color w:val="1D3E89"/>
                <w:sz w:val="28"/>
                <w:szCs w:val="30"/>
                <w:lang w:eastAsia="en-GB"/>
              </w:rPr>
            </w:pPr>
            <w:r w:rsidRPr="00277538">
              <w:rPr>
                <w:b/>
                <w:color w:val="1D3E89"/>
                <w:sz w:val="28"/>
                <w:szCs w:val="30"/>
                <w:lang w:eastAsia="en-GB"/>
              </w:rPr>
              <w:t>320 000</w:t>
            </w:r>
          </w:p>
        </w:tc>
        <w:tc>
          <w:tcPr>
            <w:tcW w:w="1554" w:type="dxa"/>
            <w:shd w:val="clear" w:color="auto" w:fill="E0F1F4"/>
            <w:vAlign w:val="center"/>
          </w:tcPr>
          <w:p w14:paraId="4539C15F" w14:textId="36414727" w:rsidR="000433A4" w:rsidRPr="00277538" w:rsidRDefault="000433A4" w:rsidP="00B5117A">
            <w:pPr>
              <w:jc w:val="center"/>
              <w:rPr>
                <w:b/>
                <w:color w:val="1D3E89"/>
                <w:sz w:val="28"/>
                <w:szCs w:val="30"/>
                <w:lang w:eastAsia="en-GB"/>
              </w:rPr>
            </w:pPr>
            <w:r w:rsidRPr="00277538">
              <w:rPr>
                <w:b/>
                <w:color w:val="1D3E89"/>
                <w:sz w:val="28"/>
                <w:szCs w:val="30"/>
                <w:lang w:eastAsia="en-GB"/>
              </w:rPr>
              <w:t>13 000</w:t>
            </w:r>
          </w:p>
        </w:tc>
        <w:tc>
          <w:tcPr>
            <w:tcW w:w="1553" w:type="dxa"/>
            <w:shd w:val="clear" w:color="auto" w:fill="E0F1F4"/>
            <w:vAlign w:val="center"/>
          </w:tcPr>
          <w:p w14:paraId="53BC402A" w14:textId="3CD48FD5" w:rsidR="000433A4" w:rsidRPr="00277538" w:rsidRDefault="000433A4" w:rsidP="00B5117A">
            <w:pPr>
              <w:jc w:val="center"/>
              <w:rPr>
                <w:b/>
                <w:color w:val="1D3E89"/>
                <w:sz w:val="28"/>
                <w:szCs w:val="30"/>
                <w:lang w:eastAsia="en-GB"/>
              </w:rPr>
            </w:pPr>
            <w:r w:rsidRPr="00277538">
              <w:rPr>
                <w:b/>
                <w:color w:val="1D3E89"/>
                <w:sz w:val="28"/>
                <w:szCs w:val="30"/>
                <w:lang w:eastAsia="en-GB"/>
              </w:rPr>
              <w:t>47 000</w:t>
            </w:r>
          </w:p>
        </w:tc>
        <w:tc>
          <w:tcPr>
            <w:tcW w:w="1554" w:type="dxa"/>
            <w:shd w:val="clear" w:color="auto" w:fill="E0F1F4"/>
            <w:vAlign w:val="center"/>
          </w:tcPr>
          <w:p w14:paraId="2FBCC533" w14:textId="6931C205" w:rsidR="000433A4" w:rsidRPr="00277538" w:rsidRDefault="000433A4" w:rsidP="00B5117A">
            <w:pPr>
              <w:jc w:val="center"/>
              <w:rPr>
                <w:b/>
                <w:color w:val="1D3E89"/>
                <w:sz w:val="28"/>
                <w:szCs w:val="30"/>
                <w:lang w:eastAsia="en-GB"/>
              </w:rPr>
            </w:pPr>
            <w:r w:rsidRPr="00277538">
              <w:rPr>
                <w:b/>
                <w:color w:val="1D3E89"/>
                <w:sz w:val="28"/>
                <w:szCs w:val="30"/>
                <w:lang w:eastAsia="en-GB"/>
              </w:rPr>
              <w:t>55 000</w:t>
            </w:r>
          </w:p>
        </w:tc>
        <w:tc>
          <w:tcPr>
            <w:tcW w:w="1554" w:type="dxa"/>
            <w:shd w:val="clear" w:color="auto" w:fill="E0F1F4"/>
            <w:vAlign w:val="center"/>
          </w:tcPr>
          <w:p w14:paraId="77F65F40" w14:textId="243864D7" w:rsidR="000433A4" w:rsidRPr="00277538" w:rsidRDefault="005B6187" w:rsidP="00B5117A">
            <w:pPr>
              <w:jc w:val="center"/>
              <w:rPr>
                <w:b/>
                <w:color w:val="1D3E89"/>
                <w:sz w:val="28"/>
                <w:szCs w:val="30"/>
                <w:lang w:eastAsia="en-GB"/>
              </w:rPr>
            </w:pPr>
            <w:r w:rsidRPr="00277538">
              <w:rPr>
                <w:b/>
                <w:color w:val="1D3E89"/>
                <w:sz w:val="28"/>
                <w:szCs w:val="30"/>
                <w:lang w:eastAsia="en-GB"/>
              </w:rPr>
              <w:t>172</w:t>
            </w:r>
            <w:r w:rsidRPr="00277538">
              <w:rPr>
                <w:rFonts w:ascii="Calibri" w:hAnsi="Calibri" w:cs="Calibri"/>
                <w:b/>
                <w:color w:val="1D3E89"/>
                <w:sz w:val="28"/>
                <w:szCs w:val="30"/>
                <w:lang w:eastAsia="en-GB"/>
              </w:rPr>
              <w:t> </w:t>
            </w:r>
            <w:r w:rsidR="00497E9B" w:rsidRPr="00277538">
              <w:rPr>
                <w:b/>
                <w:color w:val="1D3E89"/>
                <w:sz w:val="28"/>
                <w:szCs w:val="30"/>
                <w:lang w:eastAsia="en-GB"/>
              </w:rPr>
              <w:t>000</w:t>
            </w:r>
          </w:p>
        </w:tc>
      </w:tr>
      <w:tr w:rsidR="00D840ED" w:rsidRPr="00A04E56" w14:paraId="69127F74" w14:textId="77777777" w:rsidTr="00B5117A">
        <w:trPr>
          <w:trHeight w:val="2324"/>
          <w:jc w:val="center"/>
        </w:trPr>
        <w:tc>
          <w:tcPr>
            <w:tcW w:w="1553" w:type="dxa"/>
            <w:shd w:val="clear" w:color="auto" w:fill="E0F1F4"/>
          </w:tcPr>
          <w:p w14:paraId="40201F08" w14:textId="46515672" w:rsidR="000433A4" w:rsidRPr="00D840ED" w:rsidRDefault="000433A4" w:rsidP="00B5117A">
            <w:pPr>
              <w:rPr>
                <w:color w:val="1D3E89"/>
                <w:sz w:val="18"/>
                <w:szCs w:val="18"/>
                <w:lang w:eastAsia="en-GB"/>
              </w:rPr>
            </w:pPr>
            <w:r w:rsidRPr="00D840ED">
              <w:rPr>
                <w:i/>
                <w:color w:val="1D3E89"/>
                <w:sz w:val="18"/>
                <w:szCs w:val="18"/>
                <w:u w:val="single"/>
                <w:lang w:eastAsia="en-GB"/>
              </w:rPr>
              <w:t>In 2018</w:t>
            </w:r>
            <w:r w:rsidRPr="00D840ED">
              <w:rPr>
                <w:color w:val="1D3E89"/>
                <w:sz w:val="18"/>
                <w:szCs w:val="18"/>
                <w:lang w:eastAsia="en-GB"/>
              </w:rPr>
              <w:t>, people benefit from learning, working or volunteering abroad (</w:t>
            </w:r>
            <w:r w:rsidR="00D840ED" w:rsidRPr="00D840ED">
              <w:rPr>
                <w:color w:val="1D3E89"/>
                <w:sz w:val="18"/>
                <w:szCs w:val="18"/>
                <w:lang w:eastAsia="en-GB"/>
              </w:rPr>
              <w:t>10</w:t>
            </w:r>
            <w:r w:rsidR="00D840ED" w:rsidRPr="00D840ED">
              <w:rPr>
                <w:rFonts w:ascii="Calibri" w:hAnsi="Calibri" w:cs="Calibri"/>
                <w:color w:val="1D3E89"/>
                <w:sz w:val="18"/>
                <w:szCs w:val="18"/>
                <w:lang w:eastAsia="en-GB"/>
              </w:rPr>
              <w:t> </w:t>
            </w:r>
            <w:r w:rsidRPr="00D840ED">
              <w:rPr>
                <w:color w:val="1D3E89"/>
                <w:sz w:val="18"/>
                <w:szCs w:val="18"/>
                <w:lang w:eastAsia="en-GB"/>
              </w:rPr>
              <w:t>million since the launch of the programme)</w:t>
            </w:r>
          </w:p>
        </w:tc>
        <w:tc>
          <w:tcPr>
            <w:tcW w:w="1554" w:type="dxa"/>
            <w:shd w:val="clear" w:color="auto" w:fill="E0F1F4"/>
          </w:tcPr>
          <w:p w14:paraId="2B534D46" w14:textId="70108AC7" w:rsidR="000433A4" w:rsidRPr="00D840ED" w:rsidRDefault="00235BA3" w:rsidP="00B5117A">
            <w:pPr>
              <w:rPr>
                <w:color w:val="1D3E89"/>
                <w:sz w:val="18"/>
                <w:szCs w:val="18"/>
                <w:lang w:eastAsia="en-GB"/>
              </w:rPr>
            </w:pPr>
            <w:r>
              <w:rPr>
                <w:color w:val="1D3E89"/>
                <w:sz w:val="18"/>
                <w:szCs w:val="18"/>
                <w:lang w:eastAsia="en-GB"/>
              </w:rPr>
              <w:t>Participants in higher-education student mobility</w:t>
            </w:r>
            <w:r w:rsidR="000433A4" w:rsidRPr="00D840ED">
              <w:rPr>
                <w:color w:val="1D3E89"/>
                <w:sz w:val="18"/>
                <w:szCs w:val="18"/>
                <w:lang w:eastAsia="en-GB"/>
              </w:rPr>
              <w:t xml:space="preserve"> </w:t>
            </w:r>
            <w:r w:rsidR="00D840ED" w:rsidRPr="00D840ED">
              <w:rPr>
                <w:i/>
                <w:color w:val="1D3E89"/>
                <w:sz w:val="18"/>
                <w:szCs w:val="18"/>
                <w:u w:val="single"/>
                <w:lang w:eastAsia="en-GB"/>
              </w:rPr>
              <w:t>in</w:t>
            </w:r>
            <w:r w:rsidR="00D840ED" w:rsidRPr="00D840ED">
              <w:rPr>
                <w:rFonts w:ascii="Calibri" w:hAnsi="Calibri" w:cs="Calibri"/>
                <w:i/>
                <w:color w:val="1D3E89"/>
                <w:sz w:val="18"/>
                <w:szCs w:val="18"/>
                <w:u w:val="single"/>
                <w:lang w:eastAsia="en-GB"/>
              </w:rPr>
              <w:t> </w:t>
            </w:r>
            <w:r w:rsidR="000433A4" w:rsidRPr="00D840ED">
              <w:rPr>
                <w:i/>
                <w:color w:val="1D3E89"/>
                <w:sz w:val="18"/>
                <w:szCs w:val="18"/>
                <w:u w:val="single"/>
                <w:lang w:eastAsia="en-GB"/>
              </w:rPr>
              <w:t>2018</w:t>
            </w:r>
          </w:p>
        </w:tc>
        <w:tc>
          <w:tcPr>
            <w:tcW w:w="1554" w:type="dxa"/>
            <w:shd w:val="clear" w:color="auto" w:fill="E0F1F4"/>
          </w:tcPr>
          <w:p w14:paraId="35C84854" w14:textId="718EEB52" w:rsidR="000433A4" w:rsidRPr="00D840ED" w:rsidRDefault="000433A4" w:rsidP="00B5117A">
            <w:pPr>
              <w:rPr>
                <w:color w:val="1D3E89"/>
                <w:sz w:val="18"/>
                <w:szCs w:val="18"/>
                <w:lang w:eastAsia="en-GB"/>
              </w:rPr>
            </w:pPr>
            <w:r w:rsidRPr="00D840ED">
              <w:rPr>
                <w:color w:val="1D3E89"/>
                <w:sz w:val="18"/>
                <w:szCs w:val="18"/>
                <w:lang w:eastAsia="en-GB"/>
              </w:rPr>
              <w:t xml:space="preserve">Participants for work-based mobility (December </w:t>
            </w:r>
            <w:r w:rsidRPr="00D840ED">
              <w:rPr>
                <w:i/>
                <w:color w:val="1D3E89"/>
                <w:sz w:val="18"/>
                <w:szCs w:val="18"/>
                <w:u w:val="single"/>
                <w:lang w:eastAsia="en-GB"/>
              </w:rPr>
              <w:t>2018</w:t>
            </w:r>
            <w:r w:rsidRPr="00D840ED">
              <w:rPr>
                <w:color w:val="1D3E89"/>
                <w:sz w:val="18"/>
                <w:szCs w:val="18"/>
                <w:lang w:eastAsia="en-GB"/>
              </w:rPr>
              <w:t>)</w:t>
            </w:r>
          </w:p>
        </w:tc>
        <w:tc>
          <w:tcPr>
            <w:tcW w:w="1553" w:type="dxa"/>
            <w:shd w:val="clear" w:color="auto" w:fill="E0F1F4"/>
          </w:tcPr>
          <w:p w14:paraId="5F8B8672" w14:textId="01E39EBE" w:rsidR="000433A4" w:rsidRPr="00D840ED" w:rsidRDefault="000433A4" w:rsidP="00B5117A">
            <w:pPr>
              <w:rPr>
                <w:color w:val="1D3E89"/>
                <w:sz w:val="18"/>
                <w:szCs w:val="18"/>
                <w:lang w:eastAsia="en-GB"/>
              </w:rPr>
            </w:pPr>
            <w:r w:rsidRPr="00D840ED">
              <w:rPr>
                <w:color w:val="1D3E89"/>
                <w:sz w:val="18"/>
                <w:szCs w:val="18"/>
                <w:lang w:eastAsia="en-GB"/>
              </w:rPr>
              <w:t xml:space="preserve">Users of the electronic platform for lifelong learning (December </w:t>
            </w:r>
            <w:r w:rsidRPr="00D840ED">
              <w:rPr>
                <w:i/>
                <w:color w:val="1D3E89"/>
                <w:sz w:val="18"/>
                <w:szCs w:val="18"/>
                <w:u w:val="single"/>
                <w:lang w:eastAsia="en-GB"/>
              </w:rPr>
              <w:t>2018</w:t>
            </w:r>
            <w:r w:rsidRPr="00D840ED">
              <w:rPr>
                <w:color w:val="1D3E89"/>
                <w:sz w:val="18"/>
                <w:szCs w:val="18"/>
                <w:lang w:eastAsia="en-GB"/>
              </w:rPr>
              <w:t>)</w:t>
            </w:r>
          </w:p>
        </w:tc>
        <w:tc>
          <w:tcPr>
            <w:tcW w:w="1554" w:type="dxa"/>
            <w:shd w:val="clear" w:color="auto" w:fill="E0F1F4"/>
          </w:tcPr>
          <w:p w14:paraId="5174FE55" w14:textId="590C49E1" w:rsidR="000433A4" w:rsidRPr="00D840ED" w:rsidRDefault="000433A4" w:rsidP="00B5117A">
            <w:pPr>
              <w:rPr>
                <w:color w:val="1D3E89"/>
                <w:sz w:val="18"/>
                <w:szCs w:val="18"/>
                <w:lang w:eastAsia="en-GB"/>
              </w:rPr>
            </w:pPr>
            <w:r w:rsidRPr="00D840ED">
              <w:rPr>
                <w:color w:val="1D3E89"/>
                <w:sz w:val="18"/>
                <w:szCs w:val="18"/>
                <w:lang w:eastAsia="en-GB"/>
              </w:rPr>
              <w:t xml:space="preserve">Downloads of Erasmus+ mobile phone app (December </w:t>
            </w:r>
            <w:r w:rsidRPr="00D840ED">
              <w:rPr>
                <w:i/>
                <w:color w:val="1D3E89"/>
                <w:sz w:val="18"/>
                <w:szCs w:val="18"/>
                <w:u w:val="single"/>
                <w:lang w:eastAsia="en-GB"/>
              </w:rPr>
              <w:t>2018</w:t>
            </w:r>
            <w:r w:rsidRPr="00D840ED">
              <w:rPr>
                <w:color w:val="1D3E89"/>
                <w:sz w:val="18"/>
                <w:szCs w:val="18"/>
                <w:lang w:eastAsia="en-GB"/>
              </w:rPr>
              <w:t>)</w:t>
            </w:r>
          </w:p>
        </w:tc>
        <w:tc>
          <w:tcPr>
            <w:tcW w:w="1554" w:type="dxa"/>
            <w:shd w:val="clear" w:color="auto" w:fill="E0F1F4"/>
          </w:tcPr>
          <w:p w14:paraId="06B1ABA5" w14:textId="79206E06" w:rsidR="000433A4" w:rsidRPr="00D840ED" w:rsidRDefault="00497E9B" w:rsidP="00B5117A">
            <w:pPr>
              <w:rPr>
                <w:color w:val="1D3E89"/>
                <w:sz w:val="18"/>
                <w:szCs w:val="18"/>
                <w:lang w:eastAsia="en-GB"/>
              </w:rPr>
            </w:pPr>
            <w:r w:rsidRPr="00D840ED">
              <w:rPr>
                <w:color w:val="1D3E89"/>
                <w:sz w:val="18"/>
                <w:szCs w:val="18"/>
                <w:lang w:eastAsia="en-GB"/>
              </w:rPr>
              <w:t>Participants for vocational and educational training mobility</w:t>
            </w:r>
            <w:r w:rsidR="005B6187" w:rsidRPr="00D840ED">
              <w:rPr>
                <w:color w:val="1D3E89"/>
                <w:sz w:val="18"/>
                <w:szCs w:val="18"/>
                <w:lang w:eastAsia="en-GB"/>
              </w:rPr>
              <w:t xml:space="preserve"> </w:t>
            </w:r>
            <w:r w:rsidR="005B6187" w:rsidRPr="00D840ED">
              <w:rPr>
                <w:i/>
                <w:color w:val="1D3E89"/>
                <w:sz w:val="18"/>
                <w:szCs w:val="18"/>
                <w:u w:val="single"/>
                <w:lang w:eastAsia="en-GB"/>
              </w:rPr>
              <w:t>in 2018</w:t>
            </w:r>
          </w:p>
        </w:tc>
      </w:tr>
    </w:tbl>
    <w:p w14:paraId="0F2007B4" w14:textId="5A1F8D5D" w:rsidR="00EE41E4" w:rsidRPr="00A04E56" w:rsidRDefault="00EE41E4" w:rsidP="00277538">
      <w:pPr>
        <w:pStyle w:val="BodyText1spacebeforeandafter"/>
        <w:rPr>
          <w:rFonts w:cstheme="minorHAnsi"/>
        </w:rPr>
      </w:pPr>
      <w:r w:rsidRPr="00A04E56">
        <w:t xml:space="preserve">In the field of </w:t>
      </w:r>
      <w:r w:rsidRPr="00A04E56">
        <w:rPr>
          <w:rStyle w:val="BOLDLIGHTBLUEReport"/>
          <w:rFonts w:eastAsia="Calibri"/>
        </w:rPr>
        <w:t>higher education</w:t>
      </w:r>
      <w:r w:rsidRPr="00A04E56">
        <w:t xml:space="preserve">, </w:t>
      </w:r>
      <w:r w:rsidR="008C1D39" w:rsidRPr="00A04E56">
        <w:rPr>
          <w:i/>
          <w:u w:val="single"/>
        </w:rPr>
        <w:t>in 2018</w:t>
      </w:r>
      <w:r w:rsidRPr="00A04E56">
        <w:t xml:space="preserve"> priority </w:t>
      </w:r>
      <w:r w:rsidRPr="00D840ED">
        <w:t>was</w:t>
      </w:r>
      <w:r w:rsidRPr="00A04E56">
        <w:t xml:space="preserve"> given to enhancing the quality and relevance of students</w:t>
      </w:r>
      <w:r w:rsidR="0050150C" w:rsidRPr="00A04E56">
        <w:t>’</w:t>
      </w:r>
      <w:r w:rsidRPr="00A04E56">
        <w:t xml:space="preserve"> knowledge and skills, better use of </w:t>
      </w:r>
      <w:r w:rsidR="00513AA4" w:rsidRPr="00A04E56" w:rsidDel="0050150C">
        <w:t>information and communications technology (</w:t>
      </w:r>
      <w:r w:rsidRPr="00A04E56">
        <w:t>ICT</w:t>
      </w:r>
      <w:r w:rsidR="00513AA4" w:rsidRPr="00A04E56" w:rsidDel="0050150C">
        <w:t>)</w:t>
      </w:r>
      <w:r w:rsidRPr="00A04E56">
        <w:t>,</w:t>
      </w:r>
      <w:r w:rsidR="0050150C" w:rsidRPr="00A04E56">
        <w:t xml:space="preserve"> </w:t>
      </w:r>
      <w:r w:rsidR="00CB7132" w:rsidRPr="00A04E56">
        <w:t xml:space="preserve">improving the inclusiveness of higher education systems, </w:t>
      </w:r>
      <w:r w:rsidR="0050150C" w:rsidRPr="00A04E56">
        <w:t>and</w:t>
      </w:r>
      <w:r w:rsidRPr="00A04E56">
        <w:t xml:space="preserve"> better links between higher</w:t>
      </w:r>
      <w:r w:rsidR="0050150C" w:rsidRPr="00A04E56">
        <w:t>-</w:t>
      </w:r>
      <w:r w:rsidRPr="00A04E56">
        <w:t>education institutions and employers or social enterprises. More than 320</w:t>
      </w:r>
      <w:r w:rsidR="00E91F65" w:rsidRPr="00A04E56">
        <w:rPr>
          <w:rFonts w:ascii="Calibri" w:hAnsi="Calibri" w:cs="Calibri"/>
        </w:rPr>
        <w:t> </w:t>
      </w:r>
      <w:r w:rsidR="00E91F65" w:rsidRPr="00A04E56">
        <w:rPr>
          <w:rFonts w:cs="Calibri"/>
        </w:rPr>
        <w:t>0</w:t>
      </w:r>
      <w:r w:rsidR="006221A4" w:rsidRPr="00A04E56">
        <w:rPr>
          <w:rFonts w:cs="Calibri"/>
        </w:rPr>
        <w:t>00</w:t>
      </w:r>
      <w:r w:rsidRPr="00A04E56">
        <w:t xml:space="preserve"> higher</w:t>
      </w:r>
      <w:r w:rsidR="0050150C" w:rsidRPr="00A04E56">
        <w:t>-</w:t>
      </w:r>
      <w:r w:rsidRPr="00A04E56">
        <w:t xml:space="preserve">education student </w:t>
      </w:r>
      <w:r w:rsidR="00CB7132" w:rsidRPr="00A04E56">
        <w:t xml:space="preserve">mobilities </w:t>
      </w:r>
      <w:r w:rsidRPr="00A04E56">
        <w:t xml:space="preserve">took place </w:t>
      </w:r>
      <w:r w:rsidR="008C1D39" w:rsidRPr="00A04E56">
        <w:rPr>
          <w:i/>
          <w:u w:val="single"/>
        </w:rPr>
        <w:t>in 2018</w:t>
      </w:r>
      <w:r w:rsidRPr="00A04E56">
        <w:t xml:space="preserve">. </w:t>
      </w:r>
    </w:p>
    <w:p w14:paraId="5AD447AD" w14:textId="302F934E" w:rsidR="00EE41E4" w:rsidRPr="00A04E56" w:rsidRDefault="00EE41E4">
      <w:pPr>
        <w:pStyle w:val="BodyText1spaceafter"/>
      </w:pPr>
      <w:r w:rsidRPr="00A04E56">
        <w:t xml:space="preserve">In the field of </w:t>
      </w:r>
      <w:r w:rsidRPr="00A04E56">
        <w:rPr>
          <w:rStyle w:val="BOLDLIGHTBLUEReport"/>
          <w:rFonts w:eastAsia="Calibri"/>
        </w:rPr>
        <w:t>school education</w:t>
      </w:r>
      <w:r w:rsidRPr="00A04E56">
        <w:t>, priority was given to strengthening the profiles of the teaching professions, promoting the acquisition of key competence</w:t>
      </w:r>
      <w:r w:rsidR="0050150C" w:rsidRPr="00A04E56">
        <w:t>s,</w:t>
      </w:r>
      <w:r w:rsidRPr="00A04E56">
        <w:t xml:space="preserve"> e.g. by addressing underachievement in the basic skills of mathematics, science and literacy and supporting multilingual classrooms. Access</w:t>
      </w:r>
      <w:r w:rsidRPr="00A04E56" w:rsidDel="0050150C">
        <w:t xml:space="preserve"> </w:t>
      </w:r>
      <w:r w:rsidRPr="00A04E56">
        <w:t xml:space="preserve">to the Erasmus+ programme </w:t>
      </w:r>
      <w:r w:rsidR="0050150C" w:rsidRPr="00A04E56">
        <w:t xml:space="preserve">for schools </w:t>
      </w:r>
      <w:r w:rsidRPr="00A04E56">
        <w:t xml:space="preserve">was facilitated </w:t>
      </w:r>
      <w:r w:rsidR="008C1D39" w:rsidRPr="00A04E56">
        <w:rPr>
          <w:i/>
          <w:u w:val="single"/>
        </w:rPr>
        <w:t>in 2018</w:t>
      </w:r>
      <w:r w:rsidR="0050150C" w:rsidRPr="00A04E56">
        <w:t xml:space="preserve"> by </w:t>
      </w:r>
      <w:r w:rsidRPr="00A04E56">
        <w:t>introducing a new form of school exchange partnerships into the programme</w:t>
      </w:r>
      <w:r w:rsidR="005C2683" w:rsidRPr="00A04E56">
        <w:t>. As</w:t>
      </w:r>
      <w:r w:rsidRPr="00A04E56">
        <w:t xml:space="preserve"> a result, the number of awarded projects in the sector increased by 40%.</w:t>
      </w:r>
      <w:r w:rsidR="00CB7132" w:rsidRPr="00A04E56">
        <w:t xml:space="preserve"> Teachers can also join the eTwinning community do collaborative projects with classes in other countries to follow online and face to face professional development opprotunities, and get recognition for their work. Since its inception in 2005, eTwinning has 640 000 users and 218 000 schools. </w:t>
      </w:r>
      <w:r w:rsidR="008C1D39" w:rsidRPr="00A04E56">
        <w:rPr>
          <w:i/>
          <w:u w:val="single"/>
        </w:rPr>
        <w:t>In 2018</w:t>
      </w:r>
      <w:r w:rsidR="00CB7132" w:rsidRPr="00A04E56">
        <w:t>, 103 000 new users registered and 14 000 projects were launched.</w:t>
      </w:r>
    </w:p>
    <w:p w14:paraId="52C33C78" w14:textId="37139FF5" w:rsidR="00F50EBC" w:rsidRPr="003E0C2E" w:rsidRDefault="00EE41E4">
      <w:pPr>
        <w:pStyle w:val="BodyText1spaceafter"/>
        <w:rPr>
          <w:spacing w:val="-2"/>
        </w:rPr>
      </w:pPr>
      <w:r w:rsidRPr="003E0C2E">
        <w:rPr>
          <w:spacing w:val="-2"/>
        </w:rPr>
        <w:t xml:space="preserve">As regards </w:t>
      </w:r>
      <w:r w:rsidRPr="003E0C2E">
        <w:rPr>
          <w:rStyle w:val="BOLDLIGHTBLUEReport"/>
          <w:rFonts w:eastAsia="Calibri"/>
          <w:spacing w:val="-2"/>
        </w:rPr>
        <w:t>vocational education and training</w:t>
      </w:r>
      <w:r w:rsidRPr="003E0C2E">
        <w:rPr>
          <w:spacing w:val="-2"/>
        </w:rPr>
        <w:t>, Erasmus+ supports the development of business</w:t>
      </w:r>
      <w:r w:rsidR="00E525E2" w:rsidRPr="003E0C2E">
        <w:rPr>
          <w:spacing w:val="-2"/>
        </w:rPr>
        <w:t>-education</w:t>
      </w:r>
      <w:r w:rsidRPr="003E0C2E">
        <w:rPr>
          <w:spacing w:val="-2"/>
        </w:rPr>
        <w:t xml:space="preserve"> partnerships aimed at promoting work-based learning in all its forms, with special attention to apprenticeship</w:t>
      </w:r>
      <w:r w:rsidR="00E525E2" w:rsidRPr="003E0C2E">
        <w:rPr>
          <w:spacing w:val="-2"/>
        </w:rPr>
        <w:t>, as well as the development of joint qualifications and curricula responding to current and future sectoral skills needs.</w:t>
      </w:r>
      <w:r w:rsidRPr="003E0C2E">
        <w:rPr>
          <w:spacing w:val="-2"/>
        </w:rPr>
        <w:t xml:space="preserve"> Long-term mobility (between 3</w:t>
      </w:r>
      <w:r w:rsidR="0050150C" w:rsidRPr="003E0C2E">
        <w:rPr>
          <w:rFonts w:cs="Calibri"/>
          <w:spacing w:val="-2"/>
        </w:rPr>
        <w:t> months</w:t>
      </w:r>
      <w:r w:rsidRPr="003E0C2E">
        <w:rPr>
          <w:spacing w:val="-2"/>
        </w:rPr>
        <w:t xml:space="preserve"> and 12</w:t>
      </w:r>
      <w:r w:rsidR="004361A7" w:rsidRPr="003E0C2E">
        <w:rPr>
          <w:rFonts w:cs="Calibri"/>
          <w:noProof w:val="0"/>
          <w:spacing w:val="-2"/>
        </w:rPr>
        <w:t> </w:t>
      </w:r>
      <w:r w:rsidRPr="003E0C2E">
        <w:rPr>
          <w:spacing w:val="-2"/>
        </w:rPr>
        <w:t xml:space="preserve">months) of eligible participants has been promoted </w:t>
      </w:r>
      <w:r w:rsidR="0050150C" w:rsidRPr="003E0C2E">
        <w:rPr>
          <w:spacing w:val="-2"/>
        </w:rPr>
        <w:t xml:space="preserve">by </w:t>
      </w:r>
      <w:r w:rsidRPr="003E0C2E">
        <w:rPr>
          <w:spacing w:val="-2"/>
        </w:rPr>
        <w:t>introducing the ErasmusPro</w:t>
      </w:r>
      <w:r w:rsidR="00BB1439" w:rsidRPr="003E0C2E">
        <w:rPr>
          <w:rStyle w:val="fnRef"/>
          <w:rFonts w:ascii="Arial" w:hAnsi="Arial" w:cs="Arial"/>
          <w:spacing w:val="-2"/>
        </w:rPr>
        <w:t> </w:t>
      </w:r>
      <w:r w:rsidR="0035678A" w:rsidRPr="003E0C2E">
        <w:rPr>
          <w:rStyle w:val="fnRef"/>
          <w:spacing w:val="-2"/>
        </w:rPr>
        <w:t>(</w:t>
      </w:r>
      <w:r w:rsidR="0035678A" w:rsidRPr="003E0C2E">
        <w:rPr>
          <w:rStyle w:val="fnRefNo"/>
          <w:spacing w:val="-2"/>
        </w:rPr>
        <w:footnoteReference w:id="85"/>
      </w:r>
      <w:r w:rsidR="0035678A" w:rsidRPr="003E0C2E">
        <w:rPr>
          <w:rStyle w:val="fnRef"/>
          <w:spacing w:val="-2"/>
        </w:rPr>
        <w:t>)</w:t>
      </w:r>
      <w:r w:rsidRPr="003E0C2E">
        <w:rPr>
          <w:spacing w:val="-2"/>
        </w:rPr>
        <w:t xml:space="preserve"> activity into the Erasmus+ programme as of 2018. Consequently, such mobility increased by more than 60% (average of 8</w:t>
      </w:r>
      <w:r w:rsidR="00E91F65" w:rsidRPr="003E0C2E">
        <w:rPr>
          <w:rFonts w:cs="Calibri"/>
          <w:noProof w:val="0"/>
          <w:spacing w:val="-2"/>
        </w:rPr>
        <w:t> </w:t>
      </w:r>
      <w:r w:rsidR="00E91F65" w:rsidRPr="003E0C2E">
        <w:rPr>
          <w:noProof w:val="0"/>
          <w:spacing w:val="-2"/>
        </w:rPr>
        <w:t>0</w:t>
      </w:r>
      <w:r w:rsidR="006221A4" w:rsidRPr="003E0C2E">
        <w:rPr>
          <w:noProof w:val="0"/>
          <w:spacing w:val="-2"/>
        </w:rPr>
        <w:t>00</w:t>
      </w:r>
      <w:r w:rsidRPr="003E0C2E">
        <w:rPr>
          <w:spacing w:val="-2"/>
        </w:rPr>
        <w:t xml:space="preserve"> per year in the period 2014-2017, and almost 13</w:t>
      </w:r>
      <w:r w:rsidR="00E91F65" w:rsidRPr="003E0C2E">
        <w:rPr>
          <w:rFonts w:cs="Calibri"/>
          <w:noProof w:val="0"/>
          <w:spacing w:val="-2"/>
        </w:rPr>
        <w:t> </w:t>
      </w:r>
      <w:r w:rsidR="00E91F65" w:rsidRPr="003E0C2E">
        <w:rPr>
          <w:noProof w:val="0"/>
          <w:spacing w:val="-2"/>
        </w:rPr>
        <w:t>0</w:t>
      </w:r>
      <w:r w:rsidR="006221A4" w:rsidRPr="003E0C2E">
        <w:rPr>
          <w:noProof w:val="0"/>
          <w:spacing w:val="-2"/>
        </w:rPr>
        <w:t>00</w:t>
      </w:r>
      <w:r w:rsidRPr="003E0C2E">
        <w:rPr>
          <w:spacing w:val="-2"/>
        </w:rPr>
        <w:t xml:space="preserve"> </w:t>
      </w:r>
      <w:r w:rsidR="008C1D39" w:rsidRPr="003E0C2E">
        <w:rPr>
          <w:i/>
          <w:spacing w:val="-2"/>
          <w:u w:val="single"/>
        </w:rPr>
        <w:t>in 2018</w:t>
      </w:r>
      <w:r w:rsidRPr="003E0C2E">
        <w:rPr>
          <w:spacing w:val="-2"/>
        </w:rPr>
        <w:t>).</w:t>
      </w:r>
    </w:p>
    <w:p w14:paraId="05FEB935" w14:textId="06C0BE1E" w:rsidR="00DE114A" w:rsidRPr="00A04E56" w:rsidRDefault="00DE114A">
      <w:pPr>
        <w:pStyle w:val="BodyText1spaceafter"/>
      </w:pPr>
      <w:r w:rsidRPr="00A04E56">
        <w:t xml:space="preserve">Concerning </w:t>
      </w:r>
      <w:r w:rsidRPr="00A04E56">
        <w:rPr>
          <w:rStyle w:val="BOLDLIGHTBLUEReport"/>
          <w:rFonts w:eastAsia="Calibri"/>
        </w:rPr>
        <w:t>social inclusion and equity</w:t>
      </w:r>
      <w:r w:rsidR="0050150C" w:rsidRPr="00A04E56">
        <w:rPr>
          <w:rStyle w:val="BodyText1Char"/>
          <w:lang w:val="en-GB"/>
        </w:rPr>
        <w:t>,</w:t>
      </w:r>
      <w:r w:rsidRPr="00A04E56">
        <w:t xml:space="preserve"> the Erasmus+ </w:t>
      </w:r>
      <w:r w:rsidR="00CB7132" w:rsidRPr="00A04E56">
        <w:t xml:space="preserve">supports actions aimed at preventing violent radicalisation and promoting democratic values, fundamental rights, intercultural understanding and active citizenship; fostering the inclusion of disadvantaged learners, including persons with a migrant background, while preventing and combating discriminatory practices. The </w:t>
      </w:r>
      <w:r w:rsidRPr="00A04E56">
        <w:t xml:space="preserve">sport </w:t>
      </w:r>
      <w:r w:rsidR="00F50EBC" w:rsidRPr="00A04E56">
        <w:rPr>
          <w:lang w:eastAsia="en-US"/>
        </w:rPr>
        <w:t>strand has</w:t>
      </w:r>
      <w:r w:rsidRPr="00A04E56">
        <w:t xml:space="preserve"> continued to support initiatives to </w:t>
      </w:r>
      <w:r w:rsidR="00F50EBC" w:rsidRPr="00A04E56">
        <w:rPr>
          <w:lang w:eastAsia="en-US"/>
        </w:rPr>
        <w:t xml:space="preserve">tackle cross-border threats </w:t>
      </w:r>
      <w:r w:rsidRPr="00A04E56" w:rsidDel="0050150C">
        <w:rPr>
          <w:lang w:eastAsia="en-US"/>
        </w:rPr>
        <w:t>to</w:t>
      </w:r>
      <w:r w:rsidRPr="00A04E56" w:rsidDel="0050150C">
        <w:t xml:space="preserve"> </w:t>
      </w:r>
      <w:r w:rsidR="0050150C" w:rsidRPr="00A04E56">
        <w:t xml:space="preserve">the </w:t>
      </w:r>
      <w:r w:rsidR="00F50EBC" w:rsidRPr="00A04E56">
        <w:rPr>
          <w:lang w:eastAsia="en-US"/>
        </w:rPr>
        <w:t>integrity of sport, such as doping, match fixing and violence, as well as all kinds of intolerance</w:t>
      </w:r>
      <w:r w:rsidRPr="00A04E56">
        <w:t xml:space="preserve"> and </w:t>
      </w:r>
      <w:r w:rsidR="00F50EBC" w:rsidRPr="00A04E56">
        <w:rPr>
          <w:lang w:eastAsia="en-US"/>
        </w:rPr>
        <w:t xml:space="preserve">discrimination. It has promoted good governance in sport and dual careers of athletes and voluntary activities in sport, together with </w:t>
      </w:r>
      <w:r w:rsidRPr="00A04E56">
        <w:t>social inclusion</w:t>
      </w:r>
      <w:r w:rsidR="00F50EBC" w:rsidRPr="00A04E56">
        <w:rPr>
          <w:lang w:eastAsia="en-US"/>
        </w:rPr>
        <w:t xml:space="preserve">, including </w:t>
      </w:r>
      <w:r w:rsidRPr="00A04E56">
        <w:t xml:space="preserve">refugees </w:t>
      </w:r>
      <w:r w:rsidR="00F50EBC" w:rsidRPr="00A04E56">
        <w:rPr>
          <w:lang w:eastAsia="en-US"/>
        </w:rPr>
        <w:t>and migrants.</w:t>
      </w:r>
      <w:r w:rsidRPr="00A04E56">
        <w:t xml:space="preserve"> </w:t>
      </w:r>
    </w:p>
    <w:p w14:paraId="46E27580" w14:textId="06EC5C8A" w:rsidR="009E4622" w:rsidRPr="00A04E56" w:rsidRDefault="00EE41E4">
      <w:pPr>
        <w:pStyle w:val="BodyText1spaceafter"/>
      </w:pPr>
      <w:r w:rsidRPr="00A04E56">
        <w:t xml:space="preserve">Furthermore, in the field of </w:t>
      </w:r>
      <w:r w:rsidRPr="00A04E56">
        <w:rPr>
          <w:rStyle w:val="BodyText1Char"/>
          <w:lang w:val="en-GB"/>
        </w:rPr>
        <w:t>adult education</w:t>
      </w:r>
      <w:r w:rsidRPr="00A04E56">
        <w:t>, priority was given</w:t>
      </w:r>
      <w:r w:rsidR="00252FA8" w:rsidRPr="00A04E56">
        <w:t xml:space="preserve"> </w:t>
      </w:r>
      <w:r w:rsidR="008C1D39" w:rsidRPr="00A04E56">
        <w:rPr>
          <w:i/>
          <w:u w:val="single"/>
        </w:rPr>
        <w:t>in 2018</w:t>
      </w:r>
      <w:r w:rsidRPr="00A04E56">
        <w:t xml:space="preserve"> to improving and extending the supply of high</w:t>
      </w:r>
      <w:r w:rsidR="0019228F" w:rsidRPr="00A04E56">
        <w:rPr>
          <w:noProof w:val="0"/>
        </w:rPr>
        <w:t>-quality</w:t>
      </w:r>
      <w:r w:rsidRPr="00A04E56" w:rsidDel="0019228F">
        <w:t xml:space="preserve"> </w:t>
      </w:r>
      <w:r w:rsidRPr="00A04E56">
        <w:t>learning opportunities tailored to the needs of individual low-skilled or low-qualified adults so that they acquire literacy, numeracy or digital skills, including through the validation of skills acquired through informal and non-formal learning. Extending and developing educators’ competence is also stressed as a priority for this sector.</w:t>
      </w:r>
      <w:r w:rsidR="009E4622" w:rsidRPr="00A04E56">
        <w:t xml:space="preserve"> </w:t>
      </w:r>
    </w:p>
    <w:p w14:paraId="51AF3AE0" w14:textId="53E7F657" w:rsidR="00CB7132" w:rsidRPr="00A04E56" w:rsidRDefault="00E525E2">
      <w:pPr>
        <w:pStyle w:val="BodyText1spaceafter"/>
      </w:pPr>
      <w:r w:rsidRPr="00A04E56">
        <w:rPr>
          <w:rStyle w:val="BOLDLIGHTBLUEReport"/>
          <w:rFonts w:eastAsia="Calibri"/>
        </w:rPr>
        <w:t>Adult</w:t>
      </w:r>
      <w:r w:rsidR="00B519BE" w:rsidRPr="00A04E56">
        <w:rPr>
          <w:rStyle w:val="BOLDLIGHTBLUEReport"/>
          <w:rFonts w:eastAsia="Calibri"/>
        </w:rPr>
        <w:t xml:space="preserve"> learning</w:t>
      </w:r>
      <w:r w:rsidR="00B519BE" w:rsidRPr="00A04E56">
        <w:t xml:space="preserve">: </w:t>
      </w:r>
      <w:r w:rsidR="004012A1" w:rsidRPr="00A04E56">
        <w:t>t</w:t>
      </w:r>
      <w:r w:rsidR="00B519BE" w:rsidRPr="00A04E56">
        <w:t>he Electronic Platform for Adult Learning in Europe</w:t>
      </w:r>
      <w:r w:rsidR="000700A1" w:rsidRPr="00A04E56">
        <w:t>,</w:t>
      </w:r>
      <w:r w:rsidR="00B519BE" w:rsidRPr="00A04E56">
        <w:t xml:space="preserve"> with more than 47</w:t>
      </w:r>
      <w:r w:rsidR="00E91F65" w:rsidRPr="00A04E56">
        <w:rPr>
          <w:rFonts w:cs="Calibri"/>
          <w:noProof w:val="0"/>
        </w:rPr>
        <w:t> </w:t>
      </w:r>
      <w:r w:rsidR="00E91F65" w:rsidRPr="00A04E56">
        <w:rPr>
          <w:noProof w:val="0"/>
        </w:rPr>
        <w:t>0</w:t>
      </w:r>
      <w:r w:rsidR="006221A4" w:rsidRPr="00A04E56">
        <w:rPr>
          <w:noProof w:val="0"/>
        </w:rPr>
        <w:t>00</w:t>
      </w:r>
      <w:r w:rsidR="007C5F91" w:rsidRPr="00A04E56">
        <w:t xml:space="preserve"> registered users (plus </w:t>
      </w:r>
      <w:r w:rsidR="00B519BE" w:rsidRPr="00A04E56">
        <w:t xml:space="preserve">38% within </w:t>
      </w:r>
      <w:r w:rsidR="004361A7" w:rsidRPr="00A04E56">
        <w:rPr>
          <w:noProof w:val="0"/>
        </w:rPr>
        <w:t>1 </w:t>
      </w:r>
      <w:r w:rsidR="00B519BE" w:rsidRPr="00A04E56">
        <w:t>year)</w:t>
      </w:r>
      <w:r w:rsidR="004012A1" w:rsidRPr="00A04E56">
        <w:t>,</w:t>
      </w:r>
      <w:r w:rsidR="00B519BE" w:rsidRPr="00A04E56">
        <w:t xml:space="preserve"> showed a significant increase in users </w:t>
      </w:r>
      <w:r w:rsidR="008C1D39" w:rsidRPr="00A04E56">
        <w:rPr>
          <w:i/>
          <w:u w:val="single"/>
        </w:rPr>
        <w:t>in 2018</w:t>
      </w:r>
      <w:r w:rsidR="00B519BE" w:rsidRPr="00A04E56">
        <w:t xml:space="preserve">. </w:t>
      </w:r>
      <w:r w:rsidR="00DE114A" w:rsidRPr="00A04E56">
        <w:t>This platform</w:t>
      </w:r>
      <w:r w:rsidR="007C5F91" w:rsidRPr="00A04E56">
        <w:t xml:space="preserve"> is a multilingual, open membership community of adult</w:t>
      </w:r>
      <w:r w:rsidR="007E0AD6" w:rsidRPr="00A04E56">
        <w:t>-</w:t>
      </w:r>
      <w:r w:rsidR="007C5F91" w:rsidRPr="00A04E56">
        <w:t>learning professionals, including adult educators and trainers, guidance and support staff, researchers and academics, and policymakers.</w:t>
      </w:r>
      <w:r w:rsidR="00CB7132" w:rsidRPr="00A04E56">
        <w:t xml:space="preserve"> </w:t>
      </w:r>
    </w:p>
    <w:p w14:paraId="5B61BFCC" w14:textId="1F110510" w:rsidR="00EE41E4" w:rsidRPr="00A04E56" w:rsidRDefault="00EE41E4">
      <w:pPr>
        <w:pStyle w:val="BodyText1spaceafter"/>
      </w:pPr>
      <w:r w:rsidRPr="00A04E56">
        <w:t xml:space="preserve">With regard to the </w:t>
      </w:r>
      <w:r w:rsidRPr="00A04E56">
        <w:rPr>
          <w:rStyle w:val="BodyText1Char"/>
          <w:lang w:val="en-GB"/>
        </w:rPr>
        <w:t>international dimension</w:t>
      </w:r>
      <w:r w:rsidRPr="00A04E56">
        <w:t>, Erasmus+ continued to provide mobility opportunities for higher</w:t>
      </w:r>
      <w:r w:rsidR="00BE5067" w:rsidRPr="00A04E56">
        <w:t>-</w:t>
      </w:r>
      <w:r w:rsidRPr="00A04E56">
        <w:t xml:space="preserve">education staff, students, young people and youth workers between Europe and the rest of the world, with a particular emphasis on supporting further development of the European </w:t>
      </w:r>
      <w:r w:rsidR="00835302" w:rsidRPr="00A04E56">
        <w:t>N</w:t>
      </w:r>
      <w:r w:rsidRPr="00A04E56">
        <w:t>eighbourhood region (</w:t>
      </w:r>
      <w:r w:rsidR="00E13B0E" w:rsidRPr="00A04E56">
        <w:t>W</w:t>
      </w:r>
      <w:r w:rsidR="00835302" w:rsidRPr="00A04E56">
        <w:t>estern</w:t>
      </w:r>
      <w:r w:rsidRPr="00A04E56">
        <w:t xml:space="preserve"> Balkans, Eastern Partnership</w:t>
      </w:r>
      <w:r w:rsidR="00BB1439" w:rsidRPr="00A04E56">
        <w:rPr>
          <w:rStyle w:val="fnRef"/>
          <w:rFonts w:ascii="Arial" w:hAnsi="Arial" w:cs="Arial"/>
        </w:rPr>
        <w:t> </w:t>
      </w:r>
      <w:r w:rsidR="0035678A" w:rsidRPr="00A04E56">
        <w:rPr>
          <w:rStyle w:val="fnRef"/>
        </w:rPr>
        <w:t>(</w:t>
      </w:r>
      <w:r w:rsidR="0035678A" w:rsidRPr="00A04E56">
        <w:rPr>
          <w:rStyle w:val="fnRefNo"/>
        </w:rPr>
        <w:footnoteReference w:id="86"/>
      </w:r>
      <w:r w:rsidR="0035678A" w:rsidRPr="00A04E56">
        <w:rPr>
          <w:rStyle w:val="fnRef"/>
        </w:rPr>
        <w:t>)</w:t>
      </w:r>
      <w:r w:rsidRPr="00A04E56">
        <w:t xml:space="preserve"> and </w:t>
      </w:r>
      <w:r w:rsidR="00965EEC" w:rsidRPr="00A04E56">
        <w:t>sout</w:t>
      </w:r>
      <w:r w:rsidRPr="00A04E56">
        <w:t xml:space="preserve">hern Mediterranean). </w:t>
      </w:r>
      <w:r w:rsidR="004012A1" w:rsidRPr="00A04E56">
        <w:t>O</w:t>
      </w:r>
      <w:r w:rsidR="00E0242D" w:rsidRPr="00A04E56">
        <w:t xml:space="preserve">n </w:t>
      </w:r>
      <w:r w:rsidR="00E0242D" w:rsidRPr="00A04E56">
        <w:rPr>
          <w:i/>
          <w:u w:val="single"/>
        </w:rPr>
        <w:t>18</w:t>
      </w:r>
      <w:r w:rsidR="00E0242D" w:rsidRPr="00A04E56">
        <w:rPr>
          <w:rFonts w:cs="Calibri"/>
          <w:i/>
          <w:noProof w:val="0"/>
          <w:u w:val="single"/>
        </w:rPr>
        <w:t> </w:t>
      </w:r>
      <w:r w:rsidR="00E0242D" w:rsidRPr="00A04E56">
        <w:rPr>
          <w:i/>
          <w:noProof w:val="0"/>
          <w:u w:val="single"/>
        </w:rPr>
        <w:t>January</w:t>
      </w:r>
      <w:r w:rsidR="00E0242D" w:rsidRPr="00A04E56">
        <w:rPr>
          <w:rFonts w:cs="Calibri"/>
          <w:i/>
          <w:noProof w:val="0"/>
          <w:u w:val="single"/>
        </w:rPr>
        <w:t> </w:t>
      </w:r>
      <w:r w:rsidR="00E0242D" w:rsidRPr="00A04E56">
        <w:rPr>
          <w:i/>
          <w:noProof w:val="0"/>
          <w:u w:val="single"/>
        </w:rPr>
        <w:t>2018</w:t>
      </w:r>
      <w:r w:rsidR="00E0242D" w:rsidRPr="00A04E56">
        <w:rPr>
          <w:noProof w:val="0"/>
        </w:rPr>
        <w:t xml:space="preserve"> </w:t>
      </w:r>
      <w:r w:rsidR="004012A1" w:rsidRPr="00A04E56">
        <w:rPr>
          <w:noProof w:val="0"/>
        </w:rPr>
        <w:t>t</w:t>
      </w:r>
      <w:r w:rsidR="004012A1" w:rsidRPr="00A04E56">
        <w:t xml:space="preserve">he Commission adopted </w:t>
      </w:r>
      <w:r w:rsidR="00E0242D" w:rsidRPr="00A04E56">
        <w:t>t</w:t>
      </w:r>
      <w:r w:rsidRPr="00A04E56">
        <w:t xml:space="preserve">he </w:t>
      </w:r>
      <w:r w:rsidR="004012A1" w:rsidRPr="00A04E56">
        <w:rPr>
          <w:rStyle w:val="BodyText1Char"/>
          <w:lang w:val="en-GB"/>
        </w:rPr>
        <w:t>d</w:t>
      </w:r>
      <w:r w:rsidRPr="00A04E56">
        <w:rPr>
          <w:rStyle w:val="BodyText1Char"/>
          <w:lang w:val="en-GB"/>
        </w:rPr>
        <w:t xml:space="preserve">igital </w:t>
      </w:r>
      <w:r w:rsidR="004012A1" w:rsidRPr="00A04E56">
        <w:rPr>
          <w:rStyle w:val="BodyText1Char"/>
          <w:lang w:val="en-GB"/>
        </w:rPr>
        <w:t>e</w:t>
      </w:r>
      <w:r w:rsidRPr="00A04E56">
        <w:rPr>
          <w:rStyle w:val="BodyText1Char"/>
          <w:lang w:val="en-GB"/>
        </w:rPr>
        <w:t xml:space="preserve">ducation </w:t>
      </w:r>
      <w:r w:rsidR="004012A1" w:rsidRPr="00A04E56">
        <w:rPr>
          <w:rStyle w:val="BodyText1Char"/>
          <w:lang w:val="en-GB"/>
        </w:rPr>
        <w:t>a</w:t>
      </w:r>
      <w:r w:rsidRPr="00A04E56">
        <w:rPr>
          <w:rStyle w:val="BodyText1Char"/>
          <w:lang w:val="en-GB"/>
        </w:rPr>
        <w:t xml:space="preserve">ction </w:t>
      </w:r>
      <w:r w:rsidR="004012A1" w:rsidRPr="00A04E56">
        <w:rPr>
          <w:rStyle w:val="BodyText1Char"/>
          <w:lang w:val="en-GB"/>
        </w:rPr>
        <w:t>p</w:t>
      </w:r>
      <w:r w:rsidRPr="00A04E56">
        <w:rPr>
          <w:rStyle w:val="BodyText1Char"/>
          <w:lang w:val="en-GB"/>
        </w:rPr>
        <w:t>lan</w:t>
      </w:r>
      <w:r w:rsidR="00BB1439" w:rsidRPr="00A04E56">
        <w:rPr>
          <w:rStyle w:val="fnRef"/>
          <w:rFonts w:ascii="Arial" w:hAnsi="Arial" w:cs="Arial"/>
        </w:rPr>
        <w:t> </w:t>
      </w:r>
      <w:r w:rsidR="0035678A" w:rsidRPr="00A04E56">
        <w:rPr>
          <w:rStyle w:val="fnRef"/>
        </w:rPr>
        <w:t>(</w:t>
      </w:r>
      <w:r w:rsidR="0035678A" w:rsidRPr="00A04E56">
        <w:rPr>
          <w:rStyle w:val="fnRefNo"/>
        </w:rPr>
        <w:footnoteReference w:id="87"/>
      </w:r>
      <w:r w:rsidR="0035678A" w:rsidRPr="00A04E56">
        <w:rPr>
          <w:rStyle w:val="fnRef"/>
        </w:rPr>
        <w:t>)</w:t>
      </w:r>
      <w:r w:rsidRPr="00A04E56">
        <w:t xml:space="preserve">, </w:t>
      </w:r>
      <w:r w:rsidR="00E0242D" w:rsidRPr="00A04E56">
        <w:t>which</w:t>
      </w:r>
      <w:r w:rsidRPr="00A04E56">
        <w:t xml:space="preserve"> covers the areas of formal education with specific actions for school, vocational education and training</w:t>
      </w:r>
      <w:r w:rsidR="007A0912" w:rsidRPr="00A04E56">
        <w:t>,</w:t>
      </w:r>
      <w:r w:rsidRPr="00A04E56">
        <w:t xml:space="preserve"> and higher education.</w:t>
      </w:r>
      <w:r w:rsidRPr="00A04E56" w:rsidDel="00603676">
        <w:t xml:space="preserve"> </w:t>
      </w:r>
      <w:r w:rsidRPr="00A04E56">
        <w:t>The</w:t>
      </w:r>
      <w:r w:rsidR="00C129C8" w:rsidRPr="00A04E56">
        <w:t xml:space="preserve"> plan </w:t>
      </w:r>
      <w:r w:rsidRPr="00A04E56">
        <w:t xml:space="preserve">identifies three priorities to ensure that digital technologies are used purposefully to innovate and improve teaching and learning. The 11 actions of the </w:t>
      </w:r>
      <w:r w:rsidR="00C129C8" w:rsidRPr="00A04E56">
        <w:t xml:space="preserve">plan include </w:t>
      </w:r>
      <w:r w:rsidR="006751E8" w:rsidRPr="00A04E56">
        <w:t>support</w:t>
      </w:r>
      <w:r w:rsidR="004012A1" w:rsidRPr="00A04E56">
        <w:t>ing</w:t>
      </w:r>
      <w:r w:rsidR="006751E8" w:rsidRPr="00A04E56" w:rsidDel="004012A1">
        <w:t xml:space="preserve"> </w:t>
      </w:r>
      <w:r w:rsidR="006751E8" w:rsidRPr="00A04E56">
        <w:t>high-</w:t>
      </w:r>
      <w:r w:rsidRPr="00A04E56">
        <w:t>capacity broadband in all schools, creating a Europe-wide platform for digital higher education and enhanced cooperat</w:t>
      </w:r>
      <w:r w:rsidR="006751E8" w:rsidRPr="00A04E56">
        <w:t>ion</w:t>
      </w:r>
      <w:r w:rsidR="004012A1" w:rsidRPr="00A04E56">
        <w:t>,</w:t>
      </w:r>
      <w:r w:rsidR="006751E8" w:rsidRPr="00A04E56">
        <w:t xml:space="preserve"> </w:t>
      </w:r>
      <w:r w:rsidR="004012A1" w:rsidRPr="00A04E56">
        <w:t>and</w:t>
      </w:r>
      <w:r w:rsidR="006751E8" w:rsidRPr="00A04E56">
        <w:t xml:space="preserve"> </w:t>
      </w:r>
      <w:r w:rsidR="004012A1" w:rsidRPr="00A04E56">
        <w:t xml:space="preserve">providing </w:t>
      </w:r>
      <w:r w:rsidRPr="00A04E56">
        <w:t>training schemes on dig</w:t>
      </w:r>
      <w:r w:rsidR="006751E8" w:rsidRPr="00A04E56">
        <w:t xml:space="preserve">ital and entrepreneurial skills and </w:t>
      </w:r>
      <w:r w:rsidR="0073207F" w:rsidRPr="00A04E56">
        <w:t xml:space="preserve">on raising awareness about </w:t>
      </w:r>
      <w:r w:rsidR="006751E8" w:rsidRPr="00A04E56">
        <w:t>online</w:t>
      </w:r>
      <w:r w:rsidR="004012A1" w:rsidRPr="00A04E56">
        <w:t xml:space="preserve"> </w:t>
      </w:r>
      <w:r w:rsidRPr="00A04E56">
        <w:t>safety</w:t>
      </w:r>
      <w:r w:rsidR="006751E8" w:rsidRPr="00A04E56">
        <w:t xml:space="preserve"> </w:t>
      </w:r>
      <w:r w:rsidRPr="00A04E56">
        <w:t>.</w:t>
      </w:r>
    </w:p>
    <w:p w14:paraId="5007DAC9" w14:textId="5EE1A5E7" w:rsidR="00EE41E4" w:rsidRPr="00A04E56" w:rsidRDefault="00EE41E4">
      <w:pPr>
        <w:pStyle w:val="BodyText1spaceafter"/>
      </w:pPr>
      <w:r w:rsidRPr="00A04E56">
        <w:t xml:space="preserve">The </w:t>
      </w:r>
      <w:r w:rsidRPr="00A04E56">
        <w:rPr>
          <w:rStyle w:val="BOLDLIGHTBLUEReport"/>
          <w:rFonts w:eastAsia="Calibri"/>
        </w:rPr>
        <w:t xml:space="preserve">Erasmus+ </w:t>
      </w:r>
      <w:r w:rsidR="00965EEC" w:rsidRPr="00A04E56">
        <w:rPr>
          <w:rStyle w:val="BOLDLIGHTBLUEReport"/>
          <w:rFonts w:eastAsia="Calibri"/>
        </w:rPr>
        <w:t>mobile app</w:t>
      </w:r>
      <w:r w:rsidR="00965EEC" w:rsidRPr="00A04E56">
        <w:t xml:space="preserve"> </w:t>
      </w:r>
      <w:r w:rsidRPr="00A04E56">
        <w:t>continued to serve as a digital one-stop</w:t>
      </w:r>
      <w:r w:rsidR="0096697C" w:rsidRPr="00A04E56">
        <w:t xml:space="preserve"> </w:t>
      </w:r>
      <w:r w:rsidRPr="00A04E56">
        <w:t xml:space="preserve">shop </w:t>
      </w:r>
      <w:r w:rsidR="00A1380D" w:rsidRPr="00A04E56">
        <w:t>that guides participants</w:t>
      </w:r>
      <w:r w:rsidRPr="00A04E56">
        <w:t xml:space="preserve"> and </w:t>
      </w:r>
      <w:r w:rsidR="00A1380D" w:rsidRPr="00A04E56">
        <w:t>interested</w:t>
      </w:r>
      <w:r w:rsidRPr="00A04E56">
        <w:t xml:space="preserve"> young people</w:t>
      </w:r>
      <w:r w:rsidR="00A1380D" w:rsidRPr="00A04E56">
        <w:t xml:space="preserve"> to find everything they need to know about opportunities to go abroad with Erasmus+. The application</w:t>
      </w:r>
      <w:r w:rsidRPr="00A04E56">
        <w:t xml:space="preserve"> provid</w:t>
      </w:r>
      <w:r w:rsidR="00A1380D" w:rsidRPr="00A04E56">
        <w:t>es</w:t>
      </w:r>
      <w:r w:rsidRPr="00A04E56">
        <w:t xml:space="preserve"> information, tips, notifications and other services to help make organising their periods of mobility easier. The app was downloaded and installed almost 30</w:t>
      </w:r>
      <w:r w:rsidRPr="00A04E56" w:rsidDel="006221A4">
        <w:rPr>
          <w:rFonts w:cs="Calibri"/>
        </w:rPr>
        <w:t> </w:t>
      </w:r>
      <w:r w:rsidRPr="00A04E56" w:rsidDel="006221A4">
        <w:t>000</w:t>
      </w:r>
      <w:r w:rsidRPr="00A04E56">
        <w:t xml:space="preserve"> times </w:t>
      </w:r>
      <w:r w:rsidRPr="00A04E56">
        <w:rPr>
          <w:i/>
          <w:u w:val="single"/>
        </w:rPr>
        <w:t>during 2018</w:t>
      </w:r>
      <w:r w:rsidRPr="00A04E56">
        <w:t xml:space="preserve">, bringing the total number of downloads since its launch </w:t>
      </w:r>
      <w:r w:rsidR="00513947" w:rsidRPr="00A04E56">
        <w:t>(</w:t>
      </w:r>
      <w:r w:rsidRPr="00A04E56">
        <w:t>mid-2017</w:t>
      </w:r>
      <w:r w:rsidR="00513947" w:rsidRPr="00A04E56">
        <w:t>)</w:t>
      </w:r>
      <w:r w:rsidRPr="00A04E56">
        <w:t xml:space="preserve"> to more than 55</w:t>
      </w:r>
      <w:r w:rsidRPr="00A04E56" w:rsidDel="006221A4">
        <w:rPr>
          <w:rFonts w:cs="Calibri"/>
        </w:rPr>
        <w:t> 000</w:t>
      </w:r>
      <w:r w:rsidRPr="00A04E56">
        <w:rPr>
          <w:noProof w:val="0"/>
        </w:rPr>
        <w:t>.</w:t>
      </w:r>
      <w:r w:rsidRPr="00A04E56">
        <w:t xml:space="preserve"> Discussions also began on how to improve and broaden the range of online services for students undertaking a period of cross-border learning mobility, including potentially enhancing the app as part of a larger online single</w:t>
      </w:r>
      <w:r w:rsidR="0096697C" w:rsidRPr="00A04E56">
        <w:t xml:space="preserve"> </w:t>
      </w:r>
      <w:r w:rsidRPr="00A04E56">
        <w:t>point</w:t>
      </w:r>
      <w:r w:rsidR="0096697C" w:rsidRPr="00A04E56">
        <w:t xml:space="preserve"> </w:t>
      </w:r>
      <w:r w:rsidRPr="00A04E56">
        <w:t>of</w:t>
      </w:r>
      <w:r w:rsidR="0096697C" w:rsidRPr="00A04E56">
        <w:t xml:space="preserve"> </w:t>
      </w:r>
      <w:r w:rsidRPr="00A04E56">
        <w:t>entry for services for mobile students.</w:t>
      </w:r>
    </w:p>
    <w:p w14:paraId="11A6762C" w14:textId="079CBFB1" w:rsidR="0011250F" w:rsidRPr="00A04E56" w:rsidRDefault="0011250F" w:rsidP="00C257BF">
      <w:pPr>
        <w:pStyle w:val="BOX3BluedashedborderBluetext"/>
      </w:pPr>
      <w:r w:rsidRPr="00A04E56">
        <w:rPr>
          <w:rFonts w:cstheme="minorHAnsi"/>
        </w:rPr>
        <w:t xml:space="preserve">The </w:t>
      </w:r>
      <w:r w:rsidRPr="00A04E56">
        <w:t>role models initiative</w:t>
      </w:r>
      <w:r w:rsidRPr="00A04E56">
        <w:rPr>
          <w:rFonts w:ascii="Arial" w:hAnsi="Arial" w:cs="Arial"/>
        </w:rPr>
        <w:t> </w:t>
      </w:r>
      <w:r w:rsidRPr="00A04E56">
        <w:rPr>
          <w:rStyle w:val="fnRef"/>
        </w:rPr>
        <w:t>(</w:t>
      </w:r>
      <w:r w:rsidRPr="00A04E56">
        <w:rPr>
          <w:rStyle w:val="fnRefNo"/>
        </w:rPr>
        <w:footnoteReference w:id="88"/>
      </w:r>
      <w:r w:rsidRPr="00A04E56">
        <w:rPr>
          <w:rStyle w:val="fnRef"/>
        </w:rPr>
        <w:t>)</w:t>
      </w:r>
      <w:r w:rsidRPr="00A04E56">
        <w:rPr>
          <w:rFonts w:cstheme="minorHAnsi"/>
        </w:rPr>
        <w:t xml:space="preserve">, </w:t>
      </w:r>
      <w:r w:rsidRPr="00A04E56">
        <w:t>a network of positive role models supporting the prevention of radicalisation leading to violent extremism, is further</w:t>
      </w:r>
      <w:r w:rsidRPr="00A04E56">
        <w:rPr>
          <w:rFonts w:cstheme="minorHAnsi"/>
        </w:rPr>
        <w:t xml:space="preserve"> rolled out by the participating Erasmus+ national agencies. </w:t>
      </w:r>
      <w:r w:rsidRPr="00A04E56">
        <w:t xml:space="preserve">With the first piloting activities started </w:t>
      </w:r>
      <w:r w:rsidR="008C1D39" w:rsidRPr="00277538">
        <w:t>in 2017</w:t>
      </w:r>
      <w:r w:rsidRPr="00A04E56">
        <w:t>, the initiative took a broader dimension throughout the course of 2018 (e.g. the successful launch event of the role models initiative in Italy in March 2018). In addition to this initiative carried out by the Erasmus+ national agencies, the Commission is promoting the role models approach through an Erasmus+ social-inclusion call for proposals.</w:t>
      </w:r>
    </w:p>
    <w:p w14:paraId="29EAC0E8" w14:textId="77777777" w:rsidR="0011250F" w:rsidRPr="00A04E56" w:rsidRDefault="0011250F" w:rsidP="00C257BF">
      <w:pPr>
        <w:pStyle w:val="BodyText1"/>
        <w:rPr>
          <w:lang w:val="en-GB"/>
        </w:rPr>
      </w:pPr>
    </w:p>
    <w:p w14:paraId="1C65BFDA" w14:textId="1C93646B" w:rsidR="00EE41E4" w:rsidRPr="00A04E56" w:rsidRDefault="00252FA8" w:rsidP="00C257BF">
      <w:pPr>
        <w:pStyle w:val="BOX3BluedashedborderBluetext"/>
      </w:pPr>
      <w:r w:rsidRPr="00A04E56">
        <w:t>The c</w:t>
      </w:r>
      <w:r w:rsidR="00EE41E4" w:rsidRPr="00A04E56">
        <w:t>reativity and critical thinking in higher education initiative</w:t>
      </w:r>
      <w:r w:rsidR="00CB429D" w:rsidRPr="00A04E56">
        <w:t>,</w:t>
      </w:r>
      <w:r w:rsidR="00EE41E4" w:rsidRPr="00A04E56">
        <w:t xml:space="preserve"> launched at the beginning of 2018, aims </w:t>
      </w:r>
      <w:r w:rsidR="00CB429D" w:rsidRPr="00A04E56">
        <w:t>to</w:t>
      </w:r>
      <w:r w:rsidR="00EE41E4" w:rsidRPr="00A04E56">
        <w:t xml:space="preserve"> </w:t>
      </w:r>
      <w:r w:rsidR="0073207F" w:rsidRPr="00A04E56">
        <w:t xml:space="preserve">internationally </w:t>
      </w:r>
      <w:r w:rsidR="00EE41E4" w:rsidRPr="00A04E56">
        <w:t>prototyp</w:t>
      </w:r>
      <w:r w:rsidR="00CB429D" w:rsidRPr="00A04E56">
        <w:t>e</w:t>
      </w:r>
      <w:r w:rsidR="00EE41E4" w:rsidRPr="00A04E56">
        <w:t xml:space="preserve"> and test an assessment tool</w:t>
      </w:r>
      <w:r w:rsidR="00CB429D" w:rsidRPr="00A04E56">
        <w:t xml:space="preserve"> </w:t>
      </w:r>
      <w:r w:rsidR="00EE41E4" w:rsidRPr="00A04E56">
        <w:t>to help facult</w:t>
      </w:r>
      <w:r w:rsidR="00CB429D" w:rsidRPr="00A04E56">
        <w:t xml:space="preserve">ies </w:t>
      </w:r>
      <w:r w:rsidR="00EE41E4" w:rsidRPr="00A04E56">
        <w:t>develop and assess the creative and critical</w:t>
      </w:r>
      <w:r w:rsidR="00CB429D" w:rsidRPr="00A04E56">
        <w:t>-</w:t>
      </w:r>
      <w:r w:rsidR="00EE41E4" w:rsidRPr="00A04E56">
        <w:t>thinking skills of their students. Through Erasmus+ the Commission is financing the first phase of this project, which consist</w:t>
      </w:r>
      <w:r w:rsidR="0073207F" w:rsidRPr="00A04E56">
        <w:t>s</w:t>
      </w:r>
      <w:r w:rsidR="00EE41E4" w:rsidRPr="00A04E56">
        <w:t xml:space="preserve"> in involving higher</w:t>
      </w:r>
      <w:r w:rsidR="00CB429D" w:rsidRPr="00A04E56">
        <w:t>-</w:t>
      </w:r>
      <w:r w:rsidR="00EE41E4" w:rsidRPr="00A04E56">
        <w:t>education staff in operationalising creativity and critical thinking and collecting examples of pedagogical tasks and student work to exemplify how students can demonstrate these skills in different settings.</w:t>
      </w:r>
    </w:p>
    <w:p w14:paraId="067DC5A5" w14:textId="1C75D905" w:rsidR="00EE41E4" w:rsidRPr="00A04E56" w:rsidRDefault="00C63DC4" w:rsidP="00AA0340">
      <w:pPr>
        <w:pStyle w:val="Title3NumberedReport"/>
      </w:pPr>
      <w:r w:rsidRPr="00A04E56">
        <w:t>Assessment and evaluation</w:t>
      </w:r>
    </w:p>
    <w:p w14:paraId="2DF9AE34" w14:textId="5BD6947A" w:rsidR="00592122" w:rsidRPr="00A04E56" w:rsidRDefault="00EE41E4" w:rsidP="00592122">
      <w:pPr>
        <w:pStyle w:val="BodyText1spaceafter"/>
      </w:pPr>
      <w:r w:rsidRPr="00A04E56">
        <w:t>The mid</w:t>
      </w:r>
      <w:r w:rsidR="00835047" w:rsidRPr="00A04E56">
        <w:rPr>
          <w:noProof w:val="0"/>
        </w:rPr>
        <w:t>term</w:t>
      </w:r>
      <w:r w:rsidRPr="00A04E56">
        <w:t xml:space="preserve"> evaluation of the 2014-2020 Erasmus+ programme</w:t>
      </w:r>
      <w:r w:rsidR="00BB1439" w:rsidRPr="00A04E56">
        <w:rPr>
          <w:rStyle w:val="fnRef"/>
          <w:rFonts w:ascii="Arial" w:hAnsi="Arial" w:cs="Arial"/>
        </w:rPr>
        <w:t> </w:t>
      </w:r>
      <w:r w:rsidR="0035678A" w:rsidRPr="00A04E56">
        <w:rPr>
          <w:rStyle w:val="fnRef"/>
        </w:rPr>
        <w:t>(</w:t>
      </w:r>
      <w:r w:rsidR="0035678A" w:rsidRPr="00A04E56">
        <w:rPr>
          <w:rStyle w:val="fnRefNo"/>
        </w:rPr>
        <w:footnoteReference w:id="89"/>
      </w:r>
      <w:r w:rsidR="0035678A" w:rsidRPr="00A04E56">
        <w:rPr>
          <w:rStyle w:val="fnRef"/>
        </w:rPr>
        <w:t>)</w:t>
      </w:r>
      <w:r w:rsidRPr="00A04E56">
        <w:t xml:space="preserve">, which assessed the progress in the implementation of the </w:t>
      </w:r>
      <w:r w:rsidR="00CB429D" w:rsidRPr="00A04E56">
        <w:t xml:space="preserve">programme and </w:t>
      </w:r>
      <w:r w:rsidRPr="00A04E56">
        <w:t xml:space="preserve">the long-term impact of its predecessor programmes, showed that the current Erasmus+ delivers a unique package of outcomes in the field of education, training, youth and sport and is highly valued by stakeholders and the public. It highlighted the strong European added value of Erasmus+ and its predecessor programmes. Moreover, it highlighted the positive effects of the integrated nature of </w:t>
      </w:r>
      <w:r w:rsidR="00CB429D" w:rsidRPr="00A04E56">
        <w:t xml:space="preserve">the programme </w:t>
      </w:r>
      <w:r w:rsidRPr="00A04E56">
        <w:t>covering learning in all its contexts</w:t>
      </w:r>
      <w:r w:rsidR="00592122" w:rsidRPr="00A04E56">
        <w:t xml:space="preserve">. </w:t>
      </w:r>
    </w:p>
    <w:p w14:paraId="7675851F" w14:textId="2ECA127C" w:rsidR="00EE41E4" w:rsidRPr="00A04E56" w:rsidRDefault="00EE41E4" w:rsidP="00B513F6">
      <w:pPr>
        <w:pStyle w:val="BodyText1spaceafter"/>
      </w:pPr>
      <w:r w:rsidRPr="00A04E56">
        <w:t>The evaluation indicated some areas for improvement, in particular:</w:t>
      </w:r>
      <w:r w:rsidRPr="00A04E56" w:rsidDel="00603676">
        <w:t xml:space="preserve"> </w:t>
      </w:r>
      <w:r w:rsidR="00616F57" w:rsidRPr="00A04E56">
        <w:t xml:space="preserve">in terms of relevance, </w:t>
      </w:r>
      <w:r w:rsidRPr="00A04E56">
        <w:t xml:space="preserve">the evaluation pointed to the need </w:t>
      </w:r>
      <w:r w:rsidR="004F79EB" w:rsidRPr="00A04E56">
        <w:t xml:space="preserve">for Erasmus+ </w:t>
      </w:r>
      <w:r w:rsidRPr="00A04E56">
        <w:t xml:space="preserve">to better reach out to </w:t>
      </w:r>
      <w:r w:rsidR="00D35309" w:rsidRPr="00A04E56">
        <w:t xml:space="preserve">those </w:t>
      </w:r>
      <w:r w:rsidRPr="00A04E56">
        <w:t xml:space="preserve">individuals </w:t>
      </w:r>
      <w:r w:rsidR="00D35309" w:rsidRPr="00A04E56">
        <w:t xml:space="preserve">who have </w:t>
      </w:r>
      <w:r w:rsidRPr="00A04E56">
        <w:t>fewer opportunities</w:t>
      </w:r>
      <w:r w:rsidR="0073207F" w:rsidRPr="00A04E56">
        <w:t>,</w:t>
      </w:r>
      <w:r w:rsidRPr="00A04E56" w:rsidDel="0073207F">
        <w:t xml:space="preserve"> </w:t>
      </w:r>
      <w:r w:rsidRPr="00A04E56">
        <w:t xml:space="preserve">to facilitate the participation of smaller organisations to make the programme more inclusive </w:t>
      </w:r>
      <w:r w:rsidR="0073207F" w:rsidRPr="00A04E56">
        <w:t xml:space="preserve">and </w:t>
      </w:r>
      <w:r w:rsidRPr="00A04E56">
        <w:t>to reinforce measures to foster the understanding of European integration and sense of belonging to Europe, in particular amongst the youngest generations</w:t>
      </w:r>
      <w:r w:rsidR="0073207F" w:rsidRPr="00A04E56">
        <w:t>;</w:t>
      </w:r>
      <w:r w:rsidRPr="00A04E56">
        <w:t xml:space="preserve"> </w:t>
      </w:r>
      <w:r w:rsidR="0073207F" w:rsidRPr="00A04E56">
        <w:t>i</w:t>
      </w:r>
      <w:r w:rsidRPr="00A04E56">
        <w:t xml:space="preserve">n terms of effectiveness, </w:t>
      </w:r>
      <w:r w:rsidR="004F79EB" w:rsidRPr="00A04E56">
        <w:t xml:space="preserve">Erasmus+ should reinforce </w:t>
      </w:r>
      <w:r w:rsidRPr="00A04E56">
        <w:t>the volume of activities in sectors showing the highest performance but which have, until now, received relatively less funding, such as in the school, vocational</w:t>
      </w:r>
      <w:r w:rsidR="006406DB" w:rsidRPr="00A04E56">
        <w:t xml:space="preserve"> </w:t>
      </w:r>
      <w:r w:rsidRPr="00A04E56">
        <w:t xml:space="preserve">education and training and youth sectors, which will also contribute to reinforcing the inclusion dimension of the </w:t>
      </w:r>
      <w:r w:rsidR="004F79EB" w:rsidRPr="00A04E56">
        <w:t>programme</w:t>
      </w:r>
      <w:r w:rsidR="0073207F" w:rsidRPr="00A04E56">
        <w:t>;</w:t>
      </w:r>
      <w:r w:rsidR="004F79EB" w:rsidRPr="00A04E56">
        <w:t xml:space="preserve"> </w:t>
      </w:r>
      <w:r w:rsidR="0073207F" w:rsidRPr="00A04E56">
        <w:t>and i</w:t>
      </w:r>
      <w:r w:rsidRPr="00A04E56">
        <w:t xml:space="preserve">n terms of efficiency, </w:t>
      </w:r>
      <w:r w:rsidR="004F79EB" w:rsidRPr="00A04E56">
        <w:t xml:space="preserve">Erasmus+ should further simplify </w:t>
      </w:r>
      <w:r w:rsidRPr="00A04E56">
        <w:t xml:space="preserve">the procedures of application and reporting </w:t>
      </w:r>
      <w:r w:rsidR="004F79EB" w:rsidRPr="00A04E56">
        <w:t xml:space="preserve">in order </w:t>
      </w:r>
      <w:r w:rsidRPr="00A04E56">
        <w:t>to reduce the administrative burden on beneficiaries</w:t>
      </w:r>
      <w:r w:rsidR="0073207F" w:rsidRPr="00A04E56">
        <w:t>,</w:t>
      </w:r>
      <w:r w:rsidRPr="00A04E56">
        <w:t xml:space="preserve"> and </w:t>
      </w:r>
      <w:r w:rsidR="008664CD" w:rsidRPr="00A04E56">
        <w:t>should further optimise its</w:t>
      </w:r>
      <w:r w:rsidRPr="00A04E56">
        <w:t xml:space="preserve"> online procedures.</w:t>
      </w:r>
      <w:r w:rsidR="00603676" w:rsidRPr="00A04E56">
        <w:rPr>
          <w:noProof w:val="0"/>
        </w:rPr>
        <w:t xml:space="preserve"> </w:t>
      </w:r>
    </w:p>
    <w:p w14:paraId="62362D47" w14:textId="76B40183" w:rsidR="00592122" w:rsidRPr="00A04E56" w:rsidRDefault="007F7B19">
      <w:pPr>
        <w:pStyle w:val="BodyText1spaceafter"/>
      </w:pPr>
      <w:r w:rsidRPr="00A04E56">
        <w:t>T</w:t>
      </w:r>
      <w:r w:rsidR="00592122" w:rsidRPr="00A04E56">
        <w:t>he Court of Auditors</w:t>
      </w:r>
      <w:r w:rsidRPr="00A04E56">
        <w:t>,</w:t>
      </w:r>
      <w:r w:rsidR="00592122" w:rsidRPr="00A04E56">
        <w:t xml:space="preserve"> </w:t>
      </w:r>
      <w:r w:rsidR="00FF1659" w:rsidRPr="00A04E56">
        <w:t>in its special report</w:t>
      </w:r>
      <w:r w:rsidR="00BB1439" w:rsidRPr="00A04E56">
        <w:rPr>
          <w:rStyle w:val="fnRef"/>
          <w:rFonts w:ascii="Arial" w:hAnsi="Arial" w:cs="Arial"/>
        </w:rPr>
        <w:t> </w:t>
      </w:r>
      <w:r w:rsidR="0035678A" w:rsidRPr="00A04E56">
        <w:rPr>
          <w:rStyle w:val="fnRef"/>
        </w:rPr>
        <w:t>(</w:t>
      </w:r>
      <w:r w:rsidR="0035678A" w:rsidRPr="00A04E56">
        <w:rPr>
          <w:rStyle w:val="fnRefNo"/>
        </w:rPr>
        <w:footnoteReference w:id="90"/>
      </w:r>
      <w:r w:rsidR="0035678A" w:rsidRPr="00A04E56">
        <w:rPr>
          <w:rStyle w:val="fnRef"/>
        </w:rPr>
        <w:t>)</w:t>
      </w:r>
      <w:r w:rsidR="00FF1659" w:rsidRPr="00A04E56">
        <w:t xml:space="preserve"> on mobility under </w:t>
      </w:r>
      <w:r w:rsidR="00FF1659" w:rsidRPr="00A04E56" w:rsidDel="00496B8A">
        <w:t>Erasmus</w:t>
      </w:r>
      <w:r w:rsidR="00496B8A" w:rsidRPr="00A04E56">
        <w:t>+</w:t>
      </w:r>
      <w:r w:rsidRPr="00A04E56">
        <w:t>, also</w:t>
      </w:r>
      <w:r w:rsidR="00FF1659" w:rsidRPr="00A04E56">
        <w:t xml:space="preserve"> </w:t>
      </w:r>
      <w:r w:rsidR="00592122" w:rsidRPr="00A04E56">
        <w:t xml:space="preserve">concluded that </w:t>
      </w:r>
      <w:r w:rsidR="00FF1659" w:rsidRPr="00A04E56">
        <w:t>this programme</w:t>
      </w:r>
      <w:r w:rsidR="00592122" w:rsidRPr="00A04E56">
        <w:t xml:space="preserve"> is a well-known, successful EU brand. Erasmus+ plays a key role in building up learning mobility abroad and has a positive effect on participants’ attitudes towards the EU. </w:t>
      </w:r>
      <w:r w:rsidR="00381F42" w:rsidRPr="00A04E56">
        <w:t>T</w:t>
      </w:r>
      <w:r w:rsidR="00592122" w:rsidRPr="00A04E56">
        <w:t xml:space="preserve">he Court </w:t>
      </w:r>
      <w:r w:rsidR="00381F42" w:rsidRPr="00A04E56">
        <w:t>identified the</w:t>
      </w:r>
      <w:r w:rsidR="00592122" w:rsidRPr="00A04E56">
        <w:t xml:space="preserve"> innovative </w:t>
      </w:r>
      <w:r w:rsidR="00FE7FBB" w:rsidRPr="00A04E56">
        <w:t>student</w:t>
      </w:r>
      <w:r w:rsidR="001F5593">
        <w:t xml:space="preserve"> </w:t>
      </w:r>
      <w:r w:rsidR="00FE7FBB" w:rsidRPr="00A04E56">
        <w:t>loan</w:t>
      </w:r>
      <w:r w:rsidR="001F5593">
        <w:t xml:space="preserve"> </w:t>
      </w:r>
      <w:r w:rsidR="00FE7FBB" w:rsidRPr="00A04E56">
        <w:t xml:space="preserve">guarantee facility </w:t>
      </w:r>
      <w:r w:rsidR="00381F42" w:rsidRPr="00A04E56">
        <w:t>a</w:t>
      </w:r>
      <w:r w:rsidR="00592122" w:rsidRPr="00A04E56">
        <w:t>s</w:t>
      </w:r>
      <w:r w:rsidR="00381F42" w:rsidRPr="00A04E56">
        <w:t xml:space="preserve"> an area for improvement and </w:t>
      </w:r>
      <w:r w:rsidR="0073207F" w:rsidRPr="00A04E56">
        <w:t xml:space="preserve">also </w:t>
      </w:r>
      <w:r w:rsidR="00381F42" w:rsidRPr="00A04E56">
        <w:t xml:space="preserve">recommended better coverage of the programme </w:t>
      </w:r>
      <w:r w:rsidR="001900B2" w:rsidRPr="00A04E56">
        <w:t xml:space="preserve">objectives </w:t>
      </w:r>
      <w:r w:rsidR="00381F42" w:rsidRPr="00A04E56">
        <w:t>by indicators</w:t>
      </w:r>
      <w:r w:rsidR="00592122" w:rsidRPr="00A04E56">
        <w:t>.</w:t>
      </w:r>
    </w:p>
    <w:p w14:paraId="07D0BB12" w14:textId="529296CF" w:rsidR="00E42A2C" w:rsidRPr="003E0C2E" w:rsidRDefault="00EE41E4">
      <w:pPr>
        <w:pStyle w:val="BodyText1spaceafter"/>
        <w:rPr>
          <w:spacing w:val="-2"/>
        </w:rPr>
      </w:pPr>
      <w:r w:rsidRPr="003E0C2E">
        <w:rPr>
          <w:spacing w:val="-2"/>
        </w:rPr>
        <w:t xml:space="preserve">These </w:t>
      </w:r>
      <w:r w:rsidR="00CB7132" w:rsidRPr="003E0C2E">
        <w:rPr>
          <w:spacing w:val="-2"/>
        </w:rPr>
        <w:t>suggestions for improvement</w:t>
      </w:r>
      <w:r w:rsidRPr="003E0C2E">
        <w:rPr>
          <w:spacing w:val="-2"/>
        </w:rPr>
        <w:t xml:space="preserve"> were considered by the Commission in the proposed </w:t>
      </w:r>
      <w:r w:rsidR="00616F57" w:rsidRPr="003E0C2E">
        <w:rPr>
          <w:spacing w:val="-2"/>
        </w:rPr>
        <w:t xml:space="preserve">successor </w:t>
      </w:r>
      <w:r w:rsidRPr="003E0C2E">
        <w:rPr>
          <w:spacing w:val="-2"/>
        </w:rPr>
        <w:t xml:space="preserve">programme </w:t>
      </w:r>
      <w:r w:rsidRPr="003E0C2E">
        <w:rPr>
          <w:rStyle w:val="BOLDLIGHTBLUEReport"/>
          <w:rFonts w:eastAsia="Calibri"/>
          <w:spacing w:val="-2"/>
        </w:rPr>
        <w:t>E</w:t>
      </w:r>
      <w:r w:rsidR="00E739D9" w:rsidRPr="003E0C2E">
        <w:rPr>
          <w:rStyle w:val="BOLDLIGHTBLUEReport"/>
          <w:rFonts w:eastAsia="Calibri"/>
          <w:spacing w:val="-2"/>
        </w:rPr>
        <w:t>rasmus</w:t>
      </w:r>
      <w:r w:rsidRPr="003E0C2E">
        <w:rPr>
          <w:rStyle w:val="BOLDLIGHTBLUEReport"/>
          <w:rFonts w:eastAsia="Calibri"/>
          <w:spacing w:val="-2"/>
        </w:rPr>
        <w:t xml:space="preserve">: the </w:t>
      </w:r>
      <w:r w:rsidR="009A0795" w:rsidRPr="003E0C2E">
        <w:rPr>
          <w:rStyle w:val="BOLDLIGHTBLUEReport"/>
          <w:rFonts w:eastAsia="Calibri"/>
          <w:spacing w:val="-2"/>
        </w:rPr>
        <w:t>EU</w:t>
      </w:r>
      <w:r w:rsidRPr="003E0C2E">
        <w:rPr>
          <w:rStyle w:val="BOLDLIGHTBLUEReport"/>
          <w:rFonts w:eastAsia="Calibri"/>
          <w:spacing w:val="-2"/>
        </w:rPr>
        <w:t xml:space="preserve"> programme for education, training, youth and sport</w:t>
      </w:r>
      <w:r w:rsidR="00BB1439" w:rsidRPr="003E0C2E">
        <w:rPr>
          <w:rStyle w:val="fnRef"/>
          <w:rFonts w:ascii="Arial" w:hAnsi="Arial" w:cs="Arial"/>
          <w:spacing w:val="-2"/>
        </w:rPr>
        <w:t> </w:t>
      </w:r>
      <w:r w:rsidR="0035678A" w:rsidRPr="003E0C2E">
        <w:rPr>
          <w:rStyle w:val="fnRef"/>
          <w:spacing w:val="-2"/>
        </w:rPr>
        <w:t>(</w:t>
      </w:r>
      <w:r w:rsidR="0035678A" w:rsidRPr="003E0C2E">
        <w:rPr>
          <w:rStyle w:val="fnRefNo"/>
          <w:spacing w:val="-2"/>
        </w:rPr>
        <w:footnoteReference w:id="91"/>
      </w:r>
      <w:r w:rsidR="0035678A" w:rsidRPr="003E0C2E">
        <w:rPr>
          <w:rStyle w:val="fnRef"/>
          <w:spacing w:val="-2"/>
        </w:rPr>
        <w:t>)</w:t>
      </w:r>
      <w:r w:rsidRPr="003E0C2E">
        <w:rPr>
          <w:spacing w:val="-2"/>
        </w:rPr>
        <w:t xml:space="preserve"> in the context of the </w:t>
      </w:r>
      <w:r w:rsidR="00AA1FB8" w:rsidRPr="003E0C2E">
        <w:rPr>
          <w:spacing w:val="-2"/>
        </w:rPr>
        <w:t>multiannual financial fram</w:t>
      </w:r>
      <w:r w:rsidRPr="003E0C2E">
        <w:rPr>
          <w:spacing w:val="-2"/>
        </w:rPr>
        <w:t>ework 2021-2027.</w:t>
      </w:r>
      <w:r w:rsidRPr="003E0C2E" w:rsidDel="00603676">
        <w:rPr>
          <w:spacing w:val="-2"/>
        </w:rPr>
        <w:t xml:space="preserve"> </w:t>
      </w:r>
      <w:r w:rsidR="00377929" w:rsidRPr="003E0C2E">
        <w:rPr>
          <w:spacing w:val="-2"/>
        </w:rPr>
        <w:t>T</w:t>
      </w:r>
      <w:r w:rsidRPr="003E0C2E">
        <w:rPr>
          <w:spacing w:val="-2"/>
        </w:rPr>
        <w:t xml:space="preserve">he new programme will focus </w:t>
      </w:r>
      <w:r w:rsidR="00377929" w:rsidRPr="003E0C2E">
        <w:rPr>
          <w:spacing w:val="-2"/>
        </w:rPr>
        <w:t xml:space="preserve">in particular </w:t>
      </w:r>
      <w:r w:rsidRPr="003E0C2E">
        <w:rPr>
          <w:spacing w:val="-2"/>
        </w:rPr>
        <w:t xml:space="preserve">on stepping up mobility and exchanges for all categories of learners, increasing efforts to reach out to learners </w:t>
      </w:r>
      <w:r w:rsidR="00BC573E" w:rsidRPr="003E0C2E">
        <w:rPr>
          <w:spacing w:val="-2"/>
        </w:rPr>
        <w:t>who have</w:t>
      </w:r>
      <w:r w:rsidRPr="003E0C2E">
        <w:rPr>
          <w:spacing w:val="-2"/>
        </w:rPr>
        <w:t xml:space="preserve"> fewer opportunities and increasing opportunities to cooperate</w:t>
      </w:r>
      <w:r w:rsidR="00E739D9" w:rsidRPr="003E0C2E">
        <w:rPr>
          <w:spacing w:val="-2"/>
        </w:rPr>
        <w:t>,</w:t>
      </w:r>
      <w:r w:rsidRPr="003E0C2E">
        <w:rPr>
          <w:spacing w:val="-2"/>
        </w:rPr>
        <w:t xml:space="preserve"> including for smaller organisations</w:t>
      </w:r>
      <w:r w:rsidR="00E739D9" w:rsidRPr="003E0C2E">
        <w:rPr>
          <w:spacing w:val="-2"/>
        </w:rPr>
        <w:t>.</w:t>
      </w:r>
      <w:r w:rsidR="00BF4E75" w:rsidRPr="003E0C2E">
        <w:rPr>
          <w:spacing w:val="-2"/>
        </w:rPr>
        <w:t xml:space="preserve"> The new programme will seek to </w:t>
      </w:r>
      <w:r w:rsidR="00C7351C" w:rsidRPr="003E0C2E">
        <w:rPr>
          <w:spacing w:val="-2"/>
        </w:rPr>
        <w:t>rationalise</w:t>
      </w:r>
      <w:r w:rsidR="00BF4E75" w:rsidRPr="003E0C2E">
        <w:rPr>
          <w:spacing w:val="-2"/>
        </w:rPr>
        <w:t xml:space="preserve"> and refocus certain existing actions. For example, some actions will be specifically targeted towards activities that foster the development of competences in forward-looking fields; others will be aimed at fostering innovation in education, training, youth and sport; Jean Monnet activities will be partially refocused to target</w:t>
      </w:r>
      <w:r w:rsidR="007F1A2E" w:rsidRPr="003E0C2E">
        <w:rPr>
          <w:spacing w:val="-2"/>
        </w:rPr>
        <w:t xml:space="preserve"> broader groups of learners</w:t>
      </w:r>
      <w:r w:rsidR="00BF4E75" w:rsidRPr="003E0C2E">
        <w:rPr>
          <w:spacing w:val="-2"/>
        </w:rPr>
        <w:t>; the actions in the adult</w:t>
      </w:r>
      <w:r w:rsidR="00C6111C" w:rsidRPr="003E0C2E">
        <w:rPr>
          <w:spacing w:val="-2"/>
        </w:rPr>
        <w:t>-</w:t>
      </w:r>
      <w:r w:rsidR="00BF4E75" w:rsidRPr="003E0C2E">
        <w:rPr>
          <w:spacing w:val="-2"/>
        </w:rPr>
        <w:t>learning sector will be</w:t>
      </w:r>
      <w:r w:rsidR="007F1A2E" w:rsidRPr="003E0C2E">
        <w:rPr>
          <w:spacing w:val="-2"/>
        </w:rPr>
        <w:t xml:space="preserve"> reinforced</w:t>
      </w:r>
      <w:r w:rsidR="00BF4E75" w:rsidRPr="003E0C2E">
        <w:rPr>
          <w:spacing w:val="-2"/>
        </w:rPr>
        <w:t>. At the same time, the proposed programme reinforces the inclusive dimension of the programme by adapting certain existing actions and introducing new measures (such as short</w:t>
      </w:r>
      <w:r w:rsidR="002B5F47" w:rsidRPr="003E0C2E">
        <w:rPr>
          <w:spacing w:val="-2"/>
        </w:rPr>
        <w:t>-</w:t>
      </w:r>
      <w:r w:rsidR="00BF4E75" w:rsidRPr="003E0C2E">
        <w:rPr>
          <w:spacing w:val="-2"/>
        </w:rPr>
        <w:t>term</w:t>
      </w:r>
      <w:r w:rsidR="002B5F47" w:rsidRPr="003E0C2E">
        <w:rPr>
          <w:spacing w:val="-2"/>
        </w:rPr>
        <w:t xml:space="preserve">, </w:t>
      </w:r>
      <w:r w:rsidR="00BF4E75" w:rsidRPr="003E0C2E">
        <w:rPr>
          <w:spacing w:val="-2"/>
        </w:rPr>
        <w:t>group</w:t>
      </w:r>
      <w:r w:rsidR="002B5F47" w:rsidRPr="003E0C2E">
        <w:rPr>
          <w:spacing w:val="-2"/>
        </w:rPr>
        <w:t>-</w:t>
      </w:r>
      <w:r w:rsidR="00BF4E75" w:rsidRPr="003E0C2E">
        <w:rPr>
          <w:spacing w:val="-2"/>
        </w:rPr>
        <w:t>mobility and virtual cooperation).</w:t>
      </w:r>
      <w:r w:rsidR="00BF4E75" w:rsidRPr="003E0C2E" w:rsidDel="00BF4E75">
        <w:rPr>
          <w:spacing w:val="-2"/>
        </w:rPr>
        <w:t xml:space="preserve"> </w:t>
      </w:r>
    </w:p>
    <w:tbl>
      <w:tblPr>
        <w:tblStyle w:val="TableGrid"/>
        <w:tblW w:w="0" w:type="auto"/>
        <w:tblBorders>
          <w:top w:val="none" w:sz="0" w:space="0" w:color="auto"/>
          <w:left w:val="none" w:sz="0" w:space="0" w:color="auto"/>
          <w:bottom w:val="single" w:sz="12" w:space="0" w:color="65BBC8" w:themeColor="accent1"/>
          <w:right w:val="none" w:sz="0" w:space="0" w:color="auto"/>
          <w:insideH w:val="none" w:sz="0" w:space="0" w:color="auto"/>
          <w:insideV w:val="none" w:sz="0" w:space="0" w:color="auto"/>
        </w:tblBorders>
        <w:tblLook w:val="04A0" w:firstRow="1" w:lastRow="0" w:firstColumn="1" w:lastColumn="0" w:noHBand="0" w:noVBand="1"/>
      </w:tblPr>
      <w:tblGrid>
        <w:gridCol w:w="1926"/>
        <w:gridCol w:w="7360"/>
      </w:tblGrid>
      <w:tr w:rsidR="0080713A" w:rsidRPr="00A04E56" w14:paraId="46C54DDC" w14:textId="77777777" w:rsidTr="0080713A">
        <w:tc>
          <w:tcPr>
            <w:tcW w:w="1843" w:type="dxa"/>
          </w:tcPr>
          <w:p w14:paraId="641FB525" w14:textId="40F2718C" w:rsidR="0080713A" w:rsidRPr="00A04E56" w:rsidRDefault="008D6A1C" w:rsidP="0080713A">
            <w:pPr>
              <w:pStyle w:val="BodyText10"/>
              <w:rPr>
                <w:lang w:val="en-GB"/>
              </w:rPr>
            </w:pPr>
            <w:r>
              <w:rPr>
                <w:lang w:val="fr-BE"/>
              </w:rPr>
              <w:drawing>
                <wp:inline distT="0" distB="0" distL="0" distR="0" wp14:anchorId="5FD3190D" wp14:editId="688DF7DF">
                  <wp:extent cx="1078994" cy="1069850"/>
                  <wp:effectExtent l="0" t="0" r="698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quote blue - scaled down.png"/>
                          <pic:cNvPicPr/>
                        </pic:nvPicPr>
                        <pic:blipFill>
                          <a:blip r:embed="rId120" cstate="email">
                            <a:extLst>
                              <a:ext uri="{28A0092B-C50C-407E-A947-70E740481C1C}">
                                <a14:useLocalDpi xmlns:a14="http://schemas.microsoft.com/office/drawing/2010/main"/>
                              </a:ext>
                            </a:extLst>
                          </a:blip>
                          <a:stretch>
                            <a:fillRect/>
                          </a:stretch>
                        </pic:blipFill>
                        <pic:spPr>
                          <a:xfrm>
                            <a:off x="0" y="0"/>
                            <a:ext cx="1078994" cy="1069850"/>
                          </a:xfrm>
                          <a:prstGeom prst="rect">
                            <a:avLst/>
                          </a:prstGeom>
                        </pic:spPr>
                      </pic:pic>
                    </a:graphicData>
                  </a:graphic>
                </wp:inline>
              </w:drawing>
            </w:r>
          </w:p>
        </w:tc>
        <w:tc>
          <w:tcPr>
            <w:tcW w:w="7445" w:type="dxa"/>
            <w:vAlign w:val="center"/>
          </w:tcPr>
          <w:p w14:paraId="2F752B74" w14:textId="52124708" w:rsidR="0080713A" w:rsidRPr="00A04E56" w:rsidRDefault="0080713A" w:rsidP="0080713A">
            <w:pPr>
              <w:pStyle w:val="QuoteReport"/>
              <w:rPr>
                <w:lang w:val="en-GB"/>
              </w:rPr>
            </w:pPr>
            <w:r w:rsidRPr="00A04E56">
              <w:rPr>
                <w:lang w:val="en-GB"/>
              </w:rPr>
              <w:t>Every euro that we invest in Erasmus+ is an investment in the future — in the future of a young person and of our European idea. I cannot imagine anything more worthy of our investment than these leaders of tomorrow.</w:t>
            </w:r>
          </w:p>
          <w:p w14:paraId="3D10C0E8" w14:textId="117010B5" w:rsidR="0080713A" w:rsidRPr="00A04E56" w:rsidRDefault="0080713A" w:rsidP="0080713A">
            <w:pPr>
              <w:pStyle w:val="QuoteReportRef"/>
              <w:rPr>
                <w:lang w:val="en-GB"/>
              </w:rPr>
            </w:pPr>
            <w:r w:rsidRPr="00A04E56">
              <w:rPr>
                <w:lang w:val="en-GB"/>
              </w:rPr>
              <w:t>‘30</w:t>
            </w:r>
            <w:r w:rsidRPr="00A04E56">
              <w:rPr>
                <w:rFonts w:ascii="Calibri" w:hAnsi="Calibri" w:cs="Calibri"/>
                <w:lang w:val="en-GB"/>
              </w:rPr>
              <w:t> </w:t>
            </w:r>
            <w:r w:rsidRPr="00A04E56">
              <w:rPr>
                <w:lang w:val="en-GB"/>
              </w:rPr>
              <w:t xml:space="preserve">years of 'Erasmus’ exchanges abroad: Commission launches mobile application to mark anniversary’ — </w:t>
            </w:r>
            <w:hyperlink r:id="rId121" w:history="1">
              <w:r w:rsidRPr="00A04E56">
                <w:rPr>
                  <w:lang w:val="en-GB"/>
                </w:rPr>
                <w:t>http://europa.eu/rapid/press-release_IP-17-1574_en.htm</w:t>
              </w:r>
            </w:hyperlink>
          </w:p>
        </w:tc>
      </w:tr>
    </w:tbl>
    <w:p w14:paraId="3E3B6F68" w14:textId="77777777" w:rsidR="00EE41E4" w:rsidRPr="00A04E56" w:rsidRDefault="00EE41E4" w:rsidP="001F60F5"/>
    <w:p w14:paraId="61FAB736" w14:textId="429759DC" w:rsidR="0072693E" w:rsidRPr="00A04E56" w:rsidRDefault="0072693E" w:rsidP="00A023CF">
      <w:pPr>
        <w:pStyle w:val="Title2Report"/>
      </w:pPr>
      <w:bookmarkStart w:id="62" w:name="_Toc12021000"/>
      <w:r w:rsidRPr="00A04E56">
        <w:t>European Solidarity Corps</w:t>
      </w:r>
      <w:bookmarkEnd w:id="62"/>
    </w:p>
    <w:p w14:paraId="6A5380AF" w14:textId="77777777" w:rsidR="0072693E" w:rsidRPr="00A04E56" w:rsidRDefault="0072693E" w:rsidP="00AA0340">
      <w:pPr>
        <w:pStyle w:val="Title3NumberedReport"/>
      </w:pPr>
      <w:r w:rsidRPr="00A04E56">
        <w:t xml:space="preserve">Programme objectives </w:t>
      </w:r>
    </w:p>
    <w:p w14:paraId="207CB343" w14:textId="2724EFFE" w:rsidR="0072693E" w:rsidRPr="00A04E56" w:rsidRDefault="006E5112" w:rsidP="00DB40FA">
      <w:pPr>
        <w:pStyle w:val="BodyText1spaceafter"/>
      </w:pPr>
      <w:r w:rsidRPr="00A04E56">
        <w:t xml:space="preserve">President Juncker announced the European Solidarity Corps in his 2016 State of the Union speech. </w:t>
      </w:r>
      <w:r w:rsidR="0072693E" w:rsidRPr="00A04E56">
        <w:t>The European Solidarity Corps offers young people between the ages of 18 and 30 the opportunity to take part in a wide range of solidarity activities across the EU, with the aim of creating 100</w:t>
      </w:r>
      <w:r w:rsidR="0072693E" w:rsidRPr="00A04E56" w:rsidDel="006221A4">
        <w:rPr>
          <w:rFonts w:cs="Calibri"/>
        </w:rPr>
        <w:t> 000</w:t>
      </w:r>
      <w:r w:rsidR="0072693E" w:rsidRPr="00A04E56">
        <w:t xml:space="preserve"> opportunities by the end of 2020. </w:t>
      </w:r>
      <w:r w:rsidR="007150AA" w:rsidRPr="00A04E56">
        <w:t>From</w:t>
      </w:r>
      <w:r w:rsidR="0072693E" w:rsidRPr="00A04E56">
        <w:t xml:space="preserve"> December 2016</w:t>
      </w:r>
      <w:r w:rsidR="007150AA" w:rsidRPr="00A04E56">
        <w:t xml:space="preserve"> and</w:t>
      </w:r>
      <w:r w:rsidR="0072693E" w:rsidRPr="00A04E56">
        <w:t xml:space="preserve"> until the adoption of the European Solidarity Corps </w:t>
      </w:r>
      <w:r w:rsidR="00ED32A9" w:rsidRPr="00A04E56">
        <w:t>r</w:t>
      </w:r>
      <w:r w:rsidR="0072693E" w:rsidRPr="00A04E56">
        <w:t>egulation</w:t>
      </w:r>
      <w:r w:rsidR="00BB1439" w:rsidRPr="00A04E56">
        <w:rPr>
          <w:rStyle w:val="fnRef"/>
          <w:rFonts w:ascii="Arial" w:hAnsi="Arial" w:cs="Arial"/>
        </w:rPr>
        <w:t> </w:t>
      </w:r>
      <w:r w:rsidR="0035678A" w:rsidRPr="00A04E56">
        <w:rPr>
          <w:rStyle w:val="fnRef"/>
        </w:rPr>
        <w:t>(</w:t>
      </w:r>
      <w:r w:rsidR="0035678A" w:rsidRPr="00A04E56">
        <w:rPr>
          <w:rStyle w:val="fnRefNo"/>
        </w:rPr>
        <w:footnoteReference w:id="92"/>
      </w:r>
      <w:r w:rsidR="0035678A" w:rsidRPr="00A04E56">
        <w:rPr>
          <w:rStyle w:val="fnRef"/>
        </w:rPr>
        <w:t>)</w:t>
      </w:r>
      <w:r w:rsidR="0072693E" w:rsidRPr="00A04E56">
        <w:t>, eight different programmes were mobilised to give young people the chance to take part in a range of solidarity activities addressing challenging situations across the EU. Participation not only benefits young people</w:t>
      </w:r>
      <w:r w:rsidR="00ED32A9" w:rsidRPr="00A04E56">
        <w:t>’</w:t>
      </w:r>
      <w:r w:rsidR="0072693E" w:rsidRPr="00A04E56">
        <w:t xml:space="preserve">s personal development, active involvement in society and employability, but </w:t>
      </w:r>
      <w:r w:rsidR="00ED32A9" w:rsidRPr="00A04E56">
        <w:t xml:space="preserve">it </w:t>
      </w:r>
      <w:r w:rsidR="0072693E" w:rsidRPr="00A04E56">
        <w:t>also assists non-governmental organisations, public bodies and companies in their efforts to cope with societal and other challenges. As well as offering volunteering, traineeships and jobs, the European Solidarity Corps also offer</w:t>
      </w:r>
      <w:r w:rsidR="00471318" w:rsidRPr="00A04E56">
        <w:t>s</w:t>
      </w:r>
      <w:r w:rsidR="0072693E" w:rsidRPr="00A04E56">
        <w:t xml:space="preserve"> participants the opportunity to set up their own solidarity projects or to volunteer as a group. </w:t>
      </w:r>
    </w:p>
    <w:p w14:paraId="4F17A50F" w14:textId="7E64A3E0" w:rsidR="005E104B" w:rsidRPr="00A04E56" w:rsidRDefault="005E104B" w:rsidP="00C257BF">
      <w:pPr>
        <w:pStyle w:val="BodyText1"/>
        <w:rPr>
          <w:lang w:val="en-GB"/>
        </w:rPr>
      </w:pPr>
      <w:r w:rsidRPr="00A04E56">
        <w:rPr>
          <w:lang w:val="en-GB"/>
        </w:rPr>
        <w:t>The European Solidarity Corps aims to strengthen the engagement of young people and organisations in solidarity activities. The corps is a means to help strengthen cohesion, solidarity and democracy in Europe and abroad and to address societal and humanitarian challenges on the ground, with particular focus on promoting social inclusion.</w:t>
      </w:r>
    </w:p>
    <w:p w14:paraId="75EFB52B" w14:textId="77777777" w:rsidR="005E104B" w:rsidRPr="00A04E56" w:rsidRDefault="005E104B" w:rsidP="00C257BF">
      <w:pPr>
        <w:pStyle w:val="BodyText"/>
      </w:pPr>
    </w:p>
    <w:tbl>
      <w:tblPr>
        <w:tblW w:w="9072"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27" w:type="dxa"/>
          <w:right w:w="227" w:type="dxa"/>
        </w:tblCellMar>
        <w:tblLook w:val="04A0" w:firstRow="1" w:lastRow="0" w:firstColumn="1" w:lastColumn="0" w:noHBand="0" w:noVBand="1"/>
      </w:tblPr>
      <w:tblGrid>
        <w:gridCol w:w="1804"/>
        <w:gridCol w:w="7268"/>
      </w:tblGrid>
      <w:tr w:rsidR="000B0748" w:rsidRPr="00A04E56" w14:paraId="6DAA1BFA" w14:textId="77777777" w:rsidTr="00250040">
        <w:trPr>
          <w:cantSplit/>
          <w:trHeight w:val="1474"/>
        </w:trPr>
        <w:tc>
          <w:tcPr>
            <w:tcW w:w="1804"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7F37DFF2" w14:textId="7129A0B1" w:rsidR="000B0748" w:rsidRPr="00A04E56" w:rsidRDefault="00EC6C3C" w:rsidP="0062263B">
            <w:pPr>
              <w:spacing w:after="120" w:line="276" w:lineRule="auto"/>
              <w:jc w:val="center"/>
              <w:rPr>
                <w:rFonts w:cstheme="minorHAnsi"/>
                <w:szCs w:val="20"/>
              </w:rPr>
            </w:pPr>
            <w:r w:rsidRPr="00A04E56">
              <w:rPr>
                <w:noProof/>
                <w:lang w:val="fr-BE" w:eastAsia="fr-BE"/>
              </w:rPr>
              <w:drawing>
                <wp:inline distT="0" distB="0" distL="0" distR="0" wp14:anchorId="09D71FD5" wp14:editId="296B265E">
                  <wp:extent cx="576000" cy="576000"/>
                  <wp:effectExtent l="0" t="0" r="0" b="0"/>
                  <wp:docPr id="226" name="Picture 226" descr="G:\Production\B2 prepresse\Raimonds\2019.1745 AMPR\50 - work on images\AMPR Icons\AMPR Icons_Send1\AMPR Icons_Send1\Icon_10320_ESC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Production\B2 prepresse\Raimonds\2019.1745 AMPR\50 - work on images\AMPR Icons\AMPR Icons_Send1\AMPR Icons_Send1\Icon_10320_ESC_01.emf"/>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tc>
        <w:tc>
          <w:tcPr>
            <w:tcW w:w="7268"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4BFE164B" w14:textId="5F3D6576" w:rsidR="000B0748" w:rsidRPr="00A04E56" w:rsidRDefault="000B0748" w:rsidP="00813104">
            <w:pPr>
              <w:pStyle w:val="BodyText1spaceafter"/>
            </w:pPr>
            <w:r w:rsidRPr="00A04E56">
              <w:t>Promoting solidarity as a value, through volunteering;, enhancing the engagement of young people and organisations</w:t>
            </w:r>
            <w:r w:rsidRPr="00A04E56">
              <w:rPr>
                <w:b/>
              </w:rPr>
              <w:t>.</w:t>
            </w:r>
          </w:p>
        </w:tc>
      </w:tr>
      <w:tr w:rsidR="000B0748" w:rsidRPr="00A04E56" w14:paraId="57B89436" w14:textId="77777777" w:rsidTr="00250040">
        <w:trPr>
          <w:cantSplit/>
          <w:trHeight w:val="1474"/>
        </w:trPr>
        <w:tc>
          <w:tcPr>
            <w:tcW w:w="1804"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20032C4" w14:textId="0EC49CEB" w:rsidR="000B0748" w:rsidRPr="00A04E56" w:rsidRDefault="00EC6C3C" w:rsidP="0062263B">
            <w:pPr>
              <w:spacing w:after="120" w:line="276" w:lineRule="auto"/>
              <w:jc w:val="center"/>
              <w:rPr>
                <w:rFonts w:cstheme="minorHAnsi"/>
                <w:szCs w:val="20"/>
              </w:rPr>
            </w:pPr>
            <w:r w:rsidRPr="00A04E56">
              <w:rPr>
                <w:noProof/>
                <w:lang w:val="fr-BE" w:eastAsia="fr-BE"/>
              </w:rPr>
              <w:drawing>
                <wp:inline distT="0" distB="0" distL="0" distR="0" wp14:anchorId="149E9ACF" wp14:editId="0EAB9D66">
                  <wp:extent cx="576000" cy="576000"/>
                  <wp:effectExtent l="0" t="0" r="0" b="0"/>
                  <wp:docPr id="229" name="Picture 229" descr="G:\Production\B2 prepresse\Raimonds\2019.1745 AMPR\50 - work on images\AMPR Icons\AMPR Icons_Send1\AMPR Icons_Send1\Icon_10320_ESC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Production\B2 prepresse\Raimonds\2019.1745 AMPR\50 - work on images\AMPR Icons\AMPR Icons_Send1\AMPR Icons_Send1\Icon_10320_ESC_02.emf"/>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tc>
        <w:tc>
          <w:tcPr>
            <w:tcW w:w="7268"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419A4E3F" w14:textId="284AFAF5" w:rsidR="000B0748" w:rsidRPr="00A04E56" w:rsidRDefault="000B0748" w:rsidP="00813104">
            <w:pPr>
              <w:pStyle w:val="BodyText1spaceafter"/>
            </w:pPr>
            <w:r w:rsidRPr="00A04E56">
              <w:t>Contributing to strengthening cohesion, solidarity, democracy and citizenship in Europe.</w:t>
            </w:r>
          </w:p>
        </w:tc>
      </w:tr>
      <w:tr w:rsidR="000B0748" w:rsidRPr="00A04E56" w14:paraId="2D8A809E" w14:textId="77777777" w:rsidTr="00250040">
        <w:trPr>
          <w:cantSplit/>
          <w:trHeight w:val="1474"/>
        </w:trPr>
        <w:tc>
          <w:tcPr>
            <w:tcW w:w="1804"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14:paraId="5F1AC6D7" w14:textId="2C25FBD4" w:rsidR="000B0748" w:rsidRPr="00A04E56" w:rsidRDefault="00EC6C3C" w:rsidP="0062263B">
            <w:pPr>
              <w:spacing w:after="120" w:line="276" w:lineRule="auto"/>
              <w:jc w:val="center"/>
              <w:rPr>
                <w:rFonts w:cstheme="minorHAnsi"/>
                <w:szCs w:val="20"/>
                <w:lang w:eastAsia="fr-BE"/>
              </w:rPr>
            </w:pPr>
            <w:r w:rsidRPr="00A04E56">
              <w:rPr>
                <w:noProof/>
                <w:lang w:val="fr-BE" w:eastAsia="fr-BE"/>
              </w:rPr>
              <w:drawing>
                <wp:inline distT="0" distB="0" distL="0" distR="0" wp14:anchorId="1F48EFD1" wp14:editId="68C1FCD6">
                  <wp:extent cx="576000" cy="576000"/>
                  <wp:effectExtent l="0" t="0" r="0" b="0"/>
                  <wp:docPr id="230" name="Picture 230" descr="G:\Production\B2 prepresse\Raimonds\2019.1745 AMPR\50 - work on images\AMPR Icons\AMPR Icons_Send1\AMPR Icons_Send1\Icon_10320_ESC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Production\B2 prepresse\Raimonds\2019.1745 AMPR\50 - work on images\AMPR Icons\AMPR Icons_Send1\AMPR Icons_Send1\Icon_10320_ESC_03.emf"/>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76000" cy="576000"/>
                          </a:xfrm>
                          <a:prstGeom prst="rect">
                            <a:avLst/>
                          </a:prstGeom>
                          <a:noFill/>
                          <a:ln>
                            <a:noFill/>
                          </a:ln>
                        </pic:spPr>
                      </pic:pic>
                    </a:graphicData>
                  </a:graphic>
                </wp:inline>
              </w:drawing>
            </w:r>
          </w:p>
        </w:tc>
        <w:tc>
          <w:tcPr>
            <w:tcW w:w="7268"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vAlign w:val="center"/>
          </w:tcPr>
          <w:p w14:paraId="6707B3D3" w14:textId="6AEE78FB" w:rsidR="000B0748" w:rsidRPr="00A04E56" w:rsidRDefault="000B0748" w:rsidP="00813104">
            <w:pPr>
              <w:pStyle w:val="BodyText1spaceafter"/>
              <w:rPr>
                <w:noProof w:val="0"/>
              </w:rPr>
            </w:pPr>
            <w:r w:rsidRPr="00A04E56">
              <w:t>Responding to societal challenges and strengthening communities, with particular effort to promote social inclusion.</w:t>
            </w:r>
          </w:p>
        </w:tc>
      </w:tr>
    </w:tbl>
    <w:p w14:paraId="36823E90" w14:textId="77777777" w:rsidR="00CB4A36" w:rsidRPr="00A04E56" w:rsidRDefault="00CB4A36" w:rsidP="00CB4A36">
      <w:pPr>
        <w:spacing w:after="120" w:line="276" w:lineRule="auto"/>
        <w:jc w:val="both"/>
        <w:rPr>
          <w:szCs w:val="20"/>
        </w:rPr>
      </w:pPr>
    </w:p>
    <w:p w14:paraId="717558A1" w14:textId="776D75CC" w:rsidR="0072693E" w:rsidRPr="00A04E56" w:rsidRDefault="008C1D39" w:rsidP="00AA0340">
      <w:pPr>
        <w:pStyle w:val="Title3NumberedReport"/>
      </w:pPr>
      <w:r w:rsidRPr="00A04E56">
        <w:t>Implementation and latest achievements</w:t>
      </w:r>
    </w:p>
    <w:p w14:paraId="3DD612FF" w14:textId="3D4D03E0" w:rsidR="0072693E" w:rsidRPr="00A04E56" w:rsidRDefault="0072693E">
      <w:pPr>
        <w:pStyle w:val="BodyText1spaceafter"/>
        <w:rPr>
          <w:color w:val="7F7F7F" w:themeColor="text1" w:themeTint="80"/>
        </w:rPr>
      </w:pPr>
      <w:r w:rsidRPr="00A04E56">
        <w:t>Since December 2016, the Commission has been focused on the design and development of the European Solidarity Corps as well as promotion and outreach to potential participants.</w:t>
      </w:r>
      <w:r w:rsidR="006E5112" w:rsidRPr="00A04E56">
        <w:t xml:space="preserve"> </w:t>
      </w:r>
    </w:p>
    <w:p w14:paraId="58A399E0" w14:textId="49EDF35B" w:rsidR="0072693E" w:rsidRPr="00A04E56" w:rsidRDefault="0072693E" w:rsidP="00242FF0">
      <w:pPr>
        <w:pStyle w:val="BodyText1spaceafter"/>
        <w:keepNext/>
      </w:pPr>
      <w:r w:rsidRPr="00A04E56">
        <w:t xml:space="preserve">Several key milestones were reached by the </w:t>
      </w:r>
      <w:r w:rsidRPr="00A04E56">
        <w:rPr>
          <w:i/>
          <w:u w:val="single"/>
        </w:rPr>
        <w:t>end of 2018</w:t>
      </w:r>
      <w:r w:rsidRPr="00A04E56">
        <w:t>, including</w:t>
      </w:r>
      <w:r w:rsidR="00725DCB" w:rsidRPr="00A04E56">
        <w:t xml:space="preserve"> the following</w:t>
      </w:r>
      <w:r w:rsidR="00C63C2D" w:rsidRPr="00A04E56">
        <w:t>:</w:t>
      </w:r>
    </w:p>
    <w:p w14:paraId="17530D08" w14:textId="4640CCF9" w:rsidR="0072693E" w:rsidRPr="00A04E56" w:rsidRDefault="00725DCB" w:rsidP="00107DA0">
      <w:pPr>
        <w:pStyle w:val="BulletsblueNew"/>
      </w:pPr>
      <w:r w:rsidRPr="00A04E56">
        <w:t>The regulation</w:t>
      </w:r>
      <w:r w:rsidR="00CD0E3A" w:rsidRPr="00A04E56">
        <w:rPr>
          <w:rFonts w:ascii="Calibri" w:hAnsi="Calibri" w:cs="Calibri"/>
        </w:rPr>
        <w:t> </w:t>
      </w:r>
      <w:r w:rsidR="005C1953" w:rsidRPr="00A04E56">
        <w:t>(</w:t>
      </w:r>
      <w:r w:rsidR="005C1953" w:rsidRPr="00A04E56">
        <w:rPr>
          <w:rStyle w:val="fnRefNo"/>
        </w:rPr>
        <w:footnoteReference w:id="93"/>
      </w:r>
      <w:r w:rsidR="005C1953" w:rsidRPr="00A04E56">
        <w:t>)</w:t>
      </w:r>
      <w:r w:rsidR="0072693E" w:rsidRPr="00A04E56">
        <w:t xml:space="preserve"> establishing the European Solidarity Corps was adopted, providing the </w:t>
      </w:r>
      <w:r w:rsidRPr="00A04E56">
        <w:t>corps</w:t>
      </w:r>
      <w:r w:rsidR="0072693E" w:rsidRPr="00A04E56">
        <w:t xml:space="preserve"> with its own legal basis, facilitating the implementation of the programme and providing a self-standing budget.</w:t>
      </w:r>
    </w:p>
    <w:p w14:paraId="68279989" w14:textId="4E9A9073" w:rsidR="0072693E" w:rsidRPr="00A04E56" w:rsidRDefault="00725DCB" w:rsidP="00107DA0">
      <w:pPr>
        <w:pStyle w:val="BulletsblueNew"/>
      </w:pPr>
      <w:r w:rsidRPr="00A04E56">
        <w:t>T</w:t>
      </w:r>
      <w:r w:rsidR="0072693E" w:rsidRPr="00A04E56">
        <w:t xml:space="preserve">he first call </w:t>
      </w:r>
      <w:r w:rsidR="008D02F7" w:rsidRPr="00A04E56">
        <w:t xml:space="preserve">for proposals </w:t>
      </w:r>
      <w:r w:rsidR="0072693E" w:rsidRPr="00A04E56">
        <w:t xml:space="preserve">of the </w:t>
      </w:r>
      <w:r w:rsidRPr="00A04E56">
        <w:t>cor</w:t>
      </w:r>
      <w:r w:rsidR="0072693E" w:rsidRPr="00A04E56">
        <w:t>ps</w:t>
      </w:r>
      <w:r w:rsidR="005E104B" w:rsidRPr="00A04E56">
        <w:t xml:space="preserve"> </w:t>
      </w:r>
      <w:r w:rsidR="008C1D39" w:rsidRPr="00A04E56">
        <w:rPr>
          <w:i/>
          <w:u w:val="single"/>
        </w:rPr>
        <w:t>in 2018</w:t>
      </w:r>
      <w:r w:rsidR="00D86461" w:rsidRPr="00A04E56">
        <w:t xml:space="preserve"> was a success, with</w:t>
      </w:r>
      <w:r w:rsidR="0072693E" w:rsidRPr="00A04E56">
        <w:t xml:space="preserve"> </w:t>
      </w:r>
      <w:r w:rsidR="00D86461" w:rsidRPr="00A04E56">
        <w:t>o</w:t>
      </w:r>
      <w:r w:rsidR="0072693E" w:rsidRPr="00A04E56">
        <w:t xml:space="preserve">ver </w:t>
      </w:r>
      <w:r w:rsidR="0072693E" w:rsidRPr="00A04E56">
        <w:rPr>
          <w:rStyle w:val="BodyText1Char"/>
          <w:lang w:val="en-GB"/>
        </w:rPr>
        <w:t>1</w:t>
      </w:r>
      <w:r w:rsidR="0072693E" w:rsidRPr="00A04E56">
        <w:rPr>
          <w:rStyle w:val="BodyText1Char"/>
          <w:rFonts w:ascii="Calibri" w:hAnsi="Calibri" w:cs="Calibri"/>
          <w:lang w:val="en-GB"/>
        </w:rPr>
        <w:t> </w:t>
      </w:r>
      <w:r w:rsidR="0072693E" w:rsidRPr="00A04E56">
        <w:rPr>
          <w:rStyle w:val="BodyText1Char"/>
          <w:lang w:val="en-GB"/>
        </w:rPr>
        <w:t>400 submissions</w:t>
      </w:r>
      <w:r w:rsidR="0072693E" w:rsidRPr="00A04E56">
        <w:t xml:space="preserve"> received</w:t>
      </w:r>
      <w:r w:rsidR="00CB7132" w:rsidRPr="00A04E56">
        <w:t xml:space="preserve"> by organisations that host or support the solidarity activities</w:t>
      </w:r>
      <w:r w:rsidR="008D02F7" w:rsidRPr="00A04E56">
        <w:t xml:space="preserve">. Out of these submissions, 255 proposals came from groups of young people registered in the </w:t>
      </w:r>
      <w:r w:rsidR="0032206E" w:rsidRPr="00A04E56">
        <w:t>c</w:t>
      </w:r>
      <w:r w:rsidR="008D02F7" w:rsidRPr="00A04E56">
        <w:t>orps portal to implement solidarity projects.</w:t>
      </w:r>
      <w:r w:rsidR="0072693E" w:rsidRPr="00A04E56">
        <w:t xml:space="preserve"> In total, the proposed activities could offer up to </w:t>
      </w:r>
      <w:r w:rsidR="0072693E" w:rsidRPr="00A04E56">
        <w:rPr>
          <w:rStyle w:val="BodyText1Char"/>
          <w:rFonts w:asciiTheme="majorHAnsi" w:hAnsiTheme="majorHAnsi"/>
          <w:lang w:val="en-GB"/>
        </w:rPr>
        <w:t>13</w:t>
      </w:r>
      <w:r w:rsidR="0072693E" w:rsidRPr="00A04E56" w:rsidDel="006221A4">
        <w:rPr>
          <w:rStyle w:val="BodyText1Char"/>
          <w:rFonts w:ascii="Calibri" w:hAnsi="Calibri" w:cs="Calibri"/>
          <w:lang w:val="en-GB"/>
        </w:rPr>
        <w:t> </w:t>
      </w:r>
      <w:r w:rsidR="0072693E" w:rsidRPr="00A04E56" w:rsidDel="006221A4">
        <w:rPr>
          <w:rStyle w:val="BodyText1Char"/>
          <w:rFonts w:asciiTheme="majorHAnsi" w:hAnsiTheme="majorHAnsi"/>
          <w:lang w:val="en-GB"/>
        </w:rPr>
        <w:t>000</w:t>
      </w:r>
      <w:r w:rsidR="0072693E" w:rsidRPr="00A04E56">
        <w:rPr>
          <w:rStyle w:val="BodyText1Char"/>
          <w:lang w:val="en-GB"/>
        </w:rPr>
        <w:t xml:space="preserve"> opportunities for young people</w:t>
      </w:r>
      <w:r w:rsidR="0072693E" w:rsidRPr="00A04E56">
        <w:t>.</w:t>
      </w:r>
    </w:p>
    <w:p w14:paraId="523A0E5C" w14:textId="36B2ECE9" w:rsidR="0072693E" w:rsidRPr="003E0C2E" w:rsidRDefault="008C1D39" w:rsidP="00381980">
      <w:pPr>
        <w:pStyle w:val="BulletsblueNew"/>
        <w:spacing w:after="240"/>
        <w:rPr>
          <w:spacing w:val="-2"/>
        </w:rPr>
      </w:pPr>
      <w:r w:rsidRPr="003E0C2E">
        <w:rPr>
          <w:i/>
          <w:spacing w:val="-2"/>
          <w:u w:val="single"/>
        </w:rPr>
        <w:t>At year-end 2018</w:t>
      </w:r>
      <w:r w:rsidRPr="003E0C2E">
        <w:rPr>
          <w:spacing w:val="-2"/>
        </w:rPr>
        <w:t xml:space="preserve">, </w:t>
      </w:r>
      <w:r w:rsidR="00347003" w:rsidRPr="003E0C2E">
        <w:rPr>
          <w:spacing w:val="-2"/>
        </w:rPr>
        <w:t xml:space="preserve">since the beginning of the programme, </w:t>
      </w:r>
      <w:r w:rsidRPr="003E0C2E">
        <w:rPr>
          <w:spacing w:val="-2"/>
        </w:rPr>
        <w:t>o</w:t>
      </w:r>
      <w:r w:rsidR="0072693E" w:rsidRPr="003E0C2E">
        <w:rPr>
          <w:spacing w:val="-2"/>
        </w:rPr>
        <w:t xml:space="preserve">ver </w:t>
      </w:r>
      <w:r w:rsidR="00D3642A" w:rsidRPr="003E0C2E">
        <w:rPr>
          <w:rStyle w:val="BodyText1Char"/>
          <w:rFonts w:asciiTheme="majorHAnsi" w:hAnsiTheme="majorHAnsi"/>
          <w:spacing w:val="-2"/>
          <w:lang w:val="en-GB"/>
        </w:rPr>
        <w:t>10</w:t>
      </w:r>
      <w:r w:rsidR="00E91F65" w:rsidRPr="003E0C2E">
        <w:rPr>
          <w:rStyle w:val="BodyText1Char"/>
          <w:rFonts w:ascii="Calibri" w:hAnsi="Calibri" w:cs="Calibri"/>
          <w:spacing w:val="-2"/>
          <w:lang w:val="en-GB"/>
        </w:rPr>
        <w:t> </w:t>
      </w:r>
      <w:r w:rsidR="00E91F65" w:rsidRPr="003E0C2E">
        <w:rPr>
          <w:rStyle w:val="BodyText1Char"/>
          <w:rFonts w:asciiTheme="majorHAnsi" w:hAnsiTheme="majorHAnsi"/>
          <w:spacing w:val="-2"/>
          <w:lang w:val="en-GB"/>
        </w:rPr>
        <w:t>0</w:t>
      </w:r>
      <w:r w:rsidR="006221A4" w:rsidRPr="003E0C2E">
        <w:rPr>
          <w:rStyle w:val="BodyText1Char"/>
          <w:rFonts w:asciiTheme="majorHAnsi" w:hAnsiTheme="majorHAnsi"/>
          <w:spacing w:val="-2"/>
          <w:lang w:val="en-GB"/>
        </w:rPr>
        <w:t>00</w:t>
      </w:r>
      <w:r w:rsidR="0072693E" w:rsidRPr="003E0C2E">
        <w:rPr>
          <w:rStyle w:val="BodyText1Char"/>
          <w:spacing w:val="-2"/>
          <w:lang w:val="en-GB"/>
        </w:rPr>
        <w:t xml:space="preserve"> young people had already started</w:t>
      </w:r>
      <w:r w:rsidR="0072693E" w:rsidRPr="003E0C2E">
        <w:rPr>
          <w:spacing w:val="-2"/>
        </w:rPr>
        <w:t xml:space="preserve"> their activities and the number of young people </w:t>
      </w:r>
      <w:r w:rsidR="00693C29" w:rsidRPr="003E0C2E">
        <w:rPr>
          <w:spacing w:val="-2"/>
        </w:rPr>
        <w:t>registered o</w:t>
      </w:r>
      <w:r w:rsidR="0072693E" w:rsidRPr="003E0C2E">
        <w:rPr>
          <w:spacing w:val="-2"/>
        </w:rPr>
        <w:t>n the portal</w:t>
      </w:r>
      <w:r w:rsidR="00BB1439" w:rsidRPr="003E0C2E">
        <w:rPr>
          <w:rStyle w:val="fnRef"/>
          <w:rFonts w:ascii="Arial" w:hAnsi="Arial" w:cs="Arial"/>
          <w:spacing w:val="-2"/>
        </w:rPr>
        <w:t> </w:t>
      </w:r>
      <w:r w:rsidR="0035678A" w:rsidRPr="003E0C2E">
        <w:rPr>
          <w:rStyle w:val="fnRef"/>
          <w:spacing w:val="-2"/>
        </w:rPr>
        <w:t>(</w:t>
      </w:r>
      <w:r w:rsidR="0035678A" w:rsidRPr="003E0C2E">
        <w:rPr>
          <w:rStyle w:val="fnRefNo"/>
          <w:spacing w:val="-2"/>
        </w:rPr>
        <w:footnoteReference w:id="94"/>
      </w:r>
      <w:r w:rsidR="0035678A" w:rsidRPr="003E0C2E">
        <w:rPr>
          <w:rStyle w:val="fnRef"/>
          <w:spacing w:val="-2"/>
        </w:rPr>
        <w:t>)</w:t>
      </w:r>
      <w:r w:rsidR="0072693E" w:rsidRPr="003E0C2E">
        <w:rPr>
          <w:spacing w:val="-2"/>
        </w:rPr>
        <w:t xml:space="preserve"> had </w:t>
      </w:r>
      <w:r w:rsidR="00CB7132" w:rsidRPr="003E0C2E">
        <w:rPr>
          <w:spacing w:val="-2"/>
        </w:rPr>
        <w:t>passed 96</w:t>
      </w:r>
      <w:r w:rsidR="00347003" w:rsidRPr="003E0C2E">
        <w:rPr>
          <w:spacing w:val="-2"/>
        </w:rPr>
        <w:t xml:space="preserve"> </w:t>
      </w:r>
      <w:r w:rsidR="00CB7132" w:rsidRPr="003E0C2E">
        <w:rPr>
          <w:spacing w:val="-2"/>
        </w:rPr>
        <w:t>000</w:t>
      </w:r>
      <w:r w:rsidR="0072693E" w:rsidRPr="003E0C2E">
        <w:rPr>
          <w:spacing w:val="-2"/>
        </w:rPr>
        <w:t>, showing the</w:t>
      </w:r>
      <w:r w:rsidR="0072693E" w:rsidRPr="003E0C2E" w:rsidDel="00603676">
        <w:rPr>
          <w:spacing w:val="-2"/>
        </w:rPr>
        <w:t xml:space="preserve"> </w:t>
      </w:r>
      <w:r w:rsidR="0072693E" w:rsidRPr="003E0C2E">
        <w:rPr>
          <w:spacing w:val="-2"/>
        </w:rPr>
        <w:t>high demand that will likely help fill all the opportunities offered by the programme.</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136" w:type="dxa"/>
          <w:left w:w="136" w:type="dxa"/>
          <w:bottom w:w="136" w:type="dxa"/>
          <w:right w:w="136" w:type="dxa"/>
        </w:tblCellMar>
        <w:tblLook w:val="04A0" w:firstRow="1" w:lastRow="0" w:firstColumn="1" w:lastColumn="0" w:noHBand="0" w:noVBand="1"/>
      </w:tblPr>
      <w:tblGrid>
        <w:gridCol w:w="6195"/>
        <w:gridCol w:w="3147"/>
      </w:tblGrid>
      <w:tr w:rsidR="006A6A69" w:rsidRPr="00A04E56" w14:paraId="42AAF3A5" w14:textId="77777777" w:rsidTr="00813603">
        <w:tc>
          <w:tcPr>
            <w:tcW w:w="4644" w:type="dxa"/>
          </w:tcPr>
          <w:p w14:paraId="4F4AF4AA" w14:textId="77FDFBC6" w:rsidR="006A6A69" w:rsidRPr="00A04E56" w:rsidRDefault="00C50E5C" w:rsidP="00C61F7F">
            <w:pPr>
              <w:pStyle w:val="Source-Table-Chart-PhotoCaption"/>
            </w:pPr>
            <w:r w:rsidRPr="00107DA0">
              <w:rPr>
                <w:rStyle w:val="italics"/>
              </w:rPr>
              <w:t>Photo:</w:t>
            </w:r>
            <w:r w:rsidRPr="00A04E56">
              <w:t xml:space="preserve"> © European </w:t>
            </w:r>
            <w:r w:rsidR="00C61F7F">
              <w:t>Union</w:t>
            </w:r>
            <w:r w:rsidRPr="00A04E56">
              <w:rPr>
                <w:noProof/>
                <w:lang w:eastAsia="en-GB"/>
              </w:rPr>
              <w:t xml:space="preserve"> </w:t>
            </w:r>
            <w:r w:rsidR="00610D6E">
              <w:rPr>
                <w:noProof/>
                <w:lang w:val="fr-BE"/>
              </w:rPr>
              <w:drawing>
                <wp:anchor distT="0" distB="0" distL="114300" distR="114300" simplePos="0" relativeHeight="251763712" behindDoc="0" locked="0" layoutInCell="1" allowOverlap="1" wp14:anchorId="37395AEB" wp14:editId="750D9314">
                  <wp:simplePos x="900430" y="1917065"/>
                  <wp:positionH relativeFrom="margin">
                    <wp:align>left</wp:align>
                  </wp:positionH>
                  <wp:positionV relativeFrom="margin">
                    <wp:align>top</wp:align>
                  </wp:positionV>
                  <wp:extent cx="3761105" cy="210312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Gupta-scaled down image.jpg"/>
                          <pic:cNvPicPr/>
                        </pic:nvPicPr>
                        <pic:blipFill>
                          <a:blip r:embed="rId125" cstate="email">
                            <a:extLst>
                              <a:ext uri="{28A0092B-C50C-407E-A947-70E740481C1C}">
                                <a14:useLocalDpi xmlns:a14="http://schemas.microsoft.com/office/drawing/2010/main"/>
                              </a:ext>
                            </a:extLst>
                          </a:blip>
                          <a:stretch>
                            <a:fillRect/>
                          </a:stretch>
                        </pic:blipFill>
                        <pic:spPr>
                          <a:xfrm>
                            <a:off x="0" y="0"/>
                            <a:ext cx="3761105" cy="2103120"/>
                          </a:xfrm>
                          <a:prstGeom prst="rect">
                            <a:avLst/>
                          </a:prstGeom>
                        </pic:spPr>
                      </pic:pic>
                    </a:graphicData>
                  </a:graphic>
                </wp:anchor>
              </w:drawing>
            </w:r>
          </w:p>
        </w:tc>
        <w:tc>
          <w:tcPr>
            <w:tcW w:w="4644" w:type="dxa"/>
          </w:tcPr>
          <w:p w14:paraId="51FBC46A" w14:textId="73C7A3FA" w:rsidR="006A6A69" w:rsidRPr="00A04E56" w:rsidRDefault="006A6A69" w:rsidP="00C257BF">
            <w:pPr>
              <w:pStyle w:val="BOX3builtastableBluedashedborderBluetext"/>
            </w:pPr>
            <w:r w:rsidRPr="00A04E56">
              <w:t>Géraldine Maitreyi Gupta is one of tens of thousands of young Europeans to have volunteered for the European Solidarity Corps. The corps received the ‘Innovation in Politics’ Prize for ‘Civilisation’, awarded by the Innovation in Politics Institute in Vienna, Austria, on 17</w:t>
            </w:r>
            <w:r w:rsidRPr="00A04E56">
              <w:rPr>
                <w:rFonts w:ascii="Calibri" w:hAnsi="Calibri" w:cs="Calibri"/>
              </w:rPr>
              <w:t> </w:t>
            </w:r>
            <w:r w:rsidRPr="00A04E56">
              <w:t>November</w:t>
            </w:r>
            <w:r w:rsidRPr="00A04E56">
              <w:rPr>
                <w:rFonts w:ascii="Calibri" w:hAnsi="Calibri" w:cs="Calibri"/>
              </w:rPr>
              <w:t> </w:t>
            </w:r>
            <w:r w:rsidRPr="00A04E56">
              <w:t>2018.</w:t>
            </w:r>
          </w:p>
        </w:tc>
      </w:tr>
    </w:tbl>
    <w:p w14:paraId="47FD78B3" w14:textId="4C6811D6" w:rsidR="0072693E" w:rsidRPr="00A04E56" w:rsidRDefault="00C63DC4" w:rsidP="00AA0340">
      <w:pPr>
        <w:pStyle w:val="Title3NumberedReport"/>
      </w:pPr>
      <w:r w:rsidRPr="00A04E56">
        <w:t>Assessment and evaluation</w:t>
      </w:r>
    </w:p>
    <w:p w14:paraId="0A8A1808" w14:textId="0D3256EC" w:rsidR="0072693E" w:rsidRPr="00A04E56" w:rsidRDefault="0072693E">
      <w:pPr>
        <w:pStyle w:val="BodyText1spaceafter"/>
      </w:pPr>
      <w:r w:rsidRPr="00A04E56">
        <w:t xml:space="preserve">The </w:t>
      </w:r>
      <w:r w:rsidRPr="00A04E56">
        <w:rPr>
          <w:i/>
        </w:rPr>
        <w:t>ex</w:t>
      </w:r>
      <w:r w:rsidR="009A0795" w:rsidRPr="00A04E56">
        <w:rPr>
          <w:i/>
        </w:rPr>
        <w:t xml:space="preserve"> </w:t>
      </w:r>
      <w:r w:rsidRPr="00A04E56">
        <w:rPr>
          <w:i/>
        </w:rPr>
        <w:t>ante</w:t>
      </w:r>
      <w:r w:rsidRPr="00A04E56">
        <w:t xml:space="preserve"> evaluation</w:t>
      </w:r>
      <w:r w:rsidR="00BB1439" w:rsidRPr="00A04E56">
        <w:t xml:space="preserve"> </w:t>
      </w:r>
      <w:r w:rsidR="008056EC" w:rsidRPr="00A04E56">
        <w:t>of the corps</w:t>
      </w:r>
      <w:r w:rsidR="000D3777" w:rsidRPr="00A04E56">
        <w:rPr>
          <w:rStyle w:val="fnRef"/>
          <w:rFonts w:ascii="Arial" w:hAnsi="Arial" w:cs="Arial"/>
        </w:rPr>
        <w:t> </w:t>
      </w:r>
      <w:r w:rsidR="0035678A" w:rsidRPr="00A04E56">
        <w:rPr>
          <w:rStyle w:val="fnRef"/>
        </w:rPr>
        <w:t>(</w:t>
      </w:r>
      <w:r w:rsidR="0035678A" w:rsidRPr="00A04E56">
        <w:rPr>
          <w:rStyle w:val="fnRefNo"/>
        </w:rPr>
        <w:footnoteReference w:id="95"/>
      </w:r>
      <w:r w:rsidR="0035678A" w:rsidRPr="00A04E56">
        <w:rPr>
          <w:rStyle w:val="fnRef"/>
        </w:rPr>
        <w:t>)</w:t>
      </w:r>
      <w:r w:rsidRPr="00A04E56">
        <w:t xml:space="preserve"> indicated a need for the EU to address these challenges under an extended European Solidarity Corps. In particular, given the initial confusion among potential participants about the role of the </w:t>
      </w:r>
      <w:r w:rsidR="008056EC" w:rsidRPr="00A04E56">
        <w:t>corps</w:t>
      </w:r>
      <w:r w:rsidRPr="00A04E56">
        <w:t xml:space="preserve">, concerning the underlying programmes and the differences from and </w:t>
      </w:r>
      <w:r w:rsidRPr="00A04E56">
        <w:rPr>
          <w:noProof w:val="0"/>
        </w:rPr>
        <w:t>co</w:t>
      </w:r>
      <w:r w:rsidR="00276B51" w:rsidRPr="00A04E56">
        <w:rPr>
          <w:noProof w:val="0"/>
        </w:rPr>
        <w:t>nsistenc</w:t>
      </w:r>
      <w:r w:rsidR="00410E08" w:rsidRPr="00A04E56">
        <w:rPr>
          <w:noProof w:val="0"/>
        </w:rPr>
        <w:t>y</w:t>
      </w:r>
      <w:r w:rsidRPr="00A04E56">
        <w:t xml:space="preserve"> with the EU </w:t>
      </w:r>
      <w:r w:rsidR="008056EC" w:rsidRPr="00A04E56">
        <w:t>aid volunteers</w:t>
      </w:r>
      <w:r w:rsidRPr="00A04E56">
        <w:t xml:space="preserve"> initiative. </w:t>
      </w:r>
    </w:p>
    <w:p w14:paraId="6EC8ACC4" w14:textId="467E74B1" w:rsidR="0072693E" w:rsidRPr="00A04E56" w:rsidRDefault="0072693E">
      <w:pPr>
        <w:pStyle w:val="BodyText1spaceafter"/>
      </w:pPr>
      <w:r w:rsidRPr="00A04E56">
        <w:t>For the next EU budget 2021-2027, the Commission presented its proposal for a new programme for the European Solidarity Corps</w:t>
      </w:r>
      <w:r w:rsidR="00633D4D" w:rsidRPr="00A04E56">
        <w:rPr>
          <w:rStyle w:val="fnRef"/>
          <w:rFonts w:ascii="Arial" w:hAnsi="Arial" w:cs="Arial"/>
        </w:rPr>
        <w:t> </w:t>
      </w:r>
      <w:r w:rsidR="0035678A" w:rsidRPr="00A04E56">
        <w:rPr>
          <w:rStyle w:val="fnRef"/>
        </w:rPr>
        <w:t>(</w:t>
      </w:r>
      <w:r w:rsidR="0035678A" w:rsidRPr="00A04E56">
        <w:rPr>
          <w:rStyle w:val="fnRefNo"/>
        </w:rPr>
        <w:footnoteReference w:id="96"/>
      </w:r>
      <w:r w:rsidR="0035678A" w:rsidRPr="00A04E56">
        <w:rPr>
          <w:rStyle w:val="fnRef"/>
        </w:rPr>
        <w:t>)</w:t>
      </w:r>
      <w:r w:rsidRPr="00A04E56">
        <w:t xml:space="preserve">, aiming to broaden the opportunities it offers. The new programme will create </w:t>
      </w:r>
      <w:r w:rsidRPr="00A04E56">
        <w:rPr>
          <w:rStyle w:val="BOLDLIGHTBLUEReport"/>
          <w:rFonts w:eastAsia="Calibri"/>
        </w:rPr>
        <w:t>at least 350</w:t>
      </w:r>
      <w:r w:rsidRPr="00A04E56" w:rsidDel="006221A4">
        <w:rPr>
          <w:rStyle w:val="BOLDLIGHTBLUEReport"/>
          <w:rFonts w:ascii="Arial" w:eastAsia="Calibri" w:hAnsi="Arial" w:cs="Arial"/>
        </w:rPr>
        <w:t> </w:t>
      </w:r>
      <w:r w:rsidRPr="00A04E56" w:rsidDel="006221A4">
        <w:rPr>
          <w:rStyle w:val="BOLDLIGHTBLUEReport"/>
          <w:rFonts w:eastAsia="Calibri"/>
        </w:rPr>
        <w:t>000</w:t>
      </w:r>
      <w:r w:rsidRPr="00A04E56">
        <w:rPr>
          <w:rStyle w:val="BOLDLIGHTBLUEReport"/>
          <w:rFonts w:eastAsia="Calibri"/>
        </w:rPr>
        <w:t xml:space="preserve"> opportunities for young people to support communities in need between 2021 and 2027 through volunteering, traineeships and job placements</w:t>
      </w:r>
      <w:r w:rsidRPr="00A04E56">
        <w:t xml:space="preserve">. </w:t>
      </w:r>
      <w:r w:rsidR="006E5112" w:rsidRPr="00A04E56">
        <w:t>That</w:t>
      </w:r>
      <w:r w:rsidR="00C6157D" w:rsidRPr="00A04E56">
        <w:t xml:space="preserve"> is</w:t>
      </w:r>
      <w:r w:rsidR="006E5112" w:rsidRPr="00A04E56">
        <w:t xml:space="preserve"> why the Commission proposed to reserve EUR 1.3 billion over seven years under the next long-term EU budget.</w:t>
      </w:r>
    </w:p>
    <w:p w14:paraId="2398CE72" w14:textId="7C4F96F2" w:rsidR="0072693E" w:rsidRPr="003E0C2E" w:rsidRDefault="0072693E">
      <w:pPr>
        <w:pStyle w:val="BodyText1spaceafter"/>
        <w:rPr>
          <w:spacing w:val="-2"/>
        </w:rPr>
      </w:pPr>
      <w:r w:rsidRPr="003E0C2E">
        <w:rPr>
          <w:spacing w:val="-2"/>
        </w:rPr>
        <w:t xml:space="preserve">The proposal builds on the achievements of the </w:t>
      </w:r>
      <w:r w:rsidR="004C0C7E" w:rsidRPr="003E0C2E">
        <w:rPr>
          <w:spacing w:val="-2"/>
        </w:rPr>
        <w:t>corps</w:t>
      </w:r>
      <w:r w:rsidRPr="003E0C2E">
        <w:rPr>
          <w:spacing w:val="-2"/>
        </w:rPr>
        <w:t xml:space="preserve"> in </w:t>
      </w:r>
      <w:r w:rsidRPr="003E0C2E">
        <w:rPr>
          <w:rStyle w:val="BodyText1Char"/>
          <w:spacing w:val="-2"/>
          <w:lang w:val="en-GB"/>
        </w:rPr>
        <w:t>its first years</w:t>
      </w:r>
      <w:r w:rsidRPr="003E0C2E">
        <w:rPr>
          <w:spacing w:val="-2"/>
        </w:rPr>
        <w:t xml:space="preserve"> of existence and further consolidates efforts to have </w:t>
      </w:r>
      <w:r w:rsidRPr="003E0C2E">
        <w:rPr>
          <w:rStyle w:val="BodyText1Char"/>
          <w:spacing w:val="-2"/>
          <w:lang w:val="en-GB"/>
        </w:rPr>
        <w:t>one single</w:t>
      </w:r>
      <w:r w:rsidR="002B5F47" w:rsidRPr="003E0C2E">
        <w:rPr>
          <w:rStyle w:val="BodyText1Char"/>
          <w:spacing w:val="-2"/>
          <w:lang w:val="en-GB"/>
        </w:rPr>
        <w:t>-</w:t>
      </w:r>
      <w:r w:rsidRPr="003E0C2E">
        <w:rPr>
          <w:rStyle w:val="BodyText1Char"/>
          <w:spacing w:val="-2"/>
          <w:lang w:val="en-GB"/>
        </w:rPr>
        <w:t xml:space="preserve">entry point </w:t>
      </w:r>
      <w:r w:rsidRPr="003E0C2E">
        <w:rPr>
          <w:spacing w:val="-2"/>
        </w:rPr>
        <w:t xml:space="preserve">for young people ready to engage in solidarity. In particular, the </w:t>
      </w:r>
      <w:r w:rsidR="004C0C7E" w:rsidRPr="003E0C2E">
        <w:rPr>
          <w:spacing w:val="-2"/>
        </w:rPr>
        <w:t>corps</w:t>
      </w:r>
      <w:r w:rsidRPr="003E0C2E">
        <w:rPr>
          <w:spacing w:val="-2"/>
        </w:rPr>
        <w:t xml:space="preserve"> will also include volunteering activities in support of </w:t>
      </w:r>
      <w:r w:rsidRPr="003E0C2E">
        <w:rPr>
          <w:rStyle w:val="BodyText1Char"/>
          <w:spacing w:val="-2"/>
          <w:lang w:val="en-GB"/>
        </w:rPr>
        <w:t>humanitarian</w:t>
      </w:r>
      <w:r w:rsidR="004C0C7E" w:rsidRPr="003E0C2E">
        <w:rPr>
          <w:rStyle w:val="BodyText1Char"/>
          <w:spacing w:val="-2"/>
          <w:lang w:val="en-GB"/>
        </w:rPr>
        <w:t>-</w:t>
      </w:r>
      <w:r w:rsidRPr="003E0C2E">
        <w:rPr>
          <w:rStyle w:val="BodyText1Char"/>
          <w:spacing w:val="-2"/>
          <w:lang w:val="en-GB"/>
        </w:rPr>
        <w:t xml:space="preserve">aid </w:t>
      </w:r>
      <w:r w:rsidRPr="003E0C2E">
        <w:rPr>
          <w:spacing w:val="-2"/>
        </w:rPr>
        <w:t xml:space="preserve">activities and </w:t>
      </w:r>
      <w:r w:rsidRPr="003E0C2E">
        <w:rPr>
          <w:rStyle w:val="BodyText1Char"/>
          <w:spacing w:val="-2"/>
          <w:lang w:val="en-GB"/>
        </w:rPr>
        <w:t>operations in non-EU countries</w:t>
      </w:r>
      <w:r w:rsidRPr="003E0C2E">
        <w:rPr>
          <w:spacing w:val="-2"/>
        </w:rPr>
        <w:t xml:space="preserve">. This well-established EU scheme for humanitarian aid has so far operated under the name </w:t>
      </w:r>
      <w:r w:rsidR="004F051F" w:rsidRPr="003E0C2E">
        <w:rPr>
          <w:spacing w:val="-2"/>
        </w:rPr>
        <w:t>‘</w:t>
      </w:r>
      <w:r w:rsidRPr="003E0C2E">
        <w:rPr>
          <w:spacing w:val="-2"/>
        </w:rPr>
        <w:t xml:space="preserve">EU </w:t>
      </w:r>
      <w:r w:rsidR="004C0C7E" w:rsidRPr="003E0C2E">
        <w:rPr>
          <w:spacing w:val="-2"/>
        </w:rPr>
        <w:t>aid volunteers</w:t>
      </w:r>
      <w:r w:rsidR="004F051F" w:rsidRPr="003E0C2E">
        <w:rPr>
          <w:spacing w:val="-2"/>
        </w:rPr>
        <w:t>’</w:t>
      </w:r>
      <w:r w:rsidRPr="003E0C2E">
        <w:rPr>
          <w:spacing w:val="-2"/>
        </w:rPr>
        <w:t>.</w:t>
      </w:r>
    </w:p>
    <w:p w14:paraId="5FF2BFB1" w14:textId="5653AB44" w:rsidR="008F07D1" w:rsidRPr="00A04E56" w:rsidRDefault="008F07D1" w:rsidP="008F07D1">
      <w:pPr>
        <w:pStyle w:val="Title2Report"/>
      </w:pPr>
      <w:bookmarkStart w:id="63" w:name="_Toc12021001"/>
      <w:r w:rsidRPr="00A04E56">
        <w:t>Employment and social innovation (EaSI)</w:t>
      </w:r>
      <w:bookmarkEnd w:id="63"/>
    </w:p>
    <w:p w14:paraId="7EB0DBB6" w14:textId="58DCD6A9" w:rsidR="008F07D1" w:rsidRPr="00A04E56" w:rsidRDefault="008F07D1" w:rsidP="00AA0340">
      <w:pPr>
        <w:pStyle w:val="Title3NumberedReport"/>
      </w:pPr>
      <w:r w:rsidRPr="00A04E56">
        <w:t xml:space="preserve">Programme objectives </w:t>
      </w:r>
    </w:p>
    <w:p w14:paraId="61E9E354" w14:textId="38787312" w:rsidR="008F07D1" w:rsidRPr="00A04E56" w:rsidRDefault="008F07D1" w:rsidP="008F07D1">
      <w:pPr>
        <w:pStyle w:val="BodyText1spaceafter"/>
      </w:pPr>
      <w:r w:rsidRPr="00A04E56">
        <w:t>The employment and social innovation programme promotes</w:t>
      </w:r>
      <w:r w:rsidRPr="00A04E56" w:rsidDel="0019228F">
        <w:t xml:space="preserve"> </w:t>
      </w:r>
      <w:r w:rsidRPr="00A04E56">
        <w:t>high</w:t>
      </w:r>
      <w:r w:rsidRPr="00A04E56">
        <w:rPr>
          <w:noProof w:val="0"/>
        </w:rPr>
        <w:t>-quality</w:t>
      </w:r>
      <w:r w:rsidRPr="00A04E56" w:rsidDel="0019228F">
        <w:t xml:space="preserve"> </w:t>
      </w:r>
      <w:r w:rsidRPr="00A04E56">
        <w:t xml:space="preserve">and sustainable employment, guaranteeing </w:t>
      </w:r>
      <w:r w:rsidR="00D4232D" w:rsidRPr="00A04E56">
        <w:rPr>
          <w:noProof w:val="0"/>
        </w:rPr>
        <w:t>appropriate</w:t>
      </w:r>
      <w:r w:rsidRPr="00A04E56">
        <w:t xml:space="preserve"> and decent social protection, combating social exclusion and poverty, and improving working conditions. It is built on three axes: support for the modernisation of employment and social policies (</w:t>
      </w:r>
      <w:r w:rsidR="007F1A2E" w:rsidRPr="00A04E56">
        <w:rPr>
          <w:noProof w:val="0"/>
        </w:rPr>
        <w:t>Progress</w:t>
      </w:r>
      <w:r w:rsidRPr="00A04E56">
        <w:t>), job mobility (European employment services: EURES</w:t>
      </w:r>
      <w:r w:rsidRPr="00A04E56">
        <w:rPr>
          <w:noProof w:val="0"/>
        </w:rPr>
        <w:t>),</w:t>
      </w:r>
      <w:r w:rsidRPr="00A04E56">
        <w:t xml:space="preserve"> and access to micro</w:t>
      </w:r>
      <w:r w:rsidRPr="00A04E56">
        <w:rPr>
          <w:noProof w:val="0"/>
        </w:rPr>
        <w:t>finance</w:t>
      </w:r>
      <w:r w:rsidRPr="00A04E56">
        <w:t xml:space="preserve"> and social entrepreneurship.</w:t>
      </w:r>
    </w:p>
    <w:p w14:paraId="7BDD2F9D" w14:textId="59DBE5C6" w:rsidR="00E670EB" w:rsidRDefault="00E670EB" w:rsidP="00E670EB">
      <w:pPr>
        <w:pStyle w:val="BodyText1"/>
        <w:rPr>
          <w:lang w:val="en-GB"/>
        </w:rPr>
      </w:pPr>
      <w:r>
        <w:rPr>
          <w:lang w:val="en-GB"/>
        </w:rPr>
        <w:t>The programme aims to achieve the following specific objectives:</w:t>
      </w:r>
    </w:p>
    <w:p w14:paraId="640ABF3C" w14:textId="77777777" w:rsidR="00E670EB" w:rsidRPr="00E670EB" w:rsidRDefault="00E670EB" w:rsidP="00E670EB">
      <w:pPr>
        <w:pStyle w:val="BodyText"/>
        <w:rPr>
          <w:lang w:eastAsia="fr-BE"/>
        </w:rPr>
      </w:pPr>
    </w:p>
    <w:p w14:paraId="7DB78932" w14:textId="61DA7499" w:rsidR="00AB27FF" w:rsidRPr="00A04E56" w:rsidRDefault="00AB27FF" w:rsidP="00AB27FF">
      <w:pPr>
        <w:rPr>
          <w:rFonts w:asciiTheme="minorHAnsi" w:eastAsia="Calibri" w:hAnsiTheme="minorHAnsi" w:cstheme="minorHAnsi"/>
        </w:rPr>
      </w:pPr>
      <w:r w:rsidRPr="00A04E56">
        <w:rPr>
          <w:rFonts w:asciiTheme="minorHAnsi" w:eastAsia="Calibri" w:hAnsiTheme="minorHAnsi" w:cstheme="minorHAnsi"/>
          <w:noProof/>
          <w:lang w:val="fr-BE" w:eastAsia="fr-BE"/>
        </w:rPr>
        <w:drawing>
          <wp:inline distT="0" distB="0" distL="0" distR="0" wp14:anchorId="29C4DF76" wp14:editId="24D05157">
            <wp:extent cx="5581650" cy="2524125"/>
            <wp:effectExtent l="38100" t="0" r="57150" b="952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051748FE" w14:textId="242B028E" w:rsidR="00AB27FF" w:rsidRPr="00A04E56" w:rsidRDefault="00AB27FF" w:rsidP="003A3192">
      <w:pPr>
        <w:keepNext/>
        <w:spacing w:before="240" w:after="240"/>
        <w:rPr>
          <w:rFonts w:asciiTheme="minorHAnsi" w:hAnsiTheme="minorHAnsi" w:cstheme="minorHAnsi"/>
        </w:rPr>
      </w:pPr>
      <w:r w:rsidRPr="00A04E56">
        <w:rPr>
          <w:rFonts w:asciiTheme="minorHAnsi" w:hAnsiTheme="minorHAnsi" w:cstheme="minorHAnsi"/>
        </w:rPr>
        <w:t>In order to contribute to the achievements of:</w:t>
      </w:r>
    </w:p>
    <w:p w14:paraId="6957E0A8" w14:textId="0489F17F" w:rsidR="00AB27FF" w:rsidRPr="00A04E56" w:rsidRDefault="00AB27FF" w:rsidP="003A3192">
      <w:pPr>
        <w:spacing w:after="240"/>
        <w:rPr>
          <w:rFonts w:ascii="Verdana" w:eastAsia="Calibri" w:hAnsi="Verdana"/>
        </w:rPr>
      </w:pPr>
      <w:r w:rsidRPr="00A04E56">
        <w:rPr>
          <w:rFonts w:eastAsia="Calibri"/>
          <w:noProof/>
          <w:lang w:val="fr-BE" w:eastAsia="fr-BE"/>
        </w:rPr>
        <w:drawing>
          <wp:inline distT="0" distB="0" distL="0" distR="0" wp14:anchorId="00BD6AD1" wp14:editId="66CD3FCF">
            <wp:extent cx="5534025" cy="1971675"/>
            <wp:effectExtent l="0" t="0" r="0" b="9525"/>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inline>
        </w:drawing>
      </w:r>
    </w:p>
    <w:p w14:paraId="64C3046D" w14:textId="0E3A398D" w:rsidR="008F07D1" w:rsidRPr="00A04E56" w:rsidRDefault="008C1D39" w:rsidP="00AA0340">
      <w:pPr>
        <w:pStyle w:val="Title3NumberedReport"/>
      </w:pPr>
      <w:r w:rsidRPr="00A04E56">
        <w:t>Implementation and latest achievements</w:t>
      </w:r>
      <w:r w:rsidR="001B647A" w:rsidRPr="00A04E56">
        <w:rPr>
          <w:rFonts w:ascii="Calibri" w:hAnsi="Calibri" w:cs="Calibri"/>
        </w:rPr>
        <w:t> </w:t>
      </w:r>
      <w:r w:rsidR="008F07D1" w:rsidRPr="00A04E56">
        <w:rPr>
          <w:rStyle w:val="fnRef"/>
          <w:b w:val="0"/>
        </w:rPr>
        <w:t>(</w:t>
      </w:r>
      <w:r w:rsidR="008F07D1" w:rsidRPr="00A04E56">
        <w:rPr>
          <w:rStyle w:val="fnRefNo"/>
          <w:b w:val="0"/>
        </w:rPr>
        <w:footnoteReference w:id="97"/>
      </w:r>
      <w:r w:rsidR="008F07D1" w:rsidRPr="00A04E56">
        <w:rPr>
          <w:rStyle w:val="fnRef"/>
          <w:b w:val="0"/>
        </w:rPr>
        <w:t>)</w:t>
      </w:r>
      <w:r w:rsidR="008F07D1" w:rsidRPr="00A04E56">
        <w:t xml:space="preserve"> </w:t>
      </w:r>
    </w:p>
    <w:p w14:paraId="288DAD8E" w14:textId="77F5C72C" w:rsidR="008F07D1" w:rsidRPr="00E02DE2" w:rsidRDefault="008C1D39" w:rsidP="008F07D1">
      <w:pPr>
        <w:pStyle w:val="BodyText1spaceafter"/>
      </w:pPr>
      <w:r w:rsidRPr="00E02DE2">
        <w:rPr>
          <w:i/>
          <w:u w:val="single"/>
        </w:rPr>
        <w:t>In 2018</w:t>
      </w:r>
      <w:r w:rsidR="008F07D1" w:rsidRPr="00E02DE2">
        <w:t>, the programme</w:t>
      </w:r>
      <w:r w:rsidR="008F07D1" w:rsidRPr="00E02DE2" w:rsidDel="00603676">
        <w:t xml:space="preserve"> </w:t>
      </w:r>
      <w:r w:rsidR="008F07D1" w:rsidRPr="00E02DE2">
        <w:t xml:space="preserve">financed 39 projects through seven calls for proposals with a budget of </w:t>
      </w:r>
      <w:r w:rsidR="008F07D1" w:rsidRPr="00E02DE2" w:rsidDel="00543763">
        <w:t>EUR</w:t>
      </w:r>
      <w:r w:rsidR="008F07D1" w:rsidRPr="00E02DE2">
        <w:rPr>
          <w:rFonts w:cs="Calibri"/>
          <w:noProof w:val="0"/>
        </w:rPr>
        <w:t> </w:t>
      </w:r>
      <w:r w:rsidR="001908A0" w:rsidRPr="00E02DE2">
        <w:t xml:space="preserve">33 </w:t>
      </w:r>
      <w:r w:rsidR="008F07D1" w:rsidRPr="00E02DE2" w:rsidDel="009E3512">
        <w:t>million</w:t>
      </w:r>
      <w:r w:rsidR="008F07D1" w:rsidRPr="00E02DE2">
        <w:rPr>
          <w:noProof w:val="0"/>
        </w:rPr>
        <w:t xml:space="preserve">. </w:t>
      </w:r>
      <w:r w:rsidR="008F07D1" w:rsidRPr="00E02DE2">
        <w:t xml:space="preserve">It supported studies and actions on labour mobility, the electronic exchange of social-security information projects, enhanced cooperation between European public employment services and other organisations through the EURES network, and the deployment of targeted mobility schemes (‘Your first EURES job’). In addition, the implementation of the employment and social innovation guarantee continued and, by the end of 2018, 76 microfinance and 25 social entrepreneurship operations had been signed in 29 countries for a total of </w:t>
      </w:r>
      <w:r w:rsidR="008F07D1" w:rsidRPr="00E02DE2" w:rsidDel="00543763">
        <w:t>EUR</w:t>
      </w:r>
      <w:r w:rsidR="008F07D1" w:rsidRPr="00E02DE2">
        <w:rPr>
          <w:rFonts w:cs="Calibri"/>
          <w:noProof w:val="0"/>
        </w:rPr>
        <w:t> </w:t>
      </w:r>
      <w:r w:rsidR="008F07D1" w:rsidRPr="00E02DE2">
        <w:t>17</w:t>
      </w:r>
      <w:r w:rsidR="001908A0" w:rsidRPr="00E02DE2">
        <w:t>9</w:t>
      </w:r>
      <w:r w:rsidR="0071045B" w:rsidRPr="00E02DE2">
        <w:t xml:space="preserve"> </w:t>
      </w:r>
      <w:r w:rsidR="008F07D1" w:rsidRPr="00E02DE2">
        <w:rPr>
          <w:noProof w:val="0"/>
        </w:rPr>
        <w:t>million</w:t>
      </w:r>
      <w:r w:rsidR="008F07D1" w:rsidRPr="00E02DE2">
        <w:t xml:space="preserve">. These operations are expected to unlock more than </w:t>
      </w:r>
      <w:r w:rsidR="008F07D1" w:rsidRPr="00E02DE2" w:rsidDel="00543763">
        <w:t>EUR</w:t>
      </w:r>
      <w:r w:rsidR="008F07D1" w:rsidRPr="00E02DE2">
        <w:rPr>
          <w:rFonts w:cs="Calibri"/>
          <w:noProof w:val="0"/>
        </w:rPr>
        <w:t> </w:t>
      </w:r>
      <w:r w:rsidR="008F07D1" w:rsidRPr="00E02DE2">
        <w:t>2</w:t>
      </w:r>
      <w:r w:rsidR="008F07D1" w:rsidRPr="00E02DE2">
        <w:rPr>
          <w:rFonts w:cs="Calibri"/>
          <w:noProof w:val="0"/>
        </w:rPr>
        <w:t> </w:t>
      </w:r>
      <w:r w:rsidR="008F07D1" w:rsidRPr="00E02DE2">
        <w:rPr>
          <w:noProof w:val="0"/>
        </w:rPr>
        <w:t>billion</w:t>
      </w:r>
      <w:r w:rsidR="008F07D1" w:rsidRPr="00E02DE2">
        <w:t xml:space="preserve"> of financing for micro- and social enterprises. </w:t>
      </w:r>
    </w:p>
    <w:p w14:paraId="5E47DFE6" w14:textId="5187562E" w:rsidR="008F07D1" w:rsidRPr="00A04E56" w:rsidRDefault="008F07D1" w:rsidP="008F07D1">
      <w:pPr>
        <w:pStyle w:val="BodyText1spaceafter"/>
      </w:pPr>
      <w:r w:rsidRPr="00A04E56">
        <w:t xml:space="preserve">(a) Under the </w:t>
      </w:r>
      <w:r w:rsidR="007F1A2E" w:rsidRPr="00A04E56">
        <w:rPr>
          <w:rStyle w:val="BOLDLIGHTBLUEReport"/>
          <w:rFonts w:eastAsia="Calibri"/>
        </w:rPr>
        <w:t>Progress</w:t>
      </w:r>
      <w:r w:rsidRPr="00A04E56">
        <w:rPr>
          <w:rStyle w:val="BOLDLIGHTBLUEReport"/>
          <w:rFonts w:eastAsia="Calibri"/>
        </w:rPr>
        <w:t xml:space="preserve"> axis</w:t>
      </w:r>
      <w:r w:rsidRPr="00A04E56">
        <w:t xml:space="preserve">, there was further development </w:t>
      </w:r>
      <w:r w:rsidR="008C1D39" w:rsidRPr="00A04E56">
        <w:rPr>
          <w:i/>
          <w:u w:val="single"/>
        </w:rPr>
        <w:t>in 2018</w:t>
      </w:r>
      <w:r w:rsidRPr="00A04E56">
        <w:t xml:space="preserve"> of experiences of administrative cooperation to another EU Member State as well as of fostering administrative cooperation between inspection authorities and social partners in the area of posting of workers.</w:t>
      </w:r>
    </w:p>
    <w:p w14:paraId="4377AAF8" w14:textId="77777777" w:rsidR="00F24F27" w:rsidRPr="00A04E56" w:rsidRDefault="00F24F27" w:rsidP="00F24F27">
      <w:pPr>
        <w:pStyle w:val="BOXE3GREEN"/>
        <w:rPr>
          <w:color w:val="65BBC8"/>
        </w:rPr>
      </w:pPr>
      <w:r w:rsidRPr="00A04E56">
        <w:rPr>
          <w:color w:val="65BBC8"/>
        </w:rPr>
        <w:t xml:space="preserve">The </w:t>
      </w:r>
      <w:r w:rsidRPr="00A04E56">
        <w:rPr>
          <w:b/>
          <w:color w:val="65BBC8"/>
        </w:rPr>
        <w:t>‘EU Post lab’ project</w:t>
      </w:r>
      <w:r w:rsidRPr="00A04E56">
        <w:rPr>
          <w:color w:val="65BBC8"/>
        </w:rPr>
        <w:t xml:space="preserve"> focused on the construction sectors of Austria, Belgium, Bulgaria, Germany, Italy, Poland, Portugal, Romania, Spain and Turkey. The project identified how cooperation between inspection authorities and social partners can produce relevant data and information, which can be properly registered and shared at national and transnational level with a view to reducing the administrative burden on employers while improving the protection of workers’ rights. </w:t>
      </w:r>
    </w:p>
    <w:p w14:paraId="7F92BAD8" w14:textId="77777777" w:rsidR="007F1A2E" w:rsidRPr="00A04E56" w:rsidRDefault="007F1A2E" w:rsidP="001B647A">
      <w:pPr>
        <w:pStyle w:val="BodyText1spacebeforeandafter"/>
        <w:rPr>
          <w:color w:val="0070C0"/>
        </w:rPr>
      </w:pPr>
      <w:r w:rsidRPr="00A04E56">
        <w:t>Under social innovation, the support focused on access to social protection, but also innovative work-life balance strategies to facilitate reconciliation of professional and caring responsibilities.</w:t>
      </w:r>
    </w:p>
    <w:p w14:paraId="407BDF14" w14:textId="2B7D5C2B" w:rsidR="00AB27FF" w:rsidRPr="00A04E56" w:rsidRDefault="008F07D1" w:rsidP="00EB36DB">
      <w:pPr>
        <w:pStyle w:val="BodyText1spaceafter"/>
        <w:spacing w:after="480"/>
      </w:pPr>
      <w:r w:rsidRPr="00A04E56">
        <w:t xml:space="preserve">(b) Under the </w:t>
      </w:r>
      <w:r w:rsidRPr="00A04E56">
        <w:rPr>
          <w:rStyle w:val="BOLDLIGHTBLUEReport"/>
          <w:rFonts w:eastAsia="Calibri"/>
        </w:rPr>
        <w:t>EURES axis</w:t>
      </w:r>
      <w:r w:rsidRPr="00A04E56">
        <w:t>, due to the improved labour</w:t>
      </w:r>
      <w:r w:rsidR="002B5F47" w:rsidRPr="00A04E56">
        <w:t>-</w:t>
      </w:r>
      <w:r w:rsidRPr="00A04E56">
        <w:t>market context in Member States, the use of the EURES job mobility portal has decreased since 2017 but still remains important (0.9</w:t>
      </w:r>
      <w:r w:rsidRPr="00A04E56">
        <w:rPr>
          <w:rFonts w:ascii="Calibri" w:hAnsi="Calibri" w:cs="Calibri"/>
          <w:noProof w:val="0"/>
        </w:rPr>
        <w:t> </w:t>
      </w:r>
      <w:r w:rsidRPr="00A04E56">
        <w:rPr>
          <w:noProof w:val="0"/>
        </w:rPr>
        <w:t>million</w:t>
      </w:r>
      <w:r w:rsidRPr="00A04E56">
        <w:t xml:space="preserve"> visits every month</w:t>
      </w:r>
      <w:r w:rsidR="007F1A2E" w:rsidRPr="00A04E56">
        <w:t xml:space="preserve"> </w:t>
      </w:r>
      <w:r w:rsidR="008C1D39" w:rsidRPr="00A04E56">
        <w:rPr>
          <w:i/>
          <w:u w:val="single"/>
        </w:rPr>
        <w:t>in 2018</w:t>
      </w:r>
      <w:r w:rsidRPr="00A04E56">
        <w:t xml:space="preserve">). </w:t>
      </w:r>
      <w:r w:rsidR="008C1D39" w:rsidRPr="00A04E56">
        <w:rPr>
          <w:i/>
          <w:u w:val="single"/>
        </w:rPr>
        <w:t>In 2017</w:t>
      </w:r>
      <w:r w:rsidRPr="00A04E56">
        <w:t xml:space="preserve">, there were </w:t>
      </w:r>
      <w:r w:rsidR="007F1A2E" w:rsidRPr="00A04E56">
        <w:t>8 512</w:t>
      </w:r>
      <w:r w:rsidRPr="00A04E56">
        <w:t xml:space="preserve"> job placements following consultations with jobseekers as a result of the </w:t>
      </w:r>
      <w:r w:rsidRPr="00A04E56">
        <w:rPr>
          <w:noProof w:val="0"/>
        </w:rPr>
        <w:t>preparatory action ‘</w:t>
      </w:r>
      <w:r w:rsidRPr="00A04E56">
        <w:t xml:space="preserve">Your first EURES job’ and </w:t>
      </w:r>
      <w:r w:rsidRPr="00A04E56">
        <w:rPr>
          <w:noProof w:val="0"/>
        </w:rPr>
        <w:t xml:space="preserve">targeted mobility schemes </w:t>
      </w:r>
      <w:r w:rsidRPr="00A04E56">
        <w:t>(and an additional 1</w:t>
      </w:r>
      <w:r w:rsidRPr="00A04E56">
        <w:rPr>
          <w:rFonts w:ascii="Calibri" w:hAnsi="Calibri" w:cs="Calibri"/>
        </w:rPr>
        <w:t> </w:t>
      </w:r>
      <w:r w:rsidRPr="00A04E56">
        <w:t xml:space="preserve">204 placements in the first </w:t>
      </w:r>
      <w:r w:rsidRPr="00A04E56">
        <w:rPr>
          <w:noProof w:val="0"/>
        </w:rPr>
        <w:t>6</w:t>
      </w:r>
      <w:r w:rsidRPr="00A04E56">
        <w:rPr>
          <w:rFonts w:ascii="Calibri" w:hAnsi="Calibri" w:cs="Calibri"/>
          <w:noProof w:val="0"/>
        </w:rPr>
        <w:t> </w:t>
      </w:r>
      <w:r w:rsidRPr="00A04E56">
        <w:t xml:space="preserve">months of 2018). </w:t>
      </w:r>
      <w:r w:rsidR="007F1A2E" w:rsidRPr="00A04E56">
        <w:t xml:space="preserve">According to the latest data provided by the EU </w:t>
      </w:r>
      <w:r w:rsidR="00835302" w:rsidRPr="00A04E56">
        <w:t>single market</w:t>
      </w:r>
      <w:r w:rsidR="007F1A2E" w:rsidRPr="00A04E56">
        <w:t xml:space="preserve"> </w:t>
      </w:r>
      <w:r w:rsidR="00835302" w:rsidRPr="00A04E56">
        <w:t>scorebo</w:t>
      </w:r>
      <w:r w:rsidR="007F1A2E" w:rsidRPr="00A04E56">
        <w:t xml:space="preserve">ard, on average, the amount of national vacancies shared on EURES </w:t>
      </w:r>
      <w:r w:rsidR="008C1D39" w:rsidRPr="00277538">
        <w:t>in 2017</w:t>
      </w:r>
      <w:r w:rsidR="007F1A2E" w:rsidRPr="00A04E56">
        <w:t xml:space="preserve"> was 59%. </w:t>
      </w:r>
    </w:p>
    <w:p w14:paraId="5545865B" w14:textId="50CAE633" w:rsidR="00AB27FF" w:rsidRPr="00A04E56" w:rsidRDefault="00AB27FF" w:rsidP="00EB36DB">
      <w:pPr>
        <w:pStyle w:val="BOX3Blue"/>
        <w:spacing w:after="480"/>
        <w:rPr>
          <w:b w:val="0"/>
        </w:rPr>
      </w:pPr>
      <w:r w:rsidRPr="00A04E56">
        <w:t xml:space="preserve">‘Your first EURES job’ </w:t>
      </w:r>
      <w:r w:rsidRPr="00A04E56">
        <w:rPr>
          <w:b w:val="0"/>
        </w:rPr>
        <w:t xml:space="preserve">is an EU job mobility scheme helping young people between 18 and 35 to find a job, traineeship or apprenticeship opportunity in another EU country, Norway, Iceland, Lichtenstein or Switzerland and to help employers find qualified workforce. It aims to match young jobseekers with offers </w:t>
      </w:r>
      <w:r w:rsidR="008B2FBD" w:rsidRPr="00A04E56">
        <w:rPr>
          <w:b w:val="0"/>
        </w:rPr>
        <w:t xml:space="preserve">of paid work </w:t>
      </w:r>
      <w:r w:rsidRPr="00A04E56">
        <w:rPr>
          <w:b w:val="0"/>
        </w:rPr>
        <w:t xml:space="preserve">across Europe. </w:t>
      </w:r>
    </w:p>
    <w:tbl>
      <w:tblPr>
        <w:tblStyle w:val="DocumentTable2"/>
        <w:tblW w:w="0" w:type="auto"/>
        <w:tblCellMar>
          <w:top w:w="113" w:type="dxa"/>
          <w:left w:w="0" w:type="dxa"/>
          <w:bottom w:w="113" w:type="dxa"/>
          <w:right w:w="0" w:type="dxa"/>
        </w:tblCellMar>
        <w:tblLook w:val="04A0" w:firstRow="1" w:lastRow="0" w:firstColumn="1" w:lastColumn="0" w:noHBand="0" w:noVBand="1"/>
      </w:tblPr>
      <w:tblGrid>
        <w:gridCol w:w="5537"/>
        <w:gridCol w:w="1259"/>
        <w:gridCol w:w="1339"/>
        <w:gridCol w:w="945"/>
      </w:tblGrid>
      <w:tr w:rsidR="007F1A2E" w:rsidRPr="00A04E56" w14:paraId="00C67752" w14:textId="77777777" w:rsidTr="00107DA0">
        <w:trPr>
          <w:cnfStyle w:val="100000000000" w:firstRow="1" w:lastRow="0" w:firstColumn="0" w:lastColumn="0" w:oddVBand="0" w:evenVBand="0" w:oddHBand="0" w:evenHBand="0" w:firstRowFirstColumn="0" w:firstRowLastColumn="0" w:lastRowFirstColumn="0" w:lastRowLastColumn="0"/>
          <w:trHeight w:val="263"/>
        </w:trPr>
        <w:tc>
          <w:tcPr>
            <w:tcW w:w="5537" w:type="dxa"/>
            <w:tcBorders>
              <w:bottom w:val="single" w:sz="4" w:space="0" w:color="FFFFFF"/>
            </w:tcBorders>
            <w:shd w:val="clear" w:color="auto" w:fill="65BBC8"/>
          </w:tcPr>
          <w:p w14:paraId="063AB8E1" w14:textId="77777777" w:rsidR="007F1A2E" w:rsidRPr="00A04E56" w:rsidRDefault="007F1A2E" w:rsidP="007F1A2E">
            <w:pPr>
              <w:jc w:val="right"/>
              <w:rPr>
                <w:b/>
                <w:szCs w:val="18"/>
              </w:rPr>
            </w:pPr>
          </w:p>
        </w:tc>
        <w:tc>
          <w:tcPr>
            <w:tcW w:w="1259" w:type="dxa"/>
            <w:tcBorders>
              <w:bottom w:val="single" w:sz="4" w:space="0" w:color="FFFFFF"/>
            </w:tcBorders>
            <w:shd w:val="clear" w:color="auto" w:fill="65BBC8"/>
          </w:tcPr>
          <w:p w14:paraId="15D34072" w14:textId="77777777" w:rsidR="007F1A2E" w:rsidRPr="00A04E56" w:rsidRDefault="007F1A2E" w:rsidP="00C257BF">
            <w:pPr>
              <w:jc w:val="center"/>
              <w:rPr>
                <w:b/>
                <w:szCs w:val="18"/>
              </w:rPr>
            </w:pPr>
            <w:r w:rsidRPr="00A04E56">
              <w:rPr>
                <w:b/>
                <w:szCs w:val="18"/>
              </w:rPr>
              <w:t>2017</w:t>
            </w:r>
          </w:p>
        </w:tc>
        <w:tc>
          <w:tcPr>
            <w:tcW w:w="1339" w:type="dxa"/>
            <w:tcBorders>
              <w:bottom w:val="single" w:sz="4" w:space="0" w:color="FFFFFF"/>
            </w:tcBorders>
            <w:shd w:val="clear" w:color="auto" w:fill="65BBC8"/>
          </w:tcPr>
          <w:p w14:paraId="645C226E" w14:textId="77777777" w:rsidR="007F1A2E" w:rsidRPr="00A04E56" w:rsidRDefault="007F1A2E" w:rsidP="00C257BF">
            <w:pPr>
              <w:jc w:val="center"/>
              <w:rPr>
                <w:b/>
                <w:szCs w:val="18"/>
              </w:rPr>
            </w:pPr>
            <w:r w:rsidRPr="00A04E56">
              <w:rPr>
                <w:b/>
                <w:szCs w:val="18"/>
              </w:rPr>
              <w:t>2018</w:t>
            </w:r>
          </w:p>
        </w:tc>
        <w:tc>
          <w:tcPr>
            <w:tcW w:w="945" w:type="dxa"/>
            <w:tcBorders>
              <w:bottom w:val="single" w:sz="4" w:space="0" w:color="FFFFFF"/>
            </w:tcBorders>
            <w:shd w:val="clear" w:color="auto" w:fill="65BBC8"/>
          </w:tcPr>
          <w:p w14:paraId="3DA1BC6D" w14:textId="77777777" w:rsidR="007F1A2E" w:rsidRPr="00A04E56" w:rsidRDefault="007F1A2E" w:rsidP="00292BFF">
            <w:pPr>
              <w:jc w:val="center"/>
              <w:rPr>
                <w:b/>
                <w:szCs w:val="18"/>
              </w:rPr>
            </w:pPr>
            <w:r w:rsidRPr="00A04E56">
              <w:rPr>
                <w:b/>
                <w:szCs w:val="18"/>
              </w:rPr>
              <w:t>Change</w:t>
            </w:r>
          </w:p>
        </w:tc>
      </w:tr>
      <w:tr w:rsidR="007F1A2E" w:rsidRPr="00A04E56" w14:paraId="07FF651D" w14:textId="77777777" w:rsidTr="00107DA0">
        <w:trPr>
          <w:trHeight w:val="243"/>
        </w:trPr>
        <w:tc>
          <w:tcPr>
            <w:tcW w:w="5537" w:type="dxa"/>
            <w:tcBorders>
              <w:bottom w:val="single" w:sz="4" w:space="0" w:color="FFFFFF"/>
            </w:tcBorders>
            <w:shd w:val="clear" w:color="auto" w:fill="E0F1F4"/>
          </w:tcPr>
          <w:p w14:paraId="58DC3079" w14:textId="15687F0A" w:rsidR="007F1A2E" w:rsidRPr="00A04E56" w:rsidRDefault="007F1A2E" w:rsidP="007F1A2E">
            <w:pPr>
              <w:rPr>
                <w:rFonts w:asciiTheme="minorHAnsi" w:hAnsiTheme="minorHAnsi" w:cstheme="minorHAnsi"/>
                <w:szCs w:val="18"/>
              </w:rPr>
            </w:pPr>
            <w:bookmarkStart w:id="64" w:name="_Toc7893757"/>
            <w:r w:rsidRPr="00A04E56">
              <w:rPr>
                <w:rFonts w:asciiTheme="minorHAnsi" w:hAnsiTheme="minorHAnsi" w:cstheme="minorHAnsi"/>
              </w:rPr>
              <w:t>Number of job</w:t>
            </w:r>
            <w:r w:rsidR="003B6127" w:rsidRPr="00A04E56">
              <w:rPr>
                <w:rFonts w:asciiTheme="minorHAnsi" w:hAnsiTheme="minorHAnsi" w:cstheme="minorHAnsi"/>
              </w:rPr>
              <w:t>seekers</w:t>
            </w:r>
            <w:r w:rsidRPr="00A04E56">
              <w:rPr>
                <w:rFonts w:asciiTheme="minorHAnsi" w:hAnsiTheme="minorHAnsi" w:cstheme="minorHAnsi"/>
              </w:rPr>
              <w:t xml:space="preserve"> registered on EURES </w:t>
            </w:r>
            <w:bookmarkEnd w:id="64"/>
            <w:r w:rsidRPr="00A04E56">
              <w:rPr>
                <w:rFonts w:asciiTheme="minorHAnsi" w:hAnsiTheme="minorHAnsi" w:cstheme="minorHAnsi"/>
              </w:rPr>
              <w:t>website</w:t>
            </w:r>
          </w:p>
        </w:tc>
        <w:tc>
          <w:tcPr>
            <w:tcW w:w="1259" w:type="dxa"/>
            <w:tcBorders>
              <w:bottom w:val="single" w:sz="4" w:space="0" w:color="FFFFFF"/>
            </w:tcBorders>
            <w:shd w:val="clear" w:color="auto" w:fill="E0F1F4"/>
          </w:tcPr>
          <w:p w14:paraId="123C67D4" w14:textId="77777777" w:rsidR="007F1A2E" w:rsidRPr="00A04E56" w:rsidRDefault="007F1A2E" w:rsidP="00AB27FF">
            <w:pPr>
              <w:jc w:val="center"/>
              <w:rPr>
                <w:szCs w:val="18"/>
              </w:rPr>
            </w:pPr>
            <w:r w:rsidRPr="00A04E56">
              <w:rPr>
                <w:szCs w:val="18"/>
              </w:rPr>
              <w:t>287 850</w:t>
            </w:r>
          </w:p>
        </w:tc>
        <w:tc>
          <w:tcPr>
            <w:tcW w:w="1339" w:type="dxa"/>
            <w:tcBorders>
              <w:bottom w:val="single" w:sz="4" w:space="0" w:color="FFFFFF"/>
            </w:tcBorders>
            <w:shd w:val="clear" w:color="auto" w:fill="E0F1F4"/>
          </w:tcPr>
          <w:p w14:paraId="3267F51A" w14:textId="77777777" w:rsidR="007F1A2E" w:rsidRPr="00A04E56" w:rsidRDefault="007F1A2E" w:rsidP="003D48BB">
            <w:pPr>
              <w:ind w:right="360"/>
              <w:jc w:val="center"/>
              <w:rPr>
                <w:szCs w:val="18"/>
              </w:rPr>
            </w:pPr>
            <w:r w:rsidRPr="00A04E56">
              <w:rPr>
                <w:szCs w:val="18"/>
              </w:rPr>
              <w:t>337 991</w:t>
            </w:r>
          </w:p>
        </w:tc>
        <w:tc>
          <w:tcPr>
            <w:tcW w:w="945" w:type="dxa"/>
            <w:tcBorders>
              <w:bottom w:val="single" w:sz="4" w:space="0" w:color="FFFFFF"/>
            </w:tcBorders>
            <w:shd w:val="clear" w:color="auto" w:fill="E0F1F4"/>
          </w:tcPr>
          <w:p w14:paraId="5932AC0D" w14:textId="77777777" w:rsidR="007F1A2E" w:rsidRPr="00A04E56" w:rsidRDefault="007F1A2E" w:rsidP="0005798F">
            <w:pPr>
              <w:jc w:val="center"/>
              <w:rPr>
                <w:rFonts w:ascii="Arial" w:hAnsi="Arial" w:cs="Arial"/>
                <w:color w:val="2F856F" w:themeColor="accent4" w:themeShade="BF"/>
                <w:szCs w:val="18"/>
                <w:lang w:eastAsia="ja-JP"/>
              </w:rPr>
            </w:pPr>
            <w:r w:rsidRPr="00A04E56">
              <w:rPr>
                <w:rFonts w:ascii="Arial" w:hAnsi="Arial" w:cs="Arial"/>
                <w:color w:val="2F856F" w:themeColor="accent4" w:themeShade="BF"/>
                <w:szCs w:val="18"/>
                <w:lang w:eastAsia="ja-JP"/>
              </w:rPr>
              <w:t>▲ 17%</w:t>
            </w:r>
          </w:p>
        </w:tc>
      </w:tr>
      <w:tr w:rsidR="007F1A2E" w:rsidRPr="00A04E56" w14:paraId="3C9A4974" w14:textId="77777777" w:rsidTr="00107DA0">
        <w:trPr>
          <w:trHeight w:val="243"/>
        </w:trPr>
        <w:tc>
          <w:tcPr>
            <w:tcW w:w="5537" w:type="dxa"/>
            <w:shd w:val="clear" w:color="auto" w:fill="E0F1F4"/>
          </w:tcPr>
          <w:p w14:paraId="6BD6BCB5" w14:textId="77777777" w:rsidR="007F1A2E" w:rsidRPr="00A04E56" w:rsidRDefault="007F1A2E" w:rsidP="007F1A2E">
            <w:pPr>
              <w:rPr>
                <w:szCs w:val="18"/>
              </w:rPr>
            </w:pPr>
            <w:r w:rsidRPr="00A04E56">
              <w:rPr>
                <w:rFonts w:asciiTheme="minorHAnsi" w:hAnsiTheme="minorHAnsi" w:cstheme="minorHAnsi"/>
              </w:rPr>
              <w:t>Number of employers registered on EURES website</w:t>
            </w:r>
          </w:p>
        </w:tc>
        <w:tc>
          <w:tcPr>
            <w:tcW w:w="1259" w:type="dxa"/>
            <w:shd w:val="clear" w:color="auto" w:fill="E0F1F4"/>
          </w:tcPr>
          <w:p w14:paraId="28126E48" w14:textId="77777777" w:rsidR="007F1A2E" w:rsidRPr="00A04E56" w:rsidRDefault="007F1A2E" w:rsidP="00AB27FF">
            <w:pPr>
              <w:jc w:val="center"/>
              <w:rPr>
                <w:szCs w:val="18"/>
              </w:rPr>
            </w:pPr>
            <w:r w:rsidRPr="00A04E56">
              <w:rPr>
                <w:szCs w:val="18"/>
              </w:rPr>
              <w:t>10 726</w:t>
            </w:r>
          </w:p>
        </w:tc>
        <w:tc>
          <w:tcPr>
            <w:tcW w:w="1339" w:type="dxa"/>
            <w:shd w:val="clear" w:color="auto" w:fill="E0F1F4"/>
          </w:tcPr>
          <w:p w14:paraId="661D83D1" w14:textId="77777777" w:rsidR="007F1A2E" w:rsidRPr="00A04E56" w:rsidRDefault="007F1A2E" w:rsidP="003D48BB">
            <w:pPr>
              <w:ind w:right="360"/>
              <w:jc w:val="center"/>
              <w:rPr>
                <w:szCs w:val="18"/>
              </w:rPr>
            </w:pPr>
            <w:r w:rsidRPr="00A04E56">
              <w:rPr>
                <w:szCs w:val="18"/>
              </w:rPr>
              <w:t>13 231</w:t>
            </w:r>
          </w:p>
        </w:tc>
        <w:tc>
          <w:tcPr>
            <w:tcW w:w="945" w:type="dxa"/>
            <w:shd w:val="clear" w:color="auto" w:fill="E0F1F4"/>
          </w:tcPr>
          <w:p w14:paraId="1556C398" w14:textId="77777777" w:rsidR="007F1A2E" w:rsidRPr="00A04E56" w:rsidRDefault="007F1A2E" w:rsidP="0005798F">
            <w:pPr>
              <w:jc w:val="center"/>
              <w:rPr>
                <w:rFonts w:ascii="Arial" w:hAnsi="Arial" w:cs="Arial"/>
                <w:color w:val="2F856F" w:themeColor="accent4" w:themeShade="BF"/>
                <w:szCs w:val="18"/>
                <w:lang w:eastAsia="ja-JP"/>
              </w:rPr>
            </w:pPr>
            <w:r w:rsidRPr="00A04E56">
              <w:rPr>
                <w:rFonts w:ascii="Arial" w:hAnsi="Arial" w:cs="Arial"/>
                <w:color w:val="2F856F" w:themeColor="accent4" w:themeShade="BF"/>
                <w:szCs w:val="18"/>
                <w:lang w:eastAsia="ja-JP"/>
              </w:rPr>
              <w:t>▲ 23%</w:t>
            </w:r>
          </w:p>
        </w:tc>
      </w:tr>
    </w:tbl>
    <w:p w14:paraId="7B2F3828" w14:textId="66D4DB15" w:rsidR="008F07D1" w:rsidRPr="003E0C2E" w:rsidRDefault="007F1A2E" w:rsidP="00EB36DB">
      <w:pPr>
        <w:pStyle w:val="BodyText1spacebeforeandafter"/>
        <w:rPr>
          <w:spacing w:val="-2"/>
        </w:rPr>
      </w:pPr>
      <w:r w:rsidRPr="003E0C2E">
        <w:rPr>
          <w:spacing w:val="-2"/>
        </w:rPr>
        <w:t>(c) Under the microfinance and social entrepreneurship axis, b</w:t>
      </w:r>
      <w:r w:rsidR="008F07D1" w:rsidRPr="003E0C2E">
        <w:rPr>
          <w:spacing w:val="-2"/>
        </w:rPr>
        <w:t xml:space="preserve">y the end of 2018, 101 operations (76 for </w:t>
      </w:r>
      <w:r w:rsidR="008F07D1" w:rsidRPr="003E0C2E">
        <w:rPr>
          <w:noProof w:val="0"/>
          <w:spacing w:val="-2"/>
        </w:rPr>
        <w:t>microfin</w:t>
      </w:r>
      <w:r w:rsidR="008F07D1" w:rsidRPr="003E0C2E">
        <w:rPr>
          <w:spacing w:val="-2"/>
        </w:rPr>
        <w:t xml:space="preserve">ance and 25 for </w:t>
      </w:r>
      <w:r w:rsidR="008F07D1" w:rsidRPr="003E0C2E">
        <w:rPr>
          <w:noProof w:val="0"/>
          <w:spacing w:val="-2"/>
        </w:rPr>
        <w:t>social entrepreneurship</w:t>
      </w:r>
      <w:r w:rsidR="008F07D1" w:rsidRPr="003E0C2E">
        <w:rPr>
          <w:spacing w:val="-2"/>
        </w:rPr>
        <w:t xml:space="preserve">) had been signed in 29 countries for a total amount of </w:t>
      </w:r>
      <w:r w:rsidR="008F07D1" w:rsidRPr="003E0C2E" w:rsidDel="00543763">
        <w:rPr>
          <w:spacing w:val="-2"/>
        </w:rPr>
        <w:t>EUR</w:t>
      </w:r>
      <w:r w:rsidR="008F07D1" w:rsidRPr="003E0C2E">
        <w:rPr>
          <w:rFonts w:ascii="Calibri" w:hAnsi="Calibri" w:cs="Calibri"/>
          <w:noProof w:val="0"/>
          <w:spacing w:val="-2"/>
        </w:rPr>
        <w:t> </w:t>
      </w:r>
      <w:r w:rsidR="008F07D1" w:rsidRPr="003E0C2E">
        <w:rPr>
          <w:spacing w:val="-2"/>
        </w:rPr>
        <w:t>178.6</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w:t>
      </w:r>
      <w:r w:rsidR="008F07D1" w:rsidRPr="003E0C2E">
        <w:rPr>
          <w:noProof w:val="0"/>
          <w:spacing w:val="-2"/>
        </w:rPr>
        <w:t>EUR</w:t>
      </w:r>
      <w:r w:rsidR="008F07D1" w:rsidRPr="003E0C2E">
        <w:rPr>
          <w:rFonts w:ascii="Calibri" w:hAnsi="Calibri" w:cs="Calibri"/>
          <w:noProof w:val="0"/>
          <w:spacing w:val="-2"/>
        </w:rPr>
        <w:t> </w:t>
      </w:r>
      <w:r w:rsidR="008F07D1" w:rsidRPr="003E0C2E">
        <w:rPr>
          <w:spacing w:val="-2"/>
        </w:rPr>
        <w:t>129.2</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for microfinance and </w:t>
      </w:r>
      <w:r w:rsidR="008F07D1" w:rsidRPr="003E0C2E">
        <w:rPr>
          <w:noProof w:val="0"/>
          <w:spacing w:val="-2"/>
        </w:rPr>
        <w:t>EUR</w:t>
      </w:r>
      <w:r w:rsidR="008F07D1" w:rsidRPr="003E0C2E">
        <w:rPr>
          <w:rFonts w:ascii="Calibri" w:hAnsi="Calibri" w:cs="Calibri"/>
          <w:noProof w:val="0"/>
          <w:spacing w:val="-2"/>
        </w:rPr>
        <w:t> </w:t>
      </w:r>
      <w:r w:rsidR="008F07D1" w:rsidRPr="003E0C2E">
        <w:rPr>
          <w:spacing w:val="-2"/>
        </w:rPr>
        <w:t>49.4</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for </w:t>
      </w:r>
      <w:r w:rsidR="008F07D1" w:rsidRPr="003E0C2E">
        <w:rPr>
          <w:noProof w:val="0"/>
          <w:spacing w:val="-2"/>
        </w:rPr>
        <w:t>social entrepreneurship</w:t>
      </w:r>
      <w:r w:rsidR="008F07D1" w:rsidRPr="003E0C2E">
        <w:rPr>
          <w:spacing w:val="-2"/>
        </w:rPr>
        <w:t xml:space="preserve">). By late 2016 the budget of </w:t>
      </w:r>
      <w:r w:rsidR="008F07D1" w:rsidRPr="003E0C2E" w:rsidDel="00543763">
        <w:rPr>
          <w:spacing w:val="-2"/>
        </w:rPr>
        <w:t>EUR</w:t>
      </w:r>
      <w:r w:rsidR="008F07D1" w:rsidRPr="003E0C2E">
        <w:rPr>
          <w:rFonts w:ascii="Calibri" w:hAnsi="Calibri" w:cs="Calibri"/>
          <w:noProof w:val="0"/>
          <w:spacing w:val="-2"/>
        </w:rPr>
        <w:t> </w:t>
      </w:r>
      <w:r w:rsidR="008F07D1" w:rsidRPr="003E0C2E">
        <w:rPr>
          <w:spacing w:val="-2"/>
        </w:rPr>
        <w:t>56</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for microfinance</w:t>
      </w:r>
      <w:r w:rsidR="008F07D1" w:rsidRPr="003E0C2E" w:rsidDel="005C122C">
        <w:rPr>
          <w:spacing w:val="-2"/>
        </w:rPr>
        <w:t xml:space="preserve"> </w:t>
      </w:r>
      <w:r w:rsidR="008F07D1" w:rsidRPr="003E0C2E">
        <w:rPr>
          <w:spacing w:val="-2"/>
        </w:rPr>
        <w:t xml:space="preserve">of the initial EU programme for employment and </w:t>
      </w:r>
      <w:r w:rsidR="008F07D1" w:rsidRPr="003E0C2E">
        <w:rPr>
          <w:noProof w:val="0"/>
          <w:spacing w:val="-2"/>
        </w:rPr>
        <w:t>social innovation had been fully absorbed</w:t>
      </w:r>
      <w:r w:rsidR="008F07D1" w:rsidRPr="003E0C2E">
        <w:rPr>
          <w:spacing w:val="-2"/>
        </w:rPr>
        <w:t xml:space="preserve">. This consequently led to a </w:t>
      </w:r>
      <w:r w:rsidR="008F07D1" w:rsidRPr="003E0C2E" w:rsidDel="00543763">
        <w:rPr>
          <w:spacing w:val="-2"/>
        </w:rPr>
        <w:t>EUR</w:t>
      </w:r>
      <w:r w:rsidR="008F07D1" w:rsidRPr="003E0C2E">
        <w:rPr>
          <w:rFonts w:ascii="Calibri" w:hAnsi="Calibri" w:cs="Calibri"/>
          <w:noProof w:val="0"/>
          <w:spacing w:val="-2"/>
        </w:rPr>
        <w:t> </w:t>
      </w:r>
      <w:r w:rsidR="008F07D1" w:rsidRPr="003E0C2E">
        <w:rPr>
          <w:spacing w:val="-2"/>
        </w:rPr>
        <w:t>100</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top-up from the European Fund for Strategic Investments in December 2017, which was further increased by an additional top</w:t>
      </w:r>
      <w:r w:rsidR="008F07D1" w:rsidRPr="003E0C2E">
        <w:rPr>
          <w:noProof w:val="0"/>
          <w:spacing w:val="-2"/>
        </w:rPr>
        <w:t>-</w:t>
      </w:r>
      <w:r w:rsidR="008F07D1" w:rsidRPr="003E0C2E">
        <w:rPr>
          <w:spacing w:val="-2"/>
        </w:rPr>
        <w:t xml:space="preserve">up of </w:t>
      </w:r>
      <w:r w:rsidR="008F07D1" w:rsidRPr="003E0C2E" w:rsidDel="00543763">
        <w:rPr>
          <w:spacing w:val="-2"/>
        </w:rPr>
        <w:t>EUR</w:t>
      </w:r>
      <w:r w:rsidR="008F07D1" w:rsidRPr="003E0C2E">
        <w:rPr>
          <w:rFonts w:ascii="Calibri" w:hAnsi="Calibri" w:cs="Calibri"/>
          <w:noProof w:val="0"/>
          <w:spacing w:val="-2"/>
        </w:rPr>
        <w:t> </w:t>
      </w:r>
      <w:r w:rsidR="008F07D1" w:rsidRPr="003E0C2E">
        <w:rPr>
          <w:spacing w:val="-2"/>
        </w:rPr>
        <w:t>200</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from the European Fund for Strategic Investments 2.0 in December 2018. In light of this, the initial total EU budget earmarked for the EU programme for employment and social innovation guarantee instrument over 2014-2020 has increased from </w:t>
      </w:r>
      <w:r w:rsidR="008F07D1" w:rsidRPr="003E0C2E" w:rsidDel="00543763">
        <w:rPr>
          <w:spacing w:val="-2"/>
        </w:rPr>
        <w:t>EUR</w:t>
      </w:r>
      <w:r w:rsidR="008F07D1" w:rsidRPr="003E0C2E">
        <w:rPr>
          <w:rFonts w:ascii="Calibri" w:hAnsi="Calibri" w:cs="Calibri"/>
          <w:noProof w:val="0"/>
          <w:spacing w:val="-2"/>
        </w:rPr>
        <w:t> </w:t>
      </w:r>
      <w:r w:rsidR="008F07D1" w:rsidRPr="003E0C2E">
        <w:rPr>
          <w:spacing w:val="-2"/>
        </w:rPr>
        <w:t>96</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to </w:t>
      </w:r>
      <w:r w:rsidR="008F07D1" w:rsidRPr="003E0C2E" w:rsidDel="00543763">
        <w:rPr>
          <w:spacing w:val="-2"/>
        </w:rPr>
        <w:t>EUR</w:t>
      </w:r>
      <w:r w:rsidR="008F07D1" w:rsidRPr="003E0C2E">
        <w:rPr>
          <w:rFonts w:ascii="Calibri" w:hAnsi="Calibri" w:cs="Calibri"/>
          <w:noProof w:val="0"/>
          <w:spacing w:val="-2"/>
        </w:rPr>
        <w:t> </w:t>
      </w:r>
      <w:r w:rsidR="008F07D1" w:rsidRPr="003E0C2E">
        <w:rPr>
          <w:spacing w:val="-2"/>
        </w:rPr>
        <w:t>396</w:t>
      </w:r>
      <w:r w:rsidR="008F07D1" w:rsidRPr="003E0C2E">
        <w:rPr>
          <w:rFonts w:ascii="Calibri" w:hAnsi="Calibri" w:cs="Calibri"/>
          <w:noProof w:val="0"/>
          <w:spacing w:val="-2"/>
        </w:rPr>
        <w:t> </w:t>
      </w:r>
      <w:r w:rsidR="008F07D1" w:rsidRPr="003E0C2E">
        <w:rPr>
          <w:noProof w:val="0"/>
          <w:spacing w:val="-2"/>
        </w:rPr>
        <w:t>million</w:t>
      </w:r>
      <w:r w:rsidR="008F07D1" w:rsidRPr="003E0C2E">
        <w:rPr>
          <w:spacing w:val="-2"/>
        </w:rPr>
        <w:t xml:space="preserve"> for both microfinance and social entrepreneurship. The transactions by the European Investment Fund at the end of December 2018 suggest an expected leverage effect of EU contribution between 5.5 and 30.4, with an estimated average leverage value of 12. This leverage effect is more than twice the </w:t>
      </w:r>
      <w:r w:rsidR="008F07D1" w:rsidRPr="003E0C2E">
        <w:rPr>
          <w:noProof w:val="0"/>
          <w:spacing w:val="-2"/>
        </w:rPr>
        <w:t xml:space="preserve">minimum leverage effect </w:t>
      </w:r>
      <w:r w:rsidR="008F07D1" w:rsidRPr="003E0C2E">
        <w:rPr>
          <w:spacing w:val="-2"/>
        </w:rPr>
        <w:t>set in the delegation agreement and suggests important gains in terms of effectiveness (improved results compared to those initially envisaged) and in terms of efficiency gains (higher leverage effect and more efficient use of EU contribution).</w:t>
      </w:r>
    </w:p>
    <w:p w14:paraId="5D8A5FF3" w14:textId="47653D09" w:rsidR="008F07D1" w:rsidRPr="00A04E56" w:rsidRDefault="00C63DC4" w:rsidP="00AA0340">
      <w:pPr>
        <w:pStyle w:val="Title3NumberedReport"/>
      </w:pPr>
      <w:r w:rsidRPr="00A04E56">
        <w:t>Assessment and evaluation</w:t>
      </w:r>
      <w:r w:rsidR="00A13DE0" w:rsidRPr="00A04E56">
        <w:rPr>
          <w:rFonts w:ascii="Calibri" w:hAnsi="Calibri" w:cs="Calibri"/>
        </w:rPr>
        <w:t> </w:t>
      </w:r>
      <w:r w:rsidR="008F07D1" w:rsidRPr="00A04E56">
        <w:rPr>
          <w:rStyle w:val="fnRef"/>
          <w:b w:val="0"/>
        </w:rPr>
        <w:t>(</w:t>
      </w:r>
      <w:r w:rsidR="008F07D1" w:rsidRPr="00A04E56">
        <w:rPr>
          <w:rStyle w:val="fnRefNo"/>
          <w:b w:val="0"/>
        </w:rPr>
        <w:footnoteReference w:id="98"/>
      </w:r>
      <w:r w:rsidR="008F07D1" w:rsidRPr="00A04E56">
        <w:rPr>
          <w:rStyle w:val="fnRef"/>
          <w:b w:val="0"/>
        </w:rPr>
        <w:t>)</w:t>
      </w:r>
    </w:p>
    <w:p w14:paraId="208FCC37" w14:textId="77777777" w:rsidR="008F07D1" w:rsidRPr="00A04E56" w:rsidRDefault="008F07D1" w:rsidP="008F07D1">
      <w:pPr>
        <w:pStyle w:val="BodyText1spaceafter"/>
      </w:pPr>
      <w:r w:rsidRPr="00A04E56">
        <w:t>The findings of the mid</w:t>
      </w:r>
      <w:r w:rsidRPr="00A04E56">
        <w:rPr>
          <w:noProof w:val="0"/>
        </w:rPr>
        <w:t>term</w:t>
      </w:r>
      <w:r w:rsidRPr="00A04E56">
        <w:t xml:space="preserve"> evaluation confirm that the general and specific objectives of the EU programme for employment and social innovation continue to be relevant, in particular in light of the current challenging socio</w:t>
      </w:r>
      <w:r w:rsidRPr="00A04E56">
        <w:rPr>
          <w:noProof w:val="0"/>
        </w:rPr>
        <w:t>economic</w:t>
      </w:r>
      <w:r w:rsidRPr="00A04E56">
        <w:t xml:space="preserve"> context characterised by the aftermath of the financial and economic crisis. </w:t>
      </w:r>
    </w:p>
    <w:p w14:paraId="479A12C7" w14:textId="2E1EC1FC" w:rsidR="008F07D1" w:rsidRPr="00A04E56" w:rsidRDefault="008F07D1" w:rsidP="008F07D1">
      <w:pPr>
        <w:pStyle w:val="BodyText1spaceafter"/>
      </w:pPr>
      <w:r w:rsidRPr="00A04E56">
        <w:t xml:space="preserve">The programme has achieved good-quality outcomes, yet on a small scale given its limited resources. For instance, the scaling-up of projects is hindered by the lack of an </w:t>
      </w:r>
      <w:r w:rsidR="001353E7" w:rsidRPr="00A04E56">
        <w:rPr>
          <w:noProof w:val="0"/>
        </w:rPr>
        <w:t>appropriate</w:t>
      </w:r>
      <w:r w:rsidRPr="00A04E56">
        <w:t xml:space="preserve"> follow-up to ensure their long-term sustainability. </w:t>
      </w:r>
    </w:p>
    <w:p w14:paraId="7CCF29FD" w14:textId="62C37576" w:rsidR="008F07D1" w:rsidRPr="00A04E56" w:rsidRDefault="008F07D1" w:rsidP="008F07D1">
      <w:pPr>
        <w:pStyle w:val="BodyText1spaceafter"/>
      </w:pPr>
      <w:r w:rsidRPr="00A04E56">
        <w:t>Even though the three axes (progress, EURES and micro</w:t>
      </w:r>
      <w:r w:rsidR="003B6127" w:rsidRPr="00A04E56">
        <w:t>finance</w:t>
      </w:r>
      <w:r w:rsidRPr="00A04E56">
        <w:t xml:space="preserve"> and social-entremreneurship) seem to operate independently, some areas which could result in increased effectiveness (‘synergies’) have been identified. For example, synergies between the different progress projects could be mentioned but also between projects related to progress and the microfinance/social entrepreneurship axes. </w:t>
      </w:r>
    </w:p>
    <w:p w14:paraId="28D7F361" w14:textId="77777777" w:rsidR="00880F8F" w:rsidRPr="00A04E56" w:rsidRDefault="008F07D1" w:rsidP="008F07D1">
      <w:pPr>
        <w:pStyle w:val="BodyText1spaceafter"/>
      </w:pPr>
      <w:r w:rsidRPr="00A04E56">
        <w:t>The mid</w:t>
      </w:r>
      <w:r w:rsidRPr="00A04E56">
        <w:rPr>
          <w:noProof w:val="0"/>
        </w:rPr>
        <w:t>term</w:t>
      </w:r>
      <w:r w:rsidRPr="00A04E56">
        <w:t xml:space="preserve"> evaluation highlighted a number of ways to improve the implementation of the employment and social innovation</w:t>
      </w:r>
      <w:r w:rsidR="00A51C6A" w:rsidRPr="00A04E56">
        <w:t xml:space="preserve"> programme</w:t>
      </w:r>
      <w:r w:rsidRPr="00A04E56">
        <w:t xml:space="preserve">, especially through enhanced flexibility and through targeting groups in need of specific support, the simplification of procedures, improved internal </w:t>
      </w:r>
      <w:r w:rsidRPr="00A04E56">
        <w:rPr>
          <w:noProof w:val="0"/>
        </w:rPr>
        <w:t>consistence</w:t>
      </w:r>
      <w:r w:rsidRPr="00A04E56">
        <w:t xml:space="preserve"> and linkages with other funds. </w:t>
      </w:r>
    </w:p>
    <w:p w14:paraId="328ADCFA" w14:textId="3CFCE257" w:rsidR="008F07D1" w:rsidRPr="003E0C2E" w:rsidRDefault="008F07D1" w:rsidP="008F07D1">
      <w:pPr>
        <w:pStyle w:val="BodyText1spaceafter"/>
        <w:rPr>
          <w:spacing w:val="-2"/>
        </w:rPr>
      </w:pPr>
      <w:r w:rsidRPr="003E0C2E">
        <w:rPr>
          <w:spacing w:val="-2"/>
        </w:rPr>
        <w:t>For this purpose, in the Commission’s proposal for the next multiannual financial framework, the current programme for employment and social innovation is integrated into the European Social Fund</w:t>
      </w:r>
      <w:r w:rsidR="00A51C6A" w:rsidRPr="003E0C2E">
        <w:rPr>
          <w:spacing w:val="-2"/>
        </w:rPr>
        <w:t>+</w:t>
      </w:r>
      <w:r w:rsidR="00444D9B" w:rsidRPr="003E0C2E">
        <w:rPr>
          <w:spacing w:val="-2"/>
        </w:rPr>
        <w:t>, in order</w:t>
      </w:r>
      <w:r w:rsidRPr="003E0C2E">
        <w:rPr>
          <w:spacing w:val="-2"/>
        </w:rPr>
        <w:t xml:space="preserve"> to address the fragmentation of funds and limited potential to upscale.</w:t>
      </w:r>
      <w:r w:rsidR="007F1A2E" w:rsidRPr="003E0C2E">
        <w:rPr>
          <w:spacing w:val="-2"/>
        </w:rPr>
        <w:t xml:space="preserve"> Also the financial instruments currently funded under the third axis will be merged under the future InvestEU programme, including an enhanced </w:t>
      </w:r>
      <w:r w:rsidR="006A535A" w:rsidRPr="003E0C2E">
        <w:rPr>
          <w:spacing w:val="-2"/>
        </w:rPr>
        <w:t>‘</w:t>
      </w:r>
      <w:r w:rsidR="007F1A2E" w:rsidRPr="003E0C2E">
        <w:rPr>
          <w:spacing w:val="-2"/>
        </w:rPr>
        <w:t>social window</w:t>
      </w:r>
      <w:r w:rsidR="006A535A" w:rsidRPr="003E0C2E">
        <w:rPr>
          <w:spacing w:val="-2"/>
        </w:rPr>
        <w:t>’</w:t>
      </w:r>
      <w:r w:rsidR="007F1A2E" w:rsidRPr="003E0C2E">
        <w:rPr>
          <w:spacing w:val="-2"/>
        </w:rPr>
        <w:t>.</w:t>
      </w:r>
    </w:p>
    <w:p w14:paraId="085B0162" w14:textId="7A38FAAD" w:rsidR="00FF704F" w:rsidRPr="00A04E56" w:rsidRDefault="00FF704F" w:rsidP="00FF704F">
      <w:pPr>
        <w:pStyle w:val="Title2Report"/>
      </w:pPr>
      <w:bookmarkStart w:id="65" w:name="_Toc4603963"/>
      <w:bookmarkStart w:id="66" w:name="_Toc4680691"/>
      <w:bookmarkStart w:id="67" w:name="_Toc4682965"/>
      <w:bookmarkStart w:id="68" w:name="_Toc4683088"/>
      <w:bookmarkStart w:id="69" w:name="_Toc12021002"/>
      <w:r w:rsidRPr="00A04E56">
        <w:t xml:space="preserve">Space (Copernicus, Galileo and </w:t>
      </w:r>
      <w:r w:rsidR="00DD4EBB" w:rsidRPr="00A04E56">
        <w:t xml:space="preserve">the </w:t>
      </w:r>
      <w:r w:rsidRPr="00A04E56">
        <w:t>European Geostationary Navigation Overlay Service</w:t>
      </w:r>
      <w:bookmarkEnd w:id="65"/>
      <w:bookmarkEnd w:id="66"/>
      <w:bookmarkEnd w:id="67"/>
      <w:bookmarkEnd w:id="68"/>
      <w:r w:rsidR="00DD4EBB" w:rsidRPr="00A04E56">
        <w:t>)</w:t>
      </w:r>
      <w:bookmarkEnd w:id="69"/>
    </w:p>
    <w:p w14:paraId="2650C46D" w14:textId="2531E265" w:rsidR="00FF704F" w:rsidRPr="00A04E56" w:rsidRDefault="007D1744" w:rsidP="00AA0340">
      <w:pPr>
        <w:pStyle w:val="Title3NumberedReport"/>
      </w:pPr>
      <w:r w:rsidRPr="00A04E56">
        <w:t>Objectives</w:t>
      </w:r>
      <w:r w:rsidR="007A5B1C" w:rsidRPr="00A04E56">
        <w:t xml:space="preserve"> </w:t>
      </w:r>
    </w:p>
    <w:p w14:paraId="038C606F" w14:textId="60A638B9" w:rsidR="00FF704F" w:rsidRPr="00A04E56" w:rsidRDefault="00FF704F" w:rsidP="00A62EAF">
      <w:pPr>
        <w:pStyle w:val="BodyText1spaceafter"/>
      </w:pPr>
      <w:r w:rsidRPr="00A04E56">
        <w:t>EU space policy supports many</w:t>
      </w:r>
      <w:r w:rsidR="00501A1E" w:rsidRPr="00A04E56">
        <w:t xml:space="preserve"> other</w:t>
      </w:r>
      <w:r w:rsidRPr="00A04E56">
        <w:t xml:space="preserve"> policies and strategic priorities of the </w:t>
      </w:r>
      <w:r w:rsidR="009A0795" w:rsidRPr="00A04E56">
        <w:rPr>
          <w:noProof w:val="0"/>
        </w:rPr>
        <w:t>EU</w:t>
      </w:r>
      <w:r w:rsidRPr="00A04E56">
        <w:t xml:space="preserve">. For instance, it plays a crucial role in effectively tackling the challenges posed by climate change, sustainable development, border control, maritime surveillance and </w:t>
      </w:r>
      <w:r w:rsidR="00E8692A" w:rsidRPr="00A04E56">
        <w:t xml:space="preserve">the </w:t>
      </w:r>
      <w:r w:rsidRPr="00A04E56">
        <w:t>security of</w:t>
      </w:r>
      <w:r w:rsidR="00276B51" w:rsidRPr="00A04E56">
        <w:rPr>
          <w:noProof w:val="0"/>
        </w:rPr>
        <w:t xml:space="preserve"> </w:t>
      </w:r>
      <w:r w:rsidRPr="00A04E56">
        <w:t xml:space="preserve">citizens. </w:t>
      </w:r>
    </w:p>
    <w:p w14:paraId="3B5C3A8F" w14:textId="05C710D7" w:rsidR="00FF704F" w:rsidRPr="003E0C2E" w:rsidRDefault="00FF704F" w:rsidP="00A62EAF">
      <w:pPr>
        <w:pStyle w:val="BodyText1spaceafter"/>
        <w:rPr>
          <w:spacing w:val="-2"/>
        </w:rPr>
      </w:pPr>
      <w:r w:rsidRPr="003E0C2E">
        <w:rPr>
          <w:spacing w:val="-2"/>
        </w:rPr>
        <w:t>Copernicus is the European system for monitoring the Earth. It offers six free-of-charge services to EU, national and regional institutions, as well as to the private sector</w:t>
      </w:r>
      <w:r w:rsidR="00115173" w:rsidRPr="003E0C2E">
        <w:rPr>
          <w:spacing w:val="-2"/>
        </w:rPr>
        <w:t>, namely</w:t>
      </w:r>
      <w:r w:rsidRPr="003E0C2E">
        <w:rPr>
          <w:spacing w:val="-2"/>
        </w:rPr>
        <w:t xml:space="preserve">: </w:t>
      </w:r>
      <w:r w:rsidR="00CE0EA1" w:rsidRPr="003E0C2E">
        <w:rPr>
          <w:spacing w:val="-2"/>
        </w:rPr>
        <w:t xml:space="preserve">the monitoring of the </w:t>
      </w:r>
      <w:r w:rsidRPr="003E0C2E">
        <w:rPr>
          <w:spacing w:val="-2"/>
        </w:rPr>
        <w:t xml:space="preserve">atmosphere, </w:t>
      </w:r>
      <w:r w:rsidR="00CE0EA1" w:rsidRPr="003E0C2E">
        <w:rPr>
          <w:spacing w:val="-2"/>
        </w:rPr>
        <w:t xml:space="preserve">the </w:t>
      </w:r>
      <w:r w:rsidRPr="003E0C2E">
        <w:rPr>
          <w:spacing w:val="-2"/>
        </w:rPr>
        <w:t>marine</w:t>
      </w:r>
      <w:r w:rsidR="00CE0EA1" w:rsidRPr="003E0C2E">
        <w:rPr>
          <w:spacing w:val="-2"/>
        </w:rPr>
        <w:t xml:space="preserve"> </w:t>
      </w:r>
      <w:r w:rsidRPr="003E0C2E">
        <w:rPr>
          <w:spacing w:val="-2"/>
        </w:rPr>
        <w:t>environment, land</w:t>
      </w:r>
      <w:r w:rsidRPr="003E0C2E" w:rsidDel="00CE0EA1">
        <w:rPr>
          <w:spacing w:val="-2"/>
        </w:rPr>
        <w:t xml:space="preserve"> </w:t>
      </w:r>
      <w:r w:rsidR="00CE0EA1" w:rsidRPr="003E0C2E">
        <w:rPr>
          <w:spacing w:val="-2"/>
        </w:rPr>
        <w:t xml:space="preserve">and </w:t>
      </w:r>
      <w:r w:rsidRPr="003E0C2E">
        <w:rPr>
          <w:spacing w:val="-2"/>
        </w:rPr>
        <w:t>climate</w:t>
      </w:r>
      <w:r w:rsidR="00CE0EA1" w:rsidRPr="003E0C2E">
        <w:rPr>
          <w:spacing w:val="-2"/>
        </w:rPr>
        <w:t xml:space="preserve"> </w:t>
      </w:r>
      <w:r w:rsidRPr="003E0C2E">
        <w:rPr>
          <w:spacing w:val="-2"/>
        </w:rPr>
        <w:t>change</w:t>
      </w:r>
      <w:r w:rsidR="00CE0EA1" w:rsidRPr="003E0C2E">
        <w:rPr>
          <w:spacing w:val="-2"/>
        </w:rPr>
        <w:t xml:space="preserve"> in addition to </w:t>
      </w:r>
      <w:r w:rsidRPr="003E0C2E">
        <w:rPr>
          <w:spacing w:val="-2"/>
        </w:rPr>
        <w:t>emergency management and security</w:t>
      </w:r>
      <w:r w:rsidR="00633D4D" w:rsidRPr="003E0C2E">
        <w:rPr>
          <w:rStyle w:val="fnRef"/>
          <w:rFonts w:ascii="Arial" w:hAnsi="Arial" w:cs="Arial"/>
          <w:spacing w:val="-2"/>
        </w:rPr>
        <w:t> </w:t>
      </w:r>
      <w:r w:rsidR="0035678A" w:rsidRPr="003E0C2E">
        <w:rPr>
          <w:rStyle w:val="fnRef"/>
          <w:spacing w:val="-2"/>
        </w:rPr>
        <w:t>(</w:t>
      </w:r>
      <w:r w:rsidR="0035678A" w:rsidRPr="003E0C2E">
        <w:rPr>
          <w:rStyle w:val="fnRefNo"/>
          <w:spacing w:val="-2"/>
        </w:rPr>
        <w:footnoteReference w:id="99"/>
      </w:r>
      <w:r w:rsidR="0035678A" w:rsidRPr="003E0C2E">
        <w:rPr>
          <w:rStyle w:val="fnRef"/>
          <w:spacing w:val="-2"/>
        </w:rPr>
        <w:t>)</w:t>
      </w:r>
      <w:r w:rsidR="00115173" w:rsidRPr="003E0C2E">
        <w:rPr>
          <w:spacing w:val="-2"/>
        </w:rPr>
        <w:t>.</w:t>
      </w:r>
      <w:r w:rsidRPr="003E0C2E">
        <w:rPr>
          <w:spacing w:val="-2"/>
        </w:rPr>
        <w:t xml:space="preserve"> Copernicus provides</w:t>
      </w:r>
      <w:r w:rsidR="00064118" w:rsidRPr="003E0C2E">
        <w:rPr>
          <w:spacing w:val="-2"/>
        </w:rPr>
        <w:t xml:space="preserve"> information </w:t>
      </w:r>
      <w:r w:rsidRPr="003E0C2E">
        <w:rPr>
          <w:spacing w:val="-2"/>
        </w:rPr>
        <w:t xml:space="preserve">based on a system of satellites and </w:t>
      </w:r>
      <w:r w:rsidRPr="003E0C2E" w:rsidDel="00CB2B28">
        <w:rPr>
          <w:i/>
          <w:spacing w:val="-2"/>
        </w:rPr>
        <w:t>in</w:t>
      </w:r>
      <w:r w:rsidR="00CB2B28" w:rsidRPr="003E0C2E">
        <w:rPr>
          <w:i/>
          <w:spacing w:val="-2"/>
        </w:rPr>
        <w:t xml:space="preserve"> situ</w:t>
      </w:r>
      <w:r w:rsidR="0023429B" w:rsidRPr="003E0C2E">
        <w:rPr>
          <w:rStyle w:val="fnRef"/>
          <w:rFonts w:ascii="Arial" w:hAnsi="Arial" w:cs="Arial"/>
          <w:spacing w:val="-2"/>
        </w:rPr>
        <w:t> </w:t>
      </w:r>
      <w:r w:rsidR="00E73086" w:rsidRPr="003E0C2E">
        <w:rPr>
          <w:rStyle w:val="fnRef"/>
          <w:spacing w:val="-2"/>
        </w:rPr>
        <w:t>(</w:t>
      </w:r>
      <w:r w:rsidR="00E73086" w:rsidRPr="003E0C2E">
        <w:rPr>
          <w:rStyle w:val="fnRefNo"/>
          <w:spacing w:val="-2"/>
        </w:rPr>
        <w:footnoteReference w:id="100"/>
      </w:r>
      <w:r w:rsidR="00E73086" w:rsidRPr="003E0C2E">
        <w:rPr>
          <w:rStyle w:val="fnRef"/>
          <w:spacing w:val="-2"/>
        </w:rPr>
        <w:t>)</w:t>
      </w:r>
      <w:r w:rsidRPr="003E0C2E">
        <w:rPr>
          <w:spacing w:val="-2"/>
        </w:rPr>
        <w:t xml:space="preserve"> infrastructure. </w:t>
      </w:r>
      <w:r w:rsidR="0078292F" w:rsidRPr="003E0C2E">
        <w:rPr>
          <w:spacing w:val="-2"/>
        </w:rPr>
        <w:t>The information provided by Copernicus can be used for a wide range of applications in a variety of areas, including urban</w:t>
      </w:r>
      <w:r w:rsidR="001761BC" w:rsidRPr="003E0C2E">
        <w:rPr>
          <w:spacing w:val="-2"/>
        </w:rPr>
        <w:t>-</w:t>
      </w:r>
      <w:r w:rsidR="0078292F" w:rsidRPr="003E0C2E">
        <w:rPr>
          <w:spacing w:val="-2"/>
        </w:rPr>
        <w:t xml:space="preserve">area management, sustainable development and </w:t>
      </w:r>
      <w:r w:rsidR="00A338ED" w:rsidRPr="003E0C2E">
        <w:rPr>
          <w:spacing w:val="-2"/>
        </w:rPr>
        <w:t xml:space="preserve">environmental </w:t>
      </w:r>
      <w:r w:rsidR="0078292F" w:rsidRPr="003E0C2E">
        <w:rPr>
          <w:spacing w:val="-2"/>
        </w:rPr>
        <w:t>protection, regional and local planning, agriculture, forestry and fisheries, health, civil</w:t>
      </w:r>
      <w:r w:rsidR="00C6111C" w:rsidRPr="003E0C2E">
        <w:rPr>
          <w:spacing w:val="-2"/>
        </w:rPr>
        <w:t>-</w:t>
      </w:r>
      <w:r w:rsidR="0078292F" w:rsidRPr="003E0C2E">
        <w:rPr>
          <w:spacing w:val="-2"/>
        </w:rPr>
        <w:t>protection, infrastructure, transport and mobility, as well as tourism.</w:t>
      </w:r>
      <w:r w:rsidR="00064118" w:rsidRPr="003E0C2E">
        <w:rPr>
          <w:spacing w:val="-2"/>
        </w:rPr>
        <w:t xml:space="preserve"> For instance, the Copernicus service for </w:t>
      </w:r>
      <w:r w:rsidR="0048002E" w:rsidRPr="003E0C2E">
        <w:rPr>
          <w:spacing w:val="-2"/>
        </w:rPr>
        <w:t>c</w:t>
      </w:r>
      <w:r w:rsidR="00064118" w:rsidRPr="003E0C2E">
        <w:rPr>
          <w:spacing w:val="-2"/>
        </w:rPr>
        <w:t>limate change provide</w:t>
      </w:r>
      <w:r w:rsidR="0048002E" w:rsidRPr="003E0C2E">
        <w:rPr>
          <w:spacing w:val="-2"/>
        </w:rPr>
        <w:t>s</w:t>
      </w:r>
      <w:r w:rsidR="00064118" w:rsidRPr="003E0C2E">
        <w:rPr>
          <w:spacing w:val="-2"/>
        </w:rPr>
        <w:t xml:space="preserve"> information about the past, present and future climate, as well as tools to enable climate</w:t>
      </w:r>
      <w:r w:rsidR="0043471D" w:rsidRPr="003E0C2E">
        <w:rPr>
          <w:spacing w:val="-2"/>
        </w:rPr>
        <w:t>-</w:t>
      </w:r>
      <w:r w:rsidR="00064118" w:rsidRPr="003E0C2E">
        <w:rPr>
          <w:spacing w:val="-2"/>
        </w:rPr>
        <w:t>change mitigation and adaptation strategies by policy makers and businesses.</w:t>
      </w:r>
    </w:p>
    <w:p w14:paraId="4CA76D58" w14:textId="74C69CD8" w:rsidR="003136B6" w:rsidRPr="00A04E56" w:rsidRDefault="00FF704F" w:rsidP="00A62EAF">
      <w:pPr>
        <w:pStyle w:val="BodyText1spaceafter"/>
      </w:pPr>
      <w:r w:rsidRPr="00A04E56">
        <w:t xml:space="preserve">Galileo </w:t>
      </w:r>
      <w:r w:rsidR="003136B6" w:rsidRPr="00A04E56">
        <w:t xml:space="preserve">is the EU’s own global navigation satellite system, providing secure positioning, navigation and timing services. Galileo is used in used in mobile phones and car navigation as well as in critical applications such as the synchronisation of electricity grids or telecommunication networks. </w:t>
      </w:r>
    </w:p>
    <w:p w14:paraId="0FA07911" w14:textId="4F2E7BAF" w:rsidR="009739CF" w:rsidRPr="00A04E56" w:rsidRDefault="003136B6" w:rsidP="009739CF">
      <w:pPr>
        <w:pStyle w:val="BodyText"/>
        <w:jc w:val="both"/>
      </w:pPr>
      <w:r w:rsidRPr="00A04E56">
        <w:t>T</w:t>
      </w:r>
      <w:r w:rsidR="00FF704F" w:rsidRPr="00A04E56">
        <w:t xml:space="preserve">he European Geostationary Navigation Overlay Service </w:t>
      </w:r>
      <w:r w:rsidR="001D3168" w:rsidRPr="00A04E56">
        <w:t xml:space="preserve">(also known as </w:t>
      </w:r>
      <w:r w:rsidR="001D3168" w:rsidRPr="00A04E56">
        <w:rPr>
          <w:i/>
        </w:rPr>
        <w:t>EGNOS</w:t>
      </w:r>
      <w:r w:rsidR="001D3168" w:rsidRPr="00A04E56">
        <w:t xml:space="preserve">) </w:t>
      </w:r>
      <w:r w:rsidRPr="00A04E56">
        <w:t xml:space="preserve">is a regional satellite </w:t>
      </w:r>
      <w:r w:rsidR="00FF704F" w:rsidRPr="00A04E56">
        <w:t xml:space="preserve">navigation </w:t>
      </w:r>
      <w:r w:rsidR="009739CF" w:rsidRPr="00A04E56">
        <w:t>system</w:t>
      </w:r>
      <w:r w:rsidR="00633D4D" w:rsidRPr="00A04E56">
        <w:rPr>
          <w:rStyle w:val="fnRef"/>
          <w:rFonts w:ascii="Arial" w:hAnsi="Arial" w:cs="Arial"/>
        </w:rPr>
        <w:t> </w:t>
      </w:r>
      <w:r w:rsidR="0035678A" w:rsidRPr="00A04E56">
        <w:rPr>
          <w:rStyle w:val="fnRef"/>
        </w:rPr>
        <w:t>(</w:t>
      </w:r>
      <w:r w:rsidR="0035678A" w:rsidRPr="00A04E56">
        <w:rPr>
          <w:rStyle w:val="fnRefNo"/>
        </w:rPr>
        <w:footnoteReference w:id="101"/>
      </w:r>
      <w:r w:rsidR="0035678A" w:rsidRPr="00A04E56">
        <w:rPr>
          <w:rStyle w:val="fnRef"/>
        </w:rPr>
        <w:t>)</w:t>
      </w:r>
      <w:r w:rsidR="0078292F" w:rsidRPr="00A04E56">
        <w:t>.</w:t>
      </w:r>
      <w:r w:rsidR="00FF704F" w:rsidRPr="00A04E56">
        <w:t xml:space="preserve"> </w:t>
      </w:r>
      <w:r w:rsidR="009739CF" w:rsidRPr="00A04E56">
        <w:t>The system provides safety of life navigation services to aviation, maritime and land-based users in Europe. More than 80% of European farmers using satellite navigation for tractor guidance related to spraying and harvesting of crops rely on it.</w:t>
      </w:r>
    </w:p>
    <w:p w14:paraId="54D3E277" w14:textId="77777777" w:rsidR="00643C2E" w:rsidRPr="00A04E56" w:rsidRDefault="00643C2E" w:rsidP="00A73B56">
      <w:pPr>
        <w:spacing w:before="240"/>
        <w:rPr>
          <w:b/>
          <w:color w:val="65BBC8"/>
          <w:sz w:val="24"/>
          <w:szCs w:val="24"/>
        </w:rPr>
      </w:pPr>
      <w:r w:rsidRPr="00A04E56">
        <w:rPr>
          <w:b/>
          <w:color w:val="65BBC8"/>
          <w:sz w:val="24"/>
          <w:szCs w:val="24"/>
        </w:rPr>
        <w:t>The EU Space sector at a glance</w:t>
      </w:r>
    </w:p>
    <w:p w14:paraId="5FA3C10D" w14:textId="77777777" w:rsidR="00643C2E" w:rsidRPr="00A04E56" w:rsidRDefault="00643C2E" w:rsidP="00643C2E">
      <w:r w:rsidRPr="00A04E56">
        <w:t>Space technology, data and services have become indispensable in people’s lives and play an essential strategic role for Europe. Europe has a world-leading space industry.</w:t>
      </w:r>
    </w:p>
    <w:p w14:paraId="2831F70D" w14:textId="77777777" w:rsidR="00643C2E" w:rsidRPr="00A04E56" w:rsidRDefault="00643C2E" w:rsidP="00643C2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2513"/>
        <w:gridCol w:w="2303"/>
        <w:gridCol w:w="2303"/>
      </w:tblGrid>
      <w:tr w:rsidR="00643C2E" w:rsidRPr="00A04E56" w14:paraId="5B2D0F74" w14:textId="77777777" w:rsidTr="00C257BF">
        <w:trPr>
          <w:cantSplit/>
          <w:trHeight w:val="992"/>
        </w:trPr>
        <w:tc>
          <w:tcPr>
            <w:tcW w:w="2093" w:type="dxa"/>
            <w:vAlign w:val="center"/>
          </w:tcPr>
          <w:p w14:paraId="1FDF73B5" w14:textId="77777777" w:rsidR="00643C2E" w:rsidRPr="00A04E56" w:rsidRDefault="00643C2E" w:rsidP="00F34DC9">
            <w:r w:rsidRPr="00A04E56">
              <w:rPr>
                <w:noProof/>
                <w:lang w:val="fr-BE" w:eastAsia="fr-BE"/>
              </w:rPr>
              <mc:AlternateContent>
                <mc:Choice Requires="wpg">
                  <w:drawing>
                    <wp:anchor distT="0" distB="0" distL="114300" distR="114300" simplePos="0" relativeHeight="251586560" behindDoc="0" locked="0" layoutInCell="1" allowOverlap="1" wp14:anchorId="2BAFC157" wp14:editId="6B15D3CB">
                      <wp:simplePos x="0" y="0"/>
                      <wp:positionH relativeFrom="column">
                        <wp:posOffset>305435</wp:posOffset>
                      </wp:positionH>
                      <wp:positionV relativeFrom="paragraph">
                        <wp:posOffset>38100</wp:posOffset>
                      </wp:positionV>
                      <wp:extent cx="457835" cy="422910"/>
                      <wp:effectExtent l="0" t="0" r="0" b="0"/>
                      <wp:wrapNone/>
                      <wp:docPr id="1345" name="Group 1345"/>
                      <wp:cNvGraphicFramePr/>
                      <a:graphic xmlns:a="http://schemas.openxmlformats.org/drawingml/2006/main">
                        <a:graphicData uri="http://schemas.microsoft.com/office/word/2010/wordprocessingGroup">
                          <wpg:wgp>
                            <wpg:cNvGrpSpPr/>
                            <wpg:grpSpPr>
                              <a:xfrm>
                                <a:off x="0" y="0"/>
                                <a:ext cx="457835" cy="422910"/>
                                <a:chOff x="-2540" y="120650"/>
                                <a:chExt cx="838835" cy="775970"/>
                              </a:xfrm>
                              <a:solidFill>
                                <a:srgbClr val="65BBC8"/>
                              </a:solidFill>
                            </wpg:grpSpPr>
                            <wpg:grpSp>
                              <wpg:cNvPr id="1346" name="Group 1346"/>
                              <wpg:cNvGrpSpPr/>
                              <wpg:grpSpPr>
                                <a:xfrm>
                                  <a:off x="-2540" y="120650"/>
                                  <a:ext cx="838835" cy="775970"/>
                                  <a:chOff x="-2540" y="120650"/>
                                  <a:chExt cx="838835" cy="775970"/>
                                </a:xfrm>
                                <a:grpFill/>
                              </wpg:grpSpPr>
                              <wps:wsp>
                                <wps:cNvPr id="14464" name="Freeform 5"/>
                                <wps:cNvSpPr>
                                  <a:spLocks noEditPoints="1"/>
                                </wps:cNvSpPr>
                                <wps:spPr bwMode="auto">
                                  <a:xfrm>
                                    <a:off x="-2540" y="120650"/>
                                    <a:ext cx="838835" cy="775970"/>
                                  </a:xfrm>
                                  <a:custGeom>
                                    <a:avLst/>
                                    <a:gdLst>
                                      <a:gd name="T0" fmla="*/ 447 w 579"/>
                                      <a:gd name="T1" fmla="*/ 258 h 534"/>
                                      <a:gd name="T2" fmla="*/ 577 w 579"/>
                                      <a:gd name="T3" fmla="*/ 178 h 534"/>
                                      <a:gd name="T4" fmla="*/ 524 w 579"/>
                                      <a:gd name="T5" fmla="*/ 170 h 534"/>
                                      <a:gd name="T6" fmla="*/ 450 w 579"/>
                                      <a:gd name="T7" fmla="*/ 134 h 534"/>
                                      <a:gd name="T8" fmla="*/ 496 w 579"/>
                                      <a:gd name="T9" fmla="*/ 67 h 534"/>
                                      <a:gd name="T10" fmla="*/ 538 w 579"/>
                                      <a:gd name="T11" fmla="*/ 33 h 534"/>
                                      <a:gd name="T12" fmla="*/ 349 w 579"/>
                                      <a:gd name="T13" fmla="*/ 69 h 534"/>
                                      <a:gd name="T14" fmla="*/ 337 w 579"/>
                                      <a:gd name="T15" fmla="*/ 166 h 534"/>
                                      <a:gd name="T16" fmla="*/ 234 w 579"/>
                                      <a:gd name="T17" fmla="*/ 101 h 534"/>
                                      <a:gd name="T18" fmla="*/ 260 w 579"/>
                                      <a:gd name="T19" fmla="*/ 62 h 534"/>
                                      <a:gd name="T20" fmla="*/ 303 w 579"/>
                                      <a:gd name="T21" fmla="*/ 34 h 534"/>
                                      <a:gd name="T22" fmla="*/ 157 w 579"/>
                                      <a:gd name="T23" fmla="*/ 31 h 534"/>
                                      <a:gd name="T24" fmla="*/ 143 w 579"/>
                                      <a:gd name="T25" fmla="*/ 28 h 534"/>
                                      <a:gd name="T26" fmla="*/ 63 w 579"/>
                                      <a:gd name="T27" fmla="*/ 108 h 534"/>
                                      <a:gd name="T28" fmla="*/ 68 w 579"/>
                                      <a:gd name="T29" fmla="*/ 118 h 534"/>
                                      <a:gd name="T30" fmla="*/ 45 w 579"/>
                                      <a:gd name="T31" fmla="*/ 131 h 534"/>
                                      <a:gd name="T32" fmla="*/ 5 w 579"/>
                                      <a:gd name="T33" fmla="*/ 184 h 534"/>
                                      <a:gd name="T34" fmla="*/ 40 w 579"/>
                                      <a:gd name="T35" fmla="*/ 219 h 534"/>
                                      <a:gd name="T36" fmla="*/ 41 w 579"/>
                                      <a:gd name="T37" fmla="*/ 220 h 534"/>
                                      <a:gd name="T38" fmla="*/ 42 w 579"/>
                                      <a:gd name="T39" fmla="*/ 221 h 534"/>
                                      <a:gd name="T40" fmla="*/ 126 w 579"/>
                                      <a:gd name="T41" fmla="*/ 227 h 534"/>
                                      <a:gd name="T42" fmla="*/ 131 w 579"/>
                                      <a:gd name="T43" fmla="*/ 206 h 534"/>
                                      <a:gd name="T44" fmla="*/ 148 w 579"/>
                                      <a:gd name="T45" fmla="*/ 193 h 534"/>
                                      <a:gd name="T46" fmla="*/ 59 w 579"/>
                                      <a:gd name="T47" fmla="*/ 464 h 534"/>
                                      <a:gd name="T48" fmla="*/ 309 w 579"/>
                                      <a:gd name="T49" fmla="*/ 354 h 534"/>
                                      <a:gd name="T50" fmla="*/ 563 w 579"/>
                                      <a:gd name="T51" fmla="*/ 468 h 534"/>
                                      <a:gd name="T52" fmla="*/ 160 w 579"/>
                                      <a:gd name="T53" fmla="*/ 166 h 534"/>
                                      <a:gd name="T54" fmla="*/ 132 w 579"/>
                                      <a:gd name="T55" fmla="*/ 171 h 534"/>
                                      <a:gd name="T56" fmla="*/ 121 w 579"/>
                                      <a:gd name="T57" fmla="*/ 176 h 534"/>
                                      <a:gd name="T58" fmla="*/ 106 w 579"/>
                                      <a:gd name="T59" fmla="*/ 197 h 534"/>
                                      <a:gd name="T60" fmla="*/ 62 w 579"/>
                                      <a:gd name="T61" fmla="*/ 202 h 534"/>
                                      <a:gd name="T62" fmla="*/ 61 w 579"/>
                                      <a:gd name="T63" fmla="*/ 201 h 534"/>
                                      <a:gd name="T64" fmla="*/ 60 w 579"/>
                                      <a:gd name="T65" fmla="*/ 200 h 534"/>
                                      <a:gd name="T66" fmla="*/ 59 w 579"/>
                                      <a:gd name="T67" fmla="*/ 200 h 534"/>
                                      <a:gd name="T68" fmla="*/ 50 w 579"/>
                                      <a:gd name="T69" fmla="*/ 159 h 534"/>
                                      <a:gd name="T70" fmla="*/ 87 w 579"/>
                                      <a:gd name="T71" fmla="*/ 141 h 534"/>
                                      <a:gd name="T72" fmla="*/ 99 w 579"/>
                                      <a:gd name="T73" fmla="*/ 120 h 534"/>
                                      <a:gd name="T74" fmla="*/ 133 w 579"/>
                                      <a:gd name="T75" fmla="*/ 57 h 534"/>
                                      <a:gd name="T76" fmla="*/ 169 w 579"/>
                                      <a:gd name="T77" fmla="*/ 55 h 534"/>
                                      <a:gd name="T78" fmla="*/ 188 w 579"/>
                                      <a:gd name="T79" fmla="*/ 47 h 534"/>
                                      <a:gd name="T80" fmla="*/ 249 w 579"/>
                                      <a:gd name="T81" fmla="*/ 37 h 534"/>
                                      <a:gd name="T82" fmla="*/ 216 w 579"/>
                                      <a:gd name="T83" fmla="*/ 72 h 534"/>
                                      <a:gd name="T84" fmla="*/ 209 w 579"/>
                                      <a:gd name="T85" fmla="*/ 89 h 534"/>
                                      <a:gd name="T86" fmla="*/ 290 w 579"/>
                                      <a:gd name="T87" fmla="*/ 214 h 534"/>
                                      <a:gd name="T88" fmla="*/ 129 w 579"/>
                                      <a:gd name="T89" fmla="*/ 495 h 534"/>
                                      <a:gd name="T90" fmla="*/ 259 w 579"/>
                                      <a:gd name="T91" fmla="*/ 284 h 534"/>
                                      <a:gd name="T92" fmla="*/ 364 w 579"/>
                                      <a:gd name="T93" fmla="*/ 162 h 534"/>
                                      <a:gd name="T94" fmla="*/ 373 w 579"/>
                                      <a:gd name="T95" fmla="*/ 83 h 534"/>
                                      <a:gd name="T96" fmla="*/ 493 w 579"/>
                                      <a:gd name="T97" fmla="*/ 39 h 534"/>
                                      <a:gd name="T98" fmla="*/ 442 w 579"/>
                                      <a:gd name="T99" fmla="*/ 60 h 534"/>
                                      <a:gd name="T100" fmla="*/ 453 w 579"/>
                                      <a:gd name="T101" fmla="*/ 176 h 534"/>
                                      <a:gd name="T102" fmla="*/ 493 w 579"/>
                                      <a:gd name="T103" fmla="*/ 207 h 534"/>
                                      <a:gd name="T104" fmla="*/ 525 w 579"/>
                                      <a:gd name="T105" fmla="*/ 206 h 534"/>
                                      <a:gd name="T106" fmla="*/ 416 w 579"/>
                                      <a:gd name="T107" fmla="*/ 222 h 534"/>
                                      <a:gd name="T108" fmla="*/ 494 w 579"/>
                                      <a:gd name="T109" fmla="*/ 499 h 534"/>
                                      <a:gd name="T110" fmla="*/ 369 w 579"/>
                                      <a:gd name="T111" fmla="*/ 294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79" h="534">
                                        <a:moveTo>
                                          <a:pt x="389" y="274"/>
                                        </a:moveTo>
                                        <a:cubicBezTo>
                                          <a:pt x="413" y="250"/>
                                          <a:pt x="413" y="250"/>
                                          <a:pt x="413" y="250"/>
                                        </a:cubicBezTo>
                                        <a:cubicBezTo>
                                          <a:pt x="424" y="254"/>
                                          <a:pt x="435" y="257"/>
                                          <a:pt x="447" y="258"/>
                                        </a:cubicBezTo>
                                        <a:cubicBezTo>
                                          <a:pt x="462" y="259"/>
                                          <a:pt x="477" y="258"/>
                                          <a:pt x="491" y="254"/>
                                        </a:cubicBezTo>
                                        <a:cubicBezTo>
                                          <a:pt x="511" y="249"/>
                                          <a:pt x="529" y="239"/>
                                          <a:pt x="543" y="227"/>
                                        </a:cubicBezTo>
                                        <a:cubicBezTo>
                                          <a:pt x="558" y="213"/>
                                          <a:pt x="569" y="197"/>
                                          <a:pt x="577" y="178"/>
                                        </a:cubicBezTo>
                                        <a:cubicBezTo>
                                          <a:pt x="579" y="171"/>
                                          <a:pt x="576" y="163"/>
                                          <a:pt x="569" y="161"/>
                                        </a:cubicBezTo>
                                        <a:cubicBezTo>
                                          <a:pt x="566" y="160"/>
                                          <a:pt x="563" y="159"/>
                                          <a:pt x="560" y="160"/>
                                        </a:cubicBezTo>
                                        <a:cubicBezTo>
                                          <a:pt x="524" y="170"/>
                                          <a:pt x="524" y="170"/>
                                          <a:pt x="524" y="170"/>
                                        </a:cubicBezTo>
                                        <a:cubicBezTo>
                                          <a:pt x="494" y="178"/>
                                          <a:pt x="494" y="178"/>
                                          <a:pt x="494" y="178"/>
                                        </a:cubicBezTo>
                                        <a:cubicBezTo>
                                          <a:pt x="472" y="156"/>
                                          <a:pt x="472" y="156"/>
                                          <a:pt x="472" y="156"/>
                                        </a:cubicBezTo>
                                        <a:cubicBezTo>
                                          <a:pt x="450" y="134"/>
                                          <a:pt x="450" y="134"/>
                                          <a:pt x="450" y="134"/>
                                        </a:cubicBezTo>
                                        <a:cubicBezTo>
                                          <a:pt x="458" y="105"/>
                                          <a:pt x="458" y="105"/>
                                          <a:pt x="458" y="105"/>
                                        </a:cubicBezTo>
                                        <a:cubicBezTo>
                                          <a:pt x="466" y="75"/>
                                          <a:pt x="466" y="75"/>
                                          <a:pt x="466" y="75"/>
                                        </a:cubicBezTo>
                                        <a:cubicBezTo>
                                          <a:pt x="496" y="67"/>
                                          <a:pt x="496" y="67"/>
                                          <a:pt x="496" y="67"/>
                                        </a:cubicBezTo>
                                        <a:cubicBezTo>
                                          <a:pt x="533" y="57"/>
                                          <a:pt x="533" y="57"/>
                                          <a:pt x="533" y="57"/>
                                        </a:cubicBezTo>
                                        <a:cubicBezTo>
                                          <a:pt x="540" y="55"/>
                                          <a:pt x="544" y="48"/>
                                          <a:pt x="542" y="41"/>
                                        </a:cubicBezTo>
                                        <a:cubicBezTo>
                                          <a:pt x="541" y="38"/>
                                          <a:pt x="540" y="35"/>
                                          <a:pt x="538" y="33"/>
                                        </a:cubicBezTo>
                                        <a:cubicBezTo>
                                          <a:pt x="522" y="21"/>
                                          <a:pt x="504" y="12"/>
                                          <a:pt x="484" y="8"/>
                                        </a:cubicBezTo>
                                        <a:cubicBezTo>
                                          <a:pt x="466" y="4"/>
                                          <a:pt x="446" y="5"/>
                                          <a:pt x="426" y="10"/>
                                        </a:cubicBezTo>
                                        <a:cubicBezTo>
                                          <a:pt x="392" y="19"/>
                                          <a:pt x="366" y="41"/>
                                          <a:pt x="349" y="69"/>
                                        </a:cubicBezTo>
                                        <a:cubicBezTo>
                                          <a:pt x="333" y="97"/>
                                          <a:pt x="328" y="131"/>
                                          <a:pt x="337" y="165"/>
                                        </a:cubicBezTo>
                                        <a:cubicBezTo>
                                          <a:pt x="337" y="166"/>
                                          <a:pt x="337" y="166"/>
                                          <a:pt x="337" y="166"/>
                                        </a:cubicBezTo>
                                        <a:cubicBezTo>
                                          <a:pt x="337" y="166"/>
                                          <a:pt x="337" y="166"/>
                                          <a:pt x="337" y="166"/>
                                        </a:cubicBezTo>
                                        <a:cubicBezTo>
                                          <a:pt x="309" y="195"/>
                                          <a:pt x="309" y="195"/>
                                          <a:pt x="309" y="195"/>
                                        </a:cubicBezTo>
                                        <a:cubicBezTo>
                                          <a:pt x="228" y="113"/>
                                          <a:pt x="228" y="113"/>
                                          <a:pt x="228" y="113"/>
                                        </a:cubicBezTo>
                                        <a:cubicBezTo>
                                          <a:pt x="230" y="109"/>
                                          <a:pt x="232" y="105"/>
                                          <a:pt x="234" y="101"/>
                                        </a:cubicBezTo>
                                        <a:cubicBezTo>
                                          <a:pt x="235" y="100"/>
                                          <a:pt x="235" y="100"/>
                                          <a:pt x="235" y="100"/>
                                        </a:cubicBezTo>
                                        <a:cubicBezTo>
                                          <a:pt x="238" y="93"/>
                                          <a:pt x="240" y="86"/>
                                          <a:pt x="242" y="79"/>
                                        </a:cubicBezTo>
                                        <a:cubicBezTo>
                                          <a:pt x="247" y="71"/>
                                          <a:pt x="253" y="65"/>
                                          <a:pt x="260" y="62"/>
                                        </a:cubicBezTo>
                                        <a:cubicBezTo>
                                          <a:pt x="268" y="58"/>
                                          <a:pt x="279" y="57"/>
                                          <a:pt x="292" y="58"/>
                                        </a:cubicBezTo>
                                        <a:cubicBezTo>
                                          <a:pt x="296" y="58"/>
                                          <a:pt x="300" y="57"/>
                                          <a:pt x="303" y="54"/>
                                        </a:cubicBezTo>
                                        <a:cubicBezTo>
                                          <a:pt x="309" y="48"/>
                                          <a:pt x="309" y="40"/>
                                          <a:pt x="303" y="34"/>
                                        </a:cubicBezTo>
                                        <a:cubicBezTo>
                                          <a:pt x="283" y="15"/>
                                          <a:pt x="260" y="3"/>
                                          <a:pt x="236" y="1"/>
                                        </a:cubicBezTo>
                                        <a:cubicBezTo>
                                          <a:pt x="214" y="0"/>
                                          <a:pt x="192" y="7"/>
                                          <a:pt x="171" y="25"/>
                                        </a:cubicBezTo>
                                        <a:cubicBezTo>
                                          <a:pt x="167" y="26"/>
                                          <a:pt x="162" y="29"/>
                                          <a:pt x="157" y="31"/>
                                        </a:cubicBezTo>
                                        <a:cubicBezTo>
                                          <a:pt x="155" y="32"/>
                                          <a:pt x="152" y="34"/>
                                          <a:pt x="150" y="35"/>
                                        </a:cubicBezTo>
                                        <a:cubicBezTo>
                                          <a:pt x="143" y="28"/>
                                          <a:pt x="143" y="28"/>
                                          <a:pt x="143" y="28"/>
                                        </a:cubicBezTo>
                                        <a:cubicBezTo>
                                          <a:pt x="143" y="28"/>
                                          <a:pt x="143" y="28"/>
                                          <a:pt x="143" y="28"/>
                                        </a:cubicBezTo>
                                        <a:cubicBezTo>
                                          <a:pt x="137" y="23"/>
                                          <a:pt x="129" y="23"/>
                                          <a:pt x="123" y="28"/>
                                        </a:cubicBezTo>
                                        <a:cubicBezTo>
                                          <a:pt x="63" y="88"/>
                                          <a:pt x="63" y="88"/>
                                          <a:pt x="63" y="88"/>
                                        </a:cubicBezTo>
                                        <a:cubicBezTo>
                                          <a:pt x="58" y="94"/>
                                          <a:pt x="58" y="102"/>
                                          <a:pt x="63" y="108"/>
                                        </a:cubicBezTo>
                                        <a:cubicBezTo>
                                          <a:pt x="70" y="115"/>
                                          <a:pt x="70" y="115"/>
                                          <a:pt x="70" y="115"/>
                                        </a:cubicBezTo>
                                        <a:cubicBezTo>
                                          <a:pt x="68" y="117"/>
                                          <a:pt x="68" y="117"/>
                                          <a:pt x="68" y="117"/>
                                        </a:cubicBezTo>
                                        <a:cubicBezTo>
                                          <a:pt x="68" y="118"/>
                                          <a:pt x="68" y="118"/>
                                          <a:pt x="68" y="118"/>
                                        </a:cubicBezTo>
                                        <a:cubicBezTo>
                                          <a:pt x="66" y="121"/>
                                          <a:pt x="65" y="125"/>
                                          <a:pt x="63" y="128"/>
                                        </a:cubicBezTo>
                                        <a:cubicBezTo>
                                          <a:pt x="62" y="129"/>
                                          <a:pt x="60" y="130"/>
                                          <a:pt x="58" y="130"/>
                                        </a:cubicBezTo>
                                        <a:cubicBezTo>
                                          <a:pt x="55" y="131"/>
                                          <a:pt x="50" y="131"/>
                                          <a:pt x="45" y="131"/>
                                        </a:cubicBezTo>
                                        <a:cubicBezTo>
                                          <a:pt x="41" y="131"/>
                                          <a:pt x="37" y="132"/>
                                          <a:pt x="34" y="135"/>
                                        </a:cubicBezTo>
                                        <a:cubicBezTo>
                                          <a:pt x="5" y="165"/>
                                          <a:pt x="5" y="165"/>
                                          <a:pt x="5" y="165"/>
                                        </a:cubicBezTo>
                                        <a:cubicBezTo>
                                          <a:pt x="0" y="170"/>
                                          <a:pt x="0" y="179"/>
                                          <a:pt x="5" y="184"/>
                                        </a:cubicBezTo>
                                        <a:cubicBezTo>
                                          <a:pt x="39" y="218"/>
                                          <a:pt x="39" y="218"/>
                                          <a:pt x="39" y="218"/>
                                        </a:cubicBezTo>
                                        <a:cubicBezTo>
                                          <a:pt x="40" y="219"/>
                                          <a:pt x="40" y="219"/>
                                          <a:pt x="40" y="219"/>
                                        </a:cubicBezTo>
                                        <a:cubicBezTo>
                                          <a:pt x="40" y="219"/>
                                          <a:pt x="40" y="219"/>
                                          <a:pt x="40" y="219"/>
                                        </a:cubicBezTo>
                                        <a:cubicBezTo>
                                          <a:pt x="40" y="219"/>
                                          <a:pt x="40" y="219"/>
                                          <a:pt x="40" y="219"/>
                                        </a:cubicBezTo>
                                        <a:cubicBezTo>
                                          <a:pt x="41" y="220"/>
                                          <a:pt x="41" y="220"/>
                                          <a:pt x="41" y="220"/>
                                        </a:cubicBezTo>
                                        <a:cubicBezTo>
                                          <a:pt x="41" y="220"/>
                                          <a:pt x="41" y="220"/>
                                          <a:pt x="41" y="220"/>
                                        </a:cubicBezTo>
                                        <a:cubicBezTo>
                                          <a:pt x="41" y="220"/>
                                          <a:pt x="41" y="220"/>
                                          <a:pt x="41" y="220"/>
                                        </a:cubicBezTo>
                                        <a:cubicBezTo>
                                          <a:pt x="42" y="221"/>
                                          <a:pt x="42" y="221"/>
                                          <a:pt x="42" y="221"/>
                                        </a:cubicBezTo>
                                        <a:cubicBezTo>
                                          <a:pt x="42" y="221"/>
                                          <a:pt x="42" y="221"/>
                                          <a:pt x="42" y="221"/>
                                        </a:cubicBezTo>
                                        <a:cubicBezTo>
                                          <a:pt x="77" y="256"/>
                                          <a:pt x="77" y="256"/>
                                          <a:pt x="77" y="256"/>
                                        </a:cubicBezTo>
                                        <a:cubicBezTo>
                                          <a:pt x="83" y="262"/>
                                          <a:pt x="91" y="262"/>
                                          <a:pt x="97" y="256"/>
                                        </a:cubicBezTo>
                                        <a:cubicBezTo>
                                          <a:pt x="126" y="227"/>
                                          <a:pt x="126" y="227"/>
                                          <a:pt x="126" y="227"/>
                                        </a:cubicBezTo>
                                        <a:cubicBezTo>
                                          <a:pt x="126" y="227"/>
                                          <a:pt x="126" y="227"/>
                                          <a:pt x="126" y="227"/>
                                        </a:cubicBezTo>
                                        <a:cubicBezTo>
                                          <a:pt x="129" y="224"/>
                                          <a:pt x="131" y="220"/>
                                          <a:pt x="130" y="216"/>
                                        </a:cubicBezTo>
                                        <a:cubicBezTo>
                                          <a:pt x="130" y="212"/>
                                          <a:pt x="130" y="209"/>
                                          <a:pt x="131" y="206"/>
                                        </a:cubicBezTo>
                                        <a:cubicBezTo>
                                          <a:pt x="132" y="204"/>
                                          <a:pt x="133" y="202"/>
                                          <a:pt x="134" y="200"/>
                                        </a:cubicBezTo>
                                        <a:cubicBezTo>
                                          <a:pt x="138" y="199"/>
                                          <a:pt x="141" y="197"/>
                                          <a:pt x="145" y="195"/>
                                        </a:cubicBezTo>
                                        <a:cubicBezTo>
                                          <a:pt x="148" y="193"/>
                                          <a:pt x="148" y="193"/>
                                          <a:pt x="148" y="193"/>
                                        </a:cubicBezTo>
                                        <a:cubicBezTo>
                                          <a:pt x="229" y="274"/>
                                          <a:pt x="229" y="274"/>
                                          <a:pt x="229" y="274"/>
                                        </a:cubicBezTo>
                                        <a:cubicBezTo>
                                          <a:pt x="59" y="444"/>
                                          <a:pt x="59" y="444"/>
                                          <a:pt x="59" y="444"/>
                                        </a:cubicBezTo>
                                        <a:cubicBezTo>
                                          <a:pt x="54" y="450"/>
                                          <a:pt x="54" y="458"/>
                                          <a:pt x="59" y="464"/>
                                        </a:cubicBezTo>
                                        <a:cubicBezTo>
                                          <a:pt x="120" y="524"/>
                                          <a:pt x="120" y="524"/>
                                          <a:pt x="120" y="524"/>
                                        </a:cubicBezTo>
                                        <a:cubicBezTo>
                                          <a:pt x="125" y="529"/>
                                          <a:pt x="134" y="529"/>
                                          <a:pt x="139" y="524"/>
                                        </a:cubicBezTo>
                                        <a:cubicBezTo>
                                          <a:pt x="309" y="354"/>
                                          <a:pt x="309" y="354"/>
                                          <a:pt x="309" y="354"/>
                                        </a:cubicBezTo>
                                        <a:cubicBezTo>
                                          <a:pt x="484" y="529"/>
                                          <a:pt x="484" y="529"/>
                                          <a:pt x="484" y="529"/>
                                        </a:cubicBezTo>
                                        <a:cubicBezTo>
                                          <a:pt x="489" y="534"/>
                                          <a:pt x="498" y="534"/>
                                          <a:pt x="503" y="529"/>
                                        </a:cubicBezTo>
                                        <a:cubicBezTo>
                                          <a:pt x="563" y="468"/>
                                          <a:pt x="563" y="468"/>
                                          <a:pt x="563" y="468"/>
                                        </a:cubicBezTo>
                                        <a:cubicBezTo>
                                          <a:pt x="569" y="463"/>
                                          <a:pt x="569" y="454"/>
                                          <a:pt x="563" y="449"/>
                                        </a:cubicBezTo>
                                        <a:cubicBezTo>
                                          <a:pt x="389" y="274"/>
                                          <a:pt x="389" y="274"/>
                                          <a:pt x="389" y="274"/>
                                        </a:cubicBezTo>
                                        <a:close/>
                                        <a:moveTo>
                                          <a:pt x="160" y="166"/>
                                        </a:moveTo>
                                        <a:cubicBezTo>
                                          <a:pt x="160" y="166"/>
                                          <a:pt x="160" y="166"/>
                                          <a:pt x="160" y="166"/>
                                        </a:cubicBezTo>
                                        <a:cubicBezTo>
                                          <a:pt x="155" y="161"/>
                                          <a:pt x="147" y="161"/>
                                          <a:pt x="142" y="165"/>
                                        </a:cubicBezTo>
                                        <a:cubicBezTo>
                                          <a:pt x="139" y="167"/>
                                          <a:pt x="135" y="169"/>
                                          <a:pt x="132" y="171"/>
                                        </a:cubicBezTo>
                                        <a:cubicBezTo>
                                          <a:pt x="132" y="171"/>
                                          <a:pt x="132" y="171"/>
                                          <a:pt x="132" y="171"/>
                                        </a:cubicBezTo>
                                        <a:cubicBezTo>
                                          <a:pt x="132" y="171"/>
                                          <a:pt x="132" y="171"/>
                                          <a:pt x="132" y="171"/>
                                        </a:cubicBezTo>
                                        <a:cubicBezTo>
                                          <a:pt x="128" y="173"/>
                                          <a:pt x="124" y="175"/>
                                          <a:pt x="121" y="176"/>
                                        </a:cubicBezTo>
                                        <a:cubicBezTo>
                                          <a:pt x="118" y="177"/>
                                          <a:pt x="116" y="179"/>
                                          <a:pt x="115" y="181"/>
                                        </a:cubicBezTo>
                                        <a:cubicBezTo>
                                          <a:pt x="111" y="185"/>
                                          <a:pt x="108" y="191"/>
                                          <a:pt x="106" y="197"/>
                                        </a:cubicBezTo>
                                        <a:cubicBezTo>
                                          <a:pt x="106" y="197"/>
                                          <a:pt x="106" y="197"/>
                                          <a:pt x="106" y="197"/>
                                        </a:cubicBezTo>
                                        <a:cubicBezTo>
                                          <a:pt x="104" y="201"/>
                                          <a:pt x="103" y="206"/>
                                          <a:pt x="103" y="212"/>
                                        </a:cubicBezTo>
                                        <a:cubicBezTo>
                                          <a:pt x="87" y="227"/>
                                          <a:pt x="87" y="227"/>
                                          <a:pt x="87" y="227"/>
                                        </a:cubicBezTo>
                                        <a:cubicBezTo>
                                          <a:pt x="62" y="202"/>
                                          <a:pt x="62" y="202"/>
                                          <a:pt x="62" y="202"/>
                                        </a:cubicBezTo>
                                        <a:cubicBezTo>
                                          <a:pt x="61" y="202"/>
                                          <a:pt x="61" y="202"/>
                                          <a:pt x="61" y="202"/>
                                        </a:cubicBezTo>
                                        <a:cubicBezTo>
                                          <a:pt x="61" y="201"/>
                                          <a:pt x="61" y="201"/>
                                          <a:pt x="61" y="201"/>
                                        </a:cubicBezTo>
                                        <a:cubicBezTo>
                                          <a:pt x="61" y="201"/>
                                          <a:pt x="61" y="201"/>
                                          <a:pt x="61" y="201"/>
                                        </a:cubicBezTo>
                                        <a:cubicBezTo>
                                          <a:pt x="60" y="201"/>
                                          <a:pt x="60" y="201"/>
                                          <a:pt x="60" y="201"/>
                                        </a:cubicBezTo>
                                        <a:cubicBezTo>
                                          <a:pt x="60" y="200"/>
                                          <a:pt x="60" y="200"/>
                                          <a:pt x="60" y="200"/>
                                        </a:cubicBezTo>
                                        <a:cubicBezTo>
                                          <a:pt x="60" y="200"/>
                                          <a:pt x="60" y="200"/>
                                          <a:pt x="60" y="200"/>
                                        </a:cubicBezTo>
                                        <a:cubicBezTo>
                                          <a:pt x="60" y="200"/>
                                          <a:pt x="60" y="200"/>
                                          <a:pt x="60" y="200"/>
                                        </a:cubicBezTo>
                                        <a:cubicBezTo>
                                          <a:pt x="60" y="200"/>
                                          <a:pt x="60" y="200"/>
                                          <a:pt x="60" y="200"/>
                                        </a:cubicBezTo>
                                        <a:cubicBezTo>
                                          <a:pt x="59" y="200"/>
                                          <a:pt x="59" y="200"/>
                                          <a:pt x="59" y="200"/>
                                        </a:cubicBezTo>
                                        <a:cubicBezTo>
                                          <a:pt x="59" y="199"/>
                                          <a:pt x="59" y="199"/>
                                          <a:pt x="59" y="199"/>
                                        </a:cubicBezTo>
                                        <a:cubicBezTo>
                                          <a:pt x="34" y="174"/>
                                          <a:pt x="34" y="174"/>
                                          <a:pt x="34" y="174"/>
                                        </a:cubicBezTo>
                                        <a:cubicBezTo>
                                          <a:pt x="50" y="159"/>
                                          <a:pt x="50" y="159"/>
                                          <a:pt x="50" y="159"/>
                                        </a:cubicBezTo>
                                        <a:cubicBezTo>
                                          <a:pt x="55" y="159"/>
                                          <a:pt x="60" y="158"/>
                                          <a:pt x="65" y="157"/>
                                        </a:cubicBezTo>
                                        <a:cubicBezTo>
                                          <a:pt x="73" y="155"/>
                                          <a:pt x="79" y="151"/>
                                          <a:pt x="84" y="146"/>
                                        </a:cubicBezTo>
                                        <a:cubicBezTo>
                                          <a:pt x="85" y="145"/>
                                          <a:pt x="87" y="143"/>
                                          <a:pt x="87" y="141"/>
                                        </a:cubicBezTo>
                                        <a:cubicBezTo>
                                          <a:pt x="89" y="138"/>
                                          <a:pt x="90" y="135"/>
                                          <a:pt x="92" y="131"/>
                                        </a:cubicBezTo>
                                        <a:cubicBezTo>
                                          <a:pt x="92" y="131"/>
                                          <a:pt x="92" y="131"/>
                                          <a:pt x="92" y="131"/>
                                        </a:cubicBezTo>
                                        <a:cubicBezTo>
                                          <a:pt x="94" y="127"/>
                                          <a:pt x="96" y="124"/>
                                          <a:pt x="99" y="120"/>
                                        </a:cubicBezTo>
                                        <a:cubicBezTo>
                                          <a:pt x="102" y="114"/>
                                          <a:pt x="101" y="107"/>
                                          <a:pt x="96" y="102"/>
                                        </a:cubicBezTo>
                                        <a:cubicBezTo>
                                          <a:pt x="92" y="98"/>
                                          <a:pt x="92" y="98"/>
                                          <a:pt x="92" y="98"/>
                                        </a:cubicBezTo>
                                        <a:cubicBezTo>
                                          <a:pt x="133" y="57"/>
                                          <a:pt x="133" y="57"/>
                                          <a:pt x="133" y="57"/>
                                        </a:cubicBezTo>
                                        <a:cubicBezTo>
                                          <a:pt x="138" y="62"/>
                                          <a:pt x="138" y="62"/>
                                          <a:pt x="138" y="62"/>
                                        </a:cubicBezTo>
                                        <a:cubicBezTo>
                                          <a:pt x="142" y="67"/>
                                          <a:pt x="150" y="67"/>
                                          <a:pt x="155" y="64"/>
                                        </a:cubicBezTo>
                                        <a:cubicBezTo>
                                          <a:pt x="160" y="60"/>
                                          <a:pt x="165" y="58"/>
                                          <a:pt x="169" y="55"/>
                                        </a:cubicBezTo>
                                        <a:cubicBezTo>
                                          <a:pt x="169" y="55"/>
                                          <a:pt x="169" y="55"/>
                                          <a:pt x="169" y="55"/>
                                        </a:cubicBezTo>
                                        <a:cubicBezTo>
                                          <a:pt x="174" y="53"/>
                                          <a:pt x="179" y="51"/>
                                          <a:pt x="183" y="50"/>
                                        </a:cubicBezTo>
                                        <a:cubicBezTo>
                                          <a:pt x="185" y="49"/>
                                          <a:pt x="186" y="48"/>
                                          <a:pt x="188" y="47"/>
                                        </a:cubicBezTo>
                                        <a:cubicBezTo>
                                          <a:pt x="203" y="33"/>
                                          <a:pt x="219" y="28"/>
                                          <a:pt x="234" y="28"/>
                                        </a:cubicBezTo>
                                        <a:cubicBezTo>
                                          <a:pt x="241" y="29"/>
                                          <a:pt x="249" y="31"/>
                                          <a:pt x="256" y="34"/>
                                        </a:cubicBezTo>
                                        <a:cubicBezTo>
                                          <a:pt x="253" y="35"/>
                                          <a:pt x="251" y="36"/>
                                          <a:pt x="249" y="37"/>
                                        </a:cubicBezTo>
                                        <a:cubicBezTo>
                                          <a:pt x="249" y="37"/>
                                          <a:pt x="249" y="37"/>
                                          <a:pt x="249" y="37"/>
                                        </a:cubicBezTo>
                                        <a:cubicBezTo>
                                          <a:pt x="235" y="43"/>
                                          <a:pt x="225" y="53"/>
                                          <a:pt x="217" y="68"/>
                                        </a:cubicBezTo>
                                        <a:cubicBezTo>
                                          <a:pt x="216" y="69"/>
                                          <a:pt x="216" y="70"/>
                                          <a:pt x="216" y="72"/>
                                        </a:cubicBezTo>
                                        <a:cubicBezTo>
                                          <a:pt x="216" y="72"/>
                                          <a:pt x="216" y="72"/>
                                          <a:pt x="216" y="72"/>
                                        </a:cubicBezTo>
                                        <a:cubicBezTo>
                                          <a:pt x="215" y="77"/>
                                          <a:pt x="212" y="83"/>
                                          <a:pt x="210" y="89"/>
                                        </a:cubicBezTo>
                                        <a:cubicBezTo>
                                          <a:pt x="209" y="89"/>
                                          <a:pt x="209" y="89"/>
                                          <a:pt x="209" y="89"/>
                                        </a:cubicBezTo>
                                        <a:cubicBezTo>
                                          <a:pt x="207" y="95"/>
                                          <a:pt x="203" y="102"/>
                                          <a:pt x="199" y="108"/>
                                        </a:cubicBezTo>
                                        <a:cubicBezTo>
                                          <a:pt x="195" y="114"/>
                                          <a:pt x="196" y="121"/>
                                          <a:pt x="201" y="125"/>
                                        </a:cubicBezTo>
                                        <a:cubicBezTo>
                                          <a:pt x="290" y="214"/>
                                          <a:pt x="290" y="214"/>
                                          <a:pt x="290" y="214"/>
                                        </a:cubicBezTo>
                                        <a:cubicBezTo>
                                          <a:pt x="249" y="255"/>
                                          <a:pt x="249" y="255"/>
                                          <a:pt x="249" y="255"/>
                                        </a:cubicBezTo>
                                        <a:cubicBezTo>
                                          <a:pt x="160" y="166"/>
                                          <a:pt x="160" y="166"/>
                                          <a:pt x="160" y="166"/>
                                        </a:cubicBezTo>
                                        <a:close/>
                                        <a:moveTo>
                                          <a:pt x="129" y="495"/>
                                        </a:moveTo>
                                        <a:cubicBezTo>
                                          <a:pt x="129" y="495"/>
                                          <a:pt x="129" y="495"/>
                                          <a:pt x="129" y="495"/>
                                        </a:cubicBezTo>
                                        <a:cubicBezTo>
                                          <a:pt x="89" y="454"/>
                                          <a:pt x="89" y="454"/>
                                          <a:pt x="89" y="454"/>
                                        </a:cubicBezTo>
                                        <a:cubicBezTo>
                                          <a:pt x="259" y="284"/>
                                          <a:pt x="259" y="284"/>
                                          <a:pt x="259" y="284"/>
                                        </a:cubicBezTo>
                                        <a:cubicBezTo>
                                          <a:pt x="362" y="180"/>
                                          <a:pt x="362" y="180"/>
                                          <a:pt x="362" y="180"/>
                                        </a:cubicBezTo>
                                        <a:cubicBezTo>
                                          <a:pt x="366" y="176"/>
                                          <a:pt x="367" y="171"/>
                                          <a:pt x="366" y="166"/>
                                        </a:cubicBezTo>
                                        <a:cubicBezTo>
                                          <a:pt x="364" y="162"/>
                                          <a:pt x="364" y="162"/>
                                          <a:pt x="364" y="162"/>
                                        </a:cubicBezTo>
                                        <a:cubicBezTo>
                                          <a:pt x="363" y="158"/>
                                          <a:pt x="363" y="158"/>
                                          <a:pt x="363" y="158"/>
                                        </a:cubicBezTo>
                                        <a:cubicBezTo>
                                          <a:pt x="363" y="158"/>
                                          <a:pt x="363" y="158"/>
                                          <a:pt x="363" y="158"/>
                                        </a:cubicBezTo>
                                        <a:cubicBezTo>
                                          <a:pt x="356" y="131"/>
                                          <a:pt x="360" y="105"/>
                                          <a:pt x="373" y="83"/>
                                        </a:cubicBezTo>
                                        <a:cubicBezTo>
                                          <a:pt x="386" y="61"/>
                                          <a:pt x="407" y="44"/>
                                          <a:pt x="433" y="37"/>
                                        </a:cubicBezTo>
                                        <a:cubicBezTo>
                                          <a:pt x="449" y="32"/>
                                          <a:pt x="464" y="32"/>
                                          <a:pt x="479" y="35"/>
                                        </a:cubicBezTo>
                                        <a:cubicBezTo>
                                          <a:pt x="484" y="36"/>
                                          <a:pt x="489" y="38"/>
                                          <a:pt x="493" y="39"/>
                                        </a:cubicBezTo>
                                        <a:cubicBezTo>
                                          <a:pt x="489" y="41"/>
                                          <a:pt x="489" y="41"/>
                                          <a:pt x="489" y="41"/>
                                        </a:cubicBezTo>
                                        <a:cubicBezTo>
                                          <a:pt x="452" y="51"/>
                                          <a:pt x="452" y="51"/>
                                          <a:pt x="452" y="51"/>
                                        </a:cubicBezTo>
                                        <a:cubicBezTo>
                                          <a:pt x="447" y="52"/>
                                          <a:pt x="443" y="55"/>
                                          <a:pt x="442" y="60"/>
                                        </a:cubicBezTo>
                                        <a:cubicBezTo>
                                          <a:pt x="422" y="135"/>
                                          <a:pt x="422" y="135"/>
                                          <a:pt x="422" y="135"/>
                                        </a:cubicBezTo>
                                        <a:cubicBezTo>
                                          <a:pt x="421" y="140"/>
                                          <a:pt x="422" y="145"/>
                                          <a:pt x="425" y="148"/>
                                        </a:cubicBezTo>
                                        <a:cubicBezTo>
                                          <a:pt x="453" y="176"/>
                                          <a:pt x="453" y="176"/>
                                          <a:pt x="453" y="176"/>
                                        </a:cubicBezTo>
                                        <a:cubicBezTo>
                                          <a:pt x="453" y="176"/>
                                          <a:pt x="453" y="176"/>
                                          <a:pt x="453" y="176"/>
                                        </a:cubicBezTo>
                                        <a:cubicBezTo>
                                          <a:pt x="480" y="202"/>
                                          <a:pt x="480" y="202"/>
                                          <a:pt x="480" y="202"/>
                                        </a:cubicBezTo>
                                        <a:cubicBezTo>
                                          <a:pt x="483" y="206"/>
                                          <a:pt x="488" y="208"/>
                                          <a:pt x="493" y="207"/>
                                        </a:cubicBezTo>
                                        <a:cubicBezTo>
                                          <a:pt x="531" y="196"/>
                                          <a:pt x="531" y="196"/>
                                          <a:pt x="531" y="196"/>
                                        </a:cubicBezTo>
                                        <a:cubicBezTo>
                                          <a:pt x="535" y="195"/>
                                          <a:pt x="535" y="195"/>
                                          <a:pt x="535" y="195"/>
                                        </a:cubicBezTo>
                                        <a:cubicBezTo>
                                          <a:pt x="532" y="199"/>
                                          <a:pt x="528" y="203"/>
                                          <a:pt x="525" y="206"/>
                                        </a:cubicBezTo>
                                        <a:cubicBezTo>
                                          <a:pt x="514" y="216"/>
                                          <a:pt x="500" y="224"/>
                                          <a:pt x="484" y="228"/>
                                        </a:cubicBezTo>
                                        <a:cubicBezTo>
                                          <a:pt x="473" y="231"/>
                                          <a:pt x="461" y="232"/>
                                          <a:pt x="449" y="231"/>
                                        </a:cubicBezTo>
                                        <a:cubicBezTo>
                                          <a:pt x="438" y="230"/>
                                          <a:pt x="427" y="227"/>
                                          <a:pt x="416" y="222"/>
                                        </a:cubicBezTo>
                                        <a:cubicBezTo>
                                          <a:pt x="411" y="219"/>
                                          <a:pt x="404" y="220"/>
                                          <a:pt x="400" y="224"/>
                                        </a:cubicBezTo>
                                        <a:cubicBezTo>
                                          <a:pt x="129" y="495"/>
                                          <a:pt x="129" y="495"/>
                                          <a:pt x="129" y="495"/>
                                        </a:cubicBezTo>
                                        <a:close/>
                                        <a:moveTo>
                                          <a:pt x="494" y="499"/>
                                        </a:moveTo>
                                        <a:cubicBezTo>
                                          <a:pt x="494" y="499"/>
                                          <a:pt x="494" y="499"/>
                                          <a:pt x="494" y="499"/>
                                        </a:cubicBezTo>
                                        <a:cubicBezTo>
                                          <a:pt x="328" y="334"/>
                                          <a:pt x="328" y="334"/>
                                          <a:pt x="328" y="334"/>
                                        </a:cubicBezTo>
                                        <a:cubicBezTo>
                                          <a:pt x="369" y="294"/>
                                          <a:pt x="369" y="294"/>
                                          <a:pt x="369" y="294"/>
                                        </a:cubicBezTo>
                                        <a:cubicBezTo>
                                          <a:pt x="534" y="459"/>
                                          <a:pt x="534" y="459"/>
                                          <a:pt x="534" y="459"/>
                                        </a:cubicBezTo>
                                        <a:cubicBezTo>
                                          <a:pt x="494" y="499"/>
                                          <a:pt x="494" y="499"/>
                                          <a:pt x="494" y="49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5" name="Freeform 6"/>
                                <wps:cNvSpPr>
                                  <a:spLocks/>
                                </wps:cNvSpPr>
                                <wps:spPr bwMode="auto">
                                  <a:xfrm>
                                    <a:off x="263525" y="340360"/>
                                    <a:ext cx="114935" cy="114935"/>
                                  </a:xfrm>
                                  <a:custGeom>
                                    <a:avLst/>
                                    <a:gdLst>
                                      <a:gd name="T0" fmla="*/ 39 w 181"/>
                                      <a:gd name="T1" fmla="*/ 181 h 181"/>
                                      <a:gd name="T2" fmla="*/ 0 w 181"/>
                                      <a:gd name="T3" fmla="*/ 142 h 181"/>
                                      <a:gd name="T4" fmla="*/ 142 w 181"/>
                                      <a:gd name="T5" fmla="*/ 0 h 181"/>
                                      <a:gd name="T6" fmla="*/ 181 w 181"/>
                                      <a:gd name="T7" fmla="*/ 39 h 181"/>
                                      <a:gd name="T8" fmla="*/ 39 w 181"/>
                                      <a:gd name="T9" fmla="*/ 181 h 181"/>
                                    </a:gdLst>
                                    <a:ahLst/>
                                    <a:cxnLst>
                                      <a:cxn ang="0">
                                        <a:pos x="T0" y="T1"/>
                                      </a:cxn>
                                      <a:cxn ang="0">
                                        <a:pos x="T2" y="T3"/>
                                      </a:cxn>
                                      <a:cxn ang="0">
                                        <a:pos x="T4" y="T5"/>
                                      </a:cxn>
                                      <a:cxn ang="0">
                                        <a:pos x="T6" y="T7"/>
                                      </a:cxn>
                                      <a:cxn ang="0">
                                        <a:pos x="T8" y="T9"/>
                                      </a:cxn>
                                    </a:cxnLst>
                                    <a:rect l="0" t="0" r="r" b="b"/>
                                    <a:pathLst>
                                      <a:path w="181" h="181">
                                        <a:moveTo>
                                          <a:pt x="39" y="181"/>
                                        </a:moveTo>
                                        <a:lnTo>
                                          <a:pt x="0" y="142"/>
                                        </a:lnTo>
                                        <a:lnTo>
                                          <a:pt x="142" y="0"/>
                                        </a:lnTo>
                                        <a:lnTo>
                                          <a:pt x="181" y="39"/>
                                        </a:lnTo>
                                        <a:lnTo>
                                          <a:pt x="39" y="18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466" name="Oval 7"/>
                              <wps:cNvSpPr>
                                <a:spLocks noChangeArrowheads="1"/>
                              </wps:cNvSpPr>
                              <wps:spPr bwMode="auto">
                                <a:xfrm>
                                  <a:off x="170815" y="760095"/>
                                  <a:ext cx="34925" cy="349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498109" id="Group 1345" o:spid="_x0000_s1026" style="position:absolute;margin-left:24.05pt;margin-top:3pt;width:36.05pt;height:33.3pt;z-index:251586560;mso-width-relative:margin;mso-height-relative:margin" coordorigin="-25,1206" coordsize="8388,7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">
                      <v:group id="Group 1346" o:spid="_x0000_s1027" style="position:absolute;left:-25;top:1206;width:8387;height:7760" coordorigin="-25,1206" coordsize="8388,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5" o:spid="_x0000_s1028" style="position:absolute;left:-25;top:1206;width:8387;height:7760;visibility:visible;mso-wrap-style:square;v-text-anchor:top" coordsize="57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" path="m389,274v24,-24,24,-24,24,-24c424,254,435,257,447,258v15,1,30,,44,-4c511,249,529,239,543,227v15,-14,26,-30,34,-49c579,171,576,163,569,161v-3,-1,-6,-2,-9,-1c524,170,524,170,524,170v-30,8,-30,8,-30,8c472,156,472,156,472,156,450,134,450,134,450,134v8,-29,8,-29,8,-29c466,75,466,75,466,75v30,-8,30,-8,30,-8c533,57,533,57,533,57v7,-2,11,-9,9,-16c541,38,540,35,538,33,522,21,504,12,484,8,466,4,446,5,426,10v-34,9,-60,31,-77,59c333,97,328,131,337,165v,1,,1,,1c337,166,337,166,337,166v-28,29,-28,29,-28,29c228,113,228,113,228,113v2,-4,4,-8,6,-12c235,100,235,100,235,100v3,-7,5,-14,7,-21c247,71,253,65,260,62v8,-4,19,-5,32,-4c296,58,300,57,303,54v6,-6,6,-14,,-20c283,15,260,3,236,1,214,,192,7,171,25v-4,1,-9,4,-14,6c155,32,152,34,150,35v-7,-7,-7,-7,-7,-7c143,28,143,28,143,28v-6,-5,-14,-5,-20,c63,88,63,88,63,88v-5,6,-5,14,,20c70,115,70,115,70,115v-2,2,-2,2,-2,2c68,118,68,118,68,118v-2,3,-3,7,-5,10c62,129,60,130,58,130v-3,1,-8,1,-13,1c41,131,37,132,34,135,5,165,5,165,5,165v-5,5,-5,14,,19c39,218,39,218,39,218v1,1,1,1,1,1c40,219,40,219,40,219v,,,,,c41,220,41,220,41,220v,,,,,c41,220,41,220,41,220v1,1,1,1,1,1c42,221,42,221,42,221v35,35,35,35,35,35c83,262,91,262,97,256v29,-29,29,-29,29,-29c126,227,126,227,126,227v3,-3,5,-7,4,-11c130,212,130,209,131,206v1,-2,2,-4,3,-6c138,199,141,197,145,195v3,-2,3,-2,3,-2c229,274,229,274,229,274,59,444,59,444,59,444v-5,6,-5,14,,20c120,524,120,524,120,524v5,5,14,5,19,c309,354,309,354,309,354,484,529,484,529,484,529v5,5,14,5,19,c563,468,563,468,563,468v6,-5,6,-14,,-19c389,274,389,274,389,274xm160,166v,,,,,c155,161,147,161,142,165v-3,2,-7,4,-10,6c132,171,132,171,132,171v,,,,,c128,173,124,175,121,176v-3,1,-5,3,-6,5c111,185,108,191,106,197v,,,,,c104,201,103,206,103,212,87,227,87,227,87,227,62,202,62,202,62,202v-1,,-1,,-1,c61,201,61,201,61,201v,,,,,c60,201,60,201,60,201v,-1,,-1,,-1c60,200,60,200,60,200v,,,,,c60,200,60,200,60,200v-1,,-1,,-1,c59,199,59,199,59,199,34,174,34,174,34,174,50,159,50,159,50,159v5,,10,-1,15,-2c73,155,79,151,84,146v1,-1,3,-3,3,-5c89,138,90,135,92,131v,,,,,c94,127,96,124,99,120v3,-6,2,-13,-3,-18c92,98,92,98,92,98,133,57,133,57,133,57v5,5,5,5,5,5c142,67,150,67,155,64v5,-4,10,-6,14,-9c169,55,169,55,169,55v5,-2,10,-4,14,-5c185,49,186,48,188,47,203,33,219,28,234,28v7,1,15,3,22,6c253,35,251,36,249,37v,,,,,c235,43,225,53,217,68v-1,1,-1,2,-1,4c216,72,216,72,216,72v-1,5,-4,11,-6,17c209,89,209,89,209,89v-2,6,-6,13,-10,19c195,114,196,121,201,125v89,89,89,89,89,89c249,255,249,255,249,255,160,166,160,166,160,166xm129,495v,,,,,c89,454,89,454,89,454,259,284,259,284,259,284,362,180,362,180,362,180v4,-4,5,-9,4,-14c364,162,364,162,364,162v-1,-4,-1,-4,-1,-4c363,158,363,158,363,158v-7,-27,-3,-53,10,-75c386,61,407,44,433,37v16,-5,31,-5,46,-2c484,36,489,38,493,39v-4,2,-4,2,-4,2c452,51,452,51,452,51v-5,1,-9,4,-10,9c422,135,422,135,422,135v-1,5,,10,3,13c453,176,453,176,453,176v,,,,,c480,202,480,202,480,202v3,4,8,6,13,5c531,196,531,196,531,196v4,-1,4,-1,4,-1c532,199,528,203,525,206v-11,10,-25,18,-41,22c473,231,461,232,449,231v-11,-1,-22,-4,-33,-9c411,219,404,220,400,224,129,495,129,495,129,495xm494,499v,,,,,c328,334,328,334,328,334v41,-40,41,-40,41,-40c534,459,534,459,534,459v-40,40,-40,40,-40,40xe" filled="f" stroked="f">
                          <v:path arrowok="t" o:connecttype="custom" o:connectlocs="647598,374907;835937,258657;759153,247032;651944,194719;718587,97360;779436,47953;505619,100266;488234,241219;339011,146766;376679,90094;438976,49406;227456,45047;207173,40688;91272,156938;98516,171469;65194,190360;7244,267375;57951,318235;59399,319688;60848,321141;182544,329860;189788,299344;214417,280454;85477,674251;447668,514407;815655,680064;231802,241219;191237,248485;175301,255750;153569,286266;89823,293532;88375,292079;86926,290625;85477,290625;72438,231047;126043,204891;143428,174375;192686,82828;244841,79922;272368,68297;360743,53766;312933,104625;302792,129328;420142,310969;186891,719298;375230,412688;527351,235407;540389,120610;714241,56672;640354,87188;656291,255750;714241,300797;760602,299344;602686,322594;715690,725111;534594,427219" o:connectangles="0,0,0,0,0,0,0,0,0,0,0,0,0,0,0,0,0,0,0,0,0,0,0,0,0,0,0,0,0,0,0,0,0,0,0,0,0,0,0,0,0,0,0,0,0,0,0,0,0,0,0,0,0,0,0,0"/>
                          <o:lock v:ext="edit" verticies="t"/>
                        </v:shape>
                        <v:shape id="Freeform 6" o:spid="_x0000_s1029" style="position:absolute;left:2635;top:3403;width:1149;height:1149;visibility:visible;mso-wrap-style:square;v-text-anchor:top" coordsize="1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" path="m39,181l,142,142,r39,39l39,181xe" filled="f" stroked="f">
                          <v:path arrowok="t" o:connecttype="custom" o:connectlocs="24765,114935;0,90170;90170,0;114935,24765;24765,114935" o:connectangles="0,0,0,0,0"/>
                        </v:shape>
                      </v:group>
                      <v:oval id="Oval 7" o:spid="_x0000_s1030" style="position:absolute;left:1708;top:7600;width:349;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" filled="f" stroked="f"/>
                    </v:group>
                  </w:pict>
                </mc:Fallback>
              </mc:AlternateContent>
            </w:r>
          </w:p>
          <w:p w14:paraId="5A66B341" w14:textId="77777777" w:rsidR="00643C2E" w:rsidRPr="00A04E56" w:rsidRDefault="00643C2E" w:rsidP="00F34DC9"/>
          <w:p w14:paraId="30F7AFE9" w14:textId="77777777" w:rsidR="00643C2E" w:rsidRPr="00A04E56" w:rsidRDefault="00643C2E" w:rsidP="00F34DC9"/>
        </w:tc>
        <w:tc>
          <w:tcPr>
            <w:tcW w:w="2513" w:type="dxa"/>
            <w:vAlign w:val="center"/>
          </w:tcPr>
          <w:p w14:paraId="29245BAE" w14:textId="77777777" w:rsidR="00643C2E" w:rsidRPr="00A04E56" w:rsidRDefault="00643C2E" w:rsidP="00F34DC9">
            <w:r w:rsidRPr="00A04E56">
              <w:rPr>
                <w:noProof/>
                <w:lang w:val="fr-BE" w:eastAsia="fr-BE"/>
              </w:rPr>
              <mc:AlternateContent>
                <mc:Choice Requires="wpg">
                  <w:drawing>
                    <wp:anchor distT="0" distB="0" distL="114300" distR="114300" simplePos="0" relativeHeight="251549696" behindDoc="0" locked="0" layoutInCell="1" allowOverlap="1" wp14:anchorId="57EC9002" wp14:editId="3F6B0CA8">
                      <wp:simplePos x="0" y="0"/>
                      <wp:positionH relativeFrom="column">
                        <wp:posOffset>443865</wp:posOffset>
                      </wp:positionH>
                      <wp:positionV relativeFrom="paragraph">
                        <wp:posOffset>67310</wp:posOffset>
                      </wp:positionV>
                      <wp:extent cx="467360" cy="468000"/>
                      <wp:effectExtent l="0" t="0" r="8890" b="8255"/>
                      <wp:wrapNone/>
                      <wp:docPr id="14467" name="Group 14467"/>
                      <wp:cNvGraphicFramePr/>
                      <a:graphic xmlns:a="http://schemas.openxmlformats.org/drawingml/2006/main">
                        <a:graphicData uri="http://schemas.microsoft.com/office/word/2010/wordprocessingGroup">
                          <wpg:wgp>
                            <wpg:cNvGrpSpPr/>
                            <wpg:grpSpPr>
                              <a:xfrm>
                                <a:off x="0" y="0"/>
                                <a:ext cx="467360" cy="468000"/>
                                <a:chOff x="0" y="0"/>
                                <a:chExt cx="856914" cy="888589"/>
                              </a:xfrm>
                              <a:solidFill>
                                <a:srgbClr val="65BBC8"/>
                              </a:solidFill>
                            </wpg:grpSpPr>
                            <wps:wsp>
                              <wps:cNvPr id="14468" name="Freeform 8"/>
                              <wps:cNvSpPr>
                                <a:spLocks noEditPoints="1"/>
                              </wps:cNvSpPr>
                              <wps:spPr bwMode="auto">
                                <a:xfrm>
                                  <a:off x="0" y="118334"/>
                                  <a:ext cx="768350" cy="770255"/>
                                </a:xfrm>
                                <a:custGeom>
                                  <a:avLst/>
                                  <a:gdLst>
                                    <a:gd name="T0" fmla="*/ 265 w 530"/>
                                    <a:gd name="T1" fmla="*/ 530 h 530"/>
                                    <a:gd name="T2" fmla="*/ 0 w 530"/>
                                    <a:gd name="T3" fmla="*/ 265 h 530"/>
                                    <a:gd name="T4" fmla="*/ 265 w 530"/>
                                    <a:gd name="T5" fmla="*/ 0 h 530"/>
                                    <a:gd name="T6" fmla="*/ 314 w 530"/>
                                    <a:gd name="T7" fmla="*/ 4 h 530"/>
                                    <a:gd name="T8" fmla="*/ 326 w 530"/>
                                    <a:gd name="T9" fmla="*/ 7 h 530"/>
                                    <a:gd name="T10" fmla="*/ 281 w 530"/>
                                    <a:gd name="T11" fmla="*/ 248 h 530"/>
                                    <a:gd name="T12" fmla="*/ 514 w 530"/>
                                    <a:gd name="T13" fmla="*/ 173 h 530"/>
                                    <a:gd name="T14" fmla="*/ 518 w 530"/>
                                    <a:gd name="T15" fmla="*/ 184 h 530"/>
                                    <a:gd name="T16" fmla="*/ 530 w 530"/>
                                    <a:gd name="T17" fmla="*/ 265 h 530"/>
                                    <a:gd name="T18" fmla="*/ 265 w 530"/>
                                    <a:gd name="T19" fmla="*/ 530 h 530"/>
                                    <a:gd name="T20" fmla="*/ 265 w 530"/>
                                    <a:gd name="T21" fmla="*/ 24 h 530"/>
                                    <a:gd name="T22" fmla="*/ 24 w 530"/>
                                    <a:gd name="T23" fmla="*/ 265 h 530"/>
                                    <a:gd name="T24" fmla="*/ 265 w 530"/>
                                    <a:gd name="T25" fmla="*/ 506 h 530"/>
                                    <a:gd name="T26" fmla="*/ 506 w 530"/>
                                    <a:gd name="T27" fmla="*/ 265 h 530"/>
                                    <a:gd name="T28" fmla="*/ 498 w 530"/>
                                    <a:gd name="T29" fmla="*/ 203 h 530"/>
                                    <a:gd name="T30" fmla="*/ 250 w 530"/>
                                    <a:gd name="T31" fmla="*/ 283 h 530"/>
                                    <a:gd name="T32" fmla="*/ 298 w 530"/>
                                    <a:gd name="T33" fmla="*/ 26 h 530"/>
                                    <a:gd name="T34" fmla="*/ 265 w 530"/>
                                    <a:gd name="T35" fmla="*/ 24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30" h="530">
                                      <a:moveTo>
                                        <a:pt x="265" y="530"/>
                                      </a:moveTo>
                                      <a:cubicBezTo>
                                        <a:pt x="119" y="530"/>
                                        <a:pt x="0" y="411"/>
                                        <a:pt x="0" y="265"/>
                                      </a:cubicBezTo>
                                      <a:cubicBezTo>
                                        <a:pt x="0" y="119"/>
                                        <a:pt x="119" y="0"/>
                                        <a:pt x="265" y="0"/>
                                      </a:cubicBezTo>
                                      <a:cubicBezTo>
                                        <a:pt x="281" y="0"/>
                                        <a:pt x="298" y="1"/>
                                        <a:pt x="314" y="4"/>
                                      </a:cubicBezTo>
                                      <a:cubicBezTo>
                                        <a:pt x="326" y="7"/>
                                        <a:pt x="326" y="7"/>
                                        <a:pt x="326" y="7"/>
                                      </a:cubicBezTo>
                                      <a:cubicBezTo>
                                        <a:pt x="281" y="248"/>
                                        <a:pt x="281" y="248"/>
                                        <a:pt x="281" y="248"/>
                                      </a:cubicBezTo>
                                      <a:cubicBezTo>
                                        <a:pt x="514" y="173"/>
                                        <a:pt x="514" y="173"/>
                                        <a:pt x="514" y="173"/>
                                      </a:cubicBezTo>
                                      <a:cubicBezTo>
                                        <a:pt x="518" y="184"/>
                                        <a:pt x="518" y="184"/>
                                        <a:pt x="518" y="184"/>
                                      </a:cubicBezTo>
                                      <a:cubicBezTo>
                                        <a:pt x="526" y="211"/>
                                        <a:pt x="530" y="238"/>
                                        <a:pt x="530" y="265"/>
                                      </a:cubicBezTo>
                                      <a:cubicBezTo>
                                        <a:pt x="530" y="411"/>
                                        <a:pt x="412" y="530"/>
                                        <a:pt x="265" y="530"/>
                                      </a:cubicBezTo>
                                      <a:close/>
                                      <a:moveTo>
                                        <a:pt x="265" y="24"/>
                                      </a:moveTo>
                                      <a:cubicBezTo>
                                        <a:pt x="132" y="24"/>
                                        <a:pt x="24" y="132"/>
                                        <a:pt x="24" y="265"/>
                                      </a:cubicBezTo>
                                      <a:cubicBezTo>
                                        <a:pt x="24" y="398"/>
                                        <a:pt x="132" y="506"/>
                                        <a:pt x="265" y="506"/>
                                      </a:cubicBezTo>
                                      <a:cubicBezTo>
                                        <a:pt x="398" y="506"/>
                                        <a:pt x="506" y="398"/>
                                        <a:pt x="506" y="265"/>
                                      </a:cubicBezTo>
                                      <a:cubicBezTo>
                                        <a:pt x="506" y="244"/>
                                        <a:pt x="504" y="223"/>
                                        <a:pt x="498" y="203"/>
                                      </a:cubicBezTo>
                                      <a:cubicBezTo>
                                        <a:pt x="250" y="283"/>
                                        <a:pt x="250" y="283"/>
                                        <a:pt x="250" y="283"/>
                                      </a:cubicBezTo>
                                      <a:cubicBezTo>
                                        <a:pt x="298" y="26"/>
                                        <a:pt x="298" y="26"/>
                                        <a:pt x="298" y="26"/>
                                      </a:cubicBezTo>
                                      <a:cubicBezTo>
                                        <a:pt x="287" y="25"/>
                                        <a:pt x="276" y="24"/>
                                        <a:pt x="265" y="24"/>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9" name="Freeform 9"/>
                              <wps:cNvSpPr>
                                <a:spLocks noEditPoints="1"/>
                              </wps:cNvSpPr>
                              <wps:spPr bwMode="auto">
                                <a:xfrm>
                                  <a:off x="462579" y="0"/>
                                  <a:ext cx="394335" cy="407035"/>
                                </a:xfrm>
                                <a:custGeom>
                                  <a:avLst/>
                                  <a:gdLst>
                                    <a:gd name="T0" fmla="*/ 0 w 272"/>
                                    <a:gd name="T1" fmla="*/ 280 h 280"/>
                                    <a:gd name="T2" fmla="*/ 53 w 272"/>
                                    <a:gd name="T3" fmla="*/ 0 h 280"/>
                                    <a:gd name="T4" fmla="*/ 64 w 272"/>
                                    <a:gd name="T5" fmla="*/ 2 h 280"/>
                                    <a:gd name="T6" fmla="*/ 268 w 272"/>
                                    <a:gd name="T7" fmla="*/ 182 h 280"/>
                                    <a:gd name="T8" fmla="*/ 272 w 272"/>
                                    <a:gd name="T9" fmla="*/ 194 h 280"/>
                                    <a:gd name="T10" fmla="*/ 0 w 272"/>
                                    <a:gd name="T11" fmla="*/ 280 h 280"/>
                                    <a:gd name="T12" fmla="*/ 72 w 272"/>
                                    <a:gd name="T13" fmla="*/ 28 h 280"/>
                                    <a:gd name="T14" fmla="*/ 31 w 272"/>
                                    <a:gd name="T15" fmla="*/ 245 h 280"/>
                                    <a:gd name="T16" fmla="*/ 241 w 272"/>
                                    <a:gd name="T17" fmla="*/ 178 h 280"/>
                                    <a:gd name="T18" fmla="*/ 72 w 272"/>
                                    <a:gd name="T19" fmla="*/ 28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2" h="280">
                                      <a:moveTo>
                                        <a:pt x="0" y="280"/>
                                      </a:moveTo>
                                      <a:cubicBezTo>
                                        <a:pt x="53" y="0"/>
                                        <a:pt x="53" y="0"/>
                                        <a:pt x="53" y="0"/>
                                      </a:cubicBezTo>
                                      <a:cubicBezTo>
                                        <a:pt x="64" y="2"/>
                                        <a:pt x="64" y="2"/>
                                        <a:pt x="64" y="2"/>
                                      </a:cubicBezTo>
                                      <a:cubicBezTo>
                                        <a:pt x="160" y="20"/>
                                        <a:pt x="238" y="89"/>
                                        <a:pt x="268" y="182"/>
                                      </a:cubicBezTo>
                                      <a:cubicBezTo>
                                        <a:pt x="272" y="194"/>
                                        <a:pt x="272" y="194"/>
                                        <a:pt x="272" y="194"/>
                                      </a:cubicBezTo>
                                      <a:lnTo>
                                        <a:pt x="0" y="280"/>
                                      </a:lnTo>
                                      <a:close/>
                                      <a:moveTo>
                                        <a:pt x="72" y="28"/>
                                      </a:moveTo>
                                      <a:cubicBezTo>
                                        <a:pt x="31" y="245"/>
                                        <a:pt x="31" y="245"/>
                                        <a:pt x="31" y="245"/>
                                      </a:cubicBezTo>
                                      <a:cubicBezTo>
                                        <a:pt x="241" y="178"/>
                                        <a:pt x="241" y="178"/>
                                        <a:pt x="241" y="178"/>
                                      </a:cubicBezTo>
                                      <a:cubicBezTo>
                                        <a:pt x="213" y="103"/>
                                        <a:pt x="150" y="47"/>
                                        <a:pt x="72" y="28"/>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FD315D" id="Group 14467" o:spid="_x0000_s1026" style="position:absolute;margin-left:34.95pt;margin-top:5.3pt;width:36.8pt;height:36.85pt;z-index:251549696;mso-width-relative:margin;mso-height-relative:margin" coordsize="8569,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">
                      <v:shape id="Freeform 8" o:spid="_x0000_s1027" style="position:absolute;top:1183;width:7683;height:7702;visibility:visible;mso-wrap-style:square;v-text-anchor:top" coordsize="5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" path="m265,530c119,530,,411,,265,,119,119,,265,v16,,33,1,49,4c326,7,326,7,326,7,281,248,281,248,281,248,514,173,514,173,514,173v4,11,4,11,4,11c526,211,530,238,530,265v,146,-118,265,-265,265xm265,24c132,24,24,132,24,265v,133,108,241,241,241c398,506,506,398,506,265v,-21,-2,-42,-8,-62c250,283,250,283,250,283,298,26,298,26,298,26,287,25,276,24,265,24xe" filled="f" stroked="f">
                        <v:path arrowok="t" o:connecttype="custom" o:connectlocs="384175,770255;0,385128;384175,0;455211,5813;472608,10173;407370,360421;745155,251423;750953,267409;768350,385128;384175,770255;384175,34879;34793,385128;384175,735376;733557,385128;721959,295022;362429,411287;432016,37786;384175,34879" o:connectangles="0,0,0,0,0,0,0,0,0,0,0,0,0,0,0,0,0,0"/>
                        <o:lock v:ext="edit" verticies="t"/>
                      </v:shape>
                      <v:shape id="Freeform 9" o:spid="_x0000_s1028" style="position:absolute;left:4625;width:3944;height:4070;visibility:visible;mso-wrap-style:square;v-text-anchor:top" coordsize="2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" path="m,280c53,,53,,53,,64,2,64,2,64,2v96,18,174,87,204,180c272,194,272,194,272,194l,280xm72,28c31,245,31,245,31,245,241,178,241,178,241,178,213,103,150,47,72,28xe" filled="f" stroked="f">
                        <v:path arrowok="t" o:connecttype="custom" o:connectlocs="0,407035;76837,0;92785,2907;388536,264573;394335,282017;0,407035;104383,40704;44943,356156;349392,258758;104383,40704" o:connectangles="0,0,0,0,0,0,0,0,0,0"/>
                        <o:lock v:ext="edit" verticies="t"/>
                      </v:shape>
                    </v:group>
                  </w:pict>
                </mc:Fallback>
              </mc:AlternateContent>
            </w:r>
          </w:p>
          <w:p w14:paraId="72DDFA79" w14:textId="77777777" w:rsidR="00643C2E" w:rsidRPr="00A04E56" w:rsidRDefault="00643C2E" w:rsidP="00F34DC9"/>
          <w:p w14:paraId="48DEF31C" w14:textId="77777777" w:rsidR="00643C2E" w:rsidRPr="00A04E56" w:rsidRDefault="00643C2E" w:rsidP="00F34DC9"/>
        </w:tc>
        <w:tc>
          <w:tcPr>
            <w:tcW w:w="2303" w:type="dxa"/>
            <w:vAlign w:val="center"/>
          </w:tcPr>
          <w:p w14:paraId="2C215C74" w14:textId="77777777" w:rsidR="00643C2E" w:rsidRPr="00A04E56" w:rsidRDefault="00643C2E" w:rsidP="00F34DC9">
            <w:r w:rsidRPr="00A04E56">
              <w:rPr>
                <w:noProof/>
                <w:lang w:val="fr-BE" w:eastAsia="fr-BE"/>
              </w:rPr>
              <mc:AlternateContent>
                <mc:Choice Requires="wpg">
                  <w:drawing>
                    <wp:anchor distT="0" distB="0" distL="114300" distR="114300" simplePos="0" relativeHeight="251553792" behindDoc="0" locked="0" layoutInCell="1" allowOverlap="1" wp14:anchorId="03E7AFD7" wp14:editId="08D150E4">
                      <wp:simplePos x="0" y="0"/>
                      <wp:positionH relativeFrom="column">
                        <wp:posOffset>452120</wp:posOffset>
                      </wp:positionH>
                      <wp:positionV relativeFrom="paragraph">
                        <wp:posOffset>81280</wp:posOffset>
                      </wp:positionV>
                      <wp:extent cx="468000" cy="468000"/>
                      <wp:effectExtent l="0" t="0" r="8255" b="8255"/>
                      <wp:wrapNone/>
                      <wp:docPr id="14470" name="Group 14470"/>
                      <wp:cNvGraphicFramePr/>
                      <a:graphic xmlns:a="http://schemas.openxmlformats.org/drawingml/2006/main">
                        <a:graphicData uri="http://schemas.microsoft.com/office/word/2010/wordprocessingGroup">
                          <wpg:wgp>
                            <wpg:cNvGrpSpPr/>
                            <wpg:grpSpPr>
                              <a:xfrm>
                                <a:off x="0" y="0"/>
                                <a:ext cx="468000" cy="468000"/>
                                <a:chOff x="0" y="0"/>
                                <a:chExt cx="1045210" cy="1043490"/>
                              </a:xfrm>
                              <a:solidFill>
                                <a:srgbClr val="65BBC8"/>
                              </a:solidFill>
                            </wpg:grpSpPr>
                            <wps:wsp>
                              <wps:cNvPr id="14471" name="Freeform 10"/>
                              <wps:cNvSpPr>
                                <a:spLocks noEditPoints="1"/>
                              </wps:cNvSpPr>
                              <wps:spPr bwMode="auto">
                                <a:xfrm>
                                  <a:off x="182880" y="0"/>
                                  <a:ext cx="862330" cy="864622"/>
                                </a:xfrm>
                                <a:custGeom>
                                  <a:avLst/>
                                  <a:gdLst>
                                    <a:gd name="T0" fmla="*/ 438 w 595"/>
                                    <a:gd name="T1" fmla="*/ 332 h 595"/>
                                    <a:gd name="T2" fmla="*/ 392 w 595"/>
                                    <a:gd name="T3" fmla="*/ 369 h 595"/>
                                    <a:gd name="T4" fmla="*/ 465 w 595"/>
                                    <a:gd name="T5" fmla="*/ 261 h 595"/>
                                    <a:gd name="T6" fmla="*/ 465 w 595"/>
                                    <a:gd name="T7" fmla="*/ 210 h 595"/>
                                    <a:gd name="T8" fmla="*/ 335 w 595"/>
                                    <a:gd name="T9" fmla="*/ 131 h 595"/>
                                    <a:gd name="T10" fmla="*/ 226 w 595"/>
                                    <a:gd name="T11" fmla="*/ 203 h 595"/>
                                    <a:gd name="T12" fmla="*/ 256 w 595"/>
                                    <a:gd name="T13" fmla="*/ 142 h 595"/>
                                    <a:gd name="T14" fmla="*/ 92 w 595"/>
                                    <a:gd name="T15" fmla="*/ 9 h 595"/>
                                    <a:gd name="T16" fmla="*/ 8 w 595"/>
                                    <a:gd name="T17" fmla="*/ 124 h 595"/>
                                    <a:gd name="T18" fmla="*/ 157 w 595"/>
                                    <a:gd name="T19" fmla="*/ 263 h 595"/>
                                    <a:gd name="T20" fmla="*/ 172 w 595"/>
                                    <a:gd name="T21" fmla="*/ 257 h 595"/>
                                    <a:gd name="T22" fmla="*/ 228 w 595"/>
                                    <a:gd name="T23" fmla="*/ 239 h 595"/>
                                    <a:gd name="T24" fmla="*/ 53 w 595"/>
                                    <a:gd name="T25" fmla="*/ 359 h 595"/>
                                    <a:gd name="T26" fmla="*/ 51 w 595"/>
                                    <a:gd name="T27" fmla="*/ 391 h 595"/>
                                    <a:gd name="T28" fmla="*/ 234 w 595"/>
                                    <a:gd name="T29" fmla="*/ 565 h 595"/>
                                    <a:gd name="T30" fmla="*/ 251 w 595"/>
                                    <a:gd name="T31" fmla="*/ 557 h 595"/>
                                    <a:gd name="T32" fmla="*/ 357 w 595"/>
                                    <a:gd name="T33" fmla="*/ 368 h 595"/>
                                    <a:gd name="T34" fmla="*/ 338 w 595"/>
                                    <a:gd name="T35" fmla="*/ 423 h 595"/>
                                    <a:gd name="T36" fmla="*/ 338 w 595"/>
                                    <a:gd name="T37" fmla="*/ 454 h 595"/>
                                    <a:gd name="T38" fmla="*/ 502 w 595"/>
                                    <a:gd name="T39" fmla="*/ 587 h 595"/>
                                    <a:gd name="T40" fmla="*/ 586 w 595"/>
                                    <a:gd name="T41" fmla="*/ 472 h 595"/>
                                    <a:gd name="T42" fmla="*/ 157 w 595"/>
                                    <a:gd name="T43" fmla="*/ 239 h 595"/>
                                    <a:gd name="T44" fmla="*/ 108 w 595"/>
                                    <a:gd name="T45" fmla="*/ 27 h 595"/>
                                    <a:gd name="T46" fmla="*/ 157 w 595"/>
                                    <a:gd name="T47" fmla="*/ 239 h 595"/>
                                    <a:gd name="T48" fmla="*/ 70 w 595"/>
                                    <a:gd name="T49" fmla="*/ 375 h 595"/>
                                    <a:gd name="T50" fmla="*/ 234 w 595"/>
                                    <a:gd name="T51" fmla="*/ 540 h 595"/>
                                    <a:gd name="T52" fmla="*/ 172 w 595"/>
                                    <a:gd name="T53" fmla="*/ 328 h 595"/>
                                    <a:gd name="T54" fmla="*/ 253 w 595"/>
                                    <a:gd name="T55" fmla="*/ 247 h 595"/>
                                    <a:gd name="T56" fmla="*/ 352 w 595"/>
                                    <a:gd name="T57" fmla="*/ 148 h 595"/>
                                    <a:gd name="T58" fmla="*/ 448 w 595"/>
                                    <a:gd name="T59" fmla="*/ 227 h 595"/>
                                    <a:gd name="T60" fmla="*/ 448 w 595"/>
                                    <a:gd name="T61" fmla="*/ 244 h 595"/>
                                    <a:gd name="T62" fmla="*/ 243 w 595"/>
                                    <a:gd name="T63" fmla="*/ 367 h 595"/>
                                    <a:gd name="T64" fmla="*/ 356 w 595"/>
                                    <a:gd name="T65" fmla="*/ 438 h 595"/>
                                    <a:gd name="T66" fmla="*/ 568 w 595"/>
                                    <a:gd name="T67" fmla="*/ 487 h 595"/>
                                    <a:gd name="T68" fmla="*/ 487 w 595"/>
                                    <a:gd name="T69" fmla="*/ 568 h 5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95" h="595">
                                      <a:moveTo>
                                        <a:pt x="453" y="339"/>
                                      </a:moveTo>
                                      <a:cubicBezTo>
                                        <a:pt x="449" y="335"/>
                                        <a:pt x="443" y="332"/>
                                        <a:pt x="438" y="332"/>
                                      </a:cubicBezTo>
                                      <a:cubicBezTo>
                                        <a:pt x="432" y="332"/>
                                        <a:pt x="426" y="335"/>
                                        <a:pt x="422" y="339"/>
                                      </a:cubicBezTo>
                                      <a:cubicBezTo>
                                        <a:pt x="392" y="369"/>
                                        <a:pt x="392" y="369"/>
                                        <a:pt x="392" y="369"/>
                                      </a:cubicBezTo>
                                      <a:cubicBezTo>
                                        <a:pt x="374" y="351"/>
                                        <a:pt x="374" y="351"/>
                                        <a:pt x="374" y="351"/>
                                      </a:cubicBezTo>
                                      <a:cubicBezTo>
                                        <a:pt x="465" y="261"/>
                                        <a:pt x="465" y="261"/>
                                        <a:pt x="465" y="261"/>
                                      </a:cubicBezTo>
                                      <a:cubicBezTo>
                                        <a:pt x="471" y="254"/>
                                        <a:pt x="475" y="245"/>
                                        <a:pt x="475" y="235"/>
                                      </a:cubicBezTo>
                                      <a:cubicBezTo>
                                        <a:pt x="475" y="226"/>
                                        <a:pt x="471" y="217"/>
                                        <a:pt x="465" y="210"/>
                                      </a:cubicBezTo>
                                      <a:cubicBezTo>
                                        <a:pt x="386" y="131"/>
                                        <a:pt x="386" y="131"/>
                                        <a:pt x="386" y="131"/>
                                      </a:cubicBezTo>
                                      <a:cubicBezTo>
                                        <a:pt x="372" y="117"/>
                                        <a:pt x="349" y="117"/>
                                        <a:pt x="335" y="131"/>
                                      </a:cubicBezTo>
                                      <a:cubicBezTo>
                                        <a:pt x="245" y="222"/>
                                        <a:pt x="245" y="222"/>
                                        <a:pt x="245" y="222"/>
                                      </a:cubicBezTo>
                                      <a:cubicBezTo>
                                        <a:pt x="226" y="203"/>
                                        <a:pt x="226" y="203"/>
                                        <a:pt x="226" y="203"/>
                                      </a:cubicBezTo>
                                      <a:cubicBezTo>
                                        <a:pt x="256" y="173"/>
                                        <a:pt x="256" y="173"/>
                                        <a:pt x="256" y="173"/>
                                      </a:cubicBezTo>
                                      <a:cubicBezTo>
                                        <a:pt x="265" y="164"/>
                                        <a:pt x="265" y="150"/>
                                        <a:pt x="256" y="142"/>
                                      </a:cubicBezTo>
                                      <a:cubicBezTo>
                                        <a:pt x="123" y="9"/>
                                        <a:pt x="123" y="9"/>
                                        <a:pt x="123" y="9"/>
                                      </a:cubicBezTo>
                                      <a:cubicBezTo>
                                        <a:pt x="115" y="0"/>
                                        <a:pt x="101" y="0"/>
                                        <a:pt x="92" y="9"/>
                                      </a:cubicBezTo>
                                      <a:cubicBezTo>
                                        <a:pt x="8" y="93"/>
                                        <a:pt x="8" y="93"/>
                                        <a:pt x="8" y="93"/>
                                      </a:cubicBezTo>
                                      <a:cubicBezTo>
                                        <a:pt x="0" y="101"/>
                                        <a:pt x="0" y="115"/>
                                        <a:pt x="8" y="124"/>
                                      </a:cubicBezTo>
                                      <a:cubicBezTo>
                                        <a:pt x="141" y="257"/>
                                        <a:pt x="141" y="257"/>
                                        <a:pt x="141" y="257"/>
                                      </a:cubicBezTo>
                                      <a:cubicBezTo>
                                        <a:pt x="145" y="261"/>
                                        <a:pt x="151" y="263"/>
                                        <a:pt x="157" y="263"/>
                                      </a:cubicBezTo>
                                      <a:cubicBezTo>
                                        <a:pt x="157" y="263"/>
                                        <a:pt x="157" y="263"/>
                                        <a:pt x="157" y="263"/>
                                      </a:cubicBezTo>
                                      <a:cubicBezTo>
                                        <a:pt x="163" y="263"/>
                                        <a:pt x="168" y="261"/>
                                        <a:pt x="172" y="257"/>
                                      </a:cubicBezTo>
                                      <a:cubicBezTo>
                                        <a:pt x="209" y="220"/>
                                        <a:pt x="209" y="220"/>
                                        <a:pt x="209" y="220"/>
                                      </a:cubicBezTo>
                                      <a:cubicBezTo>
                                        <a:pt x="228" y="239"/>
                                        <a:pt x="228" y="239"/>
                                        <a:pt x="228" y="239"/>
                                      </a:cubicBezTo>
                                      <a:cubicBezTo>
                                        <a:pt x="141" y="326"/>
                                        <a:pt x="141" y="326"/>
                                        <a:pt x="141" y="326"/>
                                      </a:cubicBezTo>
                                      <a:cubicBezTo>
                                        <a:pt x="109" y="326"/>
                                        <a:pt x="77" y="338"/>
                                        <a:pt x="53" y="359"/>
                                      </a:cubicBezTo>
                                      <a:cubicBezTo>
                                        <a:pt x="48" y="363"/>
                                        <a:pt x="45" y="368"/>
                                        <a:pt x="45" y="374"/>
                                      </a:cubicBezTo>
                                      <a:cubicBezTo>
                                        <a:pt x="45" y="381"/>
                                        <a:pt x="47" y="386"/>
                                        <a:pt x="51" y="391"/>
                                      </a:cubicBezTo>
                                      <a:cubicBezTo>
                                        <a:pt x="219" y="558"/>
                                        <a:pt x="219" y="558"/>
                                        <a:pt x="219" y="558"/>
                                      </a:cubicBezTo>
                                      <a:cubicBezTo>
                                        <a:pt x="223" y="562"/>
                                        <a:pt x="228" y="565"/>
                                        <a:pt x="234" y="565"/>
                                      </a:cubicBezTo>
                                      <a:cubicBezTo>
                                        <a:pt x="234" y="565"/>
                                        <a:pt x="235" y="565"/>
                                        <a:pt x="235" y="565"/>
                                      </a:cubicBezTo>
                                      <a:cubicBezTo>
                                        <a:pt x="241" y="564"/>
                                        <a:pt x="247" y="562"/>
                                        <a:pt x="251" y="557"/>
                                      </a:cubicBezTo>
                                      <a:cubicBezTo>
                                        <a:pt x="278" y="525"/>
                                        <a:pt x="289" y="484"/>
                                        <a:pt x="282" y="443"/>
                                      </a:cubicBezTo>
                                      <a:cubicBezTo>
                                        <a:pt x="357" y="368"/>
                                        <a:pt x="357" y="368"/>
                                        <a:pt x="357" y="368"/>
                                      </a:cubicBezTo>
                                      <a:cubicBezTo>
                                        <a:pt x="375" y="386"/>
                                        <a:pt x="375" y="386"/>
                                        <a:pt x="375" y="386"/>
                                      </a:cubicBezTo>
                                      <a:cubicBezTo>
                                        <a:pt x="338" y="423"/>
                                        <a:pt x="338" y="423"/>
                                        <a:pt x="338" y="423"/>
                                      </a:cubicBezTo>
                                      <a:cubicBezTo>
                                        <a:pt x="334" y="427"/>
                                        <a:pt x="332" y="432"/>
                                        <a:pt x="332" y="438"/>
                                      </a:cubicBezTo>
                                      <a:cubicBezTo>
                                        <a:pt x="332" y="444"/>
                                        <a:pt x="334" y="449"/>
                                        <a:pt x="338" y="454"/>
                                      </a:cubicBezTo>
                                      <a:cubicBezTo>
                                        <a:pt x="471" y="587"/>
                                        <a:pt x="471" y="587"/>
                                        <a:pt x="471" y="587"/>
                                      </a:cubicBezTo>
                                      <a:cubicBezTo>
                                        <a:pt x="480" y="595"/>
                                        <a:pt x="493" y="595"/>
                                        <a:pt x="502" y="587"/>
                                      </a:cubicBezTo>
                                      <a:cubicBezTo>
                                        <a:pt x="586" y="503"/>
                                        <a:pt x="586" y="503"/>
                                        <a:pt x="586" y="503"/>
                                      </a:cubicBezTo>
                                      <a:cubicBezTo>
                                        <a:pt x="595" y="494"/>
                                        <a:pt x="595" y="480"/>
                                        <a:pt x="586" y="472"/>
                                      </a:cubicBezTo>
                                      <a:lnTo>
                                        <a:pt x="453" y="339"/>
                                      </a:lnTo>
                                      <a:close/>
                                      <a:moveTo>
                                        <a:pt x="157" y="239"/>
                                      </a:moveTo>
                                      <a:cubicBezTo>
                                        <a:pt x="27" y="108"/>
                                        <a:pt x="27" y="108"/>
                                        <a:pt x="27" y="108"/>
                                      </a:cubicBezTo>
                                      <a:cubicBezTo>
                                        <a:pt x="108" y="27"/>
                                        <a:pt x="108" y="27"/>
                                        <a:pt x="108" y="27"/>
                                      </a:cubicBezTo>
                                      <a:cubicBezTo>
                                        <a:pt x="238" y="157"/>
                                        <a:pt x="238" y="157"/>
                                        <a:pt x="238" y="157"/>
                                      </a:cubicBezTo>
                                      <a:lnTo>
                                        <a:pt x="157" y="239"/>
                                      </a:lnTo>
                                      <a:close/>
                                      <a:moveTo>
                                        <a:pt x="234" y="540"/>
                                      </a:moveTo>
                                      <a:cubicBezTo>
                                        <a:pt x="70" y="375"/>
                                        <a:pt x="70" y="375"/>
                                        <a:pt x="70" y="375"/>
                                      </a:cubicBezTo>
                                      <a:cubicBezTo>
                                        <a:pt x="116" y="338"/>
                                        <a:pt x="184" y="341"/>
                                        <a:pt x="226" y="384"/>
                                      </a:cubicBezTo>
                                      <a:cubicBezTo>
                                        <a:pt x="268" y="426"/>
                                        <a:pt x="272" y="493"/>
                                        <a:pt x="234" y="540"/>
                                      </a:cubicBezTo>
                                      <a:close/>
                                      <a:moveTo>
                                        <a:pt x="243" y="367"/>
                                      </a:moveTo>
                                      <a:cubicBezTo>
                                        <a:pt x="223" y="347"/>
                                        <a:pt x="199" y="334"/>
                                        <a:pt x="172" y="328"/>
                                      </a:cubicBezTo>
                                      <a:cubicBezTo>
                                        <a:pt x="253" y="248"/>
                                        <a:pt x="253" y="248"/>
                                        <a:pt x="253" y="248"/>
                                      </a:cubicBezTo>
                                      <a:cubicBezTo>
                                        <a:pt x="253" y="247"/>
                                        <a:pt x="253" y="247"/>
                                        <a:pt x="253" y="247"/>
                                      </a:cubicBezTo>
                                      <a:cubicBezTo>
                                        <a:pt x="253" y="247"/>
                                        <a:pt x="253" y="247"/>
                                        <a:pt x="253" y="247"/>
                                      </a:cubicBezTo>
                                      <a:cubicBezTo>
                                        <a:pt x="352" y="148"/>
                                        <a:pt x="352" y="148"/>
                                        <a:pt x="352" y="148"/>
                                      </a:cubicBezTo>
                                      <a:cubicBezTo>
                                        <a:pt x="357" y="144"/>
                                        <a:pt x="364" y="144"/>
                                        <a:pt x="369" y="148"/>
                                      </a:cubicBezTo>
                                      <a:cubicBezTo>
                                        <a:pt x="448" y="227"/>
                                        <a:pt x="448" y="227"/>
                                        <a:pt x="448" y="227"/>
                                      </a:cubicBezTo>
                                      <a:cubicBezTo>
                                        <a:pt x="450" y="229"/>
                                        <a:pt x="451" y="232"/>
                                        <a:pt x="451" y="236"/>
                                      </a:cubicBezTo>
                                      <a:cubicBezTo>
                                        <a:pt x="451" y="239"/>
                                        <a:pt x="450" y="242"/>
                                        <a:pt x="448" y="244"/>
                                      </a:cubicBezTo>
                                      <a:cubicBezTo>
                                        <a:pt x="275" y="417"/>
                                        <a:pt x="275" y="417"/>
                                        <a:pt x="275" y="417"/>
                                      </a:cubicBezTo>
                                      <a:cubicBezTo>
                                        <a:pt x="268" y="398"/>
                                        <a:pt x="257" y="381"/>
                                        <a:pt x="243" y="367"/>
                                      </a:cubicBezTo>
                                      <a:close/>
                                      <a:moveTo>
                                        <a:pt x="487" y="568"/>
                                      </a:moveTo>
                                      <a:cubicBezTo>
                                        <a:pt x="356" y="438"/>
                                        <a:pt x="356" y="438"/>
                                        <a:pt x="356" y="438"/>
                                      </a:cubicBezTo>
                                      <a:cubicBezTo>
                                        <a:pt x="438" y="357"/>
                                        <a:pt x="438" y="357"/>
                                        <a:pt x="438" y="357"/>
                                      </a:cubicBezTo>
                                      <a:cubicBezTo>
                                        <a:pt x="568" y="487"/>
                                        <a:pt x="568" y="487"/>
                                        <a:pt x="568" y="487"/>
                                      </a:cubicBezTo>
                                      <a:lnTo>
                                        <a:pt x="487" y="568"/>
                                      </a:lnTo>
                                      <a:close/>
                                      <a:moveTo>
                                        <a:pt x="487" y="568"/>
                                      </a:moveTo>
                                      <a:cubicBezTo>
                                        <a:pt x="487" y="568"/>
                                        <a:pt x="487" y="568"/>
                                        <a:pt x="487" y="56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2" name="Freeform 11"/>
                              <wps:cNvSpPr>
                                <a:spLocks noEditPoints="1"/>
                              </wps:cNvSpPr>
                              <wps:spPr bwMode="auto">
                                <a:xfrm>
                                  <a:off x="0" y="645459"/>
                                  <a:ext cx="397510" cy="398031"/>
                                </a:xfrm>
                                <a:custGeom>
                                  <a:avLst/>
                                  <a:gdLst>
                                    <a:gd name="T0" fmla="*/ 262 w 274"/>
                                    <a:gd name="T1" fmla="*/ 250 h 274"/>
                                    <a:gd name="T2" fmla="*/ 24 w 274"/>
                                    <a:gd name="T3" fmla="*/ 11 h 274"/>
                                    <a:gd name="T4" fmla="*/ 12 w 274"/>
                                    <a:gd name="T5" fmla="*/ 0 h 274"/>
                                    <a:gd name="T6" fmla="*/ 0 w 274"/>
                                    <a:gd name="T7" fmla="*/ 11 h 274"/>
                                    <a:gd name="T8" fmla="*/ 262 w 274"/>
                                    <a:gd name="T9" fmla="*/ 274 h 274"/>
                                    <a:gd name="T10" fmla="*/ 274 w 274"/>
                                    <a:gd name="T11" fmla="*/ 262 h 274"/>
                                    <a:gd name="T12" fmla="*/ 262 w 274"/>
                                    <a:gd name="T13" fmla="*/ 250 h 274"/>
                                    <a:gd name="T14" fmla="*/ 262 w 274"/>
                                    <a:gd name="T15" fmla="*/ 250 h 274"/>
                                    <a:gd name="T16" fmla="*/ 262 w 274"/>
                                    <a:gd name="T17" fmla="*/ 250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4" h="274">
                                      <a:moveTo>
                                        <a:pt x="262" y="250"/>
                                      </a:moveTo>
                                      <a:cubicBezTo>
                                        <a:pt x="131" y="250"/>
                                        <a:pt x="24" y="143"/>
                                        <a:pt x="24" y="11"/>
                                      </a:cubicBezTo>
                                      <a:cubicBezTo>
                                        <a:pt x="24" y="5"/>
                                        <a:pt x="19" y="0"/>
                                        <a:pt x="12" y="0"/>
                                      </a:cubicBezTo>
                                      <a:cubicBezTo>
                                        <a:pt x="5" y="0"/>
                                        <a:pt x="0" y="5"/>
                                        <a:pt x="0" y="11"/>
                                      </a:cubicBezTo>
                                      <a:cubicBezTo>
                                        <a:pt x="0" y="156"/>
                                        <a:pt x="118" y="274"/>
                                        <a:pt x="262" y="274"/>
                                      </a:cubicBezTo>
                                      <a:cubicBezTo>
                                        <a:pt x="269" y="274"/>
                                        <a:pt x="274" y="268"/>
                                        <a:pt x="274" y="262"/>
                                      </a:cubicBezTo>
                                      <a:cubicBezTo>
                                        <a:pt x="274" y="255"/>
                                        <a:pt x="269" y="250"/>
                                        <a:pt x="262" y="250"/>
                                      </a:cubicBezTo>
                                      <a:close/>
                                      <a:moveTo>
                                        <a:pt x="262" y="250"/>
                                      </a:moveTo>
                                      <a:cubicBezTo>
                                        <a:pt x="262" y="250"/>
                                        <a:pt x="262" y="250"/>
                                        <a:pt x="262" y="25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3" name="Freeform 12"/>
                              <wps:cNvSpPr>
                                <a:spLocks noEditPoints="1"/>
                              </wps:cNvSpPr>
                              <wps:spPr bwMode="auto">
                                <a:xfrm>
                                  <a:off x="107577" y="645459"/>
                                  <a:ext cx="292735" cy="293286"/>
                                </a:xfrm>
                                <a:custGeom>
                                  <a:avLst/>
                                  <a:gdLst>
                                    <a:gd name="T0" fmla="*/ 190 w 202"/>
                                    <a:gd name="T1" fmla="*/ 178 h 202"/>
                                    <a:gd name="T2" fmla="*/ 23 w 202"/>
                                    <a:gd name="T3" fmla="*/ 11 h 202"/>
                                    <a:gd name="T4" fmla="*/ 12 w 202"/>
                                    <a:gd name="T5" fmla="*/ 0 h 202"/>
                                    <a:gd name="T6" fmla="*/ 0 w 202"/>
                                    <a:gd name="T7" fmla="*/ 11 h 202"/>
                                    <a:gd name="T8" fmla="*/ 190 w 202"/>
                                    <a:gd name="T9" fmla="*/ 202 h 202"/>
                                    <a:gd name="T10" fmla="*/ 202 w 202"/>
                                    <a:gd name="T11" fmla="*/ 190 h 202"/>
                                    <a:gd name="T12" fmla="*/ 190 w 202"/>
                                    <a:gd name="T13" fmla="*/ 178 h 202"/>
                                    <a:gd name="T14" fmla="*/ 190 w 202"/>
                                    <a:gd name="T15" fmla="*/ 178 h 202"/>
                                    <a:gd name="T16" fmla="*/ 190 w 202"/>
                                    <a:gd name="T17" fmla="*/ 178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2" h="202">
                                      <a:moveTo>
                                        <a:pt x="190" y="178"/>
                                      </a:moveTo>
                                      <a:cubicBezTo>
                                        <a:pt x="98" y="178"/>
                                        <a:pt x="24" y="104"/>
                                        <a:pt x="23" y="11"/>
                                      </a:cubicBezTo>
                                      <a:cubicBezTo>
                                        <a:pt x="23" y="5"/>
                                        <a:pt x="18" y="0"/>
                                        <a:pt x="12" y="0"/>
                                      </a:cubicBezTo>
                                      <a:cubicBezTo>
                                        <a:pt x="5" y="0"/>
                                        <a:pt x="0" y="5"/>
                                        <a:pt x="0" y="11"/>
                                      </a:cubicBezTo>
                                      <a:cubicBezTo>
                                        <a:pt x="0" y="117"/>
                                        <a:pt x="85" y="202"/>
                                        <a:pt x="190" y="202"/>
                                      </a:cubicBezTo>
                                      <a:cubicBezTo>
                                        <a:pt x="197" y="202"/>
                                        <a:pt x="202" y="197"/>
                                        <a:pt x="202" y="190"/>
                                      </a:cubicBezTo>
                                      <a:cubicBezTo>
                                        <a:pt x="202" y="184"/>
                                        <a:pt x="197" y="178"/>
                                        <a:pt x="190" y="178"/>
                                      </a:cubicBezTo>
                                      <a:close/>
                                      <a:moveTo>
                                        <a:pt x="190" y="178"/>
                                      </a:moveTo>
                                      <a:cubicBezTo>
                                        <a:pt x="190" y="178"/>
                                        <a:pt x="190" y="178"/>
                                        <a:pt x="190" y="17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4" name="Freeform 13"/>
                              <wps:cNvSpPr>
                                <a:spLocks noEditPoints="1"/>
                              </wps:cNvSpPr>
                              <wps:spPr bwMode="auto">
                                <a:xfrm>
                                  <a:off x="204396" y="645459"/>
                                  <a:ext cx="189865" cy="189811"/>
                                </a:xfrm>
                                <a:custGeom>
                                  <a:avLst/>
                                  <a:gdLst>
                                    <a:gd name="T0" fmla="*/ 119 w 131"/>
                                    <a:gd name="T1" fmla="*/ 107 h 131"/>
                                    <a:gd name="T2" fmla="*/ 24 w 131"/>
                                    <a:gd name="T3" fmla="*/ 11 h 131"/>
                                    <a:gd name="T4" fmla="*/ 12 w 131"/>
                                    <a:gd name="T5" fmla="*/ 0 h 131"/>
                                    <a:gd name="T6" fmla="*/ 0 w 131"/>
                                    <a:gd name="T7" fmla="*/ 11 h 131"/>
                                    <a:gd name="T8" fmla="*/ 119 w 131"/>
                                    <a:gd name="T9" fmla="*/ 131 h 131"/>
                                    <a:gd name="T10" fmla="*/ 131 w 131"/>
                                    <a:gd name="T11" fmla="*/ 119 h 131"/>
                                    <a:gd name="T12" fmla="*/ 119 w 131"/>
                                    <a:gd name="T13" fmla="*/ 107 h 131"/>
                                    <a:gd name="T14" fmla="*/ 119 w 131"/>
                                    <a:gd name="T15" fmla="*/ 107 h 131"/>
                                    <a:gd name="T16" fmla="*/ 119 w 131"/>
                                    <a:gd name="T17" fmla="*/ 107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1" h="131">
                                      <a:moveTo>
                                        <a:pt x="119" y="107"/>
                                      </a:moveTo>
                                      <a:cubicBezTo>
                                        <a:pt x="67" y="107"/>
                                        <a:pt x="24" y="64"/>
                                        <a:pt x="24" y="11"/>
                                      </a:cubicBezTo>
                                      <a:cubicBezTo>
                                        <a:pt x="24" y="5"/>
                                        <a:pt x="19" y="0"/>
                                        <a:pt x="12" y="0"/>
                                      </a:cubicBezTo>
                                      <a:cubicBezTo>
                                        <a:pt x="6" y="0"/>
                                        <a:pt x="0" y="5"/>
                                        <a:pt x="0" y="11"/>
                                      </a:cubicBezTo>
                                      <a:cubicBezTo>
                                        <a:pt x="0" y="77"/>
                                        <a:pt x="54" y="131"/>
                                        <a:pt x="119" y="131"/>
                                      </a:cubicBezTo>
                                      <a:cubicBezTo>
                                        <a:pt x="126" y="131"/>
                                        <a:pt x="131" y="125"/>
                                        <a:pt x="131" y="119"/>
                                      </a:cubicBezTo>
                                      <a:cubicBezTo>
                                        <a:pt x="131" y="112"/>
                                        <a:pt x="126" y="107"/>
                                        <a:pt x="119" y="107"/>
                                      </a:cubicBezTo>
                                      <a:close/>
                                      <a:moveTo>
                                        <a:pt x="119" y="107"/>
                                      </a:moveTo>
                                      <a:cubicBezTo>
                                        <a:pt x="119" y="107"/>
                                        <a:pt x="119" y="107"/>
                                        <a:pt x="119" y="10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E5AEC8" id="Group 14470" o:spid="_x0000_s1026" style="position:absolute;margin-left:35.6pt;margin-top:6.4pt;width:36.85pt;height:36.85pt;z-index:251553792;mso-width-relative:margin;mso-height-relative:margin" coordsize="10452,10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">
                      <v:shape id="Freeform 10" o:spid="_x0000_s1027" style="position:absolute;left:1828;width:8624;height:8646;visibility:visible;mso-wrap-style:square;v-text-anchor:top" coordsize="59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" path="m453,339v-4,-4,-10,-7,-15,-7c432,332,426,335,422,339v-30,30,-30,30,-30,30c374,351,374,351,374,351v91,-90,91,-90,91,-90c471,254,475,245,475,235v,-9,-4,-18,-10,-25c386,131,386,131,386,131v-14,-14,-37,-14,-51,c245,222,245,222,245,222,226,203,226,203,226,203v30,-30,30,-30,30,-30c265,164,265,150,256,142,123,9,123,9,123,9,115,,101,,92,9,8,93,8,93,8,93v-8,8,-8,22,,31c141,257,141,257,141,257v4,4,10,6,16,6c157,263,157,263,157,263v6,,11,-2,15,-6c209,220,209,220,209,220v19,19,19,19,19,19c141,326,141,326,141,326v-32,,-64,12,-88,33c48,363,45,368,45,374v,7,2,12,6,17c219,558,219,558,219,558v4,4,9,7,15,7c234,565,235,565,235,565v6,-1,12,-3,16,-8c278,525,289,484,282,443v75,-75,75,-75,75,-75c375,386,375,386,375,386v-37,37,-37,37,-37,37c334,427,332,432,332,438v,6,2,11,6,16c471,587,471,587,471,587v9,8,22,8,31,c586,503,586,503,586,503v9,-9,9,-23,,-31l453,339xm157,239c27,108,27,108,27,108,108,27,108,27,108,27,238,157,238,157,238,157r-81,82xm234,540c70,375,70,375,70,375v46,-37,114,-34,156,9c268,426,272,493,234,540xm243,367c223,347,199,334,172,328v81,-80,81,-80,81,-80c253,247,253,247,253,247v,,,,,c352,148,352,148,352,148v5,-4,12,-4,17,c448,227,448,227,448,227v2,2,3,5,3,9c451,239,450,242,448,244,275,417,275,417,275,417v-7,-19,-18,-36,-32,-50xm487,568c356,438,356,438,356,438v82,-81,82,-81,82,-81c568,487,568,487,568,487r-81,81xm487,568v,,,,,e" filled="f" stroked="f">
                        <v:path arrowok="t" o:connecttype="custom" o:connectlocs="634791,482445;568123,536211;673922,379271;673922,305161;485514,190362;327540,294989;371019,206347;133335,13078;11594,180190;227539,382177;249279,373459;330439,347302;76813,521679;73914,568180;339135,821028;363773,809402;517398,534758;489861,614681;489861,659728;727546,852997;849286,685885;227539,347302;156524,39235;227539,347302;101451,544930;339135,784699;249279,476632;366671,358927;510152,215066;649284,329864;649284,354568;352178,533305;515949,636478;823199,707682;705806,825387" o:connectangles="0,0,0,0,0,0,0,0,0,0,0,0,0,0,0,0,0,0,0,0,0,0,0,0,0,0,0,0,0,0,0,0,0,0,0"/>
                        <o:lock v:ext="edit" verticies="t"/>
                      </v:shape>
                      <v:shape id="Freeform 11" o:spid="_x0000_s1028" style="position:absolute;top:6454;width:3975;height:3980;visibility:visible;mso-wrap-style:square;v-text-anchor:top" coordsize="27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" path="m262,250c131,250,24,143,24,11,24,5,19,,12,,5,,,5,,11,,156,118,274,262,274v7,,12,-6,12,-12c274,255,269,250,262,250xm262,250v,,,,,e" filled="f" stroked="f">
                        <v:path arrowok="t" o:connecttype="custom" o:connectlocs="380101,363167;34818,15979;17409,0;0,15979;380101,398031;397510,380599;380101,363167;380101,363167;380101,363167" o:connectangles="0,0,0,0,0,0,0,0,0"/>
                        <o:lock v:ext="edit" verticies="t"/>
                      </v:shape>
                      <v:shape id="Freeform 12" o:spid="_x0000_s1029" style="position:absolute;left:1075;top:6454;width:2928;height:2933;visibility:visible;mso-wrap-style:square;v-text-anchor:top" coordsize="20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" path="m190,178c98,178,24,104,23,11,23,5,18,,12,,5,,,5,,11,,117,85,202,190,202v7,,12,-5,12,-12c202,184,197,178,190,178xm190,178v,,,,,e" filled="f" stroked="f">
                        <v:path arrowok="t" o:connecttype="custom" o:connectlocs="275345,258440;33331,15971;17390,0;0,15971;275345,293286;292735,275863;275345,258440;275345,258440;275345,258440" o:connectangles="0,0,0,0,0,0,0,0,0"/>
                        <o:lock v:ext="edit" verticies="t"/>
                      </v:shape>
                      <v:shape id="Freeform 13" o:spid="_x0000_s1030" style="position:absolute;left:2043;top:6454;width:1899;height:1898;visibility:visible;mso-wrap-style:square;v-text-anchor:top" coordsize="13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" path="m119,107c67,107,24,64,24,11,24,5,19,,12,,6,,,5,,11,,77,54,131,119,131v7,,12,-6,12,-12c131,112,126,107,119,107xm119,107v,,,,,e" filled="f" stroked="f">
                        <v:path arrowok="t" o:connecttype="custom" o:connectlocs="172473,155036;34784,15938;17392,0;0,15938;172473,189811;189865,172424;172473,155036;172473,155036;172473,155036" o:connectangles="0,0,0,0,0,0,0,0,0"/>
                        <o:lock v:ext="edit" verticies="t"/>
                      </v:shape>
                    </v:group>
                  </w:pict>
                </mc:Fallback>
              </mc:AlternateContent>
            </w:r>
          </w:p>
        </w:tc>
        <w:tc>
          <w:tcPr>
            <w:tcW w:w="2303" w:type="dxa"/>
            <w:vAlign w:val="center"/>
          </w:tcPr>
          <w:p w14:paraId="16E49B78" w14:textId="77777777" w:rsidR="00643C2E" w:rsidRPr="00A04E56" w:rsidRDefault="00643C2E" w:rsidP="00F34DC9">
            <w:r w:rsidRPr="00A04E56">
              <w:rPr>
                <w:noProof/>
                <w:lang w:val="fr-BE" w:eastAsia="fr-BE"/>
              </w:rPr>
              <mc:AlternateContent>
                <mc:Choice Requires="wps">
                  <w:drawing>
                    <wp:anchor distT="0" distB="0" distL="114300" distR="114300" simplePos="0" relativeHeight="251711488" behindDoc="0" locked="0" layoutInCell="1" allowOverlap="1" wp14:anchorId="53410E00" wp14:editId="6118F5B8">
                      <wp:simplePos x="0" y="0"/>
                      <wp:positionH relativeFrom="column">
                        <wp:posOffset>408940</wp:posOffset>
                      </wp:positionH>
                      <wp:positionV relativeFrom="paragraph">
                        <wp:posOffset>76200</wp:posOffset>
                      </wp:positionV>
                      <wp:extent cx="468000" cy="468000"/>
                      <wp:effectExtent l="0" t="0" r="8255" b="8255"/>
                      <wp:wrapNone/>
                      <wp:docPr id="14475"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68000" cy="468000"/>
                              </a:xfrm>
                              <a:custGeom>
                                <a:avLst/>
                                <a:gdLst>
                                  <a:gd name="T0" fmla="*/ 658 w 720"/>
                                  <a:gd name="T1" fmla="*/ 173 h 720"/>
                                  <a:gd name="T2" fmla="*/ 521 w 720"/>
                                  <a:gd name="T3" fmla="*/ 87 h 720"/>
                                  <a:gd name="T4" fmla="*/ 557 w 720"/>
                                  <a:gd name="T5" fmla="*/ 36 h 720"/>
                                  <a:gd name="T6" fmla="*/ 495 w 720"/>
                                  <a:gd name="T7" fmla="*/ 11 h 720"/>
                                  <a:gd name="T8" fmla="*/ 0 w 720"/>
                                  <a:gd name="T9" fmla="*/ 521 h 720"/>
                                  <a:gd name="T10" fmla="*/ 62 w 720"/>
                                  <a:gd name="T11" fmla="*/ 547 h 720"/>
                                  <a:gd name="T12" fmla="*/ 204 w 720"/>
                                  <a:gd name="T13" fmla="*/ 627 h 720"/>
                                  <a:gd name="T14" fmla="*/ 162 w 720"/>
                                  <a:gd name="T15" fmla="*/ 684 h 720"/>
                                  <a:gd name="T16" fmla="*/ 224 w 720"/>
                                  <a:gd name="T17" fmla="*/ 710 h 720"/>
                                  <a:gd name="T18" fmla="*/ 720 w 720"/>
                                  <a:gd name="T19" fmla="*/ 199 h 720"/>
                                  <a:gd name="T20" fmla="*/ 616 w 720"/>
                                  <a:gd name="T21" fmla="*/ 215 h 720"/>
                                  <a:gd name="T22" fmla="*/ 486 w 720"/>
                                  <a:gd name="T23" fmla="*/ 122 h 720"/>
                                  <a:gd name="T24" fmla="*/ 616 w 720"/>
                                  <a:gd name="T25" fmla="*/ 215 h 720"/>
                                  <a:gd name="T26" fmla="*/ 144 w 720"/>
                                  <a:gd name="T27" fmla="*/ 465 h 720"/>
                                  <a:gd name="T28" fmla="*/ 279 w 720"/>
                                  <a:gd name="T29" fmla="*/ 552 h 720"/>
                                  <a:gd name="T30" fmla="*/ 296 w 720"/>
                                  <a:gd name="T31" fmla="*/ 535 h 720"/>
                                  <a:gd name="T32" fmla="*/ 203 w 720"/>
                                  <a:gd name="T33" fmla="*/ 406 h 720"/>
                                  <a:gd name="T34" fmla="*/ 296 w 720"/>
                                  <a:gd name="T35" fmla="*/ 535 h 720"/>
                                  <a:gd name="T36" fmla="*/ 219 w 720"/>
                                  <a:gd name="T37" fmla="*/ 389 h 720"/>
                                  <a:gd name="T38" fmla="*/ 355 w 720"/>
                                  <a:gd name="T39" fmla="*/ 476 h 720"/>
                                  <a:gd name="T40" fmla="*/ 371 w 720"/>
                                  <a:gd name="T41" fmla="*/ 460 h 720"/>
                                  <a:gd name="T42" fmla="*/ 278 w 720"/>
                                  <a:gd name="T43" fmla="*/ 330 h 720"/>
                                  <a:gd name="T44" fmla="*/ 371 w 720"/>
                                  <a:gd name="T45" fmla="*/ 460 h 720"/>
                                  <a:gd name="T46" fmla="*/ 295 w 720"/>
                                  <a:gd name="T47" fmla="*/ 314 h 720"/>
                                  <a:gd name="T48" fmla="*/ 430 w 720"/>
                                  <a:gd name="T49" fmla="*/ 401 h 720"/>
                                  <a:gd name="T50" fmla="*/ 447 w 720"/>
                                  <a:gd name="T51" fmla="*/ 384 h 720"/>
                                  <a:gd name="T52" fmla="*/ 354 w 720"/>
                                  <a:gd name="T53" fmla="*/ 255 h 720"/>
                                  <a:gd name="T54" fmla="*/ 447 w 720"/>
                                  <a:gd name="T55" fmla="*/ 384 h 720"/>
                                  <a:gd name="T56" fmla="*/ 370 w 720"/>
                                  <a:gd name="T57" fmla="*/ 238 h 720"/>
                                  <a:gd name="T58" fmla="*/ 506 w 720"/>
                                  <a:gd name="T59" fmla="*/ 325 h 720"/>
                                  <a:gd name="T60" fmla="*/ 522 w 720"/>
                                  <a:gd name="T61" fmla="*/ 309 h 720"/>
                                  <a:gd name="T62" fmla="*/ 429 w 720"/>
                                  <a:gd name="T63" fmla="*/ 179 h 720"/>
                                  <a:gd name="T64" fmla="*/ 522 w 720"/>
                                  <a:gd name="T65" fmla="*/ 309 h 720"/>
                                  <a:gd name="T66" fmla="*/ 446 w 720"/>
                                  <a:gd name="T67" fmla="*/ 163 h 720"/>
                                  <a:gd name="T68" fmla="*/ 581 w 720"/>
                                  <a:gd name="T69" fmla="*/ 250 h 720"/>
                                  <a:gd name="T70" fmla="*/ 45 w 720"/>
                                  <a:gd name="T71" fmla="*/ 530 h 720"/>
                                  <a:gd name="T72" fmla="*/ 23 w 720"/>
                                  <a:gd name="T73" fmla="*/ 521 h 720"/>
                                  <a:gd name="T74" fmla="*/ 512 w 720"/>
                                  <a:gd name="T75" fmla="*/ 27 h 720"/>
                                  <a:gd name="T76" fmla="*/ 534 w 720"/>
                                  <a:gd name="T77" fmla="*/ 36 h 720"/>
                                  <a:gd name="T78" fmla="*/ 45 w 720"/>
                                  <a:gd name="T79" fmla="*/ 530 h 720"/>
                                  <a:gd name="T80" fmla="*/ 127 w 720"/>
                                  <a:gd name="T81" fmla="*/ 481 h 720"/>
                                  <a:gd name="T82" fmla="*/ 220 w 720"/>
                                  <a:gd name="T83" fmla="*/ 611 h 720"/>
                                  <a:gd name="T84" fmla="*/ 693 w 720"/>
                                  <a:gd name="T85" fmla="*/ 208 h 720"/>
                                  <a:gd name="T86" fmla="*/ 199 w 720"/>
                                  <a:gd name="T87" fmla="*/ 697 h 720"/>
                                  <a:gd name="T88" fmla="*/ 189 w 720"/>
                                  <a:gd name="T89" fmla="*/ 675 h 720"/>
                                  <a:gd name="T90" fmla="*/ 684 w 720"/>
                                  <a:gd name="T91" fmla="*/ 186 h 720"/>
                                  <a:gd name="T92" fmla="*/ 693 w 720"/>
                                  <a:gd name="T93" fmla="*/ 208 h 720"/>
                                  <a:gd name="T94" fmla="*/ 693 w 720"/>
                                  <a:gd name="T95" fmla="*/ 208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0" h="720">
                                    <a:moveTo>
                                      <a:pt x="684" y="163"/>
                                    </a:moveTo>
                                    <a:cubicBezTo>
                                      <a:pt x="674" y="163"/>
                                      <a:pt x="665" y="166"/>
                                      <a:pt x="658" y="173"/>
                                    </a:cubicBezTo>
                                    <a:cubicBezTo>
                                      <a:pt x="633" y="198"/>
                                      <a:pt x="633" y="198"/>
                                      <a:pt x="633" y="198"/>
                                    </a:cubicBezTo>
                                    <a:cubicBezTo>
                                      <a:pt x="521" y="87"/>
                                      <a:pt x="521" y="87"/>
                                      <a:pt x="521" y="87"/>
                                    </a:cubicBezTo>
                                    <a:cubicBezTo>
                                      <a:pt x="547" y="62"/>
                                      <a:pt x="547" y="62"/>
                                      <a:pt x="547" y="62"/>
                                    </a:cubicBezTo>
                                    <a:cubicBezTo>
                                      <a:pt x="553" y="55"/>
                                      <a:pt x="557" y="46"/>
                                      <a:pt x="557" y="36"/>
                                    </a:cubicBezTo>
                                    <a:cubicBezTo>
                                      <a:pt x="557" y="16"/>
                                      <a:pt x="541" y="0"/>
                                      <a:pt x="521" y="0"/>
                                    </a:cubicBezTo>
                                    <a:cubicBezTo>
                                      <a:pt x="511" y="0"/>
                                      <a:pt x="502" y="4"/>
                                      <a:pt x="495" y="11"/>
                                    </a:cubicBezTo>
                                    <a:cubicBezTo>
                                      <a:pt x="10" y="496"/>
                                      <a:pt x="10" y="496"/>
                                      <a:pt x="10" y="496"/>
                                    </a:cubicBezTo>
                                    <a:cubicBezTo>
                                      <a:pt x="4" y="502"/>
                                      <a:pt x="0" y="512"/>
                                      <a:pt x="0" y="521"/>
                                    </a:cubicBezTo>
                                    <a:cubicBezTo>
                                      <a:pt x="0" y="541"/>
                                      <a:pt x="16" y="558"/>
                                      <a:pt x="36" y="558"/>
                                    </a:cubicBezTo>
                                    <a:cubicBezTo>
                                      <a:pt x="46" y="558"/>
                                      <a:pt x="55" y="554"/>
                                      <a:pt x="62" y="547"/>
                                    </a:cubicBezTo>
                                    <a:cubicBezTo>
                                      <a:pt x="93" y="516"/>
                                      <a:pt x="93" y="516"/>
                                      <a:pt x="93" y="516"/>
                                    </a:cubicBezTo>
                                    <a:cubicBezTo>
                                      <a:pt x="204" y="627"/>
                                      <a:pt x="204" y="627"/>
                                      <a:pt x="204" y="627"/>
                                    </a:cubicBezTo>
                                    <a:cubicBezTo>
                                      <a:pt x="173" y="658"/>
                                      <a:pt x="173" y="658"/>
                                      <a:pt x="173" y="658"/>
                                    </a:cubicBezTo>
                                    <a:cubicBezTo>
                                      <a:pt x="166" y="665"/>
                                      <a:pt x="162" y="674"/>
                                      <a:pt x="162" y="684"/>
                                    </a:cubicBezTo>
                                    <a:cubicBezTo>
                                      <a:pt x="162" y="704"/>
                                      <a:pt x="179" y="720"/>
                                      <a:pt x="199" y="720"/>
                                    </a:cubicBezTo>
                                    <a:cubicBezTo>
                                      <a:pt x="208" y="720"/>
                                      <a:pt x="217" y="716"/>
                                      <a:pt x="224" y="710"/>
                                    </a:cubicBezTo>
                                    <a:cubicBezTo>
                                      <a:pt x="709" y="225"/>
                                      <a:pt x="709" y="225"/>
                                      <a:pt x="709" y="225"/>
                                    </a:cubicBezTo>
                                    <a:cubicBezTo>
                                      <a:pt x="716" y="218"/>
                                      <a:pt x="720" y="209"/>
                                      <a:pt x="720" y="199"/>
                                    </a:cubicBezTo>
                                    <a:cubicBezTo>
                                      <a:pt x="720" y="179"/>
                                      <a:pt x="704" y="163"/>
                                      <a:pt x="684" y="163"/>
                                    </a:cubicBezTo>
                                    <a:close/>
                                    <a:moveTo>
                                      <a:pt x="616" y="215"/>
                                    </a:moveTo>
                                    <a:cubicBezTo>
                                      <a:pt x="598" y="233"/>
                                      <a:pt x="598" y="233"/>
                                      <a:pt x="598" y="233"/>
                                    </a:cubicBezTo>
                                    <a:cubicBezTo>
                                      <a:pt x="486" y="122"/>
                                      <a:pt x="486" y="122"/>
                                      <a:pt x="486" y="122"/>
                                    </a:cubicBezTo>
                                    <a:cubicBezTo>
                                      <a:pt x="505" y="104"/>
                                      <a:pt x="505" y="104"/>
                                      <a:pt x="505" y="104"/>
                                    </a:cubicBezTo>
                                    <a:lnTo>
                                      <a:pt x="616" y="215"/>
                                    </a:lnTo>
                                    <a:close/>
                                    <a:moveTo>
                                      <a:pt x="255" y="576"/>
                                    </a:moveTo>
                                    <a:cubicBezTo>
                                      <a:pt x="144" y="465"/>
                                      <a:pt x="144" y="465"/>
                                      <a:pt x="144" y="465"/>
                                    </a:cubicBezTo>
                                    <a:cubicBezTo>
                                      <a:pt x="168" y="440"/>
                                      <a:pt x="168" y="440"/>
                                      <a:pt x="168" y="440"/>
                                    </a:cubicBezTo>
                                    <a:cubicBezTo>
                                      <a:pt x="279" y="552"/>
                                      <a:pt x="279" y="552"/>
                                      <a:pt x="279" y="552"/>
                                    </a:cubicBezTo>
                                    <a:lnTo>
                                      <a:pt x="255" y="576"/>
                                    </a:lnTo>
                                    <a:close/>
                                    <a:moveTo>
                                      <a:pt x="296" y="535"/>
                                    </a:moveTo>
                                    <a:cubicBezTo>
                                      <a:pt x="185" y="424"/>
                                      <a:pt x="185" y="424"/>
                                      <a:pt x="185" y="424"/>
                                    </a:cubicBezTo>
                                    <a:cubicBezTo>
                                      <a:pt x="203" y="406"/>
                                      <a:pt x="203" y="406"/>
                                      <a:pt x="203" y="406"/>
                                    </a:cubicBezTo>
                                    <a:cubicBezTo>
                                      <a:pt x="314" y="517"/>
                                      <a:pt x="314" y="517"/>
                                      <a:pt x="314" y="517"/>
                                    </a:cubicBezTo>
                                    <a:lnTo>
                                      <a:pt x="296" y="535"/>
                                    </a:lnTo>
                                    <a:close/>
                                    <a:moveTo>
                                      <a:pt x="331" y="500"/>
                                    </a:moveTo>
                                    <a:cubicBezTo>
                                      <a:pt x="219" y="389"/>
                                      <a:pt x="219" y="389"/>
                                      <a:pt x="219" y="389"/>
                                    </a:cubicBezTo>
                                    <a:cubicBezTo>
                                      <a:pt x="244" y="365"/>
                                      <a:pt x="244" y="365"/>
                                      <a:pt x="244" y="365"/>
                                    </a:cubicBezTo>
                                    <a:cubicBezTo>
                                      <a:pt x="355" y="476"/>
                                      <a:pt x="355" y="476"/>
                                      <a:pt x="355" y="476"/>
                                    </a:cubicBezTo>
                                    <a:lnTo>
                                      <a:pt x="331" y="500"/>
                                    </a:lnTo>
                                    <a:close/>
                                    <a:moveTo>
                                      <a:pt x="371" y="460"/>
                                    </a:moveTo>
                                    <a:cubicBezTo>
                                      <a:pt x="260" y="348"/>
                                      <a:pt x="260" y="348"/>
                                      <a:pt x="260" y="348"/>
                                    </a:cubicBezTo>
                                    <a:cubicBezTo>
                                      <a:pt x="278" y="330"/>
                                      <a:pt x="278" y="330"/>
                                      <a:pt x="278" y="330"/>
                                    </a:cubicBezTo>
                                    <a:cubicBezTo>
                                      <a:pt x="390" y="441"/>
                                      <a:pt x="390" y="441"/>
                                      <a:pt x="390" y="441"/>
                                    </a:cubicBezTo>
                                    <a:lnTo>
                                      <a:pt x="371" y="460"/>
                                    </a:lnTo>
                                    <a:close/>
                                    <a:moveTo>
                                      <a:pt x="406" y="425"/>
                                    </a:moveTo>
                                    <a:cubicBezTo>
                                      <a:pt x="295" y="314"/>
                                      <a:pt x="295" y="314"/>
                                      <a:pt x="295" y="314"/>
                                    </a:cubicBezTo>
                                    <a:cubicBezTo>
                                      <a:pt x="319" y="289"/>
                                      <a:pt x="319" y="289"/>
                                      <a:pt x="319" y="289"/>
                                    </a:cubicBezTo>
                                    <a:cubicBezTo>
                                      <a:pt x="430" y="401"/>
                                      <a:pt x="430" y="401"/>
                                      <a:pt x="430" y="401"/>
                                    </a:cubicBezTo>
                                    <a:lnTo>
                                      <a:pt x="406" y="425"/>
                                    </a:lnTo>
                                    <a:close/>
                                    <a:moveTo>
                                      <a:pt x="447" y="384"/>
                                    </a:moveTo>
                                    <a:cubicBezTo>
                                      <a:pt x="336" y="273"/>
                                      <a:pt x="336" y="273"/>
                                      <a:pt x="336" y="273"/>
                                    </a:cubicBezTo>
                                    <a:cubicBezTo>
                                      <a:pt x="354" y="255"/>
                                      <a:pt x="354" y="255"/>
                                      <a:pt x="354" y="255"/>
                                    </a:cubicBezTo>
                                    <a:cubicBezTo>
                                      <a:pt x="465" y="366"/>
                                      <a:pt x="465" y="366"/>
                                      <a:pt x="465" y="366"/>
                                    </a:cubicBezTo>
                                    <a:lnTo>
                                      <a:pt x="447" y="384"/>
                                    </a:lnTo>
                                    <a:close/>
                                    <a:moveTo>
                                      <a:pt x="482" y="349"/>
                                    </a:moveTo>
                                    <a:cubicBezTo>
                                      <a:pt x="370" y="238"/>
                                      <a:pt x="370" y="238"/>
                                      <a:pt x="370" y="238"/>
                                    </a:cubicBezTo>
                                    <a:cubicBezTo>
                                      <a:pt x="395" y="214"/>
                                      <a:pt x="395" y="214"/>
                                      <a:pt x="395" y="214"/>
                                    </a:cubicBezTo>
                                    <a:cubicBezTo>
                                      <a:pt x="506" y="325"/>
                                      <a:pt x="506" y="325"/>
                                      <a:pt x="506" y="325"/>
                                    </a:cubicBezTo>
                                    <a:lnTo>
                                      <a:pt x="482" y="349"/>
                                    </a:lnTo>
                                    <a:close/>
                                    <a:moveTo>
                                      <a:pt x="522" y="309"/>
                                    </a:moveTo>
                                    <a:cubicBezTo>
                                      <a:pt x="411" y="197"/>
                                      <a:pt x="411" y="197"/>
                                      <a:pt x="411" y="197"/>
                                    </a:cubicBezTo>
                                    <a:cubicBezTo>
                                      <a:pt x="429" y="179"/>
                                      <a:pt x="429" y="179"/>
                                      <a:pt x="429" y="179"/>
                                    </a:cubicBezTo>
                                    <a:cubicBezTo>
                                      <a:pt x="541" y="290"/>
                                      <a:pt x="541" y="290"/>
                                      <a:pt x="541" y="290"/>
                                    </a:cubicBezTo>
                                    <a:lnTo>
                                      <a:pt x="522" y="309"/>
                                    </a:lnTo>
                                    <a:close/>
                                    <a:moveTo>
                                      <a:pt x="557" y="274"/>
                                    </a:moveTo>
                                    <a:cubicBezTo>
                                      <a:pt x="446" y="163"/>
                                      <a:pt x="446" y="163"/>
                                      <a:pt x="446" y="163"/>
                                    </a:cubicBezTo>
                                    <a:cubicBezTo>
                                      <a:pt x="470" y="138"/>
                                      <a:pt x="470" y="138"/>
                                      <a:pt x="470" y="138"/>
                                    </a:cubicBezTo>
                                    <a:cubicBezTo>
                                      <a:pt x="581" y="250"/>
                                      <a:pt x="581" y="250"/>
                                      <a:pt x="581" y="250"/>
                                    </a:cubicBezTo>
                                    <a:lnTo>
                                      <a:pt x="557" y="274"/>
                                    </a:lnTo>
                                    <a:close/>
                                    <a:moveTo>
                                      <a:pt x="45" y="530"/>
                                    </a:moveTo>
                                    <a:cubicBezTo>
                                      <a:pt x="43" y="533"/>
                                      <a:pt x="39" y="534"/>
                                      <a:pt x="36" y="534"/>
                                    </a:cubicBezTo>
                                    <a:cubicBezTo>
                                      <a:pt x="29" y="534"/>
                                      <a:pt x="23" y="528"/>
                                      <a:pt x="23" y="521"/>
                                    </a:cubicBezTo>
                                    <a:cubicBezTo>
                                      <a:pt x="23" y="518"/>
                                      <a:pt x="24" y="514"/>
                                      <a:pt x="27" y="512"/>
                                    </a:cubicBezTo>
                                    <a:cubicBezTo>
                                      <a:pt x="512" y="27"/>
                                      <a:pt x="512" y="27"/>
                                      <a:pt x="512" y="27"/>
                                    </a:cubicBezTo>
                                    <a:cubicBezTo>
                                      <a:pt x="514" y="25"/>
                                      <a:pt x="517" y="23"/>
                                      <a:pt x="521" y="23"/>
                                    </a:cubicBezTo>
                                    <a:cubicBezTo>
                                      <a:pt x="528" y="23"/>
                                      <a:pt x="534" y="29"/>
                                      <a:pt x="534" y="36"/>
                                    </a:cubicBezTo>
                                    <a:cubicBezTo>
                                      <a:pt x="534" y="40"/>
                                      <a:pt x="533" y="43"/>
                                      <a:pt x="530" y="46"/>
                                    </a:cubicBezTo>
                                    <a:lnTo>
                                      <a:pt x="45" y="530"/>
                                    </a:lnTo>
                                    <a:close/>
                                    <a:moveTo>
                                      <a:pt x="109" y="499"/>
                                    </a:moveTo>
                                    <a:cubicBezTo>
                                      <a:pt x="127" y="481"/>
                                      <a:pt x="127" y="481"/>
                                      <a:pt x="127" y="481"/>
                                    </a:cubicBezTo>
                                    <a:cubicBezTo>
                                      <a:pt x="239" y="592"/>
                                      <a:pt x="239" y="592"/>
                                      <a:pt x="239" y="592"/>
                                    </a:cubicBezTo>
                                    <a:cubicBezTo>
                                      <a:pt x="220" y="611"/>
                                      <a:pt x="220" y="611"/>
                                      <a:pt x="220" y="611"/>
                                    </a:cubicBezTo>
                                    <a:lnTo>
                                      <a:pt x="109" y="499"/>
                                    </a:lnTo>
                                    <a:close/>
                                    <a:moveTo>
                                      <a:pt x="693" y="208"/>
                                    </a:moveTo>
                                    <a:cubicBezTo>
                                      <a:pt x="208" y="693"/>
                                      <a:pt x="208" y="693"/>
                                      <a:pt x="208" y="693"/>
                                    </a:cubicBezTo>
                                    <a:cubicBezTo>
                                      <a:pt x="205" y="696"/>
                                      <a:pt x="202" y="697"/>
                                      <a:pt x="199" y="697"/>
                                    </a:cubicBezTo>
                                    <a:cubicBezTo>
                                      <a:pt x="191" y="697"/>
                                      <a:pt x="186" y="691"/>
                                      <a:pt x="186" y="684"/>
                                    </a:cubicBezTo>
                                    <a:cubicBezTo>
                                      <a:pt x="186" y="680"/>
                                      <a:pt x="187" y="677"/>
                                      <a:pt x="189" y="675"/>
                                    </a:cubicBezTo>
                                    <a:cubicBezTo>
                                      <a:pt x="674" y="190"/>
                                      <a:pt x="674" y="190"/>
                                      <a:pt x="674" y="190"/>
                                    </a:cubicBezTo>
                                    <a:cubicBezTo>
                                      <a:pt x="677" y="187"/>
                                      <a:pt x="680" y="186"/>
                                      <a:pt x="684" y="186"/>
                                    </a:cubicBezTo>
                                    <a:cubicBezTo>
                                      <a:pt x="691" y="186"/>
                                      <a:pt x="697" y="192"/>
                                      <a:pt x="697" y="199"/>
                                    </a:cubicBezTo>
                                    <a:cubicBezTo>
                                      <a:pt x="697" y="202"/>
                                      <a:pt x="695" y="206"/>
                                      <a:pt x="693" y="208"/>
                                    </a:cubicBezTo>
                                    <a:close/>
                                    <a:moveTo>
                                      <a:pt x="693" y="208"/>
                                    </a:moveTo>
                                    <a:cubicBezTo>
                                      <a:pt x="693" y="208"/>
                                      <a:pt x="693" y="208"/>
                                      <a:pt x="693" y="208"/>
                                    </a:cubicBezTo>
                                  </a:path>
                                </a:pathLst>
                              </a:custGeom>
                              <a:solidFill>
                                <a:srgbClr val="65BBC8"/>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F515C4" id="Freeform 14" o:spid="_x0000_s1026" style="position:absolute;margin-left:32.2pt;margin-top:6pt;width:36.85pt;height:3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" path="m684,163v-10,,-19,3,-26,10c633,198,633,198,633,198,521,87,521,87,521,87,547,62,547,62,547,62v6,-7,10,-16,10,-26c557,16,541,,521,,511,,502,4,495,11,10,496,10,496,10,496,4,502,,512,,521v,20,16,37,36,37c46,558,55,554,62,547,93,516,93,516,93,516,204,627,204,627,204,627v-31,31,-31,31,-31,31c166,665,162,674,162,684v,20,17,36,37,36c208,720,217,716,224,710,709,225,709,225,709,225v7,-7,11,-16,11,-26c720,179,704,163,684,163xm616,215v-18,18,-18,18,-18,18c486,122,486,122,486,122v19,-18,19,-18,19,-18l616,215xm255,576c144,465,144,465,144,465v24,-25,24,-25,24,-25c279,552,279,552,279,552r-24,24xm296,535c185,424,185,424,185,424v18,-18,18,-18,18,-18c314,517,314,517,314,517r-18,18xm331,500c219,389,219,389,219,389v25,-24,25,-24,25,-24c355,476,355,476,355,476r-24,24xm371,460c260,348,260,348,260,348v18,-18,18,-18,18,-18c390,441,390,441,390,441r-19,19xm406,425c295,314,295,314,295,314v24,-25,24,-25,24,-25c430,401,430,401,430,401r-24,24xm447,384c336,273,336,273,336,273v18,-18,18,-18,18,-18c465,366,465,366,465,366r-18,18xm482,349c370,238,370,238,370,238v25,-24,25,-24,25,-24c506,325,506,325,506,325r-24,24xm522,309c411,197,411,197,411,197v18,-18,18,-18,18,-18c541,290,541,290,541,290r-19,19xm557,274c446,163,446,163,446,163v24,-25,24,-25,24,-25c581,250,581,250,581,250r-24,24xm45,530v-2,3,-6,4,-9,4c29,534,23,528,23,521v,-3,1,-7,4,-9c512,27,512,27,512,27v2,-2,5,-4,9,-4c528,23,534,29,534,36v,4,-1,7,-4,10l45,530xm109,499v18,-18,18,-18,18,-18c239,592,239,592,239,592v-19,19,-19,19,-19,19l109,499xm693,208c208,693,208,693,208,693v-3,3,-6,4,-9,4c191,697,186,691,186,684v,-4,1,-7,3,-9c674,190,674,190,674,190v3,-3,6,-4,10,-4c691,186,697,192,697,199v,3,-2,7,-4,9xm693,208v,,,,,e" fillcolor="#65bbc8" stroked="f">
                      <v:path arrowok="t" o:connecttype="custom" o:connectlocs="427700,112450;338650,56550;362050,23400;321750,7150;0,338650;40300,355550;132600,407550;105300,444600;145600,461500;468000,129350;400400,139750;315900,79300;400400,139750;93600,302250;181350,358800;192400,347750;131950,263900;192400,347750;142350,252850;230750,309400;241150,299000;180700,214500;241150,299000;191750,204100;279500,260650;290550,249600;230100,165750;290550,249600;240500,154700;328900,211250;339300,200850;278850,116350;339300,200850;289900,105950;377650,162500;29250,344500;14950,338650;332800,17550;347100,23400;29250,344500;82550,312650;143000,397150;450450,135200;129350,453050;122850,438750;444600,120900;450450,135200;450450,135200" o:connectangles="0,0,0,0,0,0,0,0,0,0,0,0,0,0,0,0,0,0,0,0,0,0,0,0,0,0,0,0,0,0,0,0,0,0,0,0,0,0,0,0,0,0,0,0,0,0,0,0"/>
                      <o:lock v:ext="edit" verticies="t"/>
                    </v:shape>
                  </w:pict>
                </mc:Fallback>
              </mc:AlternateContent>
            </w:r>
          </w:p>
        </w:tc>
      </w:tr>
      <w:tr w:rsidR="00643C2E" w:rsidRPr="00A04E56" w14:paraId="2F8105F7" w14:textId="77777777" w:rsidTr="00C257BF">
        <w:trPr>
          <w:cantSplit/>
        </w:trPr>
        <w:tc>
          <w:tcPr>
            <w:tcW w:w="2093" w:type="dxa"/>
          </w:tcPr>
          <w:p w14:paraId="6AB6AC34" w14:textId="72AAF007" w:rsidR="00643C2E" w:rsidRPr="00A04E56" w:rsidRDefault="00BC2F0C" w:rsidP="00BC2F0C">
            <w:r w:rsidRPr="00277538">
              <w:rPr>
                <w:i/>
                <w:u w:val="single"/>
              </w:rPr>
              <w:t>In 2018</w:t>
            </w:r>
            <w:r>
              <w:t>, t</w:t>
            </w:r>
            <w:r w:rsidR="00643C2E" w:rsidRPr="00A04E56">
              <w:t xml:space="preserve">he space sector employs over </w:t>
            </w:r>
            <w:r w:rsidR="00643C2E" w:rsidRPr="00A04E56">
              <w:br/>
            </w:r>
            <w:r w:rsidR="00643C2E" w:rsidRPr="00A04E56">
              <w:rPr>
                <w:rStyle w:val="BOLDLIGHTBLUEReport"/>
                <w:rFonts w:eastAsia="Calibri"/>
              </w:rPr>
              <w:t>231 000</w:t>
            </w:r>
            <w:r w:rsidR="00643C2E" w:rsidRPr="00A04E56">
              <w:t xml:space="preserve"> people.</w:t>
            </w:r>
          </w:p>
        </w:tc>
        <w:tc>
          <w:tcPr>
            <w:tcW w:w="2513" w:type="dxa"/>
          </w:tcPr>
          <w:p w14:paraId="7CF949A3" w14:textId="0715D091" w:rsidR="00643C2E" w:rsidRPr="00A04E56" w:rsidRDefault="00643C2E" w:rsidP="00F34DC9">
            <w:r w:rsidRPr="00A04E56">
              <w:t xml:space="preserve">The sector’s value was estimated at </w:t>
            </w:r>
            <w:r w:rsidR="00756904" w:rsidRPr="00A04E56">
              <w:rPr>
                <w:rStyle w:val="BOLDLIGHTBLUEReport"/>
                <w:rFonts w:eastAsia="Calibri"/>
              </w:rPr>
              <w:t>EUR </w:t>
            </w:r>
            <w:r w:rsidRPr="00A04E56">
              <w:rPr>
                <w:rStyle w:val="BOLDLIGHTBLUEReport"/>
                <w:rFonts w:eastAsia="Calibri"/>
              </w:rPr>
              <w:t>53-62 billion</w:t>
            </w:r>
            <w:r w:rsidRPr="00A04E56">
              <w:t xml:space="preserve"> </w:t>
            </w:r>
            <w:r w:rsidR="008C1D39" w:rsidRPr="00277538">
              <w:t>in 2017</w:t>
            </w:r>
            <w:r w:rsidRPr="00A04E56">
              <w:t>, the second highest in the world.</w:t>
            </w:r>
          </w:p>
        </w:tc>
        <w:tc>
          <w:tcPr>
            <w:tcW w:w="2303" w:type="dxa"/>
          </w:tcPr>
          <w:p w14:paraId="028AF0FF" w14:textId="77777777" w:rsidR="00643C2E" w:rsidRPr="00A04E56" w:rsidRDefault="00643C2E" w:rsidP="00F34DC9">
            <w:r w:rsidRPr="00A04E56">
              <w:rPr>
                <w:rStyle w:val="BOLDLIGHTBLUEReport"/>
                <w:rFonts w:eastAsia="Calibri"/>
              </w:rPr>
              <w:t>A third</w:t>
            </w:r>
            <w:r w:rsidRPr="00A04E56">
              <w:t xml:space="preserve"> of the world’s satellites are made in Europe.</w:t>
            </w:r>
            <w:r w:rsidRPr="00A04E56">
              <w:rPr>
                <w:noProof/>
                <w:lang w:eastAsia="fr-BE"/>
              </w:rPr>
              <w:t xml:space="preserve"> </w:t>
            </w:r>
          </w:p>
        </w:tc>
        <w:tc>
          <w:tcPr>
            <w:tcW w:w="2303" w:type="dxa"/>
          </w:tcPr>
          <w:p w14:paraId="274C2701" w14:textId="04172C76" w:rsidR="00643C2E" w:rsidRPr="00A04E56" w:rsidRDefault="00643C2E" w:rsidP="00F34DC9">
            <w:r w:rsidRPr="00A04E56">
              <w:t xml:space="preserve">The sector keeps upgrading the family of European launchers with next generation </w:t>
            </w:r>
            <w:r w:rsidRPr="00A04E56">
              <w:rPr>
                <w:rStyle w:val="BOLDLIGHTBLUEReport"/>
                <w:rFonts w:eastAsia="Calibri"/>
              </w:rPr>
              <w:t>Ariane</w:t>
            </w:r>
            <w:r w:rsidR="00485983" w:rsidRPr="00A04E56">
              <w:rPr>
                <w:rStyle w:val="BOLDLIGHTBLUEReport"/>
                <w:rFonts w:ascii="Calibri" w:eastAsia="Calibri" w:hAnsi="Calibri" w:cs="Calibri"/>
              </w:rPr>
              <w:t> </w:t>
            </w:r>
            <w:r w:rsidRPr="00A04E56">
              <w:rPr>
                <w:rStyle w:val="BOLDLIGHTBLUEReport"/>
                <w:rFonts w:eastAsia="Calibri"/>
              </w:rPr>
              <w:t>6</w:t>
            </w:r>
            <w:r w:rsidRPr="00A04E56">
              <w:t xml:space="preserve"> and </w:t>
            </w:r>
            <w:r w:rsidRPr="00A04E56">
              <w:rPr>
                <w:rStyle w:val="BOLDLIGHTBLUEReport"/>
                <w:rFonts w:eastAsia="Calibri"/>
              </w:rPr>
              <w:t>Vega</w:t>
            </w:r>
            <w:r w:rsidR="00485983" w:rsidRPr="00A04E56">
              <w:rPr>
                <w:rStyle w:val="BOLDLIGHTBLUEReport"/>
                <w:rFonts w:ascii="Calibri" w:eastAsia="Calibri" w:hAnsi="Calibri" w:cs="Calibri"/>
              </w:rPr>
              <w:t> </w:t>
            </w:r>
            <w:r w:rsidRPr="00A04E56">
              <w:rPr>
                <w:rStyle w:val="BOLDLIGHTBLUEReport"/>
                <w:rFonts w:eastAsia="Calibri"/>
              </w:rPr>
              <w:t>C.</w:t>
            </w:r>
          </w:p>
        </w:tc>
      </w:tr>
    </w:tbl>
    <w:p w14:paraId="03CEB2D8" w14:textId="77777777" w:rsidR="00643C2E" w:rsidRPr="00A04E56" w:rsidRDefault="00643C2E" w:rsidP="00643C2E"/>
    <w:p w14:paraId="0FE54C61" w14:textId="77777777" w:rsidR="007A5B1C" w:rsidRPr="00A04E56" w:rsidRDefault="007A5B1C" w:rsidP="0087251B">
      <w:pPr>
        <w:pStyle w:val="BodyText1spaceafter"/>
        <w:keepNext/>
        <w:spacing w:before="240"/>
      </w:pPr>
      <w:r w:rsidRPr="00A04E56">
        <w:t>EU space data is transforming our lives with services such as:</w:t>
      </w:r>
    </w:p>
    <w:tbl>
      <w:tblPr>
        <w:tblStyle w:val="TableGrid3"/>
        <w:tblW w:w="9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3742"/>
        <w:gridCol w:w="1031"/>
        <w:gridCol w:w="3575"/>
      </w:tblGrid>
      <w:tr w:rsidR="007A5B1C" w:rsidRPr="00A04E56" w14:paraId="02356F75" w14:textId="77777777" w:rsidTr="00D300BD">
        <w:trPr>
          <w:trHeight w:val="1086"/>
        </w:trPr>
        <w:tc>
          <w:tcPr>
            <w:tcW w:w="959" w:type="dxa"/>
            <w:vMerge w:val="restart"/>
          </w:tcPr>
          <w:p w14:paraId="6AAFD2B8" w14:textId="77777777" w:rsidR="007A5B1C" w:rsidRPr="00A04E56" w:rsidRDefault="007A5B1C" w:rsidP="00107DA0">
            <w:pPr>
              <w:jc w:val="center"/>
              <w:rPr>
                <w:rFonts w:eastAsia="Calibri"/>
              </w:rPr>
            </w:pPr>
            <w:r w:rsidRPr="00A04E56">
              <w:rPr>
                <w:rFonts w:eastAsia="Calibri"/>
                <w:noProof/>
                <w:lang w:val="fr-BE" w:eastAsia="fr-BE"/>
              </w:rPr>
              <mc:AlternateContent>
                <mc:Choice Requires="wpg">
                  <w:drawing>
                    <wp:anchor distT="0" distB="0" distL="114300" distR="114300" simplePos="0" relativeHeight="251570176" behindDoc="0" locked="0" layoutInCell="1" allowOverlap="1" wp14:anchorId="4751A2EB" wp14:editId="15978B35">
                      <wp:simplePos x="0" y="0"/>
                      <wp:positionH relativeFrom="column">
                        <wp:align>center</wp:align>
                      </wp:positionH>
                      <wp:positionV relativeFrom="paragraph">
                        <wp:posOffset>473405</wp:posOffset>
                      </wp:positionV>
                      <wp:extent cx="468000" cy="468000"/>
                      <wp:effectExtent l="0" t="0" r="8255" b="8255"/>
                      <wp:wrapNone/>
                      <wp:docPr id="299" name="Group 299"/>
                      <wp:cNvGraphicFramePr/>
                      <a:graphic xmlns:a="http://schemas.openxmlformats.org/drawingml/2006/main">
                        <a:graphicData uri="http://schemas.microsoft.com/office/word/2010/wordprocessingGroup">
                          <wpg:wgp>
                            <wpg:cNvGrpSpPr/>
                            <wpg:grpSpPr>
                              <a:xfrm>
                                <a:off x="0" y="0"/>
                                <a:ext cx="468000" cy="468000"/>
                                <a:chOff x="0" y="0"/>
                                <a:chExt cx="441960" cy="443865"/>
                              </a:xfrm>
                            </wpg:grpSpPr>
                            <wps:wsp>
                              <wps:cNvPr id="300" name="Oval 43"/>
                              <wps:cNvSpPr>
                                <a:spLocks noChangeArrowheads="1"/>
                              </wps:cNvSpPr>
                              <wps:spPr bwMode="auto">
                                <a:xfrm>
                                  <a:off x="0" y="0"/>
                                  <a:ext cx="44196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50"/>
                              <wps:cNvSpPr>
                                <a:spLocks noEditPoints="1"/>
                              </wps:cNvSpPr>
                              <wps:spPr bwMode="auto">
                                <a:xfrm>
                                  <a:off x="96616" y="169078"/>
                                  <a:ext cx="249555" cy="125095"/>
                                </a:xfrm>
                                <a:custGeom>
                                  <a:avLst/>
                                  <a:gdLst>
                                    <a:gd name="T0" fmla="*/ 133 w 200"/>
                                    <a:gd name="T1" fmla="*/ 9 h 100"/>
                                    <a:gd name="T2" fmla="*/ 107 w 200"/>
                                    <a:gd name="T3" fmla="*/ 9 h 100"/>
                                    <a:gd name="T4" fmla="*/ 53 w 200"/>
                                    <a:gd name="T5" fmla="*/ 9 h 100"/>
                                    <a:gd name="T6" fmla="*/ 27 w 200"/>
                                    <a:gd name="T7" fmla="*/ 9 h 100"/>
                                    <a:gd name="T8" fmla="*/ 0 w 200"/>
                                    <a:gd name="T9" fmla="*/ 14 h 100"/>
                                    <a:gd name="T10" fmla="*/ 40 w 200"/>
                                    <a:gd name="T11" fmla="*/ 28 h 100"/>
                                    <a:gd name="T12" fmla="*/ 80 w 200"/>
                                    <a:gd name="T13" fmla="*/ 14 h 100"/>
                                    <a:gd name="T14" fmla="*/ 120 w 200"/>
                                    <a:gd name="T15" fmla="*/ 28 h 100"/>
                                    <a:gd name="T16" fmla="*/ 160 w 200"/>
                                    <a:gd name="T17" fmla="*/ 14 h 100"/>
                                    <a:gd name="T18" fmla="*/ 200 w 200"/>
                                    <a:gd name="T19" fmla="*/ 28 h 100"/>
                                    <a:gd name="T20" fmla="*/ 187 w 200"/>
                                    <a:gd name="T21" fmla="*/ 9 h 100"/>
                                    <a:gd name="T22" fmla="*/ 160 w 200"/>
                                    <a:gd name="T23" fmla="*/ 36 h 100"/>
                                    <a:gd name="T24" fmla="*/ 120 w 200"/>
                                    <a:gd name="T25" fmla="*/ 50 h 100"/>
                                    <a:gd name="T26" fmla="*/ 80 w 200"/>
                                    <a:gd name="T27" fmla="*/ 36 h 100"/>
                                    <a:gd name="T28" fmla="*/ 40 w 200"/>
                                    <a:gd name="T29" fmla="*/ 50 h 100"/>
                                    <a:gd name="T30" fmla="*/ 0 w 200"/>
                                    <a:gd name="T31" fmla="*/ 36 h 100"/>
                                    <a:gd name="T32" fmla="*/ 13 w 200"/>
                                    <a:gd name="T33" fmla="*/ 55 h 100"/>
                                    <a:gd name="T34" fmla="*/ 67 w 200"/>
                                    <a:gd name="T35" fmla="*/ 55 h 100"/>
                                    <a:gd name="T36" fmla="*/ 93 w 200"/>
                                    <a:gd name="T37" fmla="*/ 55 h 100"/>
                                    <a:gd name="T38" fmla="*/ 147 w 200"/>
                                    <a:gd name="T39" fmla="*/ 55 h 100"/>
                                    <a:gd name="T40" fmla="*/ 173 w 200"/>
                                    <a:gd name="T41" fmla="*/ 55 h 100"/>
                                    <a:gd name="T42" fmla="*/ 200 w 200"/>
                                    <a:gd name="T43" fmla="*/ 50 h 100"/>
                                    <a:gd name="T44" fmla="*/ 160 w 200"/>
                                    <a:gd name="T45" fmla="*/ 36 h 100"/>
                                    <a:gd name="T46" fmla="*/ 133 w 200"/>
                                    <a:gd name="T47" fmla="*/ 81 h 100"/>
                                    <a:gd name="T48" fmla="*/ 107 w 200"/>
                                    <a:gd name="T49" fmla="*/ 81 h 100"/>
                                    <a:gd name="T50" fmla="*/ 53 w 200"/>
                                    <a:gd name="T51" fmla="*/ 81 h 100"/>
                                    <a:gd name="T52" fmla="*/ 27 w 200"/>
                                    <a:gd name="T53" fmla="*/ 81 h 100"/>
                                    <a:gd name="T54" fmla="*/ 0 w 200"/>
                                    <a:gd name="T55" fmla="*/ 86 h 100"/>
                                    <a:gd name="T56" fmla="*/ 40 w 200"/>
                                    <a:gd name="T57" fmla="*/ 100 h 100"/>
                                    <a:gd name="T58" fmla="*/ 80 w 200"/>
                                    <a:gd name="T59" fmla="*/ 86 h 100"/>
                                    <a:gd name="T60" fmla="*/ 120 w 200"/>
                                    <a:gd name="T61" fmla="*/ 100 h 100"/>
                                    <a:gd name="T62" fmla="*/ 160 w 200"/>
                                    <a:gd name="T63" fmla="*/ 86 h 100"/>
                                    <a:gd name="T64" fmla="*/ 200 w 200"/>
                                    <a:gd name="T65" fmla="*/ 100 h 100"/>
                                    <a:gd name="T66" fmla="*/ 187 w 200"/>
                                    <a:gd name="T67" fmla="*/ 8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 h="100">
                                      <a:moveTo>
                                        <a:pt x="160" y="0"/>
                                      </a:moveTo>
                                      <a:cubicBezTo>
                                        <a:pt x="146" y="0"/>
                                        <a:pt x="139" y="5"/>
                                        <a:pt x="133" y="9"/>
                                      </a:cubicBezTo>
                                      <a:cubicBezTo>
                                        <a:pt x="128" y="12"/>
                                        <a:pt x="126" y="14"/>
                                        <a:pt x="120" y="14"/>
                                      </a:cubicBezTo>
                                      <a:cubicBezTo>
                                        <a:pt x="114" y="14"/>
                                        <a:pt x="112" y="12"/>
                                        <a:pt x="107" y="9"/>
                                      </a:cubicBezTo>
                                      <a:cubicBezTo>
                                        <a:pt x="102" y="5"/>
                                        <a:pt x="94" y="0"/>
                                        <a:pt x="80" y="0"/>
                                      </a:cubicBezTo>
                                      <a:cubicBezTo>
                                        <a:pt x="66" y="0"/>
                                        <a:pt x="58" y="5"/>
                                        <a:pt x="53" y="9"/>
                                      </a:cubicBezTo>
                                      <a:cubicBezTo>
                                        <a:pt x="48" y="12"/>
                                        <a:pt x="46" y="14"/>
                                        <a:pt x="40" y="14"/>
                                      </a:cubicBezTo>
                                      <a:cubicBezTo>
                                        <a:pt x="34" y="14"/>
                                        <a:pt x="32" y="12"/>
                                        <a:pt x="27" y="9"/>
                                      </a:cubicBezTo>
                                      <a:cubicBezTo>
                                        <a:pt x="21" y="5"/>
                                        <a:pt x="14" y="0"/>
                                        <a:pt x="0" y="0"/>
                                      </a:cubicBezTo>
                                      <a:cubicBezTo>
                                        <a:pt x="0" y="14"/>
                                        <a:pt x="0" y="14"/>
                                        <a:pt x="0" y="14"/>
                                      </a:cubicBezTo>
                                      <a:cubicBezTo>
                                        <a:pt x="5" y="14"/>
                                        <a:pt x="8" y="16"/>
                                        <a:pt x="13" y="19"/>
                                      </a:cubicBezTo>
                                      <a:cubicBezTo>
                                        <a:pt x="18" y="23"/>
                                        <a:pt x="26" y="28"/>
                                        <a:pt x="40" y="28"/>
                                      </a:cubicBezTo>
                                      <a:cubicBezTo>
                                        <a:pt x="54" y="28"/>
                                        <a:pt x="62" y="23"/>
                                        <a:pt x="67" y="19"/>
                                      </a:cubicBezTo>
                                      <a:cubicBezTo>
                                        <a:pt x="72" y="16"/>
                                        <a:pt x="74" y="14"/>
                                        <a:pt x="80" y="14"/>
                                      </a:cubicBezTo>
                                      <a:cubicBezTo>
                                        <a:pt x="86" y="14"/>
                                        <a:pt x="88" y="16"/>
                                        <a:pt x="93" y="19"/>
                                      </a:cubicBezTo>
                                      <a:cubicBezTo>
                                        <a:pt x="98" y="23"/>
                                        <a:pt x="106" y="28"/>
                                        <a:pt x="120" y="28"/>
                                      </a:cubicBezTo>
                                      <a:cubicBezTo>
                                        <a:pt x="134" y="28"/>
                                        <a:pt x="142" y="23"/>
                                        <a:pt x="147" y="19"/>
                                      </a:cubicBezTo>
                                      <a:cubicBezTo>
                                        <a:pt x="152" y="16"/>
                                        <a:pt x="155" y="14"/>
                                        <a:pt x="160" y="14"/>
                                      </a:cubicBezTo>
                                      <a:cubicBezTo>
                                        <a:pt x="166" y="14"/>
                                        <a:pt x="168" y="16"/>
                                        <a:pt x="173" y="19"/>
                                      </a:cubicBezTo>
                                      <a:cubicBezTo>
                                        <a:pt x="179" y="23"/>
                                        <a:pt x="186" y="28"/>
                                        <a:pt x="200" y="28"/>
                                      </a:cubicBezTo>
                                      <a:cubicBezTo>
                                        <a:pt x="200" y="14"/>
                                        <a:pt x="200" y="14"/>
                                        <a:pt x="200" y="14"/>
                                      </a:cubicBezTo>
                                      <a:cubicBezTo>
                                        <a:pt x="195" y="14"/>
                                        <a:pt x="192" y="12"/>
                                        <a:pt x="187" y="9"/>
                                      </a:cubicBezTo>
                                      <a:cubicBezTo>
                                        <a:pt x="182" y="5"/>
                                        <a:pt x="174" y="0"/>
                                        <a:pt x="160" y="0"/>
                                      </a:cubicBezTo>
                                      <a:close/>
                                      <a:moveTo>
                                        <a:pt x="160" y="36"/>
                                      </a:moveTo>
                                      <a:cubicBezTo>
                                        <a:pt x="146" y="36"/>
                                        <a:pt x="139" y="41"/>
                                        <a:pt x="133" y="45"/>
                                      </a:cubicBezTo>
                                      <a:cubicBezTo>
                                        <a:pt x="128" y="48"/>
                                        <a:pt x="126" y="50"/>
                                        <a:pt x="120" y="50"/>
                                      </a:cubicBezTo>
                                      <a:cubicBezTo>
                                        <a:pt x="114" y="50"/>
                                        <a:pt x="112" y="48"/>
                                        <a:pt x="107" y="45"/>
                                      </a:cubicBezTo>
                                      <a:cubicBezTo>
                                        <a:pt x="102" y="41"/>
                                        <a:pt x="94" y="36"/>
                                        <a:pt x="80" y="36"/>
                                      </a:cubicBezTo>
                                      <a:cubicBezTo>
                                        <a:pt x="66" y="36"/>
                                        <a:pt x="58" y="41"/>
                                        <a:pt x="53" y="45"/>
                                      </a:cubicBezTo>
                                      <a:cubicBezTo>
                                        <a:pt x="48" y="48"/>
                                        <a:pt x="46" y="50"/>
                                        <a:pt x="40" y="50"/>
                                      </a:cubicBezTo>
                                      <a:cubicBezTo>
                                        <a:pt x="34" y="50"/>
                                        <a:pt x="32" y="48"/>
                                        <a:pt x="27" y="45"/>
                                      </a:cubicBezTo>
                                      <a:cubicBezTo>
                                        <a:pt x="21" y="41"/>
                                        <a:pt x="14" y="36"/>
                                        <a:pt x="0" y="36"/>
                                      </a:cubicBezTo>
                                      <a:cubicBezTo>
                                        <a:pt x="0" y="50"/>
                                        <a:pt x="0" y="50"/>
                                        <a:pt x="0" y="50"/>
                                      </a:cubicBezTo>
                                      <a:cubicBezTo>
                                        <a:pt x="5" y="50"/>
                                        <a:pt x="8" y="51"/>
                                        <a:pt x="13" y="55"/>
                                      </a:cubicBezTo>
                                      <a:cubicBezTo>
                                        <a:pt x="18" y="59"/>
                                        <a:pt x="26" y="64"/>
                                        <a:pt x="40" y="64"/>
                                      </a:cubicBezTo>
                                      <a:cubicBezTo>
                                        <a:pt x="54" y="64"/>
                                        <a:pt x="62" y="59"/>
                                        <a:pt x="67" y="55"/>
                                      </a:cubicBezTo>
                                      <a:cubicBezTo>
                                        <a:pt x="72" y="51"/>
                                        <a:pt x="74" y="50"/>
                                        <a:pt x="80" y="50"/>
                                      </a:cubicBezTo>
                                      <a:cubicBezTo>
                                        <a:pt x="86" y="50"/>
                                        <a:pt x="88" y="51"/>
                                        <a:pt x="93" y="55"/>
                                      </a:cubicBezTo>
                                      <a:cubicBezTo>
                                        <a:pt x="98" y="59"/>
                                        <a:pt x="106" y="64"/>
                                        <a:pt x="120" y="64"/>
                                      </a:cubicBezTo>
                                      <a:cubicBezTo>
                                        <a:pt x="134" y="64"/>
                                        <a:pt x="142" y="59"/>
                                        <a:pt x="147" y="55"/>
                                      </a:cubicBezTo>
                                      <a:cubicBezTo>
                                        <a:pt x="152" y="51"/>
                                        <a:pt x="155" y="50"/>
                                        <a:pt x="160" y="50"/>
                                      </a:cubicBezTo>
                                      <a:cubicBezTo>
                                        <a:pt x="166" y="50"/>
                                        <a:pt x="168" y="51"/>
                                        <a:pt x="173" y="55"/>
                                      </a:cubicBezTo>
                                      <a:cubicBezTo>
                                        <a:pt x="179" y="59"/>
                                        <a:pt x="186" y="64"/>
                                        <a:pt x="200" y="64"/>
                                      </a:cubicBezTo>
                                      <a:cubicBezTo>
                                        <a:pt x="200" y="50"/>
                                        <a:pt x="200" y="50"/>
                                        <a:pt x="200" y="50"/>
                                      </a:cubicBezTo>
                                      <a:cubicBezTo>
                                        <a:pt x="195" y="50"/>
                                        <a:pt x="192" y="48"/>
                                        <a:pt x="187" y="45"/>
                                      </a:cubicBezTo>
                                      <a:cubicBezTo>
                                        <a:pt x="182" y="41"/>
                                        <a:pt x="174" y="36"/>
                                        <a:pt x="160" y="36"/>
                                      </a:cubicBezTo>
                                      <a:close/>
                                      <a:moveTo>
                                        <a:pt x="160" y="71"/>
                                      </a:moveTo>
                                      <a:cubicBezTo>
                                        <a:pt x="146" y="71"/>
                                        <a:pt x="139" y="77"/>
                                        <a:pt x="133" y="81"/>
                                      </a:cubicBezTo>
                                      <a:cubicBezTo>
                                        <a:pt x="128" y="84"/>
                                        <a:pt x="126" y="86"/>
                                        <a:pt x="120" y="86"/>
                                      </a:cubicBezTo>
                                      <a:cubicBezTo>
                                        <a:pt x="114" y="86"/>
                                        <a:pt x="112" y="84"/>
                                        <a:pt x="107" y="81"/>
                                      </a:cubicBezTo>
                                      <a:cubicBezTo>
                                        <a:pt x="102" y="77"/>
                                        <a:pt x="94" y="71"/>
                                        <a:pt x="80" y="71"/>
                                      </a:cubicBezTo>
                                      <a:cubicBezTo>
                                        <a:pt x="66" y="71"/>
                                        <a:pt x="58" y="77"/>
                                        <a:pt x="53" y="81"/>
                                      </a:cubicBezTo>
                                      <a:cubicBezTo>
                                        <a:pt x="48" y="84"/>
                                        <a:pt x="46" y="86"/>
                                        <a:pt x="40" y="86"/>
                                      </a:cubicBezTo>
                                      <a:cubicBezTo>
                                        <a:pt x="34" y="86"/>
                                        <a:pt x="32" y="84"/>
                                        <a:pt x="27" y="81"/>
                                      </a:cubicBezTo>
                                      <a:cubicBezTo>
                                        <a:pt x="21" y="77"/>
                                        <a:pt x="14" y="71"/>
                                        <a:pt x="0" y="71"/>
                                      </a:cubicBezTo>
                                      <a:cubicBezTo>
                                        <a:pt x="0" y="86"/>
                                        <a:pt x="0" y="86"/>
                                        <a:pt x="0" y="86"/>
                                      </a:cubicBezTo>
                                      <a:cubicBezTo>
                                        <a:pt x="5" y="86"/>
                                        <a:pt x="8" y="87"/>
                                        <a:pt x="13" y="91"/>
                                      </a:cubicBezTo>
                                      <a:cubicBezTo>
                                        <a:pt x="18" y="95"/>
                                        <a:pt x="26" y="100"/>
                                        <a:pt x="40" y="100"/>
                                      </a:cubicBezTo>
                                      <a:cubicBezTo>
                                        <a:pt x="54" y="100"/>
                                        <a:pt x="62" y="95"/>
                                        <a:pt x="67" y="91"/>
                                      </a:cubicBezTo>
                                      <a:cubicBezTo>
                                        <a:pt x="72" y="87"/>
                                        <a:pt x="74" y="86"/>
                                        <a:pt x="80" y="86"/>
                                      </a:cubicBezTo>
                                      <a:cubicBezTo>
                                        <a:pt x="86" y="86"/>
                                        <a:pt x="88" y="87"/>
                                        <a:pt x="93" y="91"/>
                                      </a:cubicBezTo>
                                      <a:cubicBezTo>
                                        <a:pt x="98" y="95"/>
                                        <a:pt x="106" y="100"/>
                                        <a:pt x="120" y="100"/>
                                      </a:cubicBezTo>
                                      <a:cubicBezTo>
                                        <a:pt x="134" y="100"/>
                                        <a:pt x="142" y="95"/>
                                        <a:pt x="147" y="91"/>
                                      </a:cubicBezTo>
                                      <a:cubicBezTo>
                                        <a:pt x="152" y="87"/>
                                        <a:pt x="155" y="86"/>
                                        <a:pt x="160" y="86"/>
                                      </a:cubicBezTo>
                                      <a:cubicBezTo>
                                        <a:pt x="166" y="86"/>
                                        <a:pt x="168" y="87"/>
                                        <a:pt x="173" y="91"/>
                                      </a:cubicBezTo>
                                      <a:cubicBezTo>
                                        <a:pt x="179" y="95"/>
                                        <a:pt x="186" y="100"/>
                                        <a:pt x="200" y="100"/>
                                      </a:cubicBezTo>
                                      <a:cubicBezTo>
                                        <a:pt x="200" y="86"/>
                                        <a:pt x="200" y="86"/>
                                        <a:pt x="200" y="86"/>
                                      </a:cubicBezTo>
                                      <a:cubicBezTo>
                                        <a:pt x="195" y="86"/>
                                        <a:pt x="192" y="84"/>
                                        <a:pt x="187" y="81"/>
                                      </a:cubicBezTo>
                                      <a:cubicBezTo>
                                        <a:pt x="182" y="77"/>
                                        <a:pt x="174" y="71"/>
                                        <a:pt x="160" y="7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D8C788" id="Group 299" o:spid="_x0000_s1026" style="position:absolute;margin-left:0;margin-top:37.3pt;width:36.85pt;height:36.85pt;z-index:251570176;mso-position-horizontal:center;mso-width-relative:margin;mso-height-relative:margin" coordsize="44196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">
                      <v:oval id="Oval 43" o:spid="_x0000_s1027" style="position:absolute;width:44196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" fillcolor="#65bbc8" stroked="f"/>
                      <v:shape id="Freeform 50" o:spid="_x0000_s1028" style="position:absolute;left:96616;top:169078;width:249555;height:125095;visibility:visible;mso-wrap-style:square;v-text-anchor:top" coordsize="2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" path="m160,c146,,139,5,133,9v-5,3,-7,5,-13,5c114,14,112,12,107,9,102,5,94,,80,,66,,58,5,53,9v-5,3,-7,5,-13,5c34,14,32,12,27,9,21,5,14,,,,,14,,14,,14v5,,8,2,13,5c18,23,26,28,40,28v14,,22,-5,27,-9c72,16,74,14,80,14v6,,8,2,13,5c98,23,106,28,120,28v14,,22,-5,27,-9c152,16,155,14,160,14v6,,8,2,13,5c179,23,186,28,200,28v,-14,,-14,,-14c195,14,192,12,187,9,182,5,174,,160,xm160,36v-14,,-21,5,-27,9c128,48,126,50,120,50v-6,,-8,-2,-13,-5c102,41,94,36,80,36v-14,,-22,5,-27,9c48,48,46,50,40,50v-6,,-8,-2,-13,-5c21,41,14,36,,36,,50,,50,,50v5,,8,1,13,5c18,59,26,64,40,64v14,,22,-5,27,-9c72,51,74,50,80,50v6,,8,1,13,5c98,59,106,64,120,64v14,,22,-5,27,-9c152,51,155,50,160,50v6,,8,1,13,5c179,59,186,64,200,64v,-14,,-14,,-14c195,50,192,48,187,45v-5,-4,-13,-9,-27,-9xm160,71v-14,,-21,6,-27,10c128,84,126,86,120,86v-6,,-8,-2,-13,-5c102,77,94,71,80,71,66,71,58,77,53,81v-5,3,-7,5,-13,5c34,86,32,84,27,81,21,77,14,71,,71,,86,,86,,86v5,,8,1,13,5c18,95,26,100,40,100v14,,22,-5,27,-9c72,87,74,86,80,86v6,,8,1,13,5c98,95,106,100,120,100v14,,22,-5,27,-9c152,87,155,86,160,86v6,,8,1,13,5c179,95,186,100,200,100v,-14,,-14,,-14c195,86,192,84,187,81,182,77,174,71,160,71xe" stroked="f">
                        <v:path arrowok="t" o:connecttype="custom" o:connectlocs="165954,11259;133512,11259;66132,11259;33690,11259;0,17513;49911,35027;99822,17513;149733,35027;199644,17513;249555,35027;233334,11259;199644,45034;149733,62548;99822,45034;49911,62548;0,45034;16221,68802;83601,68802;116043,68802;183423,68802;215865,68802;249555,62548;199644,45034;165954,101327;133512,101327;66132,101327;33690,101327;0,107582;49911,125095;99822,107582;149733,125095;199644,107582;249555,125095;233334,101327" o:connectangles="0,0,0,0,0,0,0,0,0,0,0,0,0,0,0,0,0,0,0,0,0,0,0,0,0,0,0,0,0,0,0,0,0,0"/>
                        <o:lock v:ext="edit" verticies="t"/>
                      </v:shape>
                    </v:group>
                  </w:pict>
                </mc:Fallback>
              </mc:AlternateContent>
            </w:r>
          </w:p>
        </w:tc>
        <w:tc>
          <w:tcPr>
            <w:tcW w:w="3742" w:type="dxa"/>
            <w:vMerge w:val="restart"/>
            <w:tcMar>
              <w:right w:w="391" w:type="dxa"/>
            </w:tcMar>
          </w:tcPr>
          <w:p w14:paraId="7633C07F" w14:textId="39CD3584" w:rsidR="007A5B1C" w:rsidRPr="00A04E56" w:rsidRDefault="007A5B1C" w:rsidP="00235BA3">
            <w:pPr>
              <w:rPr>
                <w:rFonts w:eastAsia="Calibri"/>
              </w:rPr>
            </w:pPr>
            <w:r w:rsidRPr="00A04E56">
              <w:rPr>
                <w:rStyle w:val="BOLDLIGHTBLUEReport"/>
                <w:rFonts w:eastAsia="Calibri"/>
              </w:rPr>
              <w:t>Responding to natural disasters</w:t>
            </w:r>
            <w:r w:rsidRPr="00A04E56">
              <w:rPr>
                <w:rFonts w:eastAsia="Calibri"/>
              </w:rPr>
              <w:t xml:space="preserve">: </w:t>
            </w:r>
            <w:r w:rsidR="008C1D39" w:rsidRPr="00A04E56">
              <w:rPr>
                <w:rFonts w:eastAsia="Calibri"/>
                <w:i/>
                <w:u w:val="single"/>
              </w:rPr>
              <w:t>In 2017</w:t>
            </w:r>
            <w:r w:rsidRPr="00A04E56">
              <w:rPr>
                <w:rFonts w:eastAsia="Calibri"/>
              </w:rPr>
              <w:t>, Copernicus maps showing the exten</w:t>
            </w:r>
            <w:r w:rsidR="00235BA3">
              <w:rPr>
                <w:rFonts w:eastAsia="Calibri"/>
              </w:rPr>
              <w:t>t</w:t>
            </w:r>
            <w:r w:rsidRPr="00A04E56">
              <w:rPr>
                <w:rFonts w:eastAsia="Calibri"/>
              </w:rPr>
              <w:t xml:space="preserve"> and magnitude of damage have helped rescue teams deal with forest fires (Italy, Spain, Greece, Portugal), earthquakes (Mexico), hurricanes (countries hit by hurricanes Harvey, Irma and Maria), and floods (Ireland, Germany), amongst others.</w:t>
            </w:r>
          </w:p>
        </w:tc>
        <w:tc>
          <w:tcPr>
            <w:tcW w:w="1031" w:type="dxa"/>
            <w:vAlign w:val="center"/>
          </w:tcPr>
          <w:p w14:paraId="3A6CB84E" w14:textId="77777777" w:rsidR="007A5B1C" w:rsidRPr="00A04E56" w:rsidRDefault="007A5B1C" w:rsidP="002D5E2C">
            <w:pPr>
              <w:rPr>
                <w:rFonts w:eastAsia="Calibri"/>
              </w:rPr>
            </w:pPr>
            <w:r w:rsidRPr="00A04E56">
              <w:rPr>
                <w:rFonts w:eastAsia="Calibri"/>
                <w:noProof/>
                <w:lang w:val="fr-BE" w:eastAsia="fr-BE"/>
              </w:rPr>
              <mc:AlternateContent>
                <mc:Choice Requires="wpg">
                  <w:drawing>
                    <wp:anchor distT="0" distB="0" distL="114300" distR="114300" simplePos="0" relativeHeight="251557888" behindDoc="0" locked="0" layoutInCell="1" allowOverlap="1" wp14:anchorId="3FF42617" wp14:editId="71C4314A">
                      <wp:simplePos x="0" y="0"/>
                      <wp:positionH relativeFrom="column">
                        <wp:align>center</wp:align>
                      </wp:positionH>
                      <wp:positionV relativeFrom="paragraph">
                        <wp:posOffset>1905</wp:posOffset>
                      </wp:positionV>
                      <wp:extent cx="468000" cy="468000"/>
                      <wp:effectExtent l="0" t="0" r="8255" b="8255"/>
                      <wp:wrapNone/>
                      <wp:docPr id="41" name="Group 41"/>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42" name="Oval 46"/>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4"/>
                              <wps:cNvSpPr>
                                <a:spLocks/>
                              </wps:cNvSpPr>
                              <wps:spPr bwMode="auto">
                                <a:xfrm>
                                  <a:off x="175979" y="255342"/>
                                  <a:ext cx="52705" cy="52070"/>
                                </a:xfrm>
                                <a:custGeom>
                                  <a:avLst/>
                                  <a:gdLst>
                                    <a:gd name="T0" fmla="*/ 36 w 42"/>
                                    <a:gd name="T1" fmla="*/ 31 h 42"/>
                                    <a:gd name="T2" fmla="*/ 11 w 42"/>
                                    <a:gd name="T3" fmla="*/ 5 h 42"/>
                                    <a:gd name="T4" fmla="*/ 5 w 42"/>
                                    <a:gd name="T5" fmla="*/ 0 h 42"/>
                                    <a:gd name="T6" fmla="*/ 0 w 42"/>
                                    <a:gd name="T7" fmla="*/ 5 h 42"/>
                                    <a:gd name="T8" fmla="*/ 36 w 42"/>
                                    <a:gd name="T9" fmla="*/ 42 h 42"/>
                                    <a:gd name="T10" fmla="*/ 42 w 42"/>
                                    <a:gd name="T11" fmla="*/ 36 h 42"/>
                                    <a:gd name="T12" fmla="*/ 36 w 42"/>
                                    <a:gd name="T13" fmla="*/ 31 h 42"/>
                                  </a:gdLst>
                                  <a:ahLst/>
                                  <a:cxnLst>
                                    <a:cxn ang="0">
                                      <a:pos x="T0" y="T1"/>
                                    </a:cxn>
                                    <a:cxn ang="0">
                                      <a:pos x="T2" y="T3"/>
                                    </a:cxn>
                                    <a:cxn ang="0">
                                      <a:pos x="T4" y="T5"/>
                                    </a:cxn>
                                    <a:cxn ang="0">
                                      <a:pos x="T6" y="T7"/>
                                    </a:cxn>
                                    <a:cxn ang="0">
                                      <a:pos x="T8" y="T9"/>
                                    </a:cxn>
                                    <a:cxn ang="0">
                                      <a:pos x="T10" y="T11"/>
                                    </a:cxn>
                                    <a:cxn ang="0">
                                      <a:pos x="T12" y="T13"/>
                                    </a:cxn>
                                  </a:cxnLst>
                                  <a:rect l="0" t="0" r="r" b="b"/>
                                  <a:pathLst>
                                    <a:path w="42" h="42">
                                      <a:moveTo>
                                        <a:pt x="36" y="31"/>
                                      </a:moveTo>
                                      <a:cubicBezTo>
                                        <a:pt x="22" y="31"/>
                                        <a:pt x="11" y="19"/>
                                        <a:pt x="11" y="5"/>
                                      </a:cubicBezTo>
                                      <a:cubicBezTo>
                                        <a:pt x="11" y="2"/>
                                        <a:pt x="8" y="0"/>
                                        <a:pt x="5" y="0"/>
                                      </a:cubicBezTo>
                                      <a:cubicBezTo>
                                        <a:pt x="2" y="0"/>
                                        <a:pt x="0" y="2"/>
                                        <a:pt x="0" y="5"/>
                                      </a:cubicBezTo>
                                      <a:cubicBezTo>
                                        <a:pt x="0" y="25"/>
                                        <a:pt x="16" y="42"/>
                                        <a:pt x="36" y="42"/>
                                      </a:cubicBezTo>
                                      <a:cubicBezTo>
                                        <a:pt x="39" y="42"/>
                                        <a:pt x="42" y="39"/>
                                        <a:pt x="42" y="36"/>
                                      </a:cubicBezTo>
                                      <a:cubicBezTo>
                                        <a:pt x="42" y="33"/>
                                        <a:pt x="39" y="31"/>
                                        <a:pt x="36" y="31"/>
                                      </a:cubicBezTo>
                                      <a:close/>
                                    </a:path>
                                  </a:pathLst>
                                </a:custGeom>
                                <a:solidFill>
                                  <a:srgbClr val="FFFFFF"/>
                                </a:solidFill>
                                <a:ln w="5080" cap="flat">
                                  <a:solidFill>
                                    <a:srgbClr val="FFFFFF"/>
                                  </a:solidFill>
                                  <a:prstDash val="solid"/>
                                  <a:miter lim="800000"/>
                                  <a:headEnd/>
                                  <a:tailEnd/>
                                </a:ln>
                              </wps:spPr>
                              <wps:bodyPr rot="0" vert="horz" wrap="square" lIns="91440" tIns="45720" rIns="91440" bIns="45720" anchor="t" anchorCtr="0" upright="1">
                                <a:noAutofit/>
                              </wps:bodyPr>
                            </wps:wsp>
                            <wps:wsp>
                              <wps:cNvPr id="44" name="Freeform 55"/>
                              <wps:cNvSpPr>
                                <a:spLocks noEditPoints="1"/>
                              </wps:cNvSpPr>
                              <wps:spPr bwMode="auto">
                                <a:xfrm>
                                  <a:off x="134572" y="96616"/>
                                  <a:ext cx="174625" cy="251460"/>
                                </a:xfrm>
                                <a:custGeom>
                                  <a:avLst/>
                                  <a:gdLst>
                                    <a:gd name="T0" fmla="*/ 74 w 140"/>
                                    <a:gd name="T1" fmla="*/ 2 h 201"/>
                                    <a:gd name="T2" fmla="*/ 70 w 140"/>
                                    <a:gd name="T3" fmla="*/ 0 h 201"/>
                                    <a:gd name="T4" fmla="*/ 66 w 140"/>
                                    <a:gd name="T5" fmla="*/ 2 h 201"/>
                                    <a:gd name="T6" fmla="*/ 0 w 140"/>
                                    <a:gd name="T7" fmla="*/ 131 h 201"/>
                                    <a:gd name="T8" fmla="*/ 70 w 140"/>
                                    <a:gd name="T9" fmla="*/ 201 h 201"/>
                                    <a:gd name="T10" fmla="*/ 140 w 140"/>
                                    <a:gd name="T11" fmla="*/ 131 h 201"/>
                                    <a:gd name="T12" fmla="*/ 74 w 140"/>
                                    <a:gd name="T13" fmla="*/ 2 h 201"/>
                                    <a:gd name="T14" fmla="*/ 70 w 140"/>
                                    <a:gd name="T15" fmla="*/ 190 h 201"/>
                                    <a:gd name="T16" fmla="*/ 11 w 140"/>
                                    <a:gd name="T17" fmla="*/ 131 h 201"/>
                                    <a:gd name="T18" fmla="*/ 70 w 140"/>
                                    <a:gd name="T19" fmla="*/ 14 h 201"/>
                                    <a:gd name="T20" fmla="*/ 129 w 140"/>
                                    <a:gd name="T21" fmla="*/ 131 h 201"/>
                                    <a:gd name="T22" fmla="*/ 70 w 140"/>
                                    <a:gd name="T23" fmla="*/ 190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0" h="201">
                                      <a:moveTo>
                                        <a:pt x="74" y="2"/>
                                      </a:moveTo>
                                      <a:cubicBezTo>
                                        <a:pt x="73" y="1"/>
                                        <a:pt x="71" y="0"/>
                                        <a:pt x="70" y="0"/>
                                      </a:cubicBezTo>
                                      <a:cubicBezTo>
                                        <a:pt x="68" y="0"/>
                                        <a:pt x="67" y="1"/>
                                        <a:pt x="66" y="2"/>
                                      </a:cubicBezTo>
                                      <a:cubicBezTo>
                                        <a:pt x="63" y="6"/>
                                        <a:pt x="0" y="82"/>
                                        <a:pt x="0" y="131"/>
                                      </a:cubicBezTo>
                                      <a:cubicBezTo>
                                        <a:pt x="0" y="170"/>
                                        <a:pt x="31" y="201"/>
                                        <a:pt x="70" y="201"/>
                                      </a:cubicBezTo>
                                      <a:cubicBezTo>
                                        <a:pt x="108" y="201"/>
                                        <a:pt x="140" y="170"/>
                                        <a:pt x="140" y="131"/>
                                      </a:cubicBezTo>
                                      <a:cubicBezTo>
                                        <a:pt x="140" y="76"/>
                                        <a:pt x="77" y="5"/>
                                        <a:pt x="74" y="2"/>
                                      </a:cubicBezTo>
                                      <a:close/>
                                      <a:moveTo>
                                        <a:pt x="70" y="190"/>
                                      </a:moveTo>
                                      <a:cubicBezTo>
                                        <a:pt x="37" y="190"/>
                                        <a:pt x="11" y="164"/>
                                        <a:pt x="11" y="131"/>
                                      </a:cubicBezTo>
                                      <a:cubicBezTo>
                                        <a:pt x="11" y="93"/>
                                        <a:pt x="56" y="32"/>
                                        <a:pt x="70" y="14"/>
                                      </a:cubicBezTo>
                                      <a:cubicBezTo>
                                        <a:pt x="84" y="31"/>
                                        <a:pt x="129" y="88"/>
                                        <a:pt x="129" y="131"/>
                                      </a:cubicBezTo>
                                      <a:cubicBezTo>
                                        <a:pt x="129" y="164"/>
                                        <a:pt x="102" y="190"/>
                                        <a:pt x="70" y="19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0BDA80" id="Group 41" o:spid="_x0000_s1026" style="position:absolute;margin-left:0;margin-top:.15pt;width:36.85pt;height:36.85pt;z-index:251557888;mso-position-horizontal:center;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">
                      <v:oval id="Oval 46"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" fillcolor="#65bbc8" stroked="f"/>
                      <v:shape id="Freeform 54" o:spid="_x0000_s1028" style="position:absolute;left:175979;top:255342;width:52705;height:52070;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" path="m36,31c22,31,11,19,11,5,11,2,8,,5,,2,,,2,,5,,25,16,42,36,42v3,,6,-3,6,-6c42,33,39,31,36,31xe" strokecolor="white" strokeweight=".4pt">
                        <v:stroke joinstyle="miter"/>
                        <v:path arrowok="t" o:connecttype="custom" o:connectlocs="45176,38433;13804,6199;6274,0;0,6199;45176,52070;52705,44631;45176,38433" o:connectangles="0,0,0,0,0,0,0"/>
                      </v:shape>
                      <v:shape id="Freeform 55" o:spid="_x0000_s1029" style="position:absolute;left:134572;top:96616;width:174625;height:251460;visibility:visible;mso-wrap-style:square;v-text-anchor:top" coordsize="14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" path="m74,2c73,1,71,,70,,68,,67,1,66,2,63,6,,82,,131v,39,31,70,70,70c108,201,140,170,140,131,140,76,77,5,74,2xm70,190c37,190,11,164,11,131,11,93,56,32,70,14v14,17,59,74,59,117c129,164,102,190,70,190xe" stroked="f">
                        <v:path arrowok="t" o:connecttype="custom" o:connectlocs="92302,2502;87313,0;82323,2502;0,163887;87313,251460;174625,163887;92302,2502;87313,237699;13721,163887;87313,17515;160904,163887;87313,237699" o:connectangles="0,0,0,0,0,0,0,0,0,0,0,0"/>
                        <o:lock v:ext="edit" verticies="t"/>
                      </v:shape>
                    </v:group>
                  </w:pict>
                </mc:Fallback>
              </mc:AlternateContent>
            </w:r>
          </w:p>
        </w:tc>
        <w:tc>
          <w:tcPr>
            <w:tcW w:w="3575" w:type="dxa"/>
            <w:tcMar>
              <w:right w:w="170" w:type="dxa"/>
            </w:tcMar>
          </w:tcPr>
          <w:p w14:paraId="77E75F06" w14:textId="77777777" w:rsidR="007A5B1C" w:rsidRPr="00A04E56" w:rsidRDefault="007A5B1C" w:rsidP="002D5E2C">
            <w:pPr>
              <w:rPr>
                <w:rFonts w:eastAsia="Calibri"/>
              </w:rPr>
            </w:pPr>
            <w:r w:rsidRPr="00A04E56">
              <w:rPr>
                <w:rStyle w:val="BOLDLIGHTBLUEReport"/>
                <w:rFonts w:eastAsia="Calibri"/>
              </w:rPr>
              <w:t>Monitoring oil spills</w:t>
            </w:r>
            <w:r w:rsidRPr="00A04E56">
              <w:rPr>
                <w:rFonts w:eastAsia="Calibri"/>
              </w:rPr>
              <w:t>: The European Maritime Safety Agency (EMSA) uses Copernicus data for oil spill and vessel monitoring.</w:t>
            </w:r>
          </w:p>
        </w:tc>
      </w:tr>
      <w:tr w:rsidR="007A5B1C" w:rsidRPr="00A04E56" w14:paraId="4B9AA496" w14:textId="77777777" w:rsidTr="00D300BD">
        <w:trPr>
          <w:trHeight w:val="1414"/>
        </w:trPr>
        <w:tc>
          <w:tcPr>
            <w:tcW w:w="959" w:type="dxa"/>
            <w:vMerge/>
            <w:vAlign w:val="center"/>
          </w:tcPr>
          <w:p w14:paraId="57017BCC" w14:textId="77777777" w:rsidR="007A5B1C" w:rsidRPr="00A04E56" w:rsidRDefault="007A5B1C" w:rsidP="002D5E2C">
            <w:pPr>
              <w:rPr>
                <w:rFonts w:eastAsia="Calibri"/>
              </w:rPr>
            </w:pPr>
          </w:p>
        </w:tc>
        <w:tc>
          <w:tcPr>
            <w:tcW w:w="3742" w:type="dxa"/>
            <w:vMerge/>
            <w:tcMar>
              <w:right w:w="391" w:type="dxa"/>
            </w:tcMar>
          </w:tcPr>
          <w:p w14:paraId="6EF725F6" w14:textId="77777777" w:rsidR="007A5B1C" w:rsidRPr="00A04E56" w:rsidRDefault="007A5B1C" w:rsidP="002D5E2C">
            <w:pPr>
              <w:rPr>
                <w:rFonts w:eastAsia="Calibri"/>
              </w:rPr>
            </w:pPr>
          </w:p>
        </w:tc>
        <w:tc>
          <w:tcPr>
            <w:tcW w:w="1031" w:type="dxa"/>
            <w:vAlign w:val="center"/>
          </w:tcPr>
          <w:p w14:paraId="1A7851F2" w14:textId="539D54F7" w:rsidR="007A5B1C" w:rsidRPr="00A04E56" w:rsidRDefault="007A5B1C" w:rsidP="002D5E2C">
            <w:pPr>
              <w:rPr>
                <w:rFonts w:eastAsia="Calibri"/>
              </w:rPr>
            </w:pPr>
            <w:r w:rsidRPr="00A04E56">
              <w:rPr>
                <w:rFonts w:eastAsia="Calibri"/>
                <w:noProof/>
                <w:lang w:val="fr-BE" w:eastAsia="fr-BE"/>
              </w:rPr>
              <mc:AlternateContent>
                <mc:Choice Requires="wpg">
                  <w:drawing>
                    <wp:anchor distT="0" distB="0" distL="114300" distR="114300" simplePos="0" relativeHeight="251699200" behindDoc="0" locked="0" layoutInCell="1" allowOverlap="1" wp14:anchorId="2CF6571A" wp14:editId="0EA3D733">
                      <wp:simplePos x="0" y="0"/>
                      <wp:positionH relativeFrom="column">
                        <wp:align>center</wp:align>
                      </wp:positionH>
                      <wp:positionV relativeFrom="paragraph">
                        <wp:posOffset>0</wp:posOffset>
                      </wp:positionV>
                      <wp:extent cx="468000" cy="468000"/>
                      <wp:effectExtent l="0" t="0" r="8255" b="8255"/>
                      <wp:wrapNone/>
                      <wp:docPr id="14209" name="Group 14209"/>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14248" name="Oval 63"/>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9" name="Freeform 64"/>
                              <wps:cNvSpPr>
                                <a:spLocks/>
                              </wps:cNvSpPr>
                              <wps:spPr bwMode="auto">
                                <a:xfrm>
                                  <a:off x="96616" y="148374"/>
                                  <a:ext cx="46990" cy="165100"/>
                                </a:xfrm>
                                <a:custGeom>
                                  <a:avLst/>
                                  <a:gdLst>
                                    <a:gd name="T0" fmla="*/ 33 w 74"/>
                                    <a:gd name="T1" fmla="*/ 260 h 260"/>
                                    <a:gd name="T2" fmla="*/ 0 w 74"/>
                                    <a:gd name="T3" fmla="*/ 260 h 260"/>
                                    <a:gd name="T4" fmla="*/ 49 w 74"/>
                                    <a:gd name="T5" fmla="*/ 0 h 260"/>
                                    <a:gd name="T6" fmla="*/ 74 w 74"/>
                                    <a:gd name="T7" fmla="*/ 0 h 260"/>
                                    <a:gd name="T8" fmla="*/ 33 w 74"/>
                                    <a:gd name="T9" fmla="*/ 260 h 260"/>
                                  </a:gdLst>
                                  <a:ahLst/>
                                  <a:cxnLst>
                                    <a:cxn ang="0">
                                      <a:pos x="T0" y="T1"/>
                                    </a:cxn>
                                    <a:cxn ang="0">
                                      <a:pos x="T2" y="T3"/>
                                    </a:cxn>
                                    <a:cxn ang="0">
                                      <a:pos x="T4" y="T5"/>
                                    </a:cxn>
                                    <a:cxn ang="0">
                                      <a:pos x="T6" y="T7"/>
                                    </a:cxn>
                                    <a:cxn ang="0">
                                      <a:pos x="T8" y="T9"/>
                                    </a:cxn>
                                  </a:cxnLst>
                                  <a:rect l="0" t="0" r="r" b="b"/>
                                  <a:pathLst>
                                    <a:path w="74" h="260">
                                      <a:moveTo>
                                        <a:pt x="33" y="260"/>
                                      </a:moveTo>
                                      <a:lnTo>
                                        <a:pt x="0" y="260"/>
                                      </a:lnTo>
                                      <a:lnTo>
                                        <a:pt x="49" y="0"/>
                                      </a:lnTo>
                                      <a:lnTo>
                                        <a:pt x="74" y="0"/>
                                      </a:lnTo>
                                      <a:lnTo>
                                        <a:pt x="33"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0" name="Freeform 65"/>
                              <wps:cNvSpPr>
                                <a:spLocks/>
                              </wps:cNvSpPr>
                              <wps:spPr bwMode="auto">
                                <a:xfrm>
                                  <a:off x="300199" y="148374"/>
                                  <a:ext cx="47625" cy="165100"/>
                                </a:xfrm>
                                <a:custGeom>
                                  <a:avLst/>
                                  <a:gdLst>
                                    <a:gd name="T0" fmla="*/ 75 w 75"/>
                                    <a:gd name="T1" fmla="*/ 260 h 260"/>
                                    <a:gd name="T2" fmla="*/ 41 w 75"/>
                                    <a:gd name="T3" fmla="*/ 260 h 260"/>
                                    <a:gd name="T4" fmla="*/ 0 w 75"/>
                                    <a:gd name="T5" fmla="*/ 0 h 260"/>
                                    <a:gd name="T6" fmla="*/ 26 w 75"/>
                                    <a:gd name="T7" fmla="*/ 0 h 260"/>
                                    <a:gd name="T8" fmla="*/ 75 w 75"/>
                                    <a:gd name="T9" fmla="*/ 260 h 260"/>
                                  </a:gdLst>
                                  <a:ahLst/>
                                  <a:cxnLst>
                                    <a:cxn ang="0">
                                      <a:pos x="T0" y="T1"/>
                                    </a:cxn>
                                    <a:cxn ang="0">
                                      <a:pos x="T2" y="T3"/>
                                    </a:cxn>
                                    <a:cxn ang="0">
                                      <a:pos x="T4" y="T5"/>
                                    </a:cxn>
                                    <a:cxn ang="0">
                                      <a:pos x="T6" y="T7"/>
                                    </a:cxn>
                                    <a:cxn ang="0">
                                      <a:pos x="T8" y="T9"/>
                                    </a:cxn>
                                  </a:cxnLst>
                                  <a:rect l="0" t="0" r="r" b="b"/>
                                  <a:pathLst>
                                    <a:path w="75" h="260">
                                      <a:moveTo>
                                        <a:pt x="75" y="260"/>
                                      </a:moveTo>
                                      <a:lnTo>
                                        <a:pt x="41" y="260"/>
                                      </a:lnTo>
                                      <a:lnTo>
                                        <a:pt x="0" y="0"/>
                                      </a:lnTo>
                                      <a:lnTo>
                                        <a:pt x="26" y="0"/>
                                      </a:lnTo>
                                      <a:lnTo>
                                        <a:pt x="75" y="2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1" name="Rectangle 66"/>
                              <wps:cNvSpPr>
                                <a:spLocks noChangeArrowheads="1"/>
                              </wps:cNvSpPr>
                              <wps:spPr bwMode="auto">
                                <a:xfrm>
                                  <a:off x="217386" y="148374"/>
                                  <a:ext cx="16510" cy="27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3" name="Rectangle 67"/>
                              <wps:cNvSpPr>
                                <a:spLocks noChangeArrowheads="1"/>
                              </wps:cNvSpPr>
                              <wps:spPr bwMode="auto">
                                <a:xfrm>
                                  <a:off x="217386" y="196682"/>
                                  <a:ext cx="17780" cy="3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4" name="Freeform 68"/>
                              <wps:cNvSpPr>
                                <a:spLocks/>
                              </wps:cNvSpPr>
                              <wps:spPr bwMode="auto">
                                <a:xfrm>
                                  <a:off x="217386" y="258792"/>
                                  <a:ext cx="21590" cy="42545"/>
                                </a:xfrm>
                                <a:custGeom>
                                  <a:avLst/>
                                  <a:gdLst>
                                    <a:gd name="T0" fmla="*/ 34 w 34"/>
                                    <a:gd name="T1" fmla="*/ 67 h 67"/>
                                    <a:gd name="T2" fmla="*/ 0 w 34"/>
                                    <a:gd name="T3" fmla="*/ 67 h 67"/>
                                    <a:gd name="T4" fmla="*/ 0 w 34"/>
                                    <a:gd name="T5" fmla="*/ 0 h 67"/>
                                    <a:gd name="T6" fmla="*/ 32 w 34"/>
                                    <a:gd name="T7" fmla="*/ 0 h 67"/>
                                    <a:gd name="T8" fmla="*/ 34 w 34"/>
                                    <a:gd name="T9" fmla="*/ 67 h 67"/>
                                  </a:gdLst>
                                  <a:ahLst/>
                                  <a:cxnLst>
                                    <a:cxn ang="0">
                                      <a:pos x="T0" y="T1"/>
                                    </a:cxn>
                                    <a:cxn ang="0">
                                      <a:pos x="T2" y="T3"/>
                                    </a:cxn>
                                    <a:cxn ang="0">
                                      <a:pos x="T4" y="T5"/>
                                    </a:cxn>
                                    <a:cxn ang="0">
                                      <a:pos x="T6" y="T7"/>
                                    </a:cxn>
                                    <a:cxn ang="0">
                                      <a:pos x="T8" y="T9"/>
                                    </a:cxn>
                                  </a:cxnLst>
                                  <a:rect l="0" t="0" r="r" b="b"/>
                                  <a:pathLst>
                                    <a:path w="34" h="67">
                                      <a:moveTo>
                                        <a:pt x="34" y="67"/>
                                      </a:moveTo>
                                      <a:lnTo>
                                        <a:pt x="0" y="67"/>
                                      </a:lnTo>
                                      <a:lnTo>
                                        <a:pt x="0" y="0"/>
                                      </a:lnTo>
                                      <a:lnTo>
                                        <a:pt x="32" y="0"/>
                                      </a:lnTo>
                                      <a:lnTo>
                                        <a:pt x="34"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9799ED3" id="Group 14209" o:spid="_x0000_s1026" style="position:absolute;margin-left:0;margin-top:0;width:36.85pt;height:36.85pt;z-index:251699200;mso-position-horizontal:center;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">
                      <v:oval id="Oval 63"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" fillcolor="#65bbc8" stroked="f"/>
                      <v:shape id="Freeform 64" o:spid="_x0000_s1028" style="position:absolute;left:96616;top:148374;width:46990;height:165100;visibility:visible;mso-wrap-style:square;v-text-anchor:top" coordsize="7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" path="m33,260l,260,49,,74,,33,260xe" stroked="f">
                        <v:path arrowok="t" o:connecttype="custom" o:connectlocs="20955,165100;0,165100;31115,0;46990,0;20955,165100" o:connectangles="0,0,0,0,0"/>
                      </v:shape>
                      <v:shape id="Freeform 65" o:spid="_x0000_s1029" style="position:absolute;left:300199;top:148374;width:47625;height:165100;visibility:visible;mso-wrap-style:square;v-text-anchor:top" coordsize="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" path="m75,260r-34,l,,26,,75,260xe" stroked="f">
                        <v:path arrowok="t" o:connecttype="custom" o:connectlocs="47625,165100;26035,165100;0,0;16510,0;47625,165100" o:connectangles="0,0,0,0,0"/>
                      </v:shape>
                      <v:rect id="Rectangle 66" o:spid="_x0000_s1030" style="position:absolute;left:217386;top:148374;width:16510;height:27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" stroked="f"/>
                      <v:rect id="Rectangle 67" o:spid="_x0000_s1031" style="position:absolute;left:217386;top:196682;width:17780;height:34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" stroked="f"/>
                      <v:shape id="Freeform 68" o:spid="_x0000_s1032" style="position:absolute;left:217386;top:258792;width:21590;height:42545;visibility:visible;mso-wrap-style:square;v-text-anchor:top" coordsize="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" path="m34,67l,67,,,32,r2,67xe" stroked="f">
                        <v:path arrowok="t" o:connecttype="custom" o:connectlocs="21590,42545;0,42545;0,0;20320,0;21590,42545" o:connectangles="0,0,0,0,0"/>
                      </v:shape>
                    </v:group>
                  </w:pict>
                </mc:Fallback>
              </mc:AlternateContent>
            </w:r>
          </w:p>
        </w:tc>
        <w:tc>
          <w:tcPr>
            <w:tcW w:w="3575" w:type="dxa"/>
            <w:tcMar>
              <w:right w:w="170" w:type="dxa"/>
            </w:tcMar>
          </w:tcPr>
          <w:p w14:paraId="14EC62E5" w14:textId="45AB61E5" w:rsidR="007A5B1C" w:rsidRPr="00A04E56" w:rsidRDefault="007A5B1C" w:rsidP="002D5E2C">
            <w:pPr>
              <w:rPr>
                <w:rFonts w:eastAsia="Calibri"/>
              </w:rPr>
            </w:pPr>
            <w:r w:rsidRPr="00A04E56">
              <w:rPr>
                <w:rStyle w:val="BOLDLIGHTBLUEReport"/>
                <w:rFonts w:eastAsia="Calibri"/>
              </w:rPr>
              <w:t>Landing of airplanes</w:t>
            </w:r>
            <w:r w:rsidRPr="00A04E56">
              <w:rPr>
                <w:rFonts w:eastAsia="Calibri"/>
              </w:rPr>
              <w:t xml:space="preserve">: </w:t>
            </w:r>
            <w:r w:rsidR="00BF3BD9">
              <w:rPr>
                <w:rFonts w:eastAsia="Calibri"/>
              </w:rPr>
              <w:t xml:space="preserve">by the end of 2018, </w:t>
            </w:r>
            <w:r w:rsidR="00BF3BD9" w:rsidRPr="00A04E56">
              <w:rPr>
                <w:rFonts w:eastAsia="Calibri"/>
              </w:rPr>
              <w:t>3</w:t>
            </w:r>
            <w:r w:rsidR="00BF3BD9">
              <w:rPr>
                <w:rFonts w:eastAsia="Calibri"/>
              </w:rPr>
              <w:t>15</w:t>
            </w:r>
            <w:r w:rsidRPr="00A04E56">
              <w:rPr>
                <w:rFonts w:eastAsia="Calibri"/>
              </w:rPr>
              <w:t xml:space="preserve"> airports in almost all EU countries are using EGNOS, making landing more secure, thus avoiding delays and re-routing.</w:t>
            </w:r>
          </w:p>
        </w:tc>
      </w:tr>
      <w:tr w:rsidR="007A5B1C" w:rsidRPr="00A04E56" w14:paraId="02CF1313" w14:textId="77777777" w:rsidTr="00D300BD">
        <w:trPr>
          <w:trHeight w:val="2271"/>
        </w:trPr>
        <w:tc>
          <w:tcPr>
            <w:tcW w:w="959" w:type="dxa"/>
            <w:vAlign w:val="center"/>
          </w:tcPr>
          <w:p w14:paraId="06A8ED94" w14:textId="77777777" w:rsidR="007A5B1C" w:rsidRPr="00A04E56" w:rsidRDefault="007A5B1C" w:rsidP="002D5E2C">
            <w:pPr>
              <w:rPr>
                <w:rFonts w:eastAsia="Calibri"/>
              </w:rPr>
            </w:pPr>
            <w:r w:rsidRPr="00A04E56">
              <w:rPr>
                <w:rFonts w:eastAsia="Calibri"/>
                <w:noProof/>
                <w:lang w:val="fr-BE" w:eastAsia="fr-BE"/>
              </w:rPr>
              <mc:AlternateContent>
                <mc:Choice Requires="wpg">
                  <w:drawing>
                    <wp:anchor distT="0" distB="0" distL="114300" distR="114300" simplePos="0" relativeHeight="251703296" behindDoc="0" locked="0" layoutInCell="1" allowOverlap="1" wp14:anchorId="0196CF69" wp14:editId="3E8387FC">
                      <wp:simplePos x="0" y="0"/>
                      <wp:positionH relativeFrom="column">
                        <wp:align>center</wp:align>
                      </wp:positionH>
                      <wp:positionV relativeFrom="paragraph">
                        <wp:posOffset>6985</wp:posOffset>
                      </wp:positionV>
                      <wp:extent cx="468000" cy="468000"/>
                      <wp:effectExtent l="0" t="0" r="8255" b="8255"/>
                      <wp:wrapNone/>
                      <wp:docPr id="14660" name="Group 14660"/>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14661" name="Oval 42"/>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2" name="Freeform 69"/>
                              <wps:cNvSpPr>
                                <a:spLocks/>
                              </wps:cNvSpPr>
                              <wps:spPr bwMode="auto">
                                <a:xfrm>
                                  <a:off x="188843" y="79513"/>
                                  <a:ext cx="63500" cy="38735"/>
                                </a:xfrm>
                                <a:custGeom>
                                  <a:avLst/>
                                  <a:gdLst>
                                    <a:gd name="T0" fmla="*/ 46 w 51"/>
                                    <a:gd name="T1" fmla="*/ 31 h 31"/>
                                    <a:gd name="T2" fmla="*/ 40 w 51"/>
                                    <a:gd name="T3" fmla="*/ 26 h 31"/>
                                    <a:gd name="T4" fmla="*/ 25 w 51"/>
                                    <a:gd name="T5" fmla="*/ 11 h 31"/>
                                    <a:gd name="T6" fmla="*/ 10 w 51"/>
                                    <a:gd name="T7" fmla="*/ 26 h 31"/>
                                    <a:gd name="T8" fmla="*/ 5 w 51"/>
                                    <a:gd name="T9" fmla="*/ 31 h 31"/>
                                    <a:gd name="T10" fmla="*/ 0 w 51"/>
                                    <a:gd name="T11" fmla="*/ 26 h 31"/>
                                    <a:gd name="T12" fmla="*/ 25 w 51"/>
                                    <a:gd name="T13" fmla="*/ 0 h 31"/>
                                    <a:gd name="T14" fmla="*/ 51 w 51"/>
                                    <a:gd name="T15" fmla="*/ 26 h 31"/>
                                    <a:gd name="T16" fmla="*/ 46 w 51"/>
                                    <a:gd name="T1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31">
                                      <a:moveTo>
                                        <a:pt x="46" y="31"/>
                                      </a:moveTo>
                                      <a:cubicBezTo>
                                        <a:pt x="43" y="31"/>
                                        <a:pt x="40" y="29"/>
                                        <a:pt x="40" y="26"/>
                                      </a:cubicBezTo>
                                      <a:cubicBezTo>
                                        <a:pt x="40" y="17"/>
                                        <a:pt x="34" y="11"/>
                                        <a:pt x="25" y="11"/>
                                      </a:cubicBezTo>
                                      <a:cubicBezTo>
                                        <a:pt x="17" y="11"/>
                                        <a:pt x="10" y="17"/>
                                        <a:pt x="10" y="26"/>
                                      </a:cubicBezTo>
                                      <a:cubicBezTo>
                                        <a:pt x="10" y="29"/>
                                        <a:pt x="8" y="31"/>
                                        <a:pt x="5" y="31"/>
                                      </a:cubicBezTo>
                                      <a:cubicBezTo>
                                        <a:pt x="2" y="31"/>
                                        <a:pt x="0" y="29"/>
                                        <a:pt x="0" y="26"/>
                                      </a:cubicBezTo>
                                      <a:cubicBezTo>
                                        <a:pt x="0" y="12"/>
                                        <a:pt x="11" y="0"/>
                                        <a:pt x="25" y="0"/>
                                      </a:cubicBezTo>
                                      <a:cubicBezTo>
                                        <a:pt x="39" y="0"/>
                                        <a:pt x="51" y="12"/>
                                        <a:pt x="51" y="26"/>
                                      </a:cubicBezTo>
                                      <a:cubicBezTo>
                                        <a:pt x="51" y="29"/>
                                        <a:pt x="49" y="31"/>
                                        <a:pt x="46" y="3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3" name="Freeform 70"/>
                              <wps:cNvSpPr>
                                <a:spLocks/>
                              </wps:cNvSpPr>
                              <wps:spPr bwMode="auto">
                                <a:xfrm>
                                  <a:off x="188843" y="327992"/>
                                  <a:ext cx="63500" cy="38735"/>
                                </a:xfrm>
                                <a:custGeom>
                                  <a:avLst/>
                                  <a:gdLst>
                                    <a:gd name="T0" fmla="*/ 25 w 51"/>
                                    <a:gd name="T1" fmla="*/ 31 h 31"/>
                                    <a:gd name="T2" fmla="*/ 0 w 51"/>
                                    <a:gd name="T3" fmla="*/ 5 h 31"/>
                                    <a:gd name="T4" fmla="*/ 5 w 51"/>
                                    <a:gd name="T5" fmla="*/ 0 h 31"/>
                                    <a:gd name="T6" fmla="*/ 10 w 51"/>
                                    <a:gd name="T7" fmla="*/ 5 h 31"/>
                                    <a:gd name="T8" fmla="*/ 25 w 51"/>
                                    <a:gd name="T9" fmla="*/ 20 h 31"/>
                                    <a:gd name="T10" fmla="*/ 40 w 51"/>
                                    <a:gd name="T11" fmla="*/ 5 h 31"/>
                                    <a:gd name="T12" fmla="*/ 46 w 51"/>
                                    <a:gd name="T13" fmla="*/ 0 h 31"/>
                                    <a:gd name="T14" fmla="*/ 51 w 51"/>
                                    <a:gd name="T15" fmla="*/ 5 h 31"/>
                                    <a:gd name="T16" fmla="*/ 25 w 51"/>
                                    <a:gd name="T1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1" h="31">
                                      <a:moveTo>
                                        <a:pt x="25" y="31"/>
                                      </a:moveTo>
                                      <a:cubicBezTo>
                                        <a:pt x="11" y="31"/>
                                        <a:pt x="0" y="19"/>
                                        <a:pt x="0" y="5"/>
                                      </a:cubicBezTo>
                                      <a:cubicBezTo>
                                        <a:pt x="0" y="2"/>
                                        <a:pt x="2" y="0"/>
                                        <a:pt x="5" y="0"/>
                                      </a:cubicBezTo>
                                      <a:cubicBezTo>
                                        <a:pt x="8" y="0"/>
                                        <a:pt x="10" y="2"/>
                                        <a:pt x="10" y="5"/>
                                      </a:cubicBezTo>
                                      <a:cubicBezTo>
                                        <a:pt x="10" y="13"/>
                                        <a:pt x="17" y="20"/>
                                        <a:pt x="25" y="20"/>
                                      </a:cubicBezTo>
                                      <a:cubicBezTo>
                                        <a:pt x="34" y="20"/>
                                        <a:pt x="40" y="13"/>
                                        <a:pt x="40" y="5"/>
                                      </a:cubicBezTo>
                                      <a:cubicBezTo>
                                        <a:pt x="40" y="2"/>
                                        <a:pt x="43" y="0"/>
                                        <a:pt x="46" y="0"/>
                                      </a:cubicBezTo>
                                      <a:cubicBezTo>
                                        <a:pt x="49" y="0"/>
                                        <a:pt x="51" y="2"/>
                                        <a:pt x="51" y="5"/>
                                      </a:cubicBezTo>
                                      <a:cubicBezTo>
                                        <a:pt x="51" y="19"/>
                                        <a:pt x="39" y="31"/>
                                        <a:pt x="25" y="3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4" name="Freeform 71"/>
                              <wps:cNvSpPr>
                                <a:spLocks/>
                              </wps:cNvSpPr>
                              <wps:spPr bwMode="auto">
                                <a:xfrm>
                                  <a:off x="327991" y="188844"/>
                                  <a:ext cx="38735" cy="64135"/>
                                </a:xfrm>
                                <a:custGeom>
                                  <a:avLst/>
                                  <a:gdLst>
                                    <a:gd name="T0" fmla="*/ 5 w 31"/>
                                    <a:gd name="T1" fmla="*/ 51 h 51"/>
                                    <a:gd name="T2" fmla="*/ 0 w 31"/>
                                    <a:gd name="T3" fmla="*/ 46 h 51"/>
                                    <a:gd name="T4" fmla="*/ 5 w 31"/>
                                    <a:gd name="T5" fmla="*/ 41 h 51"/>
                                    <a:gd name="T6" fmla="*/ 20 w 31"/>
                                    <a:gd name="T7" fmla="*/ 25 h 51"/>
                                    <a:gd name="T8" fmla="*/ 5 w 31"/>
                                    <a:gd name="T9" fmla="*/ 10 h 51"/>
                                    <a:gd name="T10" fmla="*/ 0 w 31"/>
                                    <a:gd name="T11" fmla="*/ 5 h 51"/>
                                    <a:gd name="T12" fmla="*/ 5 w 31"/>
                                    <a:gd name="T13" fmla="*/ 0 h 51"/>
                                    <a:gd name="T14" fmla="*/ 31 w 31"/>
                                    <a:gd name="T15" fmla="*/ 25 h 51"/>
                                    <a:gd name="T16" fmla="*/ 5 w 31"/>
                                    <a:gd name="T17"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51">
                                      <a:moveTo>
                                        <a:pt x="5" y="51"/>
                                      </a:moveTo>
                                      <a:cubicBezTo>
                                        <a:pt x="2" y="51"/>
                                        <a:pt x="0" y="49"/>
                                        <a:pt x="0" y="46"/>
                                      </a:cubicBezTo>
                                      <a:cubicBezTo>
                                        <a:pt x="0" y="43"/>
                                        <a:pt x="2" y="41"/>
                                        <a:pt x="5" y="41"/>
                                      </a:cubicBezTo>
                                      <a:cubicBezTo>
                                        <a:pt x="14" y="41"/>
                                        <a:pt x="20" y="34"/>
                                        <a:pt x="20" y="25"/>
                                      </a:cubicBezTo>
                                      <a:cubicBezTo>
                                        <a:pt x="20" y="17"/>
                                        <a:pt x="14" y="10"/>
                                        <a:pt x="5" y="10"/>
                                      </a:cubicBezTo>
                                      <a:cubicBezTo>
                                        <a:pt x="2" y="10"/>
                                        <a:pt x="0" y="8"/>
                                        <a:pt x="0" y="5"/>
                                      </a:cubicBezTo>
                                      <a:cubicBezTo>
                                        <a:pt x="0" y="2"/>
                                        <a:pt x="2" y="0"/>
                                        <a:pt x="5" y="0"/>
                                      </a:cubicBezTo>
                                      <a:cubicBezTo>
                                        <a:pt x="19" y="0"/>
                                        <a:pt x="31" y="11"/>
                                        <a:pt x="31" y="25"/>
                                      </a:cubicBezTo>
                                      <a:cubicBezTo>
                                        <a:pt x="31" y="40"/>
                                        <a:pt x="19" y="51"/>
                                        <a:pt x="5" y="5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5" name="Freeform 72"/>
                              <wps:cNvSpPr>
                                <a:spLocks/>
                              </wps:cNvSpPr>
                              <wps:spPr bwMode="auto">
                                <a:xfrm>
                                  <a:off x="79513" y="188844"/>
                                  <a:ext cx="38735" cy="64135"/>
                                </a:xfrm>
                                <a:custGeom>
                                  <a:avLst/>
                                  <a:gdLst>
                                    <a:gd name="T0" fmla="*/ 25 w 31"/>
                                    <a:gd name="T1" fmla="*/ 51 h 51"/>
                                    <a:gd name="T2" fmla="*/ 0 w 31"/>
                                    <a:gd name="T3" fmla="*/ 25 h 51"/>
                                    <a:gd name="T4" fmla="*/ 25 w 31"/>
                                    <a:gd name="T5" fmla="*/ 0 h 51"/>
                                    <a:gd name="T6" fmla="*/ 31 w 31"/>
                                    <a:gd name="T7" fmla="*/ 5 h 51"/>
                                    <a:gd name="T8" fmla="*/ 25 w 31"/>
                                    <a:gd name="T9" fmla="*/ 10 h 51"/>
                                    <a:gd name="T10" fmla="*/ 10 w 31"/>
                                    <a:gd name="T11" fmla="*/ 25 h 51"/>
                                    <a:gd name="T12" fmla="*/ 25 w 31"/>
                                    <a:gd name="T13" fmla="*/ 41 h 51"/>
                                    <a:gd name="T14" fmla="*/ 31 w 31"/>
                                    <a:gd name="T15" fmla="*/ 46 h 51"/>
                                    <a:gd name="T16" fmla="*/ 25 w 31"/>
                                    <a:gd name="T17"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 h="51">
                                      <a:moveTo>
                                        <a:pt x="25" y="51"/>
                                      </a:moveTo>
                                      <a:cubicBezTo>
                                        <a:pt x="11" y="51"/>
                                        <a:pt x="0" y="40"/>
                                        <a:pt x="0" y="25"/>
                                      </a:cubicBezTo>
                                      <a:cubicBezTo>
                                        <a:pt x="0" y="11"/>
                                        <a:pt x="11" y="0"/>
                                        <a:pt x="25" y="0"/>
                                      </a:cubicBezTo>
                                      <a:cubicBezTo>
                                        <a:pt x="28" y="0"/>
                                        <a:pt x="31" y="2"/>
                                        <a:pt x="31" y="5"/>
                                      </a:cubicBezTo>
                                      <a:cubicBezTo>
                                        <a:pt x="31" y="8"/>
                                        <a:pt x="28" y="10"/>
                                        <a:pt x="25" y="10"/>
                                      </a:cubicBezTo>
                                      <a:cubicBezTo>
                                        <a:pt x="17" y="10"/>
                                        <a:pt x="10" y="17"/>
                                        <a:pt x="10" y="25"/>
                                      </a:cubicBezTo>
                                      <a:cubicBezTo>
                                        <a:pt x="10" y="34"/>
                                        <a:pt x="17" y="41"/>
                                        <a:pt x="25" y="41"/>
                                      </a:cubicBezTo>
                                      <a:cubicBezTo>
                                        <a:pt x="28" y="41"/>
                                        <a:pt x="31" y="43"/>
                                        <a:pt x="31" y="46"/>
                                      </a:cubicBezTo>
                                      <a:cubicBezTo>
                                        <a:pt x="31" y="49"/>
                                        <a:pt x="28" y="51"/>
                                        <a:pt x="25" y="5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6" name="Freeform 73"/>
                              <wps:cNvSpPr>
                                <a:spLocks noEditPoints="1"/>
                              </wps:cNvSpPr>
                              <wps:spPr bwMode="auto">
                                <a:xfrm>
                                  <a:off x="109330" y="109331"/>
                                  <a:ext cx="222250" cy="221615"/>
                                </a:xfrm>
                                <a:custGeom>
                                  <a:avLst/>
                                  <a:gdLst>
                                    <a:gd name="T0" fmla="*/ 89 w 178"/>
                                    <a:gd name="T1" fmla="*/ 177 h 177"/>
                                    <a:gd name="T2" fmla="*/ 0 w 178"/>
                                    <a:gd name="T3" fmla="*/ 88 h 177"/>
                                    <a:gd name="T4" fmla="*/ 89 w 178"/>
                                    <a:gd name="T5" fmla="*/ 0 h 177"/>
                                    <a:gd name="T6" fmla="*/ 178 w 178"/>
                                    <a:gd name="T7" fmla="*/ 88 h 177"/>
                                    <a:gd name="T8" fmla="*/ 89 w 178"/>
                                    <a:gd name="T9" fmla="*/ 177 h 177"/>
                                    <a:gd name="T10" fmla="*/ 89 w 178"/>
                                    <a:gd name="T11" fmla="*/ 10 h 177"/>
                                    <a:gd name="T12" fmla="*/ 11 w 178"/>
                                    <a:gd name="T13" fmla="*/ 88 h 177"/>
                                    <a:gd name="T14" fmla="*/ 89 w 178"/>
                                    <a:gd name="T15" fmla="*/ 167 h 177"/>
                                    <a:gd name="T16" fmla="*/ 168 w 178"/>
                                    <a:gd name="T17" fmla="*/ 88 h 177"/>
                                    <a:gd name="T18" fmla="*/ 89 w 178"/>
                                    <a:gd name="T19" fmla="*/ 10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8" h="177">
                                      <a:moveTo>
                                        <a:pt x="89" y="177"/>
                                      </a:moveTo>
                                      <a:cubicBezTo>
                                        <a:pt x="40" y="177"/>
                                        <a:pt x="0" y="137"/>
                                        <a:pt x="0" y="88"/>
                                      </a:cubicBezTo>
                                      <a:cubicBezTo>
                                        <a:pt x="0" y="39"/>
                                        <a:pt x="40" y="0"/>
                                        <a:pt x="89" y="0"/>
                                      </a:cubicBezTo>
                                      <a:cubicBezTo>
                                        <a:pt x="138" y="0"/>
                                        <a:pt x="178" y="39"/>
                                        <a:pt x="178" y="88"/>
                                      </a:cubicBezTo>
                                      <a:cubicBezTo>
                                        <a:pt x="178" y="137"/>
                                        <a:pt x="138" y="177"/>
                                        <a:pt x="89" y="177"/>
                                      </a:cubicBezTo>
                                      <a:close/>
                                      <a:moveTo>
                                        <a:pt x="89" y="10"/>
                                      </a:moveTo>
                                      <a:cubicBezTo>
                                        <a:pt x="46" y="10"/>
                                        <a:pt x="11" y="45"/>
                                        <a:pt x="11" y="88"/>
                                      </a:cubicBezTo>
                                      <a:cubicBezTo>
                                        <a:pt x="11" y="132"/>
                                        <a:pt x="46" y="167"/>
                                        <a:pt x="89" y="167"/>
                                      </a:cubicBezTo>
                                      <a:cubicBezTo>
                                        <a:pt x="132" y="167"/>
                                        <a:pt x="168" y="132"/>
                                        <a:pt x="168" y="88"/>
                                      </a:cubicBezTo>
                                      <a:cubicBezTo>
                                        <a:pt x="168" y="45"/>
                                        <a:pt x="132" y="10"/>
                                        <a:pt x="89" y="1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7" name="Freeform 74"/>
                              <wps:cNvSpPr>
                                <a:spLocks noEditPoints="1"/>
                              </wps:cNvSpPr>
                              <wps:spPr bwMode="auto">
                                <a:xfrm>
                                  <a:off x="139148" y="142871"/>
                                  <a:ext cx="161290" cy="161290"/>
                                </a:xfrm>
                                <a:custGeom>
                                  <a:avLst/>
                                  <a:gdLst>
                                    <a:gd name="T0" fmla="*/ 64 w 129"/>
                                    <a:gd name="T1" fmla="*/ 129 h 129"/>
                                    <a:gd name="T2" fmla="*/ 0 w 129"/>
                                    <a:gd name="T3" fmla="*/ 64 h 129"/>
                                    <a:gd name="T4" fmla="*/ 64 w 129"/>
                                    <a:gd name="T5" fmla="*/ 0 h 129"/>
                                    <a:gd name="T6" fmla="*/ 129 w 129"/>
                                    <a:gd name="T7" fmla="*/ 64 h 129"/>
                                    <a:gd name="T8" fmla="*/ 64 w 129"/>
                                    <a:gd name="T9" fmla="*/ 129 h 129"/>
                                    <a:gd name="T10" fmla="*/ 64 w 129"/>
                                    <a:gd name="T11" fmla="*/ 10 h 129"/>
                                    <a:gd name="T12" fmla="*/ 11 w 129"/>
                                    <a:gd name="T13" fmla="*/ 64 h 129"/>
                                    <a:gd name="T14" fmla="*/ 64 w 129"/>
                                    <a:gd name="T15" fmla="*/ 118 h 129"/>
                                    <a:gd name="T16" fmla="*/ 118 w 129"/>
                                    <a:gd name="T17" fmla="*/ 64 h 129"/>
                                    <a:gd name="T18" fmla="*/ 64 w 129"/>
                                    <a:gd name="T19" fmla="*/ 1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9" h="129">
                                      <a:moveTo>
                                        <a:pt x="64" y="129"/>
                                      </a:moveTo>
                                      <a:cubicBezTo>
                                        <a:pt x="29" y="129"/>
                                        <a:pt x="0" y="100"/>
                                        <a:pt x="0" y="64"/>
                                      </a:cubicBezTo>
                                      <a:cubicBezTo>
                                        <a:pt x="0" y="29"/>
                                        <a:pt x="29" y="0"/>
                                        <a:pt x="64" y="0"/>
                                      </a:cubicBezTo>
                                      <a:cubicBezTo>
                                        <a:pt x="100" y="0"/>
                                        <a:pt x="129" y="29"/>
                                        <a:pt x="129" y="64"/>
                                      </a:cubicBezTo>
                                      <a:cubicBezTo>
                                        <a:pt x="129" y="100"/>
                                        <a:pt x="100" y="129"/>
                                        <a:pt x="64" y="129"/>
                                      </a:cubicBezTo>
                                      <a:close/>
                                      <a:moveTo>
                                        <a:pt x="64" y="10"/>
                                      </a:moveTo>
                                      <a:cubicBezTo>
                                        <a:pt x="35" y="10"/>
                                        <a:pt x="11" y="35"/>
                                        <a:pt x="11" y="64"/>
                                      </a:cubicBezTo>
                                      <a:cubicBezTo>
                                        <a:pt x="11" y="94"/>
                                        <a:pt x="35" y="118"/>
                                        <a:pt x="64" y="118"/>
                                      </a:cubicBezTo>
                                      <a:cubicBezTo>
                                        <a:pt x="94" y="118"/>
                                        <a:pt x="118" y="94"/>
                                        <a:pt x="118" y="64"/>
                                      </a:cubicBezTo>
                                      <a:cubicBezTo>
                                        <a:pt x="118" y="35"/>
                                        <a:pt x="94" y="10"/>
                                        <a:pt x="64" y="1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8" name="Freeform 75"/>
                              <wps:cNvSpPr>
                                <a:spLocks/>
                              </wps:cNvSpPr>
                              <wps:spPr bwMode="auto">
                                <a:xfrm>
                                  <a:off x="268356" y="268357"/>
                                  <a:ext cx="37465" cy="33020"/>
                                </a:xfrm>
                                <a:custGeom>
                                  <a:avLst/>
                                  <a:gdLst>
                                    <a:gd name="T0" fmla="*/ 24 w 30"/>
                                    <a:gd name="T1" fmla="*/ 26 h 26"/>
                                    <a:gd name="T2" fmla="*/ 21 w 30"/>
                                    <a:gd name="T3" fmla="*/ 25 h 26"/>
                                    <a:gd name="T4" fmla="*/ 3 w 30"/>
                                    <a:gd name="T5" fmla="*/ 10 h 26"/>
                                    <a:gd name="T6" fmla="*/ 2 w 30"/>
                                    <a:gd name="T7" fmla="*/ 3 h 26"/>
                                    <a:gd name="T8" fmla="*/ 9 w 30"/>
                                    <a:gd name="T9" fmla="*/ 2 h 26"/>
                                    <a:gd name="T10" fmla="*/ 28 w 30"/>
                                    <a:gd name="T11" fmla="*/ 16 h 26"/>
                                    <a:gd name="T12" fmla="*/ 29 w 30"/>
                                    <a:gd name="T13" fmla="*/ 24 h 26"/>
                                    <a:gd name="T14" fmla="*/ 24 w 30"/>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26">
                                      <a:moveTo>
                                        <a:pt x="24" y="26"/>
                                      </a:moveTo>
                                      <a:cubicBezTo>
                                        <a:pt x="23" y="26"/>
                                        <a:pt x="22" y="25"/>
                                        <a:pt x="21" y="25"/>
                                      </a:cubicBezTo>
                                      <a:cubicBezTo>
                                        <a:pt x="3" y="10"/>
                                        <a:pt x="3" y="10"/>
                                        <a:pt x="3" y="10"/>
                                      </a:cubicBezTo>
                                      <a:cubicBezTo>
                                        <a:pt x="0" y="8"/>
                                        <a:pt x="0" y="5"/>
                                        <a:pt x="2" y="3"/>
                                      </a:cubicBezTo>
                                      <a:cubicBezTo>
                                        <a:pt x="4" y="0"/>
                                        <a:pt x="7" y="0"/>
                                        <a:pt x="9" y="2"/>
                                      </a:cubicBezTo>
                                      <a:cubicBezTo>
                                        <a:pt x="28" y="16"/>
                                        <a:pt x="28" y="16"/>
                                        <a:pt x="28" y="16"/>
                                      </a:cubicBezTo>
                                      <a:cubicBezTo>
                                        <a:pt x="30" y="18"/>
                                        <a:pt x="30" y="21"/>
                                        <a:pt x="29" y="24"/>
                                      </a:cubicBezTo>
                                      <a:cubicBezTo>
                                        <a:pt x="27" y="25"/>
                                        <a:pt x="26" y="26"/>
                                        <a:pt x="24" y="2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0" name="Freeform 76"/>
                              <wps:cNvSpPr>
                                <a:spLocks/>
                              </wps:cNvSpPr>
                              <wps:spPr bwMode="auto">
                                <a:xfrm>
                                  <a:off x="268356" y="149087"/>
                                  <a:ext cx="40005" cy="34925"/>
                                </a:xfrm>
                                <a:custGeom>
                                  <a:avLst/>
                                  <a:gdLst>
                                    <a:gd name="T0" fmla="*/ 6 w 32"/>
                                    <a:gd name="T1" fmla="*/ 28 h 28"/>
                                    <a:gd name="T2" fmla="*/ 2 w 32"/>
                                    <a:gd name="T3" fmla="*/ 26 h 28"/>
                                    <a:gd name="T4" fmla="*/ 3 w 32"/>
                                    <a:gd name="T5" fmla="*/ 18 h 28"/>
                                    <a:gd name="T6" fmla="*/ 23 w 32"/>
                                    <a:gd name="T7" fmla="*/ 2 h 28"/>
                                    <a:gd name="T8" fmla="*/ 30 w 32"/>
                                    <a:gd name="T9" fmla="*/ 3 h 28"/>
                                    <a:gd name="T10" fmla="*/ 29 w 32"/>
                                    <a:gd name="T11" fmla="*/ 10 h 28"/>
                                    <a:gd name="T12" fmla="*/ 9 w 32"/>
                                    <a:gd name="T13" fmla="*/ 26 h 28"/>
                                    <a:gd name="T14" fmla="*/ 6 w 32"/>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 h="28">
                                      <a:moveTo>
                                        <a:pt x="6" y="28"/>
                                      </a:moveTo>
                                      <a:cubicBezTo>
                                        <a:pt x="4" y="28"/>
                                        <a:pt x="3" y="27"/>
                                        <a:pt x="2" y="26"/>
                                      </a:cubicBezTo>
                                      <a:cubicBezTo>
                                        <a:pt x="0" y="23"/>
                                        <a:pt x="0" y="20"/>
                                        <a:pt x="3" y="18"/>
                                      </a:cubicBezTo>
                                      <a:cubicBezTo>
                                        <a:pt x="23" y="2"/>
                                        <a:pt x="23" y="2"/>
                                        <a:pt x="23" y="2"/>
                                      </a:cubicBezTo>
                                      <a:cubicBezTo>
                                        <a:pt x="25" y="0"/>
                                        <a:pt x="28" y="1"/>
                                        <a:pt x="30" y="3"/>
                                      </a:cubicBezTo>
                                      <a:cubicBezTo>
                                        <a:pt x="32" y="5"/>
                                        <a:pt x="32" y="8"/>
                                        <a:pt x="29" y="10"/>
                                      </a:cubicBezTo>
                                      <a:cubicBezTo>
                                        <a:pt x="9" y="26"/>
                                        <a:pt x="9" y="26"/>
                                        <a:pt x="9" y="26"/>
                                      </a:cubicBezTo>
                                      <a:cubicBezTo>
                                        <a:pt x="8" y="27"/>
                                        <a:pt x="7" y="28"/>
                                        <a:pt x="6" y="2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1" name="Freeform 77"/>
                              <wps:cNvSpPr>
                                <a:spLocks/>
                              </wps:cNvSpPr>
                              <wps:spPr bwMode="auto">
                                <a:xfrm>
                                  <a:off x="139148" y="139148"/>
                                  <a:ext cx="37465" cy="37465"/>
                                </a:xfrm>
                                <a:custGeom>
                                  <a:avLst/>
                                  <a:gdLst>
                                    <a:gd name="T0" fmla="*/ 25 w 30"/>
                                    <a:gd name="T1" fmla="*/ 30 h 30"/>
                                    <a:gd name="T2" fmla="*/ 21 w 30"/>
                                    <a:gd name="T3" fmla="*/ 28 h 30"/>
                                    <a:gd name="T4" fmla="*/ 3 w 30"/>
                                    <a:gd name="T5" fmla="*/ 10 h 30"/>
                                    <a:gd name="T6" fmla="*/ 2 w 30"/>
                                    <a:gd name="T7" fmla="*/ 3 h 30"/>
                                    <a:gd name="T8" fmla="*/ 10 w 30"/>
                                    <a:gd name="T9" fmla="*/ 2 h 30"/>
                                    <a:gd name="T10" fmla="*/ 28 w 30"/>
                                    <a:gd name="T11" fmla="*/ 21 h 30"/>
                                    <a:gd name="T12" fmla="*/ 28 w 30"/>
                                    <a:gd name="T13" fmla="*/ 28 h 30"/>
                                    <a:gd name="T14" fmla="*/ 25 w 30"/>
                                    <a:gd name="T15" fmla="*/ 3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 h="30">
                                      <a:moveTo>
                                        <a:pt x="25" y="30"/>
                                      </a:moveTo>
                                      <a:cubicBezTo>
                                        <a:pt x="23" y="30"/>
                                        <a:pt x="22" y="29"/>
                                        <a:pt x="21" y="28"/>
                                      </a:cubicBezTo>
                                      <a:cubicBezTo>
                                        <a:pt x="3" y="10"/>
                                        <a:pt x="3" y="10"/>
                                        <a:pt x="3" y="10"/>
                                      </a:cubicBezTo>
                                      <a:cubicBezTo>
                                        <a:pt x="0" y="8"/>
                                        <a:pt x="0" y="5"/>
                                        <a:pt x="2" y="3"/>
                                      </a:cubicBezTo>
                                      <a:cubicBezTo>
                                        <a:pt x="5" y="0"/>
                                        <a:pt x="8" y="0"/>
                                        <a:pt x="10" y="2"/>
                                      </a:cubicBezTo>
                                      <a:cubicBezTo>
                                        <a:pt x="28" y="21"/>
                                        <a:pt x="28" y="21"/>
                                        <a:pt x="28" y="21"/>
                                      </a:cubicBezTo>
                                      <a:cubicBezTo>
                                        <a:pt x="30" y="23"/>
                                        <a:pt x="30" y="26"/>
                                        <a:pt x="28" y="28"/>
                                      </a:cubicBezTo>
                                      <a:cubicBezTo>
                                        <a:pt x="27" y="29"/>
                                        <a:pt x="26" y="30"/>
                                        <a:pt x="25" y="3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2" name="Freeform 78"/>
                              <wps:cNvSpPr>
                                <a:spLocks/>
                              </wps:cNvSpPr>
                              <wps:spPr bwMode="auto">
                                <a:xfrm>
                                  <a:off x="139148" y="268357"/>
                                  <a:ext cx="36195" cy="35560"/>
                                </a:xfrm>
                                <a:custGeom>
                                  <a:avLst/>
                                  <a:gdLst>
                                    <a:gd name="T0" fmla="*/ 6 w 29"/>
                                    <a:gd name="T1" fmla="*/ 28 h 28"/>
                                    <a:gd name="T2" fmla="*/ 2 w 29"/>
                                    <a:gd name="T3" fmla="*/ 26 h 28"/>
                                    <a:gd name="T4" fmla="*/ 2 w 29"/>
                                    <a:gd name="T5" fmla="*/ 18 h 28"/>
                                    <a:gd name="T6" fmla="*/ 19 w 29"/>
                                    <a:gd name="T7" fmla="*/ 2 h 28"/>
                                    <a:gd name="T8" fmla="*/ 26 w 29"/>
                                    <a:gd name="T9" fmla="*/ 2 h 28"/>
                                    <a:gd name="T10" fmla="*/ 26 w 29"/>
                                    <a:gd name="T11" fmla="*/ 10 h 28"/>
                                    <a:gd name="T12" fmla="*/ 10 w 29"/>
                                    <a:gd name="T13" fmla="*/ 26 h 28"/>
                                    <a:gd name="T14" fmla="*/ 6 w 29"/>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 h="28">
                                      <a:moveTo>
                                        <a:pt x="6" y="28"/>
                                      </a:moveTo>
                                      <a:cubicBezTo>
                                        <a:pt x="5" y="28"/>
                                        <a:pt x="3" y="27"/>
                                        <a:pt x="2" y="26"/>
                                      </a:cubicBezTo>
                                      <a:cubicBezTo>
                                        <a:pt x="0" y="24"/>
                                        <a:pt x="0" y="21"/>
                                        <a:pt x="2" y="18"/>
                                      </a:cubicBezTo>
                                      <a:cubicBezTo>
                                        <a:pt x="19" y="2"/>
                                        <a:pt x="19" y="2"/>
                                        <a:pt x="19" y="2"/>
                                      </a:cubicBezTo>
                                      <a:cubicBezTo>
                                        <a:pt x="21" y="0"/>
                                        <a:pt x="24" y="0"/>
                                        <a:pt x="26" y="2"/>
                                      </a:cubicBezTo>
                                      <a:cubicBezTo>
                                        <a:pt x="29" y="4"/>
                                        <a:pt x="28" y="8"/>
                                        <a:pt x="26" y="10"/>
                                      </a:cubicBezTo>
                                      <a:cubicBezTo>
                                        <a:pt x="10" y="26"/>
                                        <a:pt x="10" y="26"/>
                                        <a:pt x="10" y="26"/>
                                      </a:cubicBezTo>
                                      <a:cubicBezTo>
                                        <a:pt x="9" y="27"/>
                                        <a:pt x="7" y="28"/>
                                        <a:pt x="6" y="28"/>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4CD88D" id="Group 14660" o:spid="_x0000_s1026" style="position:absolute;margin-left:0;margin-top:.55pt;width:36.85pt;height:36.85pt;z-index:251703296;mso-position-horizontal:center;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">
                      <v:oval id="Oval 42"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" fillcolor="#65bbc8" stroked="f"/>
                      <v:shape id="Freeform 69" o:spid="_x0000_s1028" style="position:absolute;left:188843;top:79513;width:63500;height:38735;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" path="m46,31v-3,,-6,-2,-6,-5c40,17,34,11,25,11v-8,,-15,6,-15,15c10,29,8,31,5,31,2,31,,29,,26,,12,11,,25,,39,,51,12,51,26v,3,-2,5,-5,5xe" stroked="f">
                        <v:path arrowok="t" o:connecttype="custom" o:connectlocs="57275,38735;49804,32487;31127,13745;12451,32487;6225,38735;0,32487;31127,0;63500,32487;57275,38735" o:connectangles="0,0,0,0,0,0,0,0,0"/>
                      </v:shape>
                      <v:shape id="Freeform 70" o:spid="_x0000_s1029" style="position:absolute;left:188843;top:327992;width:63500;height:38735;visibility:visible;mso-wrap-style:square;v-text-anchor:top" coordsize="5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" path="m25,31c11,31,,19,,5,,2,2,,5,v3,,5,2,5,5c10,13,17,20,25,20v9,,15,-7,15,-15c40,2,43,,46,v3,,5,2,5,5c51,19,39,31,25,31xe" stroked="f">
                        <v:path arrowok="t" o:connecttype="custom" o:connectlocs="31127,38735;0,6248;6225,0;12451,6248;31127,24990;49804,6248;57275,0;63500,6248;31127,38735" o:connectangles="0,0,0,0,0,0,0,0,0"/>
                      </v:shape>
                      <v:shape id="Freeform 71" o:spid="_x0000_s1030" style="position:absolute;left:327991;top:188844;width:38735;height:64135;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" path="m5,51c2,51,,49,,46,,43,2,41,5,41v9,,15,-7,15,-16c20,17,14,10,5,10,2,10,,8,,5,,2,2,,5,,19,,31,11,31,25,31,40,19,51,5,51xe" stroked="f">
                        <v:path arrowok="t" o:connecttype="custom" o:connectlocs="6248,64135;0,57847;6248,51560;24990,31439;6248,12575;0,6288;6248,0;38735,31439;6248,64135" o:connectangles="0,0,0,0,0,0,0,0,0"/>
                      </v:shape>
                      <v:shape id="Freeform 72" o:spid="_x0000_s1031" style="position:absolute;left:79513;top:188844;width:38735;height:64135;visibility:visible;mso-wrap-style:square;v-text-anchor:top" coordsize="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" path="m25,51c11,51,,40,,25,,11,11,,25,v3,,6,2,6,5c31,8,28,10,25,10v-8,,-15,7,-15,15c10,34,17,41,25,41v3,,6,2,6,5c31,49,28,51,25,51xe" stroked="f">
                        <v:path arrowok="t" o:connecttype="custom" o:connectlocs="31238,64135;0,31439;31238,0;38735,6288;31238,12575;12495,31439;31238,51560;38735,57847;31238,64135" o:connectangles="0,0,0,0,0,0,0,0,0"/>
                      </v:shape>
                      <v:shape id="Freeform 73" o:spid="_x0000_s1032" style="position:absolute;left:109330;top:109331;width:222250;height:221615;visibility:visible;mso-wrap-style:square;v-text-anchor:top" coordsize="17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" path="m89,177c40,177,,137,,88,,39,40,,89,v49,,89,39,89,88c178,137,138,177,89,177xm89,10c46,10,11,45,11,88v,44,35,79,78,79c132,167,168,132,168,88,168,45,132,10,89,10xe" stroked="f">
                        <v:path arrowok="t" o:connecttype="custom" o:connectlocs="111125,221615;0,110181;111125,0;222250,110181;111125,221615;111125,12521;13735,110181;111125,209094;209764,110181;111125,12521" o:connectangles="0,0,0,0,0,0,0,0,0,0"/>
                        <o:lock v:ext="edit" verticies="t"/>
                      </v:shape>
                      <v:shape id="Freeform 74" o:spid="_x0000_s1033" style="position:absolute;left:139148;top:142871;width:161290;height:161290;visibility:visible;mso-wrap-style:square;v-text-anchor:top"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" path="m64,129c29,129,,100,,64,,29,29,,64,v36,,65,29,65,64c129,100,100,129,64,129xm64,10c35,10,11,35,11,64v,30,24,54,53,54c94,118,118,94,118,64,118,35,94,10,64,10xe" stroked="f">
                        <v:path arrowok="t" o:connecttype="custom" o:connectlocs="80020,161290;0,80020;80020,0;161290,80020;80020,161290;80020,12503;13753,80020;80020,147537;147537,80020;80020,12503" o:connectangles="0,0,0,0,0,0,0,0,0,0"/>
                        <o:lock v:ext="edit" verticies="t"/>
                      </v:shape>
                      <v:shape id="Freeform 75" o:spid="_x0000_s1034" style="position:absolute;left:268356;top:268357;width:37465;height:33020;visibility:visible;mso-wrap-style:square;v-text-anchor:top" coordsize="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" path="m24,26v-1,,-2,-1,-3,-1c3,10,3,10,3,10,,8,,5,2,3,4,,7,,9,2,28,16,28,16,28,16v2,2,2,5,1,8c27,25,26,26,24,26xe" stroked="f">
                        <v:path arrowok="t" o:connecttype="custom" o:connectlocs="29972,33020;26226,31750;3747,12700;2498,3810;11240,2540;34967,20320;36216,30480;29972,33020" o:connectangles="0,0,0,0,0,0,0,0"/>
                      </v:shape>
                      <v:shape id="Freeform 76" o:spid="_x0000_s1035" style="position:absolute;left:268356;top:149087;width:40005;height:34925;visibility:visible;mso-wrap-style:square;v-text-anchor:top" coordsize="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" path="m6,28c4,28,3,27,2,26,,23,,20,3,18,23,2,23,2,23,2,25,,28,1,30,3v2,2,2,5,-1,7c9,26,9,26,9,26,8,27,7,28,6,28xe" stroked="f">
                        <v:path arrowok="t" o:connecttype="custom" o:connectlocs="7501,34925;2500,32430;3750,22452;28754,2495;37505,3742;36255,12473;11251,32430;7501,34925" o:connectangles="0,0,0,0,0,0,0,0"/>
                      </v:shape>
                      <v:shape id="Freeform 77" o:spid="_x0000_s1036" style="position:absolute;left:139148;top:139148;width:37465;height:37465;visibility:visible;mso-wrap-style:square;v-text-anchor:top" coordsize="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" path="m25,30v-2,,-3,-1,-4,-2c3,10,3,10,3,10,,8,,5,2,3,5,,8,,10,2,28,21,28,21,28,21v2,2,2,5,,7c27,29,26,30,25,30xe" stroked="f">
                        <v:path arrowok="t" o:connecttype="custom" o:connectlocs="31221,37465;26226,34967;3747,12488;2498,3747;12488,2498;34967,26226;34967,34967;31221,37465" o:connectangles="0,0,0,0,0,0,0,0"/>
                      </v:shape>
                      <v:shape id="Freeform 78" o:spid="_x0000_s1037" style="position:absolute;left:139148;top:268357;width:36195;height:35560;visibility:visible;mso-wrap-style:square;v-text-anchor:top" coordsize="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" path="m6,28c5,28,3,27,2,26,,24,,21,2,18,19,2,19,2,19,2,21,,24,,26,2v3,2,2,6,,8c10,26,10,26,10,26,9,27,7,28,6,28xe" stroked="f">
                        <v:path arrowok="t" o:connecttype="custom" o:connectlocs="7489,35560;2496,33020;2496,22860;23714,2540;32451,2540;32451,12700;12481,33020;7489,35560" o:connectangles="0,0,0,0,0,0,0,0"/>
                      </v:shape>
                    </v:group>
                  </w:pict>
                </mc:Fallback>
              </mc:AlternateContent>
            </w:r>
          </w:p>
        </w:tc>
        <w:tc>
          <w:tcPr>
            <w:tcW w:w="3742" w:type="dxa"/>
            <w:tcMar>
              <w:right w:w="391" w:type="dxa"/>
            </w:tcMar>
          </w:tcPr>
          <w:p w14:paraId="19AF0D80" w14:textId="77777777" w:rsidR="007A5B1C" w:rsidRPr="00A04E56" w:rsidRDefault="007A5B1C" w:rsidP="002D5E2C">
            <w:pPr>
              <w:rPr>
                <w:rFonts w:eastAsia="Calibri"/>
              </w:rPr>
            </w:pPr>
            <w:r w:rsidRPr="00A04E56">
              <w:rPr>
                <w:rStyle w:val="BOLDLIGHTBLUEReport"/>
                <w:rFonts w:eastAsia="Calibri"/>
              </w:rPr>
              <w:t>Saving lives at sea</w:t>
            </w:r>
            <w:r w:rsidRPr="00A04E56">
              <w:rPr>
                <w:rFonts w:eastAsia="Calibri"/>
              </w:rPr>
              <w:t>: Copernicus supports the European Coast and Border Guard Agency’s missions in the Mediterranean, helping spot unsafe vessels and rescuing people. Galileo can be used on all the merchant vessels worldwide, bringing increased accuracy and more resilient positioning for safer navigation.</w:t>
            </w:r>
          </w:p>
        </w:tc>
        <w:tc>
          <w:tcPr>
            <w:tcW w:w="1031" w:type="dxa"/>
            <w:vAlign w:val="center"/>
          </w:tcPr>
          <w:p w14:paraId="6BA5ACF5" w14:textId="55D15D13" w:rsidR="007A5B1C" w:rsidRPr="00A04E56" w:rsidRDefault="00B878A9" w:rsidP="002D5E2C">
            <w:pPr>
              <w:rPr>
                <w:rFonts w:eastAsia="Calibri"/>
              </w:rPr>
            </w:pPr>
            <w:r w:rsidRPr="00A04E56">
              <w:rPr>
                <w:rFonts w:eastAsia="Calibri"/>
                <w:noProof/>
                <w:lang w:val="fr-BE" w:eastAsia="fr-BE"/>
              </w:rPr>
              <mc:AlternateContent>
                <mc:Choice Requires="wpg">
                  <w:drawing>
                    <wp:anchor distT="0" distB="0" distL="114300" distR="114300" simplePos="0" relativeHeight="251707392" behindDoc="1" locked="0" layoutInCell="1" allowOverlap="1" wp14:anchorId="7614CA4F" wp14:editId="57049AD3">
                      <wp:simplePos x="0" y="0"/>
                      <wp:positionH relativeFrom="column">
                        <wp:align>center</wp:align>
                      </wp:positionH>
                      <wp:positionV relativeFrom="margin">
                        <wp:posOffset>36195</wp:posOffset>
                      </wp:positionV>
                      <wp:extent cx="468000" cy="468000"/>
                      <wp:effectExtent l="0" t="0" r="8255" b="8255"/>
                      <wp:wrapTight wrapText="bothSides">
                        <wp:wrapPolygon edited="0">
                          <wp:start x="5275" y="0"/>
                          <wp:lineTo x="0" y="3517"/>
                          <wp:lineTo x="0" y="16706"/>
                          <wp:lineTo x="4396" y="21102"/>
                          <wp:lineTo x="16706" y="21102"/>
                          <wp:lineTo x="21102" y="16706"/>
                          <wp:lineTo x="21102" y="3517"/>
                          <wp:lineTo x="15826" y="0"/>
                          <wp:lineTo x="5275" y="0"/>
                        </wp:wrapPolygon>
                      </wp:wrapTight>
                      <wp:docPr id="14673" name="Group 14673"/>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14674" name="Oval 44"/>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5" name="Freeform 56"/>
                              <wps:cNvSpPr>
                                <a:spLocks/>
                              </wps:cNvSpPr>
                              <wps:spPr bwMode="auto">
                                <a:xfrm>
                                  <a:off x="89476" y="106935"/>
                                  <a:ext cx="250190" cy="160655"/>
                                </a:xfrm>
                                <a:custGeom>
                                  <a:avLst/>
                                  <a:gdLst>
                                    <a:gd name="T0" fmla="*/ 56 w 200"/>
                                    <a:gd name="T1" fmla="*/ 81 h 128"/>
                                    <a:gd name="T2" fmla="*/ 0 w 200"/>
                                    <a:gd name="T3" fmla="*/ 29 h 128"/>
                                    <a:gd name="T4" fmla="*/ 0 w 200"/>
                                    <a:gd name="T5" fmla="*/ 26 h 128"/>
                                    <a:gd name="T6" fmla="*/ 2 w 200"/>
                                    <a:gd name="T7" fmla="*/ 20 h 128"/>
                                    <a:gd name="T8" fmla="*/ 4 w 200"/>
                                    <a:gd name="T9" fmla="*/ 18 h 128"/>
                                    <a:gd name="T10" fmla="*/ 7 w 200"/>
                                    <a:gd name="T11" fmla="*/ 18 h 128"/>
                                    <a:gd name="T12" fmla="*/ 22 w 200"/>
                                    <a:gd name="T13" fmla="*/ 23 h 128"/>
                                    <a:gd name="T14" fmla="*/ 32 w 200"/>
                                    <a:gd name="T15" fmla="*/ 3 h 128"/>
                                    <a:gd name="T16" fmla="*/ 36 w 200"/>
                                    <a:gd name="T17" fmla="*/ 1 h 128"/>
                                    <a:gd name="T18" fmla="*/ 47 w 200"/>
                                    <a:gd name="T19" fmla="*/ 4 h 128"/>
                                    <a:gd name="T20" fmla="*/ 50 w 200"/>
                                    <a:gd name="T21" fmla="*/ 8 h 128"/>
                                    <a:gd name="T22" fmla="*/ 49 w 200"/>
                                    <a:gd name="T23" fmla="*/ 32 h 128"/>
                                    <a:gd name="T24" fmla="*/ 101 w 200"/>
                                    <a:gd name="T25" fmla="*/ 45 h 128"/>
                                    <a:gd name="T26" fmla="*/ 104 w 200"/>
                                    <a:gd name="T27" fmla="*/ 49 h 128"/>
                                    <a:gd name="T28" fmla="*/ 99 w 200"/>
                                    <a:gd name="T29" fmla="*/ 52 h 128"/>
                                    <a:gd name="T30" fmla="*/ 45 w 200"/>
                                    <a:gd name="T31" fmla="*/ 38 h 128"/>
                                    <a:gd name="T32" fmla="*/ 42 w 200"/>
                                    <a:gd name="T33" fmla="*/ 35 h 128"/>
                                    <a:gd name="T34" fmla="*/ 43 w 200"/>
                                    <a:gd name="T35" fmla="*/ 10 h 128"/>
                                    <a:gd name="T36" fmla="*/ 37 w 200"/>
                                    <a:gd name="T37" fmla="*/ 8 h 128"/>
                                    <a:gd name="T38" fmla="*/ 28 w 200"/>
                                    <a:gd name="T39" fmla="*/ 29 h 128"/>
                                    <a:gd name="T40" fmla="*/ 23 w 200"/>
                                    <a:gd name="T41" fmla="*/ 31 h 128"/>
                                    <a:gd name="T42" fmla="*/ 8 w 200"/>
                                    <a:gd name="T43" fmla="*/ 26 h 128"/>
                                    <a:gd name="T44" fmla="*/ 7 w 200"/>
                                    <a:gd name="T45" fmla="*/ 27 h 128"/>
                                    <a:gd name="T46" fmla="*/ 60 w 200"/>
                                    <a:gd name="T47" fmla="*/ 75 h 128"/>
                                    <a:gd name="T48" fmla="*/ 146 w 200"/>
                                    <a:gd name="T49" fmla="*/ 105 h 128"/>
                                    <a:gd name="T50" fmla="*/ 190 w 200"/>
                                    <a:gd name="T51" fmla="*/ 112 h 128"/>
                                    <a:gd name="T52" fmla="*/ 192 w 200"/>
                                    <a:gd name="T53" fmla="*/ 105 h 128"/>
                                    <a:gd name="T54" fmla="*/ 151 w 200"/>
                                    <a:gd name="T55" fmla="*/ 64 h 128"/>
                                    <a:gd name="T56" fmla="*/ 144 w 200"/>
                                    <a:gd name="T57" fmla="*/ 62 h 128"/>
                                    <a:gd name="T58" fmla="*/ 141 w 200"/>
                                    <a:gd name="T59" fmla="*/ 58 h 128"/>
                                    <a:gd name="T60" fmla="*/ 146 w 200"/>
                                    <a:gd name="T61" fmla="*/ 55 h 128"/>
                                    <a:gd name="T62" fmla="*/ 153 w 200"/>
                                    <a:gd name="T63" fmla="*/ 57 h 128"/>
                                    <a:gd name="T64" fmla="*/ 199 w 200"/>
                                    <a:gd name="T65" fmla="*/ 104 h 128"/>
                                    <a:gd name="T66" fmla="*/ 194 w 200"/>
                                    <a:gd name="T67" fmla="*/ 118 h 128"/>
                                    <a:gd name="T68" fmla="*/ 144 w 200"/>
                                    <a:gd name="T69" fmla="*/ 112 h 128"/>
                                    <a:gd name="T70" fmla="*/ 57 w 200"/>
                                    <a:gd name="T71" fmla="*/ 81 h 128"/>
                                    <a:gd name="T72" fmla="*/ 56 w 200"/>
                                    <a:gd name="T73" fmla="*/ 81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 h="128">
                                      <a:moveTo>
                                        <a:pt x="56" y="81"/>
                                      </a:moveTo>
                                      <a:cubicBezTo>
                                        <a:pt x="48" y="78"/>
                                        <a:pt x="14" y="62"/>
                                        <a:pt x="0" y="29"/>
                                      </a:cubicBezTo>
                                      <a:cubicBezTo>
                                        <a:pt x="0" y="28"/>
                                        <a:pt x="0" y="27"/>
                                        <a:pt x="0" y="26"/>
                                      </a:cubicBezTo>
                                      <a:cubicBezTo>
                                        <a:pt x="2" y="20"/>
                                        <a:pt x="2" y="20"/>
                                        <a:pt x="2" y="20"/>
                                      </a:cubicBezTo>
                                      <a:cubicBezTo>
                                        <a:pt x="2" y="19"/>
                                        <a:pt x="3" y="18"/>
                                        <a:pt x="4" y="18"/>
                                      </a:cubicBezTo>
                                      <a:cubicBezTo>
                                        <a:pt x="5" y="18"/>
                                        <a:pt x="6" y="18"/>
                                        <a:pt x="7" y="18"/>
                                      </a:cubicBezTo>
                                      <a:cubicBezTo>
                                        <a:pt x="22" y="23"/>
                                        <a:pt x="22" y="23"/>
                                        <a:pt x="22" y="23"/>
                                      </a:cubicBezTo>
                                      <a:cubicBezTo>
                                        <a:pt x="32" y="3"/>
                                        <a:pt x="32" y="3"/>
                                        <a:pt x="32" y="3"/>
                                      </a:cubicBezTo>
                                      <a:cubicBezTo>
                                        <a:pt x="33" y="1"/>
                                        <a:pt x="35" y="0"/>
                                        <a:pt x="36" y="1"/>
                                      </a:cubicBezTo>
                                      <a:cubicBezTo>
                                        <a:pt x="47" y="4"/>
                                        <a:pt x="47" y="4"/>
                                        <a:pt x="47" y="4"/>
                                      </a:cubicBezTo>
                                      <a:cubicBezTo>
                                        <a:pt x="49" y="5"/>
                                        <a:pt x="50" y="6"/>
                                        <a:pt x="50" y="8"/>
                                      </a:cubicBezTo>
                                      <a:cubicBezTo>
                                        <a:pt x="49" y="32"/>
                                        <a:pt x="49" y="32"/>
                                        <a:pt x="49" y="32"/>
                                      </a:cubicBezTo>
                                      <a:cubicBezTo>
                                        <a:pt x="101" y="45"/>
                                        <a:pt x="101" y="45"/>
                                        <a:pt x="101" y="45"/>
                                      </a:cubicBezTo>
                                      <a:cubicBezTo>
                                        <a:pt x="103" y="45"/>
                                        <a:pt x="104" y="47"/>
                                        <a:pt x="104" y="49"/>
                                      </a:cubicBezTo>
                                      <a:cubicBezTo>
                                        <a:pt x="103" y="51"/>
                                        <a:pt x="101" y="52"/>
                                        <a:pt x="99" y="52"/>
                                      </a:cubicBezTo>
                                      <a:cubicBezTo>
                                        <a:pt x="45" y="38"/>
                                        <a:pt x="45" y="38"/>
                                        <a:pt x="45" y="38"/>
                                      </a:cubicBezTo>
                                      <a:cubicBezTo>
                                        <a:pt x="43" y="38"/>
                                        <a:pt x="42" y="36"/>
                                        <a:pt x="42" y="35"/>
                                      </a:cubicBezTo>
                                      <a:cubicBezTo>
                                        <a:pt x="43" y="10"/>
                                        <a:pt x="43" y="10"/>
                                        <a:pt x="43" y="10"/>
                                      </a:cubicBezTo>
                                      <a:cubicBezTo>
                                        <a:pt x="37" y="8"/>
                                        <a:pt x="37" y="8"/>
                                        <a:pt x="37" y="8"/>
                                      </a:cubicBezTo>
                                      <a:cubicBezTo>
                                        <a:pt x="28" y="29"/>
                                        <a:pt x="28" y="29"/>
                                        <a:pt x="28" y="29"/>
                                      </a:cubicBezTo>
                                      <a:cubicBezTo>
                                        <a:pt x="27" y="31"/>
                                        <a:pt x="25" y="31"/>
                                        <a:pt x="23" y="31"/>
                                      </a:cubicBezTo>
                                      <a:cubicBezTo>
                                        <a:pt x="8" y="26"/>
                                        <a:pt x="8" y="26"/>
                                        <a:pt x="8" y="26"/>
                                      </a:cubicBezTo>
                                      <a:cubicBezTo>
                                        <a:pt x="7" y="27"/>
                                        <a:pt x="7" y="27"/>
                                        <a:pt x="7" y="27"/>
                                      </a:cubicBezTo>
                                      <a:cubicBezTo>
                                        <a:pt x="22" y="61"/>
                                        <a:pt x="59" y="75"/>
                                        <a:pt x="60" y="75"/>
                                      </a:cubicBezTo>
                                      <a:cubicBezTo>
                                        <a:pt x="146" y="105"/>
                                        <a:pt x="146" y="105"/>
                                        <a:pt x="146" y="105"/>
                                      </a:cubicBezTo>
                                      <a:cubicBezTo>
                                        <a:pt x="159" y="111"/>
                                        <a:pt x="183" y="118"/>
                                        <a:pt x="190" y="112"/>
                                      </a:cubicBezTo>
                                      <a:cubicBezTo>
                                        <a:pt x="190" y="112"/>
                                        <a:pt x="193" y="110"/>
                                        <a:pt x="192" y="105"/>
                                      </a:cubicBezTo>
                                      <a:cubicBezTo>
                                        <a:pt x="188" y="75"/>
                                        <a:pt x="152" y="64"/>
                                        <a:pt x="151" y="64"/>
                                      </a:cubicBezTo>
                                      <a:cubicBezTo>
                                        <a:pt x="144" y="62"/>
                                        <a:pt x="144" y="62"/>
                                        <a:pt x="144" y="62"/>
                                      </a:cubicBezTo>
                                      <a:cubicBezTo>
                                        <a:pt x="142" y="62"/>
                                        <a:pt x="141" y="60"/>
                                        <a:pt x="141" y="58"/>
                                      </a:cubicBezTo>
                                      <a:cubicBezTo>
                                        <a:pt x="142" y="56"/>
                                        <a:pt x="144" y="55"/>
                                        <a:pt x="146" y="55"/>
                                      </a:cubicBezTo>
                                      <a:cubicBezTo>
                                        <a:pt x="153" y="57"/>
                                        <a:pt x="153" y="57"/>
                                        <a:pt x="153" y="57"/>
                                      </a:cubicBezTo>
                                      <a:cubicBezTo>
                                        <a:pt x="155" y="58"/>
                                        <a:pt x="194" y="70"/>
                                        <a:pt x="199" y="104"/>
                                      </a:cubicBezTo>
                                      <a:cubicBezTo>
                                        <a:pt x="200" y="112"/>
                                        <a:pt x="197" y="116"/>
                                        <a:pt x="194" y="118"/>
                                      </a:cubicBezTo>
                                      <a:cubicBezTo>
                                        <a:pt x="181" y="128"/>
                                        <a:pt x="147" y="114"/>
                                        <a:pt x="144" y="112"/>
                                      </a:cubicBezTo>
                                      <a:cubicBezTo>
                                        <a:pt x="57" y="81"/>
                                        <a:pt x="57" y="81"/>
                                        <a:pt x="57" y="81"/>
                                      </a:cubicBezTo>
                                      <a:cubicBezTo>
                                        <a:pt x="57" y="81"/>
                                        <a:pt x="57" y="81"/>
                                        <a:pt x="56" y="81"/>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8" name="Freeform 58"/>
                              <wps:cNvSpPr>
                                <a:spLocks noEditPoints="1"/>
                              </wps:cNvSpPr>
                              <wps:spPr bwMode="auto">
                                <a:xfrm>
                                  <a:off x="209504" y="96023"/>
                                  <a:ext cx="64770" cy="109855"/>
                                </a:xfrm>
                                <a:custGeom>
                                  <a:avLst/>
                                  <a:gdLst>
                                    <a:gd name="T0" fmla="*/ 2 w 52"/>
                                    <a:gd name="T1" fmla="*/ 74 h 88"/>
                                    <a:gd name="T2" fmla="*/ 49 w 52"/>
                                    <a:gd name="T3" fmla="*/ 88 h 88"/>
                                    <a:gd name="T4" fmla="*/ 51 w 52"/>
                                    <a:gd name="T5" fmla="*/ 88 h 88"/>
                                    <a:gd name="T6" fmla="*/ 51 w 52"/>
                                    <a:gd name="T7" fmla="*/ 86 h 88"/>
                                    <a:gd name="T8" fmla="*/ 38 w 52"/>
                                    <a:gd name="T9" fmla="*/ 10 h 88"/>
                                    <a:gd name="T10" fmla="*/ 37 w 52"/>
                                    <a:gd name="T11" fmla="*/ 8 h 88"/>
                                    <a:gd name="T12" fmla="*/ 16 w 52"/>
                                    <a:gd name="T13" fmla="*/ 0 h 88"/>
                                    <a:gd name="T14" fmla="*/ 14 w 52"/>
                                    <a:gd name="T15" fmla="*/ 1 h 88"/>
                                    <a:gd name="T16" fmla="*/ 13 w 52"/>
                                    <a:gd name="T17" fmla="*/ 2 h 88"/>
                                    <a:gd name="T18" fmla="*/ 0 w 52"/>
                                    <a:gd name="T19" fmla="*/ 71 h 88"/>
                                    <a:gd name="T20" fmla="*/ 1 w 52"/>
                                    <a:gd name="T21" fmla="*/ 74 h 88"/>
                                    <a:gd name="T22" fmla="*/ 1 w 52"/>
                                    <a:gd name="T23" fmla="*/ 75 h 88"/>
                                    <a:gd name="T24" fmla="*/ 2 w 52"/>
                                    <a:gd name="T25" fmla="*/ 74 h 88"/>
                                    <a:gd name="T26" fmla="*/ 47 w 52"/>
                                    <a:gd name="T27" fmla="*/ 83 h 88"/>
                                    <a:gd name="T28" fmla="*/ 5 w 52"/>
                                    <a:gd name="T29" fmla="*/ 70 h 88"/>
                                    <a:gd name="T30" fmla="*/ 5 w 52"/>
                                    <a:gd name="T31" fmla="*/ 69 h 88"/>
                                    <a:gd name="T32" fmla="*/ 17 w 52"/>
                                    <a:gd name="T33" fmla="*/ 5 h 88"/>
                                    <a:gd name="T34" fmla="*/ 34 w 52"/>
                                    <a:gd name="T35" fmla="*/ 12 h 88"/>
                                    <a:gd name="T36" fmla="*/ 34 w 52"/>
                                    <a:gd name="T37" fmla="*/ 12 h 88"/>
                                    <a:gd name="T38" fmla="*/ 47 w 52"/>
                                    <a:gd name="T39" fmla="*/ 8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88">
                                      <a:moveTo>
                                        <a:pt x="2" y="74"/>
                                      </a:moveTo>
                                      <a:cubicBezTo>
                                        <a:pt x="49" y="88"/>
                                        <a:pt x="49" y="88"/>
                                        <a:pt x="49" y="88"/>
                                      </a:cubicBezTo>
                                      <a:cubicBezTo>
                                        <a:pt x="50" y="88"/>
                                        <a:pt x="50" y="88"/>
                                        <a:pt x="51" y="88"/>
                                      </a:cubicBezTo>
                                      <a:cubicBezTo>
                                        <a:pt x="51" y="87"/>
                                        <a:pt x="52" y="87"/>
                                        <a:pt x="51" y="86"/>
                                      </a:cubicBezTo>
                                      <a:cubicBezTo>
                                        <a:pt x="38" y="10"/>
                                        <a:pt x="38" y="10"/>
                                        <a:pt x="38" y="10"/>
                                      </a:cubicBezTo>
                                      <a:cubicBezTo>
                                        <a:pt x="38" y="9"/>
                                        <a:pt x="37" y="8"/>
                                        <a:pt x="37" y="8"/>
                                      </a:cubicBezTo>
                                      <a:cubicBezTo>
                                        <a:pt x="16" y="0"/>
                                        <a:pt x="16" y="0"/>
                                        <a:pt x="16" y="0"/>
                                      </a:cubicBezTo>
                                      <a:cubicBezTo>
                                        <a:pt x="16" y="0"/>
                                        <a:pt x="15" y="0"/>
                                        <a:pt x="14" y="1"/>
                                      </a:cubicBezTo>
                                      <a:cubicBezTo>
                                        <a:pt x="14" y="1"/>
                                        <a:pt x="14" y="1"/>
                                        <a:pt x="13" y="2"/>
                                      </a:cubicBezTo>
                                      <a:cubicBezTo>
                                        <a:pt x="0" y="71"/>
                                        <a:pt x="0" y="71"/>
                                        <a:pt x="0" y="71"/>
                                      </a:cubicBezTo>
                                      <a:cubicBezTo>
                                        <a:pt x="0" y="72"/>
                                        <a:pt x="1" y="73"/>
                                        <a:pt x="1" y="74"/>
                                      </a:cubicBezTo>
                                      <a:cubicBezTo>
                                        <a:pt x="1" y="75"/>
                                        <a:pt x="1" y="75"/>
                                        <a:pt x="1" y="75"/>
                                      </a:cubicBezTo>
                                      <a:lnTo>
                                        <a:pt x="2" y="74"/>
                                      </a:lnTo>
                                      <a:close/>
                                      <a:moveTo>
                                        <a:pt x="47" y="83"/>
                                      </a:moveTo>
                                      <a:cubicBezTo>
                                        <a:pt x="5" y="70"/>
                                        <a:pt x="5" y="70"/>
                                        <a:pt x="5" y="70"/>
                                      </a:cubicBezTo>
                                      <a:cubicBezTo>
                                        <a:pt x="5" y="69"/>
                                        <a:pt x="5" y="69"/>
                                        <a:pt x="5" y="69"/>
                                      </a:cubicBezTo>
                                      <a:cubicBezTo>
                                        <a:pt x="17" y="5"/>
                                        <a:pt x="17" y="5"/>
                                        <a:pt x="17" y="5"/>
                                      </a:cubicBezTo>
                                      <a:cubicBezTo>
                                        <a:pt x="34" y="12"/>
                                        <a:pt x="34" y="12"/>
                                        <a:pt x="34" y="12"/>
                                      </a:cubicBezTo>
                                      <a:cubicBezTo>
                                        <a:pt x="34" y="12"/>
                                        <a:pt x="34" y="12"/>
                                        <a:pt x="34" y="12"/>
                                      </a:cubicBezTo>
                                      <a:lnTo>
                                        <a:pt x="4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2" name="Freeform 60"/>
                              <wps:cNvSpPr>
                                <a:spLocks noEditPoints="1"/>
                              </wps:cNvSpPr>
                              <wps:spPr bwMode="auto">
                                <a:xfrm>
                                  <a:off x="181134" y="218234"/>
                                  <a:ext cx="81280" cy="68580"/>
                                </a:xfrm>
                                <a:custGeom>
                                  <a:avLst/>
                                  <a:gdLst>
                                    <a:gd name="T0" fmla="*/ 1 w 65"/>
                                    <a:gd name="T1" fmla="*/ 48 h 55"/>
                                    <a:gd name="T2" fmla="*/ 20 w 65"/>
                                    <a:gd name="T3" fmla="*/ 55 h 55"/>
                                    <a:gd name="T4" fmla="*/ 22 w 65"/>
                                    <a:gd name="T5" fmla="*/ 55 h 55"/>
                                    <a:gd name="T6" fmla="*/ 64 w 65"/>
                                    <a:gd name="T7" fmla="*/ 18 h 55"/>
                                    <a:gd name="T8" fmla="*/ 64 w 65"/>
                                    <a:gd name="T9" fmla="*/ 16 h 55"/>
                                    <a:gd name="T10" fmla="*/ 63 w 65"/>
                                    <a:gd name="T11" fmla="*/ 14 h 55"/>
                                    <a:gd name="T12" fmla="*/ 22 w 65"/>
                                    <a:gd name="T13" fmla="*/ 0 h 55"/>
                                    <a:gd name="T14" fmla="*/ 20 w 65"/>
                                    <a:gd name="T15" fmla="*/ 1 h 55"/>
                                    <a:gd name="T16" fmla="*/ 20 w 65"/>
                                    <a:gd name="T17" fmla="*/ 1 h 55"/>
                                    <a:gd name="T18" fmla="*/ 19 w 65"/>
                                    <a:gd name="T19" fmla="*/ 2 h 55"/>
                                    <a:gd name="T20" fmla="*/ 0 w 65"/>
                                    <a:gd name="T21" fmla="*/ 45 h 55"/>
                                    <a:gd name="T22" fmla="*/ 0 w 65"/>
                                    <a:gd name="T23" fmla="*/ 47 h 55"/>
                                    <a:gd name="T24" fmla="*/ 1 w 65"/>
                                    <a:gd name="T25" fmla="*/ 48 h 55"/>
                                    <a:gd name="T26" fmla="*/ 1 w 65"/>
                                    <a:gd name="T27" fmla="*/ 48 h 55"/>
                                    <a:gd name="T28" fmla="*/ 1 w 65"/>
                                    <a:gd name="T29" fmla="*/ 48 h 55"/>
                                    <a:gd name="T30" fmla="*/ 1 w 65"/>
                                    <a:gd name="T31" fmla="*/ 50 h 55"/>
                                    <a:gd name="T32" fmla="*/ 1 w 65"/>
                                    <a:gd name="T33" fmla="*/ 48 h 55"/>
                                    <a:gd name="T34" fmla="*/ 20 w 65"/>
                                    <a:gd name="T35" fmla="*/ 51 h 55"/>
                                    <a:gd name="T36" fmla="*/ 5 w 65"/>
                                    <a:gd name="T37" fmla="*/ 45 h 55"/>
                                    <a:gd name="T38" fmla="*/ 22 w 65"/>
                                    <a:gd name="T39" fmla="*/ 5 h 55"/>
                                    <a:gd name="T40" fmla="*/ 58 w 65"/>
                                    <a:gd name="T41" fmla="*/ 17 h 55"/>
                                    <a:gd name="T42" fmla="*/ 20 w 65"/>
                                    <a:gd name="T43" fmla="*/ 51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5" h="55">
                                      <a:moveTo>
                                        <a:pt x="1" y="48"/>
                                      </a:moveTo>
                                      <a:cubicBezTo>
                                        <a:pt x="20" y="55"/>
                                        <a:pt x="20" y="55"/>
                                        <a:pt x="20" y="55"/>
                                      </a:cubicBezTo>
                                      <a:cubicBezTo>
                                        <a:pt x="21" y="55"/>
                                        <a:pt x="22" y="55"/>
                                        <a:pt x="22" y="55"/>
                                      </a:cubicBezTo>
                                      <a:cubicBezTo>
                                        <a:pt x="64" y="18"/>
                                        <a:pt x="64" y="18"/>
                                        <a:pt x="64" y="18"/>
                                      </a:cubicBezTo>
                                      <a:cubicBezTo>
                                        <a:pt x="64" y="17"/>
                                        <a:pt x="65" y="17"/>
                                        <a:pt x="64" y="16"/>
                                      </a:cubicBezTo>
                                      <a:cubicBezTo>
                                        <a:pt x="64" y="15"/>
                                        <a:pt x="64" y="15"/>
                                        <a:pt x="63" y="14"/>
                                      </a:cubicBezTo>
                                      <a:cubicBezTo>
                                        <a:pt x="22" y="0"/>
                                        <a:pt x="22" y="0"/>
                                        <a:pt x="22" y="0"/>
                                      </a:cubicBezTo>
                                      <a:cubicBezTo>
                                        <a:pt x="22" y="0"/>
                                        <a:pt x="21" y="0"/>
                                        <a:pt x="20" y="1"/>
                                      </a:cubicBezTo>
                                      <a:cubicBezTo>
                                        <a:pt x="20" y="1"/>
                                        <a:pt x="20" y="1"/>
                                        <a:pt x="20" y="1"/>
                                      </a:cubicBezTo>
                                      <a:cubicBezTo>
                                        <a:pt x="20" y="2"/>
                                        <a:pt x="19" y="2"/>
                                        <a:pt x="19" y="2"/>
                                      </a:cubicBezTo>
                                      <a:cubicBezTo>
                                        <a:pt x="0" y="45"/>
                                        <a:pt x="0" y="45"/>
                                        <a:pt x="0" y="45"/>
                                      </a:cubicBezTo>
                                      <a:cubicBezTo>
                                        <a:pt x="0" y="46"/>
                                        <a:pt x="0" y="47"/>
                                        <a:pt x="0" y="47"/>
                                      </a:cubicBezTo>
                                      <a:cubicBezTo>
                                        <a:pt x="0" y="48"/>
                                        <a:pt x="1" y="48"/>
                                        <a:pt x="1" y="48"/>
                                      </a:cubicBezTo>
                                      <a:cubicBezTo>
                                        <a:pt x="1" y="48"/>
                                        <a:pt x="1" y="48"/>
                                        <a:pt x="1" y="48"/>
                                      </a:cubicBezTo>
                                      <a:cubicBezTo>
                                        <a:pt x="1" y="48"/>
                                        <a:pt x="1" y="48"/>
                                        <a:pt x="1" y="48"/>
                                      </a:cubicBezTo>
                                      <a:cubicBezTo>
                                        <a:pt x="1" y="50"/>
                                        <a:pt x="1" y="50"/>
                                        <a:pt x="1" y="50"/>
                                      </a:cubicBezTo>
                                      <a:lnTo>
                                        <a:pt x="1" y="48"/>
                                      </a:lnTo>
                                      <a:close/>
                                      <a:moveTo>
                                        <a:pt x="20" y="51"/>
                                      </a:moveTo>
                                      <a:cubicBezTo>
                                        <a:pt x="5" y="45"/>
                                        <a:pt x="5" y="45"/>
                                        <a:pt x="5" y="45"/>
                                      </a:cubicBezTo>
                                      <a:cubicBezTo>
                                        <a:pt x="22" y="5"/>
                                        <a:pt x="22" y="5"/>
                                        <a:pt x="22" y="5"/>
                                      </a:cubicBezTo>
                                      <a:cubicBezTo>
                                        <a:pt x="58" y="17"/>
                                        <a:pt x="58" y="17"/>
                                        <a:pt x="58" y="17"/>
                                      </a:cubicBezTo>
                                      <a:lnTo>
                                        <a:pt x="20"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3" name="Freeform 61"/>
                              <wps:cNvSpPr>
                                <a:spLocks/>
                              </wps:cNvSpPr>
                              <wps:spPr bwMode="auto">
                                <a:xfrm>
                                  <a:off x="279339" y="183317"/>
                                  <a:ext cx="59055" cy="58420"/>
                                </a:xfrm>
                                <a:custGeom>
                                  <a:avLst/>
                                  <a:gdLst>
                                    <a:gd name="T0" fmla="*/ 24 w 47"/>
                                    <a:gd name="T1" fmla="*/ 40 h 47"/>
                                    <a:gd name="T2" fmla="*/ 14 w 47"/>
                                    <a:gd name="T3" fmla="*/ 36 h 47"/>
                                    <a:gd name="T4" fmla="*/ 3 w 47"/>
                                    <a:gd name="T5" fmla="*/ 25 h 47"/>
                                    <a:gd name="T6" fmla="*/ 9 w 47"/>
                                    <a:gd name="T7" fmla="*/ 2 h 47"/>
                                    <a:gd name="T8" fmla="*/ 13 w 47"/>
                                    <a:gd name="T9" fmla="*/ 1 h 47"/>
                                    <a:gd name="T10" fmla="*/ 14 w 47"/>
                                    <a:gd name="T11" fmla="*/ 6 h 47"/>
                                    <a:gd name="T12" fmla="*/ 10 w 47"/>
                                    <a:gd name="T13" fmla="*/ 23 h 47"/>
                                    <a:gd name="T14" fmla="*/ 17 w 47"/>
                                    <a:gd name="T15" fmla="*/ 30 h 47"/>
                                    <a:gd name="T16" fmla="*/ 44 w 47"/>
                                    <a:gd name="T17" fmla="*/ 40 h 47"/>
                                    <a:gd name="T18" fmla="*/ 47 w 47"/>
                                    <a:gd name="T19" fmla="*/ 44 h 47"/>
                                    <a:gd name="T20" fmla="*/ 42 w 47"/>
                                    <a:gd name="T21" fmla="*/ 47 h 47"/>
                                    <a:gd name="T22" fmla="*/ 24 w 47"/>
                                    <a:gd name="T23"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7" h="47">
                                      <a:moveTo>
                                        <a:pt x="24" y="40"/>
                                      </a:moveTo>
                                      <a:cubicBezTo>
                                        <a:pt x="21" y="39"/>
                                        <a:pt x="18" y="38"/>
                                        <a:pt x="14" y="36"/>
                                      </a:cubicBezTo>
                                      <a:cubicBezTo>
                                        <a:pt x="8" y="34"/>
                                        <a:pt x="5" y="30"/>
                                        <a:pt x="3" y="25"/>
                                      </a:cubicBezTo>
                                      <a:cubicBezTo>
                                        <a:pt x="0" y="14"/>
                                        <a:pt x="8" y="3"/>
                                        <a:pt x="9" y="2"/>
                                      </a:cubicBezTo>
                                      <a:cubicBezTo>
                                        <a:pt x="10" y="1"/>
                                        <a:pt x="12" y="0"/>
                                        <a:pt x="13" y="1"/>
                                      </a:cubicBezTo>
                                      <a:cubicBezTo>
                                        <a:pt x="15" y="3"/>
                                        <a:pt x="16" y="5"/>
                                        <a:pt x="14" y="6"/>
                                      </a:cubicBezTo>
                                      <a:cubicBezTo>
                                        <a:pt x="13" y="9"/>
                                        <a:pt x="9" y="17"/>
                                        <a:pt x="10" y="23"/>
                                      </a:cubicBezTo>
                                      <a:cubicBezTo>
                                        <a:pt x="11" y="26"/>
                                        <a:pt x="13" y="28"/>
                                        <a:pt x="17" y="30"/>
                                      </a:cubicBezTo>
                                      <a:cubicBezTo>
                                        <a:pt x="34" y="37"/>
                                        <a:pt x="44" y="40"/>
                                        <a:pt x="44" y="40"/>
                                      </a:cubicBezTo>
                                      <a:cubicBezTo>
                                        <a:pt x="46" y="41"/>
                                        <a:pt x="47" y="43"/>
                                        <a:pt x="47" y="44"/>
                                      </a:cubicBezTo>
                                      <a:cubicBezTo>
                                        <a:pt x="46" y="46"/>
                                        <a:pt x="44" y="47"/>
                                        <a:pt x="42" y="47"/>
                                      </a:cubicBezTo>
                                      <a:cubicBezTo>
                                        <a:pt x="42" y="47"/>
                                        <a:pt x="36" y="45"/>
                                        <a:pt x="24" y="4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5" name="Rectangle 62"/>
                              <wps:cNvSpPr>
                                <a:spLocks noChangeArrowheads="1"/>
                              </wps:cNvSpPr>
                              <wps:spPr bwMode="auto">
                                <a:xfrm>
                                  <a:off x="150581" y="320804"/>
                                  <a:ext cx="182245" cy="1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E84595" id="Group 14673" o:spid="_x0000_s1026" style="position:absolute;margin-left:0;margin-top:2.85pt;width:36.85pt;height:36.85pt;z-index:-251609088;mso-position-horizontal:center;mso-position-vertical-relative:margin;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">
                      <v:oval id="Oval 44"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" fillcolor="#65bbc8" stroked="f"/>
                      <v:shape id="Freeform 56" o:spid="_x0000_s1028" style="position:absolute;left:89476;top:106935;width:250190;height:160655;visibility:visible;mso-wrap-style:square;v-text-anchor:top" coordsize="200,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" path="m56,81c48,78,14,62,,29,,28,,27,,26,2,20,2,20,2,20v,-1,1,-2,2,-2c5,18,6,18,7,18v15,5,15,5,15,5c32,3,32,3,32,3,33,1,35,,36,1,47,4,47,4,47,4v2,1,3,2,3,4c49,32,49,32,49,32v52,13,52,13,52,13c103,45,104,47,104,49v-1,2,-3,3,-5,3c45,38,45,38,45,38v-2,,-3,-2,-3,-3c43,10,43,10,43,10,37,8,37,8,37,8,28,29,28,29,28,29v-1,2,-3,2,-5,2c8,26,8,26,8,26,7,27,7,27,7,27,22,61,59,75,60,75v86,30,86,30,86,30c159,111,183,118,190,112v,,3,-2,2,-7c188,75,152,64,151,64v-7,-2,-7,-2,-7,-2c142,62,141,60,141,58v1,-2,3,-3,5,-3c153,57,153,57,153,57v2,1,41,13,46,47c200,112,197,116,194,118v-13,10,-47,-4,-50,-6c57,81,57,81,57,81v,,,,-1,xe" stroked="f">
                        <v:path arrowok="t" o:connecttype="custom" o:connectlocs="70053,101664;0,36398;0,32633;2502,25102;5004,22592;8757,22592;27521,28868;40030,3765;45034,1255;58795,5020;62548,10041;61297,40164;126346,56480;130099,61501;123844,65266;56293,47694;52540,43929;53791,12551;46285,10041;35027,36398;28772,38909;10008,32633;8757,33888;75057,94134;182639,131787;237681,140573;240182,131787;188893,80328;180137,77817;176384,72797;182639,69031;191395,71542;248939,130532;242684,148104;180137,140573;71304,101664;70053,101664" o:connectangles="0,0,0,0,0,0,0,0,0,0,0,0,0,0,0,0,0,0,0,0,0,0,0,0,0,0,0,0,0,0,0,0,0,0,0,0,0"/>
                      </v:shape>
                      <v:shape id="Freeform 58" o:spid="_x0000_s1029" style="position:absolute;left:209504;top:96023;width:64770;height:109855;visibility:visible;mso-wrap-style:square;v-text-anchor:top" coordsize="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" path="m2,74c49,88,49,88,49,88v1,,1,,2,c51,87,52,87,51,86,38,10,38,10,38,10,38,9,37,8,37,8,16,,16,,16,v,,-1,,-2,1c14,1,14,1,13,2,,71,,71,,71v,1,1,2,1,3c1,75,1,75,1,75l2,74xm47,83c5,70,5,70,5,70v,-1,,-1,,-1c17,5,17,5,17,5v17,7,17,7,17,7c34,12,34,12,34,12l47,83xe" stroked="f">
                        <v:path arrowok="t" o:connecttype="custom" o:connectlocs="2491,92378;61033,109855;63524,109855;63524,107358;47332,12484;46086,9987;19929,0;17438,1248;16193,2497;0,88633;1246,92378;1246,93626;2491,92378;58542,103613;6228,87385;6228,86136;21175,6242;42350,14980;42350,14980;58542,103613" o:connectangles="0,0,0,0,0,0,0,0,0,0,0,0,0,0,0,0,0,0,0,0"/>
                        <o:lock v:ext="edit" verticies="t"/>
                      </v:shape>
                      <v:shape id="Freeform 60" o:spid="_x0000_s1030" style="position:absolute;left:181134;top:218234;width:81280;height:68580;visibility:visible;mso-wrap-style:square;v-text-anchor:top" coordsize="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" path="m1,48v19,7,19,7,19,7c21,55,22,55,22,55,64,18,64,18,64,18v,-1,1,-1,,-2c64,15,64,15,63,14,22,,22,,22,v,,-1,,-2,1c20,1,20,1,20,1v,1,-1,1,-1,1c,45,,45,,45v,1,,2,,2c,48,1,48,1,48v,,,,,c1,48,1,48,1,48v,2,,2,,2l1,48xm20,51c5,45,5,45,5,45,22,5,22,5,22,5,58,17,58,17,58,17l20,51xe" stroked="f">
                        <v:path arrowok="t" o:connecttype="custom" o:connectlocs="1250,59852;25009,68580;27510,68580;80030,22444;80030,19951;78779,17457;27510,0;25009,1247;25009,1247;23759,2494;0,56111;0,58605;1250,59852;1250,59852;1250,59852;1250,62345;1250,59852;25009,63592;6252,56111;27510,6235;72527,21197;25009,63592" o:connectangles="0,0,0,0,0,0,0,0,0,0,0,0,0,0,0,0,0,0,0,0,0,0"/>
                        <o:lock v:ext="edit" verticies="t"/>
                      </v:shape>
                      <v:shape id="Freeform 61" o:spid="_x0000_s1031" style="position:absolute;left:279339;top:183317;width:59055;height:58420;visibility:visible;mso-wrap-style:square;v-text-anchor:top" coordsize="4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" path="m24,40c21,39,18,38,14,36,8,34,5,30,3,25,,14,8,3,9,2,10,1,12,,13,1v2,2,3,4,1,5c13,9,9,17,10,23v1,3,3,5,7,7c34,37,44,40,44,40v2,1,3,3,3,4c46,46,44,47,42,47v,,-6,-2,-18,-7xe" stroked="f">
                        <v:path arrowok="t" o:connecttype="custom" o:connectlocs="30156,49719;17591,44747;3769,31074;11308,2486;16334,1243;17591,7458;12565,28589;21360,37289;55286,49719;59055,54691;52773,58420;30156,49719" o:connectangles="0,0,0,0,0,0,0,0,0,0,0,0"/>
                      </v:shape>
                      <v:rect id="Rectangle 62" o:spid="_x0000_s1032" style="position:absolute;left:150581;top:320804;width:182245;height:1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" stroked="f"/>
                      <w10:wrap type="tight" anchory="margin"/>
                    </v:group>
                  </w:pict>
                </mc:Fallback>
              </mc:AlternateContent>
            </w:r>
          </w:p>
        </w:tc>
        <w:tc>
          <w:tcPr>
            <w:tcW w:w="3575" w:type="dxa"/>
            <w:tcMar>
              <w:right w:w="170" w:type="dxa"/>
            </w:tcMar>
          </w:tcPr>
          <w:p w14:paraId="4DE91B74" w14:textId="5F7D02A6" w:rsidR="007A5B1C" w:rsidRPr="00A04E56" w:rsidRDefault="007A5B1C" w:rsidP="002D5E2C">
            <w:pPr>
              <w:rPr>
                <w:rFonts w:eastAsia="Calibri"/>
              </w:rPr>
            </w:pPr>
            <w:r w:rsidRPr="00A04E56">
              <w:rPr>
                <w:rStyle w:val="BOLDLIGHTBLUEReport"/>
                <w:rFonts w:eastAsia="Calibri"/>
              </w:rPr>
              <w:t>Road safety</w:t>
            </w:r>
            <w:r w:rsidRPr="00A04E56">
              <w:rPr>
                <w:rFonts w:eastAsia="Calibri"/>
              </w:rPr>
              <w:t xml:space="preserve">: From April 2018, Galileo is integrated in every </w:t>
            </w:r>
            <w:r w:rsidR="009739CF" w:rsidRPr="00A04E56">
              <w:rPr>
                <w:rFonts w:eastAsia="Calibri"/>
              </w:rPr>
              <w:t>new</w:t>
            </w:r>
            <w:r w:rsidRPr="00A04E56">
              <w:rPr>
                <w:rFonts w:eastAsia="Calibri"/>
              </w:rPr>
              <w:t xml:space="preserve"> car </w:t>
            </w:r>
            <w:r w:rsidR="000D7FA9" w:rsidRPr="00A04E56">
              <w:rPr>
                <w:rFonts w:eastAsia="Calibri"/>
              </w:rPr>
              <w:t>type</w:t>
            </w:r>
            <w:r w:rsidRPr="00A04E56">
              <w:rPr>
                <w:rFonts w:eastAsia="Calibri"/>
              </w:rPr>
              <w:t xml:space="preserve"> sold in Europe, supporting the eCall emergency</w:t>
            </w:r>
            <w:r w:rsidR="00C6111C" w:rsidRPr="00A04E56">
              <w:rPr>
                <w:rFonts w:eastAsia="Calibri"/>
              </w:rPr>
              <w:t>-response</w:t>
            </w:r>
            <w:r w:rsidRPr="00A04E56">
              <w:rPr>
                <w:rFonts w:eastAsia="Calibri"/>
              </w:rPr>
              <w:t xml:space="preserve"> system from 2019, it will be integrated in digital tachographs of lorries to ensure the respect of driving time rules and improve road safety.</w:t>
            </w:r>
          </w:p>
        </w:tc>
      </w:tr>
      <w:tr w:rsidR="007A5B1C" w:rsidRPr="00A04E56" w14:paraId="7E48A9B4" w14:textId="77777777" w:rsidTr="00D300BD">
        <w:tc>
          <w:tcPr>
            <w:tcW w:w="959" w:type="dxa"/>
            <w:vAlign w:val="center"/>
          </w:tcPr>
          <w:p w14:paraId="5D1B82E3" w14:textId="77777777" w:rsidR="007A5B1C" w:rsidRPr="00A04E56" w:rsidRDefault="007A5B1C" w:rsidP="002D5E2C">
            <w:pPr>
              <w:rPr>
                <w:rFonts w:eastAsia="Calibri"/>
              </w:rPr>
            </w:pPr>
            <w:r w:rsidRPr="00A04E56">
              <w:rPr>
                <w:rFonts w:eastAsia="Calibri"/>
                <w:noProof/>
                <w:lang w:val="fr-BE" w:eastAsia="fr-BE"/>
              </w:rPr>
              <mc:AlternateContent>
                <mc:Choice Requires="wpg">
                  <w:drawing>
                    <wp:anchor distT="0" distB="0" distL="114300" distR="114300" simplePos="0" relativeHeight="251566080" behindDoc="0" locked="0" layoutInCell="1" allowOverlap="1" wp14:anchorId="1540D80C" wp14:editId="66B4670B">
                      <wp:simplePos x="0" y="0"/>
                      <wp:positionH relativeFrom="column">
                        <wp:align>left</wp:align>
                      </wp:positionH>
                      <wp:positionV relativeFrom="paragraph">
                        <wp:posOffset>2540</wp:posOffset>
                      </wp:positionV>
                      <wp:extent cx="468000" cy="468000"/>
                      <wp:effectExtent l="0" t="0" r="8255" b="8255"/>
                      <wp:wrapNone/>
                      <wp:docPr id="14644" name="Group 14644"/>
                      <wp:cNvGraphicFramePr/>
                      <a:graphic xmlns:a="http://schemas.openxmlformats.org/drawingml/2006/main">
                        <a:graphicData uri="http://schemas.microsoft.com/office/word/2010/wordprocessingGroup">
                          <wpg:wgp>
                            <wpg:cNvGrpSpPr/>
                            <wpg:grpSpPr>
                              <a:xfrm>
                                <a:off x="0" y="0"/>
                                <a:ext cx="468000" cy="468000"/>
                                <a:chOff x="0" y="0"/>
                                <a:chExt cx="441960" cy="443865"/>
                              </a:xfrm>
                            </wpg:grpSpPr>
                            <wps:wsp>
                              <wps:cNvPr id="14645" name="Oval 45"/>
                              <wps:cNvSpPr>
                                <a:spLocks noChangeArrowheads="1"/>
                              </wps:cNvSpPr>
                              <wps:spPr bwMode="auto">
                                <a:xfrm>
                                  <a:off x="0" y="0"/>
                                  <a:ext cx="44196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6" name="Freeform 48"/>
                              <wps:cNvSpPr>
                                <a:spLocks noEditPoints="1"/>
                              </wps:cNvSpPr>
                              <wps:spPr bwMode="auto">
                                <a:xfrm>
                                  <a:off x="103517" y="134572"/>
                                  <a:ext cx="229870" cy="175895"/>
                                </a:xfrm>
                                <a:custGeom>
                                  <a:avLst/>
                                  <a:gdLst>
                                    <a:gd name="T0" fmla="*/ 96 w 184"/>
                                    <a:gd name="T1" fmla="*/ 0 h 141"/>
                                    <a:gd name="T2" fmla="*/ 159 w 184"/>
                                    <a:gd name="T3" fmla="*/ 0 h 141"/>
                                    <a:gd name="T4" fmla="*/ 184 w 184"/>
                                    <a:gd name="T5" fmla="*/ 25 h 141"/>
                                    <a:gd name="T6" fmla="*/ 184 w 184"/>
                                    <a:gd name="T7" fmla="*/ 116 h 141"/>
                                    <a:gd name="T8" fmla="*/ 159 w 184"/>
                                    <a:gd name="T9" fmla="*/ 141 h 141"/>
                                    <a:gd name="T10" fmla="*/ 25 w 184"/>
                                    <a:gd name="T11" fmla="*/ 141 h 141"/>
                                    <a:gd name="T12" fmla="*/ 0 w 184"/>
                                    <a:gd name="T13" fmla="*/ 116 h 141"/>
                                    <a:gd name="T14" fmla="*/ 0 w 184"/>
                                    <a:gd name="T15" fmla="*/ 25 h 141"/>
                                    <a:gd name="T16" fmla="*/ 25 w 184"/>
                                    <a:gd name="T17" fmla="*/ 0 h 141"/>
                                    <a:gd name="T18" fmla="*/ 88 w 184"/>
                                    <a:gd name="T19" fmla="*/ 0 h 141"/>
                                    <a:gd name="T20" fmla="*/ 96 w 184"/>
                                    <a:gd name="T21" fmla="*/ 0 h 141"/>
                                    <a:gd name="T22" fmla="*/ 25 w 184"/>
                                    <a:gd name="T23" fmla="*/ 7 h 141"/>
                                    <a:gd name="T24" fmla="*/ 7 w 184"/>
                                    <a:gd name="T25" fmla="*/ 25 h 141"/>
                                    <a:gd name="T26" fmla="*/ 7 w 184"/>
                                    <a:gd name="T27" fmla="*/ 116 h 141"/>
                                    <a:gd name="T28" fmla="*/ 25 w 184"/>
                                    <a:gd name="T29" fmla="*/ 133 h 141"/>
                                    <a:gd name="T30" fmla="*/ 159 w 184"/>
                                    <a:gd name="T31" fmla="*/ 133 h 141"/>
                                    <a:gd name="T32" fmla="*/ 177 w 184"/>
                                    <a:gd name="T33" fmla="*/ 116 h 141"/>
                                    <a:gd name="T34" fmla="*/ 177 w 184"/>
                                    <a:gd name="T35" fmla="*/ 25 h 141"/>
                                    <a:gd name="T36" fmla="*/ 159 w 184"/>
                                    <a:gd name="T37" fmla="*/ 7 h 141"/>
                                    <a:gd name="T38" fmla="*/ 25 w 184"/>
                                    <a:gd name="T39" fmla="*/ 7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4" h="141">
                                      <a:moveTo>
                                        <a:pt x="96" y="0"/>
                                      </a:moveTo>
                                      <a:cubicBezTo>
                                        <a:pt x="159" y="0"/>
                                        <a:pt x="159" y="0"/>
                                        <a:pt x="159" y="0"/>
                                      </a:cubicBezTo>
                                      <a:cubicBezTo>
                                        <a:pt x="173" y="0"/>
                                        <a:pt x="184" y="11"/>
                                        <a:pt x="184" y="25"/>
                                      </a:cubicBezTo>
                                      <a:cubicBezTo>
                                        <a:pt x="184" y="116"/>
                                        <a:pt x="184" y="116"/>
                                        <a:pt x="184" y="116"/>
                                      </a:cubicBezTo>
                                      <a:cubicBezTo>
                                        <a:pt x="184" y="130"/>
                                        <a:pt x="173" y="141"/>
                                        <a:pt x="159" y="141"/>
                                      </a:cubicBezTo>
                                      <a:cubicBezTo>
                                        <a:pt x="25" y="141"/>
                                        <a:pt x="25" y="141"/>
                                        <a:pt x="25" y="141"/>
                                      </a:cubicBezTo>
                                      <a:cubicBezTo>
                                        <a:pt x="11" y="141"/>
                                        <a:pt x="0" y="130"/>
                                        <a:pt x="0" y="116"/>
                                      </a:cubicBezTo>
                                      <a:cubicBezTo>
                                        <a:pt x="0" y="25"/>
                                        <a:pt x="0" y="25"/>
                                        <a:pt x="0" y="25"/>
                                      </a:cubicBezTo>
                                      <a:cubicBezTo>
                                        <a:pt x="0" y="11"/>
                                        <a:pt x="11" y="0"/>
                                        <a:pt x="25" y="0"/>
                                      </a:cubicBezTo>
                                      <a:cubicBezTo>
                                        <a:pt x="88" y="0"/>
                                        <a:pt x="88" y="0"/>
                                        <a:pt x="88" y="0"/>
                                      </a:cubicBezTo>
                                      <a:lnTo>
                                        <a:pt x="96" y="0"/>
                                      </a:lnTo>
                                      <a:close/>
                                      <a:moveTo>
                                        <a:pt x="25" y="7"/>
                                      </a:moveTo>
                                      <a:cubicBezTo>
                                        <a:pt x="15" y="7"/>
                                        <a:pt x="7" y="15"/>
                                        <a:pt x="7" y="25"/>
                                      </a:cubicBezTo>
                                      <a:cubicBezTo>
                                        <a:pt x="7" y="116"/>
                                        <a:pt x="7" y="116"/>
                                        <a:pt x="7" y="116"/>
                                      </a:cubicBezTo>
                                      <a:cubicBezTo>
                                        <a:pt x="7" y="126"/>
                                        <a:pt x="15" y="133"/>
                                        <a:pt x="25" y="133"/>
                                      </a:cubicBezTo>
                                      <a:cubicBezTo>
                                        <a:pt x="159" y="133"/>
                                        <a:pt x="159" y="133"/>
                                        <a:pt x="159" y="133"/>
                                      </a:cubicBezTo>
                                      <a:cubicBezTo>
                                        <a:pt x="169" y="133"/>
                                        <a:pt x="177" y="126"/>
                                        <a:pt x="177" y="116"/>
                                      </a:cubicBezTo>
                                      <a:cubicBezTo>
                                        <a:pt x="177" y="25"/>
                                        <a:pt x="177" y="25"/>
                                        <a:pt x="177" y="25"/>
                                      </a:cubicBezTo>
                                      <a:cubicBezTo>
                                        <a:pt x="177" y="15"/>
                                        <a:pt x="169" y="7"/>
                                        <a:pt x="159" y="7"/>
                                      </a:cubicBezTo>
                                      <a:lnTo>
                                        <a:pt x="25" y="7"/>
                                      </a:lnTo>
                                      <a:close/>
                                    </a:path>
                                  </a:pathLst>
                                </a:custGeom>
                                <a:solidFill>
                                  <a:srgbClr val="FFFFFF"/>
                                </a:solidFill>
                                <a:ln w="2540" cap="flat">
                                  <a:solidFill>
                                    <a:srgbClr val="FFFFFF"/>
                                  </a:solidFill>
                                  <a:prstDash val="solid"/>
                                  <a:miter lim="800000"/>
                                  <a:headEnd/>
                                  <a:tailEnd/>
                                </a:ln>
                              </wps:spPr>
                              <wps:bodyPr rot="0" vert="horz" wrap="square" lIns="91440" tIns="45720" rIns="91440" bIns="45720" anchor="t" anchorCtr="0" upright="1">
                                <a:noAutofit/>
                              </wps:bodyPr>
                            </wps:wsp>
                            <wps:wsp>
                              <wps:cNvPr id="14647" name="Freeform 49"/>
                              <wps:cNvSpPr>
                                <a:spLocks/>
                              </wps:cNvSpPr>
                              <wps:spPr bwMode="auto">
                                <a:xfrm>
                                  <a:off x="165627" y="169078"/>
                                  <a:ext cx="104775" cy="108585"/>
                                </a:xfrm>
                                <a:custGeom>
                                  <a:avLst/>
                                  <a:gdLst>
                                    <a:gd name="T0" fmla="*/ 98 w 165"/>
                                    <a:gd name="T1" fmla="*/ 0 h 171"/>
                                    <a:gd name="T2" fmla="*/ 98 w 165"/>
                                    <a:gd name="T3" fmla="*/ 71 h 171"/>
                                    <a:gd name="T4" fmla="*/ 165 w 165"/>
                                    <a:gd name="T5" fmla="*/ 71 h 171"/>
                                    <a:gd name="T6" fmla="*/ 165 w 165"/>
                                    <a:gd name="T7" fmla="*/ 100 h 171"/>
                                    <a:gd name="T8" fmla="*/ 98 w 165"/>
                                    <a:gd name="T9" fmla="*/ 100 h 171"/>
                                    <a:gd name="T10" fmla="*/ 98 w 165"/>
                                    <a:gd name="T11" fmla="*/ 171 h 171"/>
                                    <a:gd name="T12" fmla="*/ 67 w 165"/>
                                    <a:gd name="T13" fmla="*/ 171 h 171"/>
                                    <a:gd name="T14" fmla="*/ 67 w 165"/>
                                    <a:gd name="T15" fmla="*/ 100 h 171"/>
                                    <a:gd name="T16" fmla="*/ 0 w 165"/>
                                    <a:gd name="T17" fmla="*/ 100 h 171"/>
                                    <a:gd name="T18" fmla="*/ 0 w 165"/>
                                    <a:gd name="T19" fmla="*/ 71 h 171"/>
                                    <a:gd name="T20" fmla="*/ 67 w 165"/>
                                    <a:gd name="T21" fmla="*/ 71 h 171"/>
                                    <a:gd name="T22" fmla="*/ 67 w 165"/>
                                    <a:gd name="T23" fmla="*/ 0 h 171"/>
                                    <a:gd name="T24" fmla="*/ 98 w 165"/>
                                    <a:gd name="T25" fmla="*/ 0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5" h="171">
                                      <a:moveTo>
                                        <a:pt x="98" y="0"/>
                                      </a:moveTo>
                                      <a:lnTo>
                                        <a:pt x="98" y="71"/>
                                      </a:lnTo>
                                      <a:lnTo>
                                        <a:pt x="165" y="71"/>
                                      </a:lnTo>
                                      <a:lnTo>
                                        <a:pt x="165" y="100"/>
                                      </a:lnTo>
                                      <a:lnTo>
                                        <a:pt x="98" y="100"/>
                                      </a:lnTo>
                                      <a:lnTo>
                                        <a:pt x="98" y="171"/>
                                      </a:lnTo>
                                      <a:lnTo>
                                        <a:pt x="67" y="171"/>
                                      </a:lnTo>
                                      <a:lnTo>
                                        <a:pt x="67" y="100"/>
                                      </a:lnTo>
                                      <a:lnTo>
                                        <a:pt x="0" y="100"/>
                                      </a:lnTo>
                                      <a:lnTo>
                                        <a:pt x="0" y="71"/>
                                      </a:lnTo>
                                      <a:lnTo>
                                        <a:pt x="67" y="71"/>
                                      </a:lnTo>
                                      <a:lnTo>
                                        <a:pt x="67" y="0"/>
                                      </a:lnTo>
                                      <a:lnTo>
                                        <a:pt x="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BA8FA49" id="Group 14644" o:spid="_x0000_s1026" style="position:absolute;margin-left:0;margin-top:.2pt;width:36.85pt;height:36.85pt;z-index:251566080;mso-position-horizontal:left;mso-width-relative:margin;mso-height-relative:margin" coordsize="44196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">
                      <v:oval id="Oval 45" o:spid="_x0000_s1027" style="position:absolute;width:44196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" fillcolor="#65bbc8" stroked="f"/>
                      <v:shape id="Freeform 48" o:spid="_x0000_s1028" style="position:absolute;left:103517;top:134572;width:229870;height:175895;visibility:visible;mso-wrap-style:square;v-text-anchor:top" coordsize="18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" path="m96,v63,,63,,63,c173,,184,11,184,25v,91,,91,,91c184,130,173,141,159,141v-134,,-134,,-134,c11,141,,130,,116,,25,,25,,25,,11,11,,25,,88,,88,,88,r8,xm25,7c15,7,7,15,7,25v,91,,91,,91c7,126,15,133,25,133v134,,134,,134,c169,133,177,126,177,116v,-91,,-91,,-91c177,15,169,7,159,7l25,7xe" strokecolor="white" strokeweight=".2pt">
                        <v:stroke joinstyle="miter"/>
                        <v:path arrowok="t" o:connecttype="custom" o:connectlocs="119932,0;198638,0;229870,31187;229870,144708;198638,175895;31232,175895;0,144708;0,31187;31232,0;109938,0;119932,0;31232,8732;8745,31187;8745,144708;31232,165915;198638,165915;221125,144708;221125,31187;198638,8732;31232,8732" o:connectangles="0,0,0,0,0,0,0,0,0,0,0,0,0,0,0,0,0,0,0,0"/>
                        <o:lock v:ext="edit" verticies="t"/>
                      </v:shape>
                      <v:shape id="Freeform 49" o:spid="_x0000_s1029" style="position:absolute;left:165627;top:169078;width:104775;height:108585;visibility:visible;mso-wrap-style:square;v-text-anchor:top" coordsize="165,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" path="m98,r,71l165,71r,29l98,100r,71l67,171r,-71l,100,,71r67,l67,,98,xe" stroked="f">
                        <v:path arrowok="t" o:connecttype="custom" o:connectlocs="62230,0;62230,45085;104775,45085;104775,63500;62230,63500;62230,108585;42545,108585;42545,63500;0,63500;0,45085;42545,45085;42545,0;62230,0" o:connectangles="0,0,0,0,0,0,0,0,0,0,0,0,0"/>
                      </v:shape>
                    </v:group>
                  </w:pict>
                </mc:Fallback>
              </mc:AlternateContent>
            </w:r>
          </w:p>
        </w:tc>
        <w:tc>
          <w:tcPr>
            <w:tcW w:w="3742" w:type="dxa"/>
            <w:tcMar>
              <w:right w:w="391" w:type="dxa"/>
            </w:tcMar>
          </w:tcPr>
          <w:p w14:paraId="03792725" w14:textId="1E53CDF3" w:rsidR="007A5B1C" w:rsidRPr="00A04E56" w:rsidRDefault="007A5B1C" w:rsidP="002D5E2C">
            <w:pPr>
              <w:rPr>
                <w:rFonts w:eastAsia="Calibri"/>
              </w:rPr>
            </w:pPr>
            <w:r w:rsidRPr="00A04E56">
              <w:rPr>
                <w:rStyle w:val="BOLDLIGHTBLUEReport"/>
                <w:rFonts w:eastAsia="Calibri"/>
              </w:rPr>
              <w:t>Search and Rescue</w:t>
            </w:r>
            <w:r w:rsidRPr="00A04E56">
              <w:rPr>
                <w:rFonts w:eastAsia="Calibri"/>
              </w:rPr>
              <w:t xml:space="preserve">: A Galileo service </w:t>
            </w:r>
            <w:r w:rsidR="000D7FA9" w:rsidRPr="00A04E56">
              <w:rPr>
                <w:rFonts w:eastAsia="Calibri"/>
              </w:rPr>
              <w:t xml:space="preserve">that </w:t>
            </w:r>
            <w:r w:rsidRPr="00A04E56">
              <w:rPr>
                <w:rFonts w:eastAsia="Calibri"/>
              </w:rPr>
              <w:t>reduces the time it takes to detect a person equipped with a distress beacon to less than 10 minutes in a variety of locations including at sea, in mountains or deserts</w:t>
            </w:r>
            <w:r w:rsidR="00091924" w:rsidRPr="00A04E56">
              <w:rPr>
                <w:rFonts w:eastAsia="Calibri"/>
              </w:rPr>
              <w:t xml:space="preserve"> and</w:t>
            </w:r>
            <w:r w:rsidRPr="00A04E56">
              <w:rPr>
                <w:rFonts w:eastAsia="Calibri"/>
              </w:rPr>
              <w:t xml:space="preserve"> in urban areas. It confirms to the person that help is on the way.</w:t>
            </w:r>
          </w:p>
        </w:tc>
        <w:tc>
          <w:tcPr>
            <w:tcW w:w="1031" w:type="dxa"/>
          </w:tcPr>
          <w:p w14:paraId="59DF7767" w14:textId="77777777" w:rsidR="007A5B1C" w:rsidRPr="00A04E56" w:rsidRDefault="007A5B1C" w:rsidP="00107DA0">
            <w:pPr>
              <w:jc w:val="center"/>
              <w:rPr>
                <w:rFonts w:eastAsia="Calibri"/>
              </w:rPr>
            </w:pPr>
            <w:r w:rsidRPr="00A04E56">
              <w:rPr>
                <w:rFonts w:eastAsia="Calibri"/>
                <w:noProof/>
                <w:lang w:val="fr-BE" w:eastAsia="fr-BE"/>
              </w:rPr>
              <mc:AlternateContent>
                <mc:Choice Requires="wpg">
                  <w:drawing>
                    <wp:anchor distT="0" distB="0" distL="114300" distR="114300" simplePos="0" relativeHeight="251561984" behindDoc="0" locked="0" layoutInCell="1" allowOverlap="1" wp14:anchorId="505E7F60" wp14:editId="31E1FB65">
                      <wp:simplePos x="3840480" y="6495415"/>
                      <wp:positionH relativeFrom="column">
                        <wp:align>center</wp:align>
                      </wp:positionH>
                      <wp:positionV relativeFrom="margin">
                        <wp:posOffset>144145</wp:posOffset>
                      </wp:positionV>
                      <wp:extent cx="468000" cy="468000"/>
                      <wp:effectExtent l="0" t="0" r="8255" b="8255"/>
                      <wp:wrapSquare wrapText="bothSides"/>
                      <wp:docPr id="14716" name="Group 14716"/>
                      <wp:cNvGraphicFramePr/>
                      <a:graphic xmlns:a="http://schemas.openxmlformats.org/drawingml/2006/main">
                        <a:graphicData uri="http://schemas.microsoft.com/office/word/2010/wordprocessingGroup">
                          <wpg:wgp>
                            <wpg:cNvGrpSpPr/>
                            <wpg:grpSpPr>
                              <a:xfrm>
                                <a:off x="0" y="0"/>
                                <a:ext cx="468000" cy="468000"/>
                                <a:chOff x="0" y="0"/>
                                <a:chExt cx="443230" cy="443865"/>
                              </a:xfrm>
                            </wpg:grpSpPr>
                            <wps:wsp>
                              <wps:cNvPr id="14717" name="Oval 47"/>
                              <wps:cNvSpPr>
                                <a:spLocks noChangeArrowheads="1"/>
                              </wps:cNvSpPr>
                              <wps:spPr bwMode="auto">
                                <a:xfrm>
                                  <a:off x="0" y="0"/>
                                  <a:ext cx="443230" cy="443865"/>
                                </a:xfrm>
                                <a:prstGeom prst="ellipse">
                                  <a:avLst/>
                                </a:prstGeom>
                                <a:solidFill>
                                  <a:srgbClr val="65BB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8" name="Freeform 51"/>
                              <wps:cNvSpPr>
                                <a:spLocks noEditPoints="1"/>
                              </wps:cNvSpPr>
                              <wps:spPr bwMode="auto">
                                <a:xfrm>
                                  <a:off x="261880" y="117847"/>
                                  <a:ext cx="59690" cy="236220"/>
                                </a:xfrm>
                                <a:custGeom>
                                  <a:avLst/>
                                  <a:gdLst>
                                    <a:gd name="T0" fmla="*/ 28 w 48"/>
                                    <a:gd name="T1" fmla="*/ 119 h 189"/>
                                    <a:gd name="T2" fmla="*/ 41 w 48"/>
                                    <a:gd name="T3" fmla="*/ 105 h 189"/>
                                    <a:gd name="T4" fmla="*/ 41 w 48"/>
                                    <a:gd name="T5" fmla="*/ 126 h 189"/>
                                    <a:gd name="T6" fmla="*/ 28 w 48"/>
                                    <a:gd name="T7" fmla="*/ 140 h 189"/>
                                    <a:gd name="T8" fmla="*/ 28 w 48"/>
                                    <a:gd name="T9" fmla="*/ 119 h 189"/>
                                    <a:gd name="T10" fmla="*/ 7 w 48"/>
                                    <a:gd name="T11" fmla="*/ 105 h 189"/>
                                    <a:gd name="T12" fmla="*/ 21 w 48"/>
                                    <a:gd name="T13" fmla="*/ 119 h 189"/>
                                    <a:gd name="T14" fmla="*/ 21 w 48"/>
                                    <a:gd name="T15" fmla="*/ 140 h 189"/>
                                    <a:gd name="T16" fmla="*/ 7 w 48"/>
                                    <a:gd name="T17" fmla="*/ 126 h 189"/>
                                    <a:gd name="T18" fmla="*/ 7 w 48"/>
                                    <a:gd name="T19" fmla="*/ 105 h 189"/>
                                    <a:gd name="T20" fmla="*/ 21 w 48"/>
                                    <a:gd name="T21" fmla="*/ 77 h 189"/>
                                    <a:gd name="T22" fmla="*/ 7 w 48"/>
                                    <a:gd name="T23" fmla="*/ 63 h 189"/>
                                    <a:gd name="T24" fmla="*/ 7 w 48"/>
                                    <a:gd name="T25" fmla="*/ 42 h 189"/>
                                    <a:gd name="T26" fmla="*/ 21 w 48"/>
                                    <a:gd name="T27" fmla="*/ 56 h 189"/>
                                    <a:gd name="T28" fmla="*/ 21 w 48"/>
                                    <a:gd name="T29" fmla="*/ 77 h 189"/>
                                    <a:gd name="T30" fmla="*/ 41 w 48"/>
                                    <a:gd name="T31" fmla="*/ 63 h 189"/>
                                    <a:gd name="T32" fmla="*/ 28 w 48"/>
                                    <a:gd name="T33" fmla="*/ 77 h 189"/>
                                    <a:gd name="T34" fmla="*/ 28 w 48"/>
                                    <a:gd name="T35" fmla="*/ 56 h 189"/>
                                    <a:gd name="T36" fmla="*/ 41 w 48"/>
                                    <a:gd name="T37" fmla="*/ 42 h 189"/>
                                    <a:gd name="T38" fmla="*/ 41 w 48"/>
                                    <a:gd name="T39" fmla="*/ 63 h 189"/>
                                    <a:gd name="T40" fmla="*/ 41 w 48"/>
                                    <a:gd name="T41" fmla="*/ 95 h 189"/>
                                    <a:gd name="T42" fmla="*/ 28 w 48"/>
                                    <a:gd name="T43" fmla="*/ 109 h 189"/>
                                    <a:gd name="T44" fmla="*/ 28 w 48"/>
                                    <a:gd name="T45" fmla="*/ 104 h 189"/>
                                    <a:gd name="T46" fmla="*/ 24 w 48"/>
                                    <a:gd name="T47" fmla="*/ 101 h 189"/>
                                    <a:gd name="T48" fmla="*/ 21 w 48"/>
                                    <a:gd name="T49" fmla="*/ 104 h 189"/>
                                    <a:gd name="T50" fmla="*/ 21 w 48"/>
                                    <a:gd name="T51" fmla="*/ 109 h 189"/>
                                    <a:gd name="T52" fmla="*/ 7 w 48"/>
                                    <a:gd name="T53" fmla="*/ 95 h 189"/>
                                    <a:gd name="T54" fmla="*/ 7 w 48"/>
                                    <a:gd name="T55" fmla="*/ 73 h 189"/>
                                    <a:gd name="T56" fmla="*/ 21 w 48"/>
                                    <a:gd name="T57" fmla="*/ 87 h 189"/>
                                    <a:gd name="T58" fmla="*/ 21 w 48"/>
                                    <a:gd name="T59" fmla="*/ 107 h 189"/>
                                    <a:gd name="T60" fmla="*/ 24 w 48"/>
                                    <a:gd name="T61" fmla="*/ 110 h 189"/>
                                    <a:gd name="T62" fmla="*/ 28 w 48"/>
                                    <a:gd name="T63" fmla="*/ 107 h 189"/>
                                    <a:gd name="T64" fmla="*/ 28 w 48"/>
                                    <a:gd name="T65" fmla="*/ 87 h 189"/>
                                    <a:gd name="T66" fmla="*/ 41 w 48"/>
                                    <a:gd name="T67" fmla="*/ 73 h 189"/>
                                    <a:gd name="T68" fmla="*/ 41 w 48"/>
                                    <a:gd name="T69" fmla="*/ 95 h 189"/>
                                    <a:gd name="T70" fmla="*/ 45 w 48"/>
                                    <a:gd name="T71" fmla="*/ 0 h 189"/>
                                    <a:gd name="T72" fmla="*/ 41 w 48"/>
                                    <a:gd name="T73" fmla="*/ 4 h 189"/>
                                    <a:gd name="T74" fmla="*/ 41 w 48"/>
                                    <a:gd name="T75" fmla="*/ 32 h 189"/>
                                    <a:gd name="T76" fmla="*/ 28 w 48"/>
                                    <a:gd name="T77" fmla="*/ 46 h 189"/>
                                    <a:gd name="T78" fmla="*/ 28 w 48"/>
                                    <a:gd name="T79" fmla="*/ 4 h 189"/>
                                    <a:gd name="T80" fmla="*/ 24 w 48"/>
                                    <a:gd name="T81" fmla="*/ 0 h 189"/>
                                    <a:gd name="T82" fmla="*/ 21 w 48"/>
                                    <a:gd name="T83" fmla="*/ 4 h 189"/>
                                    <a:gd name="T84" fmla="*/ 21 w 48"/>
                                    <a:gd name="T85" fmla="*/ 46 h 189"/>
                                    <a:gd name="T86" fmla="*/ 7 w 48"/>
                                    <a:gd name="T87" fmla="*/ 32 h 189"/>
                                    <a:gd name="T88" fmla="*/ 7 w 48"/>
                                    <a:gd name="T89" fmla="*/ 4 h 189"/>
                                    <a:gd name="T90" fmla="*/ 4 w 48"/>
                                    <a:gd name="T91" fmla="*/ 0 h 189"/>
                                    <a:gd name="T92" fmla="*/ 0 w 48"/>
                                    <a:gd name="T93" fmla="*/ 4 h 189"/>
                                    <a:gd name="T94" fmla="*/ 0 w 48"/>
                                    <a:gd name="T95" fmla="*/ 128 h 189"/>
                                    <a:gd name="T96" fmla="*/ 1 w 48"/>
                                    <a:gd name="T97" fmla="*/ 130 h 189"/>
                                    <a:gd name="T98" fmla="*/ 21 w 48"/>
                                    <a:gd name="T99" fmla="*/ 150 h 189"/>
                                    <a:gd name="T100" fmla="*/ 21 w 48"/>
                                    <a:gd name="T101" fmla="*/ 185 h 189"/>
                                    <a:gd name="T102" fmla="*/ 24 w 48"/>
                                    <a:gd name="T103" fmla="*/ 189 h 189"/>
                                    <a:gd name="T104" fmla="*/ 28 w 48"/>
                                    <a:gd name="T105" fmla="*/ 185 h 189"/>
                                    <a:gd name="T106" fmla="*/ 28 w 48"/>
                                    <a:gd name="T107" fmla="*/ 150 h 189"/>
                                    <a:gd name="T108" fmla="*/ 47 w 48"/>
                                    <a:gd name="T109" fmla="*/ 130 h 189"/>
                                    <a:gd name="T110" fmla="*/ 48 w 48"/>
                                    <a:gd name="T111" fmla="*/ 128 h 189"/>
                                    <a:gd name="T112" fmla="*/ 48 w 48"/>
                                    <a:gd name="T113" fmla="*/ 4 h 189"/>
                                    <a:gd name="T114" fmla="*/ 45 w 48"/>
                                    <a:gd name="T115"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 h="189">
                                      <a:moveTo>
                                        <a:pt x="28" y="119"/>
                                      </a:moveTo>
                                      <a:cubicBezTo>
                                        <a:pt x="41" y="105"/>
                                        <a:pt x="41" y="105"/>
                                        <a:pt x="41" y="105"/>
                                      </a:cubicBezTo>
                                      <a:cubicBezTo>
                                        <a:pt x="41" y="126"/>
                                        <a:pt x="41" y="126"/>
                                        <a:pt x="41" y="126"/>
                                      </a:cubicBezTo>
                                      <a:cubicBezTo>
                                        <a:pt x="28" y="140"/>
                                        <a:pt x="28" y="140"/>
                                        <a:pt x="28" y="140"/>
                                      </a:cubicBezTo>
                                      <a:lnTo>
                                        <a:pt x="28" y="119"/>
                                      </a:lnTo>
                                      <a:close/>
                                      <a:moveTo>
                                        <a:pt x="7" y="105"/>
                                      </a:moveTo>
                                      <a:cubicBezTo>
                                        <a:pt x="21" y="119"/>
                                        <a:pt x="21" y="119"/>
                                        <a:pt x="21" y="119"/>
                                      </a:cubicBezTo>
                                      <a:cubicBezTo>
                                        <a:pt x="21" y="140"/>
                                        <a:pt x="21" y="140"/>
                                        <a:pt x="21" y="140"/>
                                      </a:cubicBezTo>
                                      <a:cubicBezTo>
                                        <a:pt x="7" y="126"/>
                                        <a:pt x="7" y="126"/>
                                        <a:pt x="7" y="126"/>
                                      </a:cubicBezTo>
                                      <a:lnTo>
                                        <a:pt x="7" y="105"/>
                                      </a:lnTo>
                                      <a:close/>
                                      <a:moveTo>
                                        <a:pt x="21" y="77"/>
                                      </a:moveTo>
                                      <a:cubicBezTo>
                                        <a:pt x="7" y="63"/>
                                        <a:pt x="7" y="63"/>
                                        <a:pt x="7" y="63"/>
                                      </a:cubicBezTo>
                                      <a:cubicBezTo>
                                        <a:pt x="7" y="42"/>
                                        <a:pt x="7" y="42"/>
                                        <a:pt x="7" y="42"/>
                                      </a:cubicBezTo>
                                      <a:cubicBezTo>
                                        <a:pt x="21" y="56"/>
                                        <a:pt x="21" y="56"/>
                                        <a:pt x="21" y="56"/>
                                      </a:cubicBezTo>
                                      <a:lnTo>
                                        <a:pt x="21" y="77"/>
                                      </a:lnTo>
                                      <a:close/>
                                      <a:moveTo>
                                        <a:pt x="41" y="63"/>
                                      </a:moveTo>
                                      <a:cubicBezTo>
                                        <a:pt x="28" y="77"/>
                                        <a:pt x="28" y="77"/>
                                        <a:pt x="28" y="77"/>
                                      </a:cubicBezTo>
                                      <a:cubicBezTo>
                                        <a:pt x="28" y="56"/>
                                        <a:pt x="28" y="56"/>
                                        <a:pt x="28" y="56"/>
                                      </a:cubicBezTo>
                                      <a:cubicBezTo>
                                        <a:pt x="41" y="42"/>
                                        <a:pt x="41" y="42"/>
                                        <a:pt x="41" y="42"/>
                                      </a:cubicBezTo>
                                      <a:lnTo>
                                        <a:pt x="41" y="63"/>
                                      </a:lnTo>
                                      <a:close/>
                                      <a:moveTo>
                                        <a:pt x="41" y="95"/>
                                      </a:moveTo>
                                      <a:cubicBezTo>
                                        <a:pt x="28" y="109"/>
                                        <a:pt x="28" y="109"/>
                                        <a:pt x="28" y="109"/>
                                      </a:cubicBezTo>
                                      <a:cubicBezTo>
                                        <a:pt x="28" y="104"/>
                                        <a:pt x="28" y="104"/>
                                        <a:pt x="28" y="104"/>
                                      </a:cubicBezTo>
                                      <a:cubicBezTo>
                                        <a:pt x="28" y="103"/>
                                        <a:pt x="26" y="101"/>
                                        <a:pt x="24" y="101"/>
                                      </a:cubicBezTo>
                                      <a:cubicBezTo>
                                        <a:pt x="22" y="101"/>
                                        <a:pt x="21" y="103"/>
                                        <a:pt x="21" y="104"/>
                                      </a:cubicBezTo>
                                      <a:cubicBezTo>
                                        <a:pt x="21" y="109"/>
                                        <a:pt x="21" y="109"/>
                                        <a:pt x="21" y="109"/>
                                      </a:cubicBezTo>
                                      <a:cubicBezTo>
                                        <a:pt x="7" y="95"/>
                                        <a:pt x="7" y="95"/>
                                        <a:pt x="7" y="95"/>
                                      </a:cubicBezTo>
                                      <a:cubicBezTo>
                                        <a:pt x="7" y="73"/>
                                        <a:pt x="7" y="73"/>
                                        <a:pt x="7" y="73"/>
                                      </a:cubicBezTo>
                                      <a:cubicBezTo>
                                        <a:pt x="21" y="87"/>
                                        <a:pt x="21" y="87"/>
                                        <a:pt x="21" y="87"/>
                                      </a:cubicBezTo>
                                      <a:cubicBezTo>
                                        <a:pt x="21" y="107"/>
                                        <a:pt x="21" y="107"/>
                                        <a:pt x="21" y="107"/>
                                      </a:cubicBezTo>
                                      <a:cubicBezTo>
                                        <a:pt x="21" y="109"/>
                                        <a:pt x="22" y="110"/>
                                        <a:pt x="24" y="110"/>
                                      </a:cubicBezTo>
                                      <a:cubicBezTo>
                                        <a:pt x="26" y="110"/>
                                        <a:pt x="28" y="109"/>
                                        <a:pt x="28" y="107"/>
                                      </a:cubicBezTo>
                                      <a:cubicBezTo>
                                        <a:pt x="28" y="87"/>
                                        <a:pt x="28" y="87"/>
                                        <a:pt x="28" y="87"/>
                                      </a:cubicBezTo>
                                      <a:cubicBezTo>
                                        <a:pt x="41" y="73"/>
                                        <a:pt x="41" y="73"/>
                                        <a:pt x="41" y="73"/>
                                      </a:cubicBezTo>
                                      <a:lnTo>
                                        <a:pt x="41" y="95"/>
                                      </a:lnTo>
                                      <a:close/>
                                      <a:moveTo>
                                        <a:pt x="45" y="0"/>
                                      </a:moveTo>
                                      <a:cubicBezTo>
                                        <a:pt x="43" y="0"/>
                                        <a:pt x="41" y="2"/>
                                        <a:pt x="41" y="4"/>
                                      </a:cubicBezTo>
                                      <a:cubicBezTo>
                                        <a:pt x="41" y="32"/>
                                        <a:pt x="41" y="32"/>
                                        <a:pt x="41" y="32"/>
                                      </a:cubicBezTo>
                                      <a:cubicBezTo>
                                        <a:pt x="28" y="46"/>
                                        <a:pt x="28" y="46"/>
                                        <a:pt x="28" y="46"/>
                                      </a:cubicBezTo>
                                      <a:cubicBezTo>
                                        <a:pt x="28" y="4"/>
                                        <a:pt x="28" y="4"/>
                                        <a:pt x="28" y="4"/>
                                      </a:cubicBezTo>
                                      <a:cubicBezTo>
                                        <a:pt x="28" y="2"/>
                                        <a:pt x="26" y="0"/>
                                        <a:pt x="24" y="0"/>
                                      </a:cubicBezTo>
                                      <a:cubicBezTo>
                                        <a:pt x="22" y="0"/>
                                        <a:pt x="21" y="2"/>
                                        <a:pt x="21" y="4"/>
                                      </a:cubicBezTo>
                                      <a:cubicBezTo>
                                        <a:pt x="21" y="46"/>
                                        <a:pt x="21" y="46"/>
                                        <a:pt x="21" y="46"/>
                                      </a:cubicBezTo>
                                      <a:cubicBezTo>
                                        <a:pt x="7" y="32"/>
                                        <a:pt x="7" y="32"/>
                                        <a:pt x="7" y="32"/>
                                      </a:cubicBezTo>
                                      <a:cubicBezTo>
                                        <a:pt x="7" y="4"/>
                                        <a:pt x="7" y="4"/>
                                        <a:pt x="7" y="4"/>
                                      </a:cubicBezTo>
                                      <a:cubicBezTo>
                                        <a:pt x="7" y="2"/>
                                        <a:pt x="6" y="0"/>
                                        <a:pt x="4" y="0"/>
                                      </a:cubicBezTo>
                                      <a:cubicBezTo>
                                        <a:pt x="2" y="0"/>
                                        <a:pt x="0" y="2"/>
                                        <a:pt x="0" y="4"/>
                                      </a:cubicBezTo>
                                      <a:cubicBezTo>
                                        <a:pt x="0" y="128"/>
                                        <a:pt x="0" y="128"/>
                                        <a:pt x="0" y="128"/>
                                      </a:cubicBezTo>
                                      <a:cubicBezTo>
                                        <a:pt x="0" y="129"/>
                                        <a:pt x="0" y="130"/>
                                        <a:pt x="1" y="130"/>
                                      </a:cubicBezTo>
                                      <a:cubicBezTo>
                                        <a:pt x="21" y="150"/>
                                        <a:pt x="21" y="150"/>
                                        <a:pt x="21" y="150"/>
                                      </a:cubicBezTo>
                                      <a:cubicBezTo>
                                        <a:pt x="21" y="185"/>
                                        <a:pt x="21" y="185"/>
                                        <a:pt x="21" y="185"/>
                                      </a:cubicBezTo>
                                      <a:cubicBezTo>
                                        <a:pt x="21" y="187"/>
                                        <a:pt x="22" y="189"/>
                                        <a:pt x="24" y="189"/>
                                      </a:cubicBezTo>
                                      <a:cubicBezTo>
                                        <a:pt x="26" y="189"/>
                                        <a:pt x="28" y="187"/>
                                        <a:pt x="28" y="185"/>
                                      </a:cubicBezTo>
                                      <a:cubicBezTo>
                                        <a:pt x="28" y="150"/>
                                        <a:pt x="28" y="150"/>
                                        <a:pt x="28" y="150"/>
                                      </a:cubicBezTo>
                                      <a:cubicBezTo>
                                        <a:pt x="47" y="130"/>
                                        <a:pt x="47" y="130"/>
                                        <a:pt x="47" y="130"/>
                                      </a:cubicBezTo>
                                      <a:cubicBezTo>
                                        <a:pt x="48" y="130"/>
                                        <a:pt x="48" y="129"/>
                                        <a:pt x="48" y="128"/>
                                      </a:cubicBezTo>
                                      <a:cubicBezTo>
                                        <a:pt x="48" y="4"/>
                                        <a:pt x="48" y="4"/>
                                        <a:pt x="48" y="4"/>
                                      </a:cubicBezTo>
                                      <a:cubicBezTo>
                                        <a:pt x="48" y="2"/>
                                        <a:pt x="47" y="0"/>
                                        <a:pt x="45"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9" name="Freeform 52"/>
                              <wps:cNvSpPr>
                                <a:spLocks noEditPoints="1"/>
                              </wps:cNvSpPr>
                              <wps:spPr bwMode="auto">
                                <a:xfrm>
                                  <a:off x="122211" y="117847"/>
                                  <a:ext cx="60960" cy="236220"/>
                                </a:xfrm>
                                <a:custGeom>
                                  <a:avLst/>
                                  <a:gdLst>
                                    <a:gd name="T0" fmla="*/ 21 w 49"/>
                                    <a:gd name="T1" fmla="*/ 77 h 189"/>
                                    <a:gd name="T2" fmla="*/ 8 w 49"/>
                                    <a:gd name="T3" fmla="*/ 63 h 189"/>
                                    <a:gd name="T4" fmla="*/ 8 w 49"/>
                                    <a:gd name="T5" fmla="*/ 42 h 189"/>
                                    <a:gd name="T6" fmla="*/ 21 w 49"/>
                                    <a:gd name="T7" fmla="*/ 56 h 189"/>
                                    <a:gd name="T8" fmla="*/ 21 w 49"/>
                                    <a:gd name="T9" fmla="*/ 77 h 189"/>
                                    <a:gd name="T10" fmla="*/ 41 w 49"/>
                                    <a:gd name="T11" fmla="*/ 63 h 189"/>
                                    <a:gd name="T12" fmla="*/ 28 w 49"/>
                                    <a:gd name="T13" fmla="*/ 77 h 189"/>
                                    <a:gd name="T14" fmla="*/ 28 w 49"/>
                                    <a:gd name="T15" fmla="*/ 56 h 189"/>
                                    <a:gd name="T16" fmla="*/ 41 w 49"/>
                                    <a:gd name="T17" fmla="*/ 42 h 189"/>
                                    <a:gd name="T18" fmla="*/ 8 w 49"/>
                                    <a:gd name="T19" fmla="*/ 73 h 189"/>
                                    <a:gd name="T20" fmla="*/ 21 w 49"/>
                                    <a:gd name="T21" fmla="*/ 87 h 189"/>
                                    <a:gd name="T22" fmla="*/ 21 w 49"/>
                                    <a:gd name="T23" fmla="*/ 109 h 189"/>
                                    <a:gd name="T24" fmla="*/ 8 w 49"/>
                                    <a:gd name="T25" fmla="*/ 95 h 189"/>
                                    <a:gd name="T26" fmla="*/ 41 w 49"/>
                                    <a:gd name="T27" fmla="*/ 95 h 189"/>
                                    <a:gd name="T28" fmla="*/ 28 w 49"/>
                                    <a:gd name="T29" fmla="*/ 109 h 189"/>
                                    <a:gd name="T30" fmla="*/ 28 w 49"/>
                                    <a:gd name="T31" fmla="*/ 87 h 189"/>
                                    <a:gd name="T32" fmla="*/ 41 w 49"/>
                                    <a:gd name="T33" fmla="*/ 73 h 189"/>
                                    <a:gd name="T34" fmla="*/ 41 w 49"/>
                                    <a:gd name="T35" fmla="*/ 95 h 189"/>
                                    <a:gd name="T36" fmla="*/ 25 w 49"/>
                                    <a:gd name="T37" fmla="*/ 132 h 189"/>
                                    <a:gd name="T38" fmla="*/ 21 w 49"/>
                                    <a:gd name="T39" fmla="*/ 136 h 189"/>
                                    <a:gd name="T40" fmla="*/ 21 w 49"/>
                                    <a:gd name="T41" fmla="*/ 140 h 189"/>
                                    <a:gd name="T42" fmla="*/ 8 w 49"/>
                                    <a:gd name="T43" fmla="*/ 126 h 189"/>
                                    <a:gd name="T44" fmla="*/ 8 w 49"/>
                                    <a:gd name="T45" fmla="*/ 105 h 189"/>
                                    <a:gd name="T46" fmla="*/ 21 w 49"/>
                                    <a:gd name="T47" fmla="*/ 119 h 189"/>
                                    <a:gd name="T48" fmla="*/ 21 w 49"/>
                                    <a:gd name="T49" fmla="*/ 137 h 189"/>
                                    <a:gd name="T50" fmla="*/ 25 w 49"/>
                                    <a:gd name="T51" fmla="*/ 141 h 189"/>
                                    <a:gd name="T52" fmla="*/ 28 w 49"/>
                                    <a:gd name="T53" fmla="*/ 137 h 189"/>
                                    <a:gd name="T54" fmla="*/ 28 w 49"/>
                                    <a:gd name="T55" fmla="*/ 119 h 189"/>
                                    <a:gd name="T56" fmla="*/ 41 w 49"/>
                                    <a:gd name="T57" fmla="*/ 105 h 189"/>
                                    <a:gd name="T58" fmla="*/ 41 w 49"/>
                                    <a:gd name="T59" fmla="*/ 126 h 189"/>
                                    <a:gd name="T60" fmla="*/ 28 w 49"/>
                                    <a:gd name="T61" fmla="*/ 140 h 189"/>
                                    <a:gd name="T62" fmla="*/ 28 w 49"/>
                                    <a:gd name="T63" fmla="*/ 136 h 189"/>
                                    <a:gd name="T64" fmla="*/ 25 w 49"/>
                                    <a:gd name="T65" fmla="*/ 132 h 189"/>
                                    <a:gd name="T66" fmla="*/ 45 w 49"/>
                                    <a:gd name="T67" fmla="*/ 0 h 189"/>
                                    <a:gd name="T68" fmla="*/ 41 w 49"/>
                                    <a:gd name="T69" fmla="*/ 4 h 189"/>
                                    <a:gd name="T70" fmla="*/ 41 w 49"/>
                                    <a:gd name="T71" fmla="*/ 32 h 189"/>
                                    <a:gd name="T72" fmla="*/ 28 w 49"/>
                                    <a:gd name="T73" fmla="*/ 46 h 189"/>
                                    <a:gd name="T74" fmla="*/ 28 w 49"/>
                                    <a:gd name="T75" fmla="*/ 4 h 189"/>
                                    <a:gd name="T76" fmla="*/ 25 w 49"/>
                                    <a:gd name="T77" fmla="*/ 0 h 189"/>
                                    <a:gd name="T78" fmla="*/ 21 w 49"/>
                                    <a:gd name="T79" fmla="*/ 4 h 189"/>
                                    <a:gd name="T80" fmla="*/ 21 w 49"/>
                                    <a:gd name="T81" fmla="*/ 46 h 189"/>
                                    <a:gd name="T82" fmla="*/ 8 w 49"/>
                                    <a:gd name="T83" fmla="*/ 32 h 189"/>
                                    <a:gd name="T84" fmla="*/ 8 w 49"/>
                                    <a:gd name="T85" fmla="*/ 4 h 189"/>
                                    <a:gd name="T86" fmla="*/ 4 w 49"/>
                                    <a:gd name="T87" fmla="*/ 0 h 189"/>
                                    <a:gd name="T88" fmla="*/ 0 w 49"/>
                                    <a:gd name="T89" fmla="*/ 4 h 189"/>
                                    <a:gd name="T90" fmla="*/ 0 w 49"/>
                                    <a:gd name="T91" fmla="*/ 128 h 189"/>
                                    <a:gd name="T92" fmla="*/ 1 w 49"/>
                                    <a:gd name="T93" fmla="*/ 130 h 189"/>
                                    <a:gd name="T94" fmla="*/ 21 w 49"/>
                                    <a:gd name="T95" fmla="*/ 150 h 189"/>
                                    <a:gd name="T96" fmla="*/ 21 w 49"/>
                                    <a:gd name="T97" fmla="*/ 185 h 189"/>
                                    <a:gd name="T98" fmla="*/ 25 w 49"/>
                                    <a:gd name="T99" fmla="*/ 189 h 189"/>
                                    <a:gd name="T100" fmla="*/ 28 w 49"/>
                                    <a:gd name="T101" fmla="*/ 185 h 189"/>
                                    <a:gd name="T102" fmla="*/ 28 w 49"/>
                                    <a:gd name="T103" fmla="*/ 150 h 189"/>
                                    <a:gd name="T104" fmla="*/ 48 w 49"/>
                                    <a:gd name="T105" fmla="*/ 130 h 189"/>
                                    <a:gd name="T106" fmla="*/ 49 w 49"/>
                                    <a:gd name="T107" fmla="*/ 128 h 189"/>
                                    <a:gd name="T108" fmla="*/ 49 w 49"/>
                                    <a:gd name="T109" fmla="*/ 4 h 189"/>
                                    <a:gd name="T110" fmla="*/ 45 w 49"/>
                                    <a:gd name="T111" fmla="*/ 0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9" h="189">
                                      <a:moveTo>
                                        <a:pt x="21" y="77"/>
                                      </a:moveTo>
                                      <a:cubicBezTo>
                                        <a:pt x="8" y="63"/>
                                        <a:pt x="8" y="63"/>
                                        <a:pt x="8" y="63"/>
                                      </a:cubicBezTo>
                                      <a:cubicBezTo>
                                        <a:pt x="8" y="42"/>
                                        <a:pt x="8" y="42"/>
                                        <a:pt x="8" y="42"/>
                                      </a:cubicBezTo>
                                      <a:cubicBezTo>
                                        <a:pt x="21" y="56"/>
                                        <a:pt x="21" y="56"/>
                                        <a:pt x="21" y="56"/>
                                      </a:cubicBezTo>
                                      <a:lnTo>
                                        <a:pt x="21" y="77"/>
                                      </a:lnTo>
                                      <a:close/>
                                      <a:moveTo>
                                        <a:pt x="41" y="63"/>
                                      </a:moveTo>
                                      <a:cubicBezTo>
                                        <a:pt x="28" y="77"/>
                                        <a:pt x="28" y="77"/>
                                        <a:pt x="28" y="77"/>
                                      </a:cubicBezTo>
                                      <a:cubicBezTo>
                                        <a:pt x="28" y="56"/>
                                        <a:pt x="28" y="56"/>
                                        <a:pt x="28" y="56"/>
                                      </a:cubicBezTo>
                                      <a:cubicBezTo>
                                        <a:pt x="41" y="42"/>
                                        <a:pt x="41" y="42"/>
                                        <a:pt x="41" y="42"/>
                                      </a:cubicBezTo>
                                      <a:moveTo>
                                        <a:pt x="8" y="73"/>
                                      </a:moveTo>
                                      <a:cubicBezTo>
                                        <a:pt x="21" y="87"/>
                                        <a:pt x="21" y="87"/>
                                        <a:pt x="21" y="87"/>
                                      </a:cubicBezTo>
                                      <a:cubicBezTo>
                                        <a:pt x="21" y="109"/>
                                        <a:pt x="21" y="109"/>
                                        <a:pt x="21" y="109"/>
                                      </a:cubicBezTo>
                                      <a:cubicBezTo>
                                        <a:pt x="8" y="95"/>
                                        <a:pt x="8" y="95"/>
                                        <a:pt x="8" y="95"/>
                                      </a:cubicBezTo>
                                      <a:moveTo>
                                        <a:pt x="41" y="95"/>
                                      </a:moveTo>
                                      <a:cubicBezTo>
                                        <a:pt x="28" y="109"/>
                                        <a:pt x="28" y="109"/>
                                        <a:pt x="28" y="109"/>
                                      </a:cubicBezTo>
                                      <a:cubicBezTo>
                                        <a:pt x="28" y="87"/>
                                        <a:pt x="28" y="87"/>
                                        <a:pt x="28" y="87"/>
                                      </a:cubicBezTo>
                                      <a:cubicBezTo>
                                        <a:pt x="41" y="73"/>
                                        <a:pt x="41" y="73"/>
                                        <a:pt x="41" y="73"/>
                                      </a:cubicBezTo>
                                      <a:lnTo>
                                        <a:pt x="41" y="95"/>
                                      </a:lnTo>
                                      <a:close/>
                                      <a:moveTo>
                                        <a:pt x="25" y="132"/>
                                      </a:moveTo>
                                      <a:cubicBezTo>
                                        <a:pt x="23" y="132"/>
                                        <a:pt x="21" y="134"/>
                                        <a:pt x="21" y="136"/>
                                      </a:cubicBezTo>
                                      <a:cubicBezTo>
                                        <a:pt x="21" y="140"/>
                                        <a:pt x="21" y="140"/>
                                        <a:pt x="21" y="140"/>
                                      </a:cubicBezTo>
                                      <a:cubicBezTo>
                                        <a:pt x="8" y="126"/>
                                        <a:pt x="8" y="126"/>
                                        <a:pt x="8" y="126"/>
                                      </a:cubicBezTo>
                                      <a:cubicBezTo>
                                        <a:pt x="8" y="105"/>
                                        <a:pt x="8" y="105"/>
                                        <a:pt x="8" y="105"/>
                                      </a:cubicBezTo>
                                      <a:cubicBezTo>
                                        <a:pt x="21" y="119"/>
                                        <a:pt x="21" y="119"/>
                                        <a:pt x="21" y="119"/>
                                      </a:cubicBezTo>
                                      <a:cubicBezTo>
                                        <a:pt x="21" y="137"/>
                                        <a:pt x="21" y="137"/>
                                        <a:pt x="21" y="137"/>
                                      </a:cubicBezTo>
                                      <a:cubicBezTo>
                                        <a:pt x="21" y="139"/>
                                        <a:pt x="23" y="141"/>
                                        <a:pt x="25" y="141"/>
                                      </a:cubicBezTo>
                                      <a:cubicBezTo>
                                        <a:pt x="26" y="141"/>
                                        <a:pt x="28" y="139"/>
                                        <a:pt x="28" y="137"/>
                                      </a:cubicBezTo>
                                      <a:cubicBezTo>
                                        <a:pt x="28" y="119"/>
                                        <a:pt x="28" y="119"/>
                                        <a:pt x="28" y="119"/>
                                      </a:cubicBezTo>
                                      <a:cubicBezTo>
                                        <a:pt x="41" y="105"/>
                                        <a:pt x="41" y="105"/>
                                        <a:pt x="41" y="105"/>
                                      </a:cubicBezTo>
                                      <a:cubicBezTo>
                                        <a:pt x="41" y="126"/>
                                        <a:pt x="41" y="126"/>
                                        <a:pt x="41" y="126"/>
                                      </a:cubicBezTo>
                                      <a:cubicBezTo>
                                        <a:pt x="28" y="140"/>
                                        <a:pt x="28" y="140"/>
                                        <a:pt x="28" y="140"/>
                                      </a:cubicBezTo>
                                      <a:cubicBezTo>
                                        <a:pt x="28" y="136"/>
                                        <a:pt x="28" y="136"/>
                                        <a:pt x="28" y="136"/>
                                      </a:cubicBezTo>
                                      <a:cubicBezTo>
                                        <a:pt x="28" y="134"/>
                                        <a:pt x="26" y="132"/>
                                        <a:pt x="25" y="132"/>
                                      </a:cubicBezTo>
                                      <a:moveTo>
                                        <a:pt x="45" y="0"/>
                                      </a:moveTo>
                                      <a:cubicBezTo>
                                        <a:pt x="43" y="0"/>
                                        <a:pt x="41" y="2"/>
                                        <a:pt x="41" y="4"/>
                                      </a:cubicBezTo>
                                      <a:cubicBezTo>
                                        <a:pt x="41" y="32"/>
                                        <a:pt x="41" y="32"/>
                                        <a:pt x="41" y="32"/>
                                      </a:cubicBezTo>
                                      <a:cubicBezTo>
                                        <a:pt x="28" y="46"/>
                                        <a:pt x="28" y="46"/>
                                        <a:pt x="28" y="46"/>
                                      </a:cubicBezTo>
                                      <a:cubicBezTo>
                                        <a:pt x="28" y="4"/>
                                        <a:pt x="28" y="4"/>
                                        <a:pt x="28" y="4"/>
                                      </a:cubicBezTo>
                                      <a:cubicBezTo>
                                        <a:pt x="28" y="2"/>
                                        <a:pt x="26" y="0"/>
                                        <a:pt x="25" y="0"/>
                                      </a:cubicBezTo>
                                      <a:cubicBezTo>
                                        <a:pt x="23" y="0"/>
                                        <a:pt x="21" y="2"/>
                                        <a:pt x="21" y="4"/>
                                      </a:cubicBezTo>
                                      <a:cubicBezTo>
                                        <a:pt x="21" y="46"/>
                                        <a:pt x="21" y="46"/>
                                        <a:pt x="21" y="46"/>
                                      </a:cubicBezTo>
                                      <a:cubicBezTo>
                                        <a:pt x="8" y="32"/>
                                        <a:pt x="8" y="32"/>
                                        <a:pt x="8" y="32"/>
                                      </a:cubicBezTo>
                                      <a:cubicBezTo>
                                        <a:pt x="8" y="4"/>
                                        <a:pt x="8" y="4"/>
                                        <a:pt x="8" y="4"/>
                                      </a:cubicBezTo>
                                      <a:cubicBezTo>
                                        <a:pt x="8" y="2"/>
                                        <a:pt x="6" y="0"/>
                                        <a:pt x="4" y="0"/>
                                      </a:cubicBezTo>
                                      <a:cubicBezTo>
                                        <a:pt x="2" y="0"/>
                                        <a:pt x="0" y="2"/>
                                        <a:pt x="0" y="4"/>
                                      </a:cubicBezTo>
                                      <a:cubicBezTo>
                                        <a:pt x="0" y="128"/>
                                        <a:pt x="0" y="128"/>
                                        <a:pt x="0" y="128"/>
                                      </a:cubicBezTo>
                                      <a:cubicBezTo>
                                        <a:pt x="0" y="129"/>
                                        <a:pt x="1" y="130"/>
                                        <a:pt x="1" y="130"/>
                                      </a:cubicBezTo>
                                      <a:cubicBezTo>
                                        <a:pt x="21" y="150"/>
                                        <a:pt x="21" y="150"/>
                                        <a:pt x="21" y="150"/>
                                      </a:cubicBezTo>
                                      <a:cubicBezTo>
                                        <a:pt x="21" y="185"/>
                                        <a:pt x="21" y="185"/>
                                        <a:pt x="21" y="185"/>
                                      </a:cubicBezTo>
                                      <a:cubicBezTo>
                                        <a:pt x="21" y="187"/>
                                        <a:pt x="23" y="189"/>
                                        <a:pt x="25" y="189"/>
                                      </a:cubicBezTo>
                                      <a:cubicBezTo>
                                        <a:pt x="26" y="189"/>
                                        <a:pt x="28" y="187"/>
                                        <a:pt x="28" y="185"/>
                                      </a:cubicBezTo>
                                      <a:cubicBezTo>
                                        <a:pt x="28" y="150"/>
                                        <a:pt x="28" y="150"/>
                                        <a:pt x="28" y="150"/>
                                      </a:cubicBezTo>
                                      <a:cubicBezTo>
                                        <a:pt x="48" y="130"/>
                                        <a:pt x="48" y="130"/>
                                        <a:pt x="48" y="130"/>
                                      </a:cubicBezTo>
                                      <a:cubicBezTo>
                                        <a:pt x="48" y="130"/>
                                        <a:pt x="49" y="129"/>
                                        <a:pt x="49" y="128"/>
                                      </a:cubicBezTo>
                                      <a:cubicBezTo>
                                        <a:pt x="49" y="4"/>
                                        <a:pt x="49" y="4"/>
                                        <a:pt x="49" y="4"/>
                                      </a:cubicBezTo>
                                      <a:cubicBezTo>
                                        <a:pt x="49" y="2"/>
                                        <a:pt x="47" y="0"/>
                                        <a:pt x="45"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0" name="Freeform 53"/>
                              <wps:cNvSpPr>
                                <a:spLocks noEditPoints="1"/>
                              </wps:cNvSpPr>
                              <wps:spPr bwMode="auto">
                                <a:xfrm>
                                  <a:off x="192046" y="78565"/>
                                  <a:ext cx="59690" cy="276225"/>
                                </a:xfrm>
                                <a:custGeom>
                                  <a:avLst/>
                                  <a:gdLst>
                                    <a:gd name="T0" fmla="*/ 27 w 48"/>
                                    <a:gd name="T1" fmla="*/ 119 h 221"/>
                                    <a:gd name="T2" fmla="*/ 41 w 48"/>
                                    <a:gd name="T3" fmla="*/ 105 h 221"/>
                                    <a:gd name="T4" fmla="*/ 41 w 48"/>
                                    <a:gd name="T5" fmla="*/ 126 h 221"/>
                                    <a:gd name="T6" fmla="*/ 27 w 48"/>
                                    <a:gd name="T7" fmla="*/ 140 h 221"/>
                                    <a:gd name="T8" fmla="*/ 27 w 48"/>
                                    <a:gd name="T9" fmla="*/ 119 h 221"/>
                                    <a:gd name="T10" fmla="*/ 7 w 48"/>
                                    <a:gd name="T11" fmla="*/ 105 h 221"/>
                                    <a:gd name="T12" fmla="*/ 20 w 48"/>
                                    <a:gd name="T13" fmla="*/ 119 h 221"/>
                                    <a:gd name="T14" fmla="*/ 20 w 48"/>
                                    <a:gd name="T15" fmla="*/ 140 h 221"/>
                                    <a:gd name="T16" fmla="*/ 7 w 48"/>
                                    <a:gd name="T17" fmla="*/ 126 h 221"/>
                                    <a:gd name="T18" fmla="*/ 7 w 48"/>
                                    <a:gd name="T19" fmla="*/ 105 h 221"/>
                                    <a:gd name="T20" fmla="*/ 7 w 48"/>
                                    <a:gd name="T21" fmla="*/ 73 h 221"/>
                                    <a:gd name="T22" fmla="*/ 20 w 48"/>
                                    <a:gd name="T23" fmla="*/ 87 h 221"/>
                                    <a:gd name="T24" fmla="*/ 20 w 48"/>
                                    <a:gd name="T25" fmla="*/ 109 h 221"/>
                                    <a:gd name="T26" fmla="*/ 7 w 48"/>
                                    <a:gd name="T27" fmla="*/ 95 h 221"/>
                                    <a:gd name="T28" fmla="*/ 7 w 48"/>
                                    <a:gd name="T29" fmla="*/ 73 h 221"/>
                                    <a:gd name="T30" fmla="*/ 41 w 48"/>
                                    <a:gd name="T31" fmla="*/ 95 h 221"/>
                                    <a:gd name="T32" fmla="*/ 27 w 48"/>
                                    <a:gd name="T33" fmla="*/ 109 h 221"/>
                                    <a:gd name="T34" fmla="*/ 27 w 48"/>
                                    <a:gd name="T35" fmla="*/ 87 h 221"/>
                                    <a:gd name="T36" fmla="*/ 41 w 48"/>
                                    <a:gd name="T37" fmla="*/ 73 h 221"/>
                                    <a:gd name="T38" fmla="*/ 41 w 48"/>
                                    <a:gd name="T39" fmla="*/ 95 h 221"/>
                                    <a:gd name="T40" fmla="*/ 24 w 48"/>
                                    <a:gd name="T41" fmla="*/ 77 h 221"/>
                                    <a:gd name="T42" fmla="*/ 27 w 48"/>
                                    <a:gd name="T43" fmla="*/ 73 h 221"/>
                                    <a:gd name="T44" fmla="*/ 27 w 48"/>
                                    <a:gd name="T45" fmla="*/ 56 h 221"/>
                                    <a:gd name="T46" fmla="*/ 41 w 48"/>
                                    <a:gd name="T47" fmla="*/ 42 h 221"/>
                                    <a:gd name="T48" fmla="*/ 41 w 48"/>
                                    <a:gd name="T49" fmla="*/ 63 h 221"/>
                                    <a:gd name="T50" fmla="*/ 27 w 48"/>
                                    <a:gd name="T51" fmla="*/ 77 h 221"/>
                                    <a:gd name="T52" fmla="*/ 27 w 48"/>
                                    <a:gd name="T53" fmla="*/ 73 h 221"/>
                                    <a:gd name="T54" fmla="*/ 24 w 48"/>
                                    <a:gd name="T55" fmla="*/ 69 h 221"/>
                                    <a:gd name="T56" fmla="*/ 20 w 48"/>
                                    <a:gd name="T57" fmla="*/ 73 h 221"/>
                                    <a:gd name="T58" fmla="*/ 20 w 48"/>
                                    <a:gd name="T59" fmla="*/ 77 h 221"/>
                                    <a:gd name="T60" fmla="*/ 7 w 48"/>
                                    <a:gd name="T61" fmla="*/ 63 h 221"/>
                                    <a:gd name="T62" fmla="*/ 7 w 48"/>
                                    <a:gd name="T63" fmla="*/ 42 h 221"/>
                                    <a:gd name="T64" fmla="*/ 20 w 48"/>
                                    <a:gd name="T65" fmla="*/ 56 h 221"/>
                                    <a:gd name="T66" fmla="*/ 20 w 48"/>
                                    <a:gd name="T67" fmla="*/ 73 h 221"/>
                                    <a:gd name="T68" fmla="*/ 24 w 48"/>
                                    <a:gd name="T69" fmla="*/ 77 h 221"/>
                                    <a:gd name="T70" fmla="*/ 44 w 48"/>
                                    <a:gd name="T71" fmla="*/ 0 h 221"/>
                                    <a:gd name="T72" fmla="*/ 41 w 48"/>
                                    <a:gd name="T73" fmla="*/ 4 h 221"/>
                                    <a:gd name="T74" fmla="*/ 41 w 48"/>
                                    <a:gd name="T75" fmla="*/ 32 h 221"/>
                                    <a:gd name="T76" fmla="*/ 27 w 48"/>
                                    <a:gd name="T77" fmla="*/ 45 h 221"/>
                                    <a:gd name="T78" fmla="*/ 27 w 48"/>
                                    <a:gd name="T79" fmla="*/ 4 h 221"/>
                                    <a:gd name="T80" fmla="*/ 24 w 48"/>
                                    <a:gd name="T81" fmla="*/ 0 h 221"/>
                                    <a:gd name="T82" fmla="*/ 20 w 48"/>
                                    <a:gd name="T83" fmla="*/ 4 h 221"/>
                                    <a:gd name="T84" fmla="*/ 20 w 48"/>
                                    <a:gd name="T85" fmla="*/ 45 h 221"/>
                                    <a:gd name="T86" fmla="*/ 7 w 48"/>
                                    <a:gd name="T87" fmla="*/ 32 h 221"/>
                                    <a:gd name="T88" fmla="*/ 7 w 48"/>
                                    <a:gd name="T89" fmla="*/ 4 h 221"/>
                                    <a:gd name="T90" fmla="*/ 3 w 48"/>
                                    <a:gd name="T91" fmla="*/ 0 h 221"/>
                                    <a:gd name="T92" fmla="*/ 0 w 48"/>
                                    <a:gd name="T93" fmla="*/ 4 h 221"/>
                                    <a:gd name="T94" fmla="*/ 0 w 48"/>
                                    <a:gd name="T95" fmla="*/ 128 h 221"/>
                                    <a:gd name="T96" fmla="*/ 1 w 48"/>
                                    <a:gd name="T97" fmla="*/ 130 h 221"/>
                                    <a:gd name="T98" fmla="*/ 20 w 48"/>
                                    <a:gd name="T99" fmla="*/ 150 h 221"/>
                                    <a:gd name="T100" fmla="*/ 20 w 48"/>
                                    <a:gd name="T101" fmla="*/ 217 h 221"/>
                                    <a:gd name="T102" fmla="*/ 24 w 48"/>
                                    <a:gd name="T103" fmla="*/ 221 h 221"/>
                                    <a:gd name="T104" fmla="*/ 27 w 48"/>
                                    <a:gd name="T105" fmla="*/ 217 h 221"/>
                                    <a:gd name="T106" fmla="*/ 27 w 48"/>
                                    <a:gd name="T107" fmla="*/ 150 h 221"/>
                                    <a:gd name="T108" fmla="*/ 47 w 48"/>
                                    <a:gd name="T109" fmla="*/ 130 h 221"/>
                                    <a:gd name="T110" fmla="*/ 48 w 48"/>
                                    <a:gd name="T111" fmla="*/ 128 h 221"/>
                                    <a:gd name="T112" fmla="*/ 48 w 48"/>
                                    <a:gd name="T113" fmla="*/ 4 h 221"/>
                                    <a:gd name="T114" fmla="*/ 44 w 48"/>
                                    <a:gd name="T115" fmla="*/ 0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8" h="221">
                                      <a:moveTo>
                                        <a:pt x="27" y="119"/>
                                      </a:moveTo>
                                      <a:cubicBezTo>
                                        <a:pt x="41" y="105"/>
                                        <a:pt x="41" y="105"/>
                                        <a:pt x="41" y="105"/>
                                      </a:cubicBezTo>
                                      <a:cubicBezTo>
                                        <a:pt x="41" y="126"/>
                                        <a:pt x="41" y="126"/>
                                        <a:pt x="41" y="126"/>
                                      </a:cubicBezTo>
                                      <a:cubicBezTo>
                                        <a:pt x="27" y="140"/>
                                        <a:pt x="27" y="140"/>
                                        <a:pt x="27" y="140"/>
                                      </a:cubicBezTo>
                                      <a:lnTo>
                                        <a:pt x="27" y="119"/>
                                      </a:lnTo>
                                      <a:close/>
                                      <a:moveTo>
                                        <a:pt x="7" y="105"/>
                                      </a:moveTo>
                                      <a:cubicBezTo>
                                        <a:pt x="20" y="119"/>
                                        <a:pt x="20" y="119"/>
                                        <a:pt x="20" y="119"/>
                                      </a:cubicBezTo>
                                      <a:cubicBezTo>
                                        <a:pt x="20" y="140"/>
                                        <a:pt x="20" y="140"/>
                                        <a:pt x="20" y="140"/>
                                      </a:cubicBezTo>
                                      <a:cubicBezTo>
                                        <a:pt x="7" y="126"/>
                                        <a:pt x="7" y="126"/>
                                        <a:pt x="7" y="126"/>
                                      </a:cubicBezTo>
                                      <a:lnTo>
                                        <a:pt x="7" y="105"/>
                                      </a:lnTo>
                                      <a:close/>
                                      <a:moveTo>
                                        <a:pt x="7" y="73"/>
                                      </a:moveTo>
                                      <a:cubicBezTo>
                                        <a:pt x="20" y="87"/>
                                        <a:pt x="20" y="87"/>
                                        <a:pt x="20" y="87"/>
                                      </a:cubicBezTo>
                                      <a:cubicBezTo>
                                        <a:pt x="20" y="109"/>
                                        <a:pt x="20" y="109"/>
                                        <a:pt x="20" y="109"/>
                                      </a:cubicBezTo>
                                      <a:cubicBezTo>
                                        <a:pt x="7" y="95"/>
                                        <a:pt x="7" y="95"/>
                                        <a:pt x="7" y="95"/>
                                      </a:cubicBezTo>
                                      <a:lnTo>
                                        <a:pt x="7" y="73"/>
                                      </a:lnTo>
                                      <a:close/>
                                      <a:moveTo>
                                        <a:pt x="41" y="95"/>
                                      </a:moveTo>
                                      <a:cubicBezTo>
                                        <a:pt x="27" y="109"/>
                                        <a:pt x="27" y="109"/>
                                        <a:pt x="27" y="109"/>
                                      </a:cubicBezTo>
                                      <a:cubicBezTo>
                                        <a:pt x="27" y="87"/>
                                        <a:pt x="27" y="87"/>
                                        <a:pt x="27" y="87"/>
                                      </a:cubicBezTo>
                                      <a:cubicBezTo>
                                        <a:pt x="41" y="73"/>
                                        <a:pt x="41" y="73"/>
                                        <a:pt x="41" y="73"/>
                                      </a:cubicBezTo>
                                      <a:lnTo>
                                        <a:pt x="41" y="95"/>
                                      </a:lnTo>
                                      <a:close/>
                                      <a:moveTo>
                                        <a:pt x="24" y="77"/>
                                      </a:moveTo>
                                      <a:cubicBezTo>
                                        <a:pt x="26" y="77"/>
                                        <a:pt x="27" y="75"/>
                                        <a:pt x="27" y="73"/>
                                      </a:cubicBezTo>
                                      <a:cubicBezTo>
                                        <a:pt x="27" y="56"/>
                                        <a:pt x="27" y="56"/>
                                        <a:pt x="27" y="56"/>
                                      </a:cubicBezTo>
                                      <a:cubicBezTo>
                                        <a:pt x="41" y="42"/>
                                        <a:pt x="41" y="42"/>
                                        <a:pt x="41" y="42"/>
                                      </a:cubicBezTo>
                                      <a:cubicBezTo>
                                        <a:pt x="41" y="63"/>
                                        <a:pt x="41" y="63"/>
                                        <a:pt x="41" y="63"/>
                                      </a:cubicBezTo>
                                      <a:cubicBezTo>
                                        <a:pt x="27" y="77"/>
                                        <a:pt x="27" y="77"/>
                                        <a:pt x="27" y="77"/>
                                      </a:cubicBezTo>
                                      <a:cubicBezTo>
                                        <a:pt x="27" y="73"/>
                                        <a:pt x="27" y="73"/>
                                        <a:pt x="27" y="73"/>
                                      </a:cubicBezTo>
                                      <a:cubicBezTo>
                                        <a:pt x="27" y="71"/>
                                        <a:pt x="26" y="69"/>
                                        <a:pt x="24" y="69"/>
                                      </a:cubicBezTo>
                                      <a:cubicBezTo>
                                        <a:pt x="22" y="69"/>
                                        <a:pt x="20" y="71"/>
                                        <a:pt x="20" y="73"/>
                                      </a:cubicBezTo>
                                      <a:cubicBezTo>
                                        <a:pt x="20" y="77"/>
                                        <a:pt x="20" y="77"/>
                                        <a:pt x="20" y="77"/>
                                      </a:cubicBezTo>
                                      <a:cubicBezTo>
                                        <a:pt x="7" y="63"/>
                                        <a:pt x="7" y="63"/>
                                        <a:pt x="7" y="63"/>
                                      </a:cubicBezTo>
                                      <a:cubicBezTo>
                                        <a:pt x="7" y="42"/>
                                        <a:pt x="7" y="42"/>
                                        <a:pt x="7" y="42"/>
                                      </a:cubicBezTo>
                                      <a:cubicBezTo>
                                        <a:pt x="20" y="56"/>
                                        <a:pt x="20" y="56"/>
                                        <a:pt x="20" y="56"/>
                                      </a:cubicBezTo>
                                      <a:cubicBezTo>
                                        <a:pt x="20" y="73"/>
                                        <a:pt x="20" y="73"/>
                                        <a:pt x="20" y="73"/>
                                      </a:cubicBezTo>
                                      <a:cubicBezTo>
                                        <a:pt x="20" y="75"/>
                                        <a:pt x="22" y="77"/>
                                        <a:pt x="24" y="77"/>
                                      </a:cubicBezTo>
                                      <a:moveTo>
                                        <a:pt x="44" y="0"/>
                                      </a:moveTo>
                                      <a:cubicBezTo>
                                        <a:pt x="42" y="0"/>
                                        <a:pt x="41" y="2"/>
                                        <a:pt x="41" y="4"/>
                                      </a:cubicBezTo>
                                      <a:cubicBezTo>
                                        <a:pt x="41" y="32"/>
                                        <a:pt x="41" y="32"/>
                                        <a:pt x="41" y="32"/>
                                      </a:cubicBezTo>
                                      <a:cubicBezTo>
                                        <a:pt x="27" y="45"/>
                                        <a:pt x="27" y="45"/>
                                        <a:pt x="27" y="45"/>
                                      </a:cubicBezTo>
                                      <a:cubicBezTo>
                                        <a:pt x="27" y="4"/>
                                        <a:pt x="27" y="4"/>
                                        <a:pt x="27" y="4"/>
                                      </a:cubicBezTo>
                                      <a:cubicBezTo>
                                        <a:pt x="27" y="2"/>
                                        <a:pt x="26" y="0"/>
                                        <a:pt x="24" y="0"/>
                                      </a:cubicBezTo>
                                      <a:cubicBezTo>
                                        <a:pt x="22" y="0"/>
                                        <a:pt x="20" y="2"/>
                                        <a:pt x="20" y="4"/>
                                      </a:cubicBezTo>
                                      <a:cubicBezTo>
                                        <a:pt x="20" y="45"/>
                                        <a:pt x="20" y="45"/>
                                        <a:pt x="20" y="45"/>
                                      </a:cubicBezTo>
                                      <a:cubicBezTo>
                                        <a:pt x="7" y="32"/>
                                        <a:pt x="7" y="32"/>
                                        <a:pt x="7" y="32"/>
                                      </a:cubicBezTo>
                                      <a:cubicBezTo>
                                        <a:pt x="7" y="4"/>
                                        <a:pt x="7" y="4"/>
                                        <a:pt x="7" y="4"/>
                                      </a:cubicBezTo>
                                      <a:cubicBezTo>
                                        <a:pt x="7" y="2"/>
                                        <a:pt x="5" y="0"/>
                                        <a:pt x="3" y="0"/>
                                      </a:cubicBezTo>
                                      <a:cubicBezTo>
                                        <a:pt x="1" y="0"/>
                                        <a:pt x="0" y="2"/>
                                        <a:pt x="0" y="4"/>
                                      </a:cubicBezTo>
                                      <a:cubicBezTo>
                                        <a:pt x="0" y="128"/>
                                        <a:pt x="0" y="128"/>
                                        <a:pt x="0" y="128"/>
                                      </a:cubicBezTo>
                                      <a:cubicBezTo>
                                        <a:pt x="0" y="129"/>
                                        <a:pt x="0" y="130"/>
                                        <a:pt x="1" y="130"/>
                                      </a:cubicBezTo>
                                      <a:cubicBezTo>
                                        <a:pt x="20" y="150"/>
                                        <a:pt x="20" y="150"/>
                                        <a:pt x="20" y="150"/>
                                      </a:cubicBezTo>
                                      <a:cubicBezTo>
                                        <a:pt x="20" y="217"/>
                                        <a:pt x="20" y="217"/>
                                        <a:pt x="20" y="217"/>
                                      </a:cubicBezTo>
                                      <a:cubicBezTo>
                                        <a:pt x="20" y="219"/>
                                        <a:pt x="22" y="221"/>
                                        <a:pt x="24" y="221"/>
                                      </a:cubicBezTo>
                                      <a:cubicBezTo>
                                        <a:pt x="26" y="221"/>
                                        <a:pt x="27" y="219"/>
                                        <a:pt x="27" y="217"/>
                                      </a:cubicBezTo>
                                      <a:cubicBezTo>
                                        <a:pt x="27" y="150"/>
                                        <a:pt x="27" y="150"/>
                                        <a:pt x="27" y="150"/>
                                      </a:cubicBezTo>
                                      <a:cubicBezTo>
                                        <a:pt x="47" y="130"/>
                                        <a:pt x="47" y="130"/>
                                        <a:pt x="47" y="130"/>
                                      </a:cubicBezTo>
                                      <a:cubicBezTo>
                                        <a:pt x="47" y="130"/>
                                        <a:pt x="48" y="129"/>
                                        <a:pt x="48" y="128"/>
                                      </a:cubicBezTo>
                                      <a:cubicBezTo>
                                        <a:pt x="48" y="4"/>
                                        <a:pt x="48" y="4"/>
                                        <a:pt x="48" y="4"/>
                                      </a:cubicBezTo>
                                      <a:cubicBezTo>
                                        <a:pt x="48" y="2"/>
                                        <a:pt x="46" y="0"/>
                                        <a:pt x="44" y="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261085" id="Group 14716" o:spid="_x0000_s1026" style="position:absolute;margin-left:0;margin-top:11.35pt;width:36.85pt;height:36.85pt;z-index:251561984;mso-position-horizontal:center;mso-position-vertical-relative:margin;mso-width-relative:margin;mso-height-relative:margin" coordsize="443230,443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">
                      <v:oval id="Oval 47" o:spid="_x0000_s1027" style="position:absolute;width:443230;height:44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" fillcolor="#65bbc8" stroked="f"/>
                      <v:shape id="Freeform 51" o:spid="_x0000_s1028" style="position:absolute;left:261880;top:117847;width:59690;height:236220;visibility:visible;mso-wrap-style:square;v-text-anchor:top" coordsize="4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" path="m28,119c41,105,41,105,41,105v,21,,21,,21c28,140,28,140,28,140r,-21xm7,105v14,14,14,14,14,14c21,140,21,140,21,140,7,126,7,126,7,126r,-21xm21,77c7,63,7,63,7,63,7,42,7,42,7,42,21,56,21,56,21,56r,21xm41,63c28,77,28,77,28,77v,-21,,-21,,-21c41,42,41,42,41,42r,21xm41,95c28,109,28,109,28,109v,-5,,-5,,-5c28,103,26,101,24,101v-2,,-3,2,-3,3c21,109,21,109,21,109,7,95,7,95,7,95,7,73,7,73,7,73,21,87,21,87,21,87v,20,,20,,20c21,109,22,110,24,110v2,,4,-1,4,-3c28,87,28,87,28,87,41,73,41,73,41,73r,22xm45,c43,,41,2,41,4v,28,,28,,28c28,46,28,46,28,46,28,4,28,4,28,4,28,2,26,,24,,22,,21,2,21,4v,42,,42,,42c7,32,7,32,7,32,7,4,7,4,7,4,7,2,6,,4,,2,,,2,,4,,128,,128,,128v,1,,2,1,2c21,150,21,150,21,150v,35,,35,,35c21,187,22,189,24,189v2,,4,-2,4,-4c28,150,28,150,28,150,47,130,47,130,47,130v1,,1,-1,1,-2c48,4,48,4,48,4,48,2,47,,45,e" stroked="f">
                        <v:path arrowok="t" o:connecttype="custom" o:connectlocs="34819,148731;50985,131233;50985,157480;34819,174978;34819,148731;8705,131233;26114,148731;26114,174978;8705,157480;8705,131233;26114,96238;8705,78740;8705,52493;26114,69991;26114,96238;50985,78740;34819,96238;34819,69991;50985,52493;50985,78740;50985,118735;34819,136233;34819,129983;29845,126234;26114,129983;26114,136233;8705,118735;8705,91238;26114,108736;26114,133733;29845,137483;34819,133733;34819,108736;50985,91238;50985,118735;55959,0;50985,4999;50985,39995;34819,57493;34819,4999;29845,0;26114,4999;26114,57493;8705,39995;8705,4999;4974,0;0,4999;0,159980;1244,162479;26114,187476;26114,231221;29845,236220;34819,231221;34819,187476;58446,162479;59690,159980;59690,4999;55959,0" o:connectangles="0,0,0,0,0,0,0,0,0,0,0,0,0,0,0,0,0,0,0,0,0,0,0,0,0,0,0,0,0,0,0,0,0,0,0,0,0,0,0,0,0,0,0,0,0,0,0,0,0,0,0,0,0,0,0,0,0,0"/>
                        <o:lock v:ext="edit" verticies="t"/>
                      </v:shape>
                      <v:shape id="Freeform 52" o:spid="_x0000_s1029" style="position:absolute;left:122211;top:117847;width:60960;height:236220;visibility:visible;mso-wrap-style:square;v-text-anchor:top" coordsize="4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" path="m21,77c8,63,8,63,8,63,8,42,8,42,8,42,21,56,21,56,21,56r,21xm41,63c28,77,28,77,28,77v,-21,,-21,,-21c41,42,41,42,41,42m8,73c21,87,21,87,21,87v,22,,22,,22c8,95,8,95,8,95t33,c28,109,28,109,28,109v,-22,,-22,,-22c41,73,41,73,41,73r,22xm25,132v-2,,-4,2,-4,4c21,140,21,140,21,140,8,126,8,126,8,126v,-21,,-21,,-21c21,119,21,119,21,119v,18,,18,,18c21,139,23,141,25,141v1,,3,-2,3,-4c28,119,28,119,28,119,41,105,41,105,41,105v,21,,21,,21c28,140,28,140,28,140v,-4,,-4,,-4c28,134,26,132,25,132m45,c43,,41,2,41,4v,28,,28,,28c28,46,28,46,28,46,28,4,28,4,28,4,28,2,26,,25,,23,,21,2,21,4v,42,,42,,42c8,32,8,32,8,32,8,4,8,4,8,4,8,2,6,,4,,2,,,2,,4,,128,,128,,128v,1,1,2,1,2c21,150,21,150,21,150v,35,,35,,35c21,187,23,189,25,189v1,,3,-2,3,-4c28,150,28,150,28,150,48,130,48,130,48,130v,,1,-1,1,-2c49,4,49,4,49,4,49,2,47,,45,e" stroked="f">
                        <v:path arrowok="t" o:connecttype="custom" o:connectlocs="26126,96238;9953,78740;9953,52493;26126,69991;26126,96238;51007,78740;34834,96238;34834,69991;51007,52493;9953,91238;26126,108736;26126,136233;9953,118735;51007,118735;34834,136233;34834,108736;51007,91238;51007,118735;31102,164979;26126,169978;26126,174978;9953,157480;9953,131233;26126,148731;26126,171228;31102,176228;34834,171228;34834,148731;51007,131233;51007,157480;34834,174978;34834,169978;31102,164979;55984,0;51007,4999;51007,39995;34834,57493;34834,4999;31102,0;26126,4999;26126,57493;9953,39995;9953,4999;4976,0;0,4999;0,159980;1244,162479;26126,187476;26126,231221;31102,236220;34834,231221;34834,187476;59716,162479;60960,159980;60960,4999;55984,0" o:connectangles="0,0,0,0,0,0,0,0,0,0,0,0,0,0,0,0,0,0,0,0,0,0,0,0,0,0,0,0,0,0,0,0,0,0,0,0,0,0,0,0,0,0,0,0,0,0,0,0,0,0,0,0,0,0,0,0"/>
                        <o:lock v:ext="edit" verticies="t"/>
                      </v:shape>
                      <v:shape id="Freeform 53" o:spid="_x0000_s1030" style="position:absolute;left:192046;top:78565;width:59690;height:276225;visibility:visible;mso-wrap-style:square;v-text-anchor:top" coordsize="48,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" path="m27,119c41,105,41,105,41,105v,21,,21,,21c27,140,27,140,27,140r,-21xm7,105v13,14,13,14,13,14c20,140,20,140,20,140,7,126,7,126,7,126r,-21xm7,73c20,87,20,87,20,87v,22,,22,,22c7,95,7,95,7,95l7,73xm41,95c27,109,27,109,27,109v,-22,,-22,,-22c41,73,41,73,41,73r,22xm24,77v2,,3,-2,3,-4c27,56,27,56,27,56,41,42,41,42,41,42v,21,,21,,21c27,77,27,77,27,77v,-4,,-4,,-4c27,71,26,69,24,69v-2,,-4,2,-4,4c20,77,20,77,20,77,7,63,7,63,7,63,7,42,7,42,7,42,20,56,20,56,20,56v,17,,17,,17c20,75,22,77,24,77m44,c42,,41,2,41,4v,28,,28,,28c27,45,27,45,27,45,27,4,27,4,27,4,27,2,26,,24,,22,,20,2,20,4v,41,,41,,41c7,32,7,32,7,32,7,4,7,4,7,4,7,2,5,,3,,1,,,2,,4,,128,,128,,128v,1,,2,1,2c20,150,20,150,20,150v,67,,67,,67c20,219,22,221,24,221v2,,3,-2,3,-4c27,150,27,150,27,150,47,130,47,130,47,130v,,1,-1,1,-2c48,4,48,4,48,4,48,2,46,,44,e" stroked="f">
                        <v:path arrowok="t" o:connecttype="custom" o:connectlocs="33576,148737;50985,131238;50985,157486;33576,174984;33576,148737;8705,131238;24871,148737;24871,174984;8705,157486;8705,131238;8705,91242;24871,108740;24871,136238;8705,118739;8705,91242;50985,118739;33576,136238;33576,108740;50985,91242;50985,118739;29845,96241;33576,91242;33576,69994;50985,52495;50985,78743;33576,96241;33576,91242;29845,86242;24871,91242;24871,96241;8705,78743;8705,52495;24871,69994;24871,91242;29845,96241;54716,0;50985,5000;50985,39996;33576,56245;33576,5000;29845,0;24871,5000;24871,56245;8705,39996;8705,5000;3731,0;0,5000;0,159986;1244,162485;24871,187483;24871,271225;29845,276225;33576,271225;33576,187483;58446,162485;59690,159986;59690,5000;54716,0" o:connectangles="0,0,0,0,0,0,0,0,0,0,0,0,0,0,0,0,0,0,0,0,0,0,0,0,0,0,0,0,0,0,0,0,0,0,0,0,0,0,0,0,0,0,0,0,0,0,0,0,0,0,0,0,0,0,0,0,0,0"/>
                        <o:lock v:ext="edit" verticies="t"/>
                      </v:shape>
                      <w10:wrap type="square" anchory="margin"/>
                    </v:group>
                  </w:pict>
                </mc:Fallback>
              </mc:AlternateContent>
            </w:r>
          </w:p>
        </w:tc>
        <w:tc>
          <w:tcPr>
            <w:tcW w:w="3575" w:type="dxa"/>
            <w:tcMar>
              <w:right w:w="170" w:type="dxa"/>
            </w:tcMar>
          </w:tcPr>
          <w:p w14:paraId="6CF496C3" w14:textId="77777777" w:rsidR="007A5B1C" w:rsidRPr="00A04E56" w:rsidRDefault="007A5B1C" w:rsidP="002D5E2C">
            <w:pPr>
              <w:rPr>
                <w:rFonts w:eastAsia="Calibri"/>
              </w:rPr>
            </w:pPr>
            <w:r w:rsidRPr="00A04E56">
              <w:rPr>
                <w:rStyle w:val="BOLDLIGHTBLUEReport"/>
                <w:rFonts w:eastAsia="Calibri"/>
              </w:rPr>
              <w:t>Agriculture</w:t>
            </w:r>
            <w:r w:rsidRPr="00A04E56">
              <w:rPr>
                <w:rFonts w:eastAsia="Calibri"/>
              </w:rPr>
              <w:t>: 80% of farmers using satellite navigation for precision farming are EGNOS users. And Copernicus data is used for crop monitoring and yield forecasting.</w:t>
            </w:r>
          </w:p>
        </w:tc>
      </w:tr>
    </w:tbl>
    <w:p w14:paraId="44A349C3" w14:textId="77777777" w:rsidR="007A5B1C" w:rsidRPr="00A04E56" w:rsidRDefault="007A5B1C" w:rsidP="007A5B1C">
      <w:pPr>
        <w:rPr>
          <w:noProof/>
          <w:color w:val="000000" w:themeColor="text1"/>
          <w:lang w:eastAsia="fr-BE"/>
        </w:rPr>
      </w:pPr>
    </w:p>
    <w:p w14:paraId="045D67DB" w14:textId="3FF505CF" w:rsidR="00FF704F" w:rsidRPr="00A04E56" w:rsidRDefault="008C1D39" w:rsidP="00AA0340">
      <w:pPr>
        <w:pStyle w:val="Title3NumberedReport"/>
      </w:pPr>
      <w:r w:rsidRPr="00A04E56">
        <w:t>Implementation and latest achievements</w:t>
      </w:r>
    </w:p>
    <w:p w14:paraId="0E65E58C" w14:textId="56E9CF56" w:rsidR="00FF704F" w:rsidRPr="00A04E56" w:rsidRDefault="00FF704F" w:rsidP="00A62EAF">
      <w:pPr>
        <w:pStyle w:val="BodyText1spaceafter"/>
      </w:pPr>
      <w:bookmarkStart w:id="70" w:name="_Toc4680694"/>
      <w:bookmarkStart w:id="71" w:name="_Toc4682968"/>
      <w:r w:rsidRPr="00A04E56">
        <w:t>The overall implementation of the Copernicus</w:t>
      </w:r>
      <w:r w:rsidRPr="00A04E56">
        <w:rPr>
          <w:szCs w:val="20"/>
        </w:rPr>
        <w:t xml:space="preserve"> programme is in line with the </w:t>
      </w:r>
      <w:r w:rsidR="00E56756" w:rsidRPr="00A04E56">
        <w:rPr>
          <w:szCs w:val="20"/>
        </w:rPr>
        <w:t>expected</w:t>
      </w:r>
      <w:r w:rsidRPr="00A04E56">
        <w:rPr>
          <w:szCs w:val="20"/>
        </w:rPr>
        <w:t xml:space="preserve"> progress, with </w:t>
      </w:r>
      <w:r w:rsidR="00304671" w:rsidRPr="00A04E56">
        <w:rPr>
          <w:szCs w:val="20"/>
        </w:rPr>
        <w:t>seven</w:t>
      </w:r>
      <w:r w:rsidRPr="00A04E56">
        <w:rPr>
          <w:szCs w:val="20"/>
        </w:rPr>
        <w:t xml:space="preserve"> satellites in orbit and in operation</w:t>
      </w:r>
      <w:r w:rsidR="00E0526A" w:rsidRPr="00A04E56">
        <w:rPr>
          <w:szCs w:val="20"/>
        </w:rPr>
        <w:t>,</w:t>
      </w:r>
      <w:r w:rsidR="0048002E" w:rsidRPr="00A04E56">
        <w:rPr>
          <w:szCs w:val="20"/>
        </w:rPr>
        <w:t xml:space="preserve"> enabling</w:t>
      </w:r>
      <w:r w:rsidR="00826B15" w:rsidRPr="00A04E56">
        <w:rPr>
          <w:szCs w:val="20"/>
        </w:rPr>
        <w:t xml:space="preserve"> the</w:t>
      </w:r>
      <w:r w:rsidRPr="00A04E56">
        <w:rPr>
          <w:szCs w:val="20"/>
        </w:rPr>
        <w:t xml:space="preserve"> </w:t>
      </w:r>
      <w:r w:rsidR="0048002E" w:rsidRPr="00A04E56">
        <w:rPr>
          <w:szCs w:val="20"/>
        </w:rPr>
        <w:t xml:space="preserve">operation of </w:t>
      </w:r>
      <w:r w:rsidRPr="00A04E56">
        <w:rPr>
          <w:szCs w:val="20"/>
        </w:rPr>
        <w:t xml:space="preserve">the six Copernicus </w:t>
      </w:r>
      <w:r w:rsidR="0048002E" w:rsidRPr="00A04E56">
        <w:rPr>
          <w:szCs w:val="20"/>
        </w:rPr>
        <w:t>s</w:t>
      </w:r>
      <w:r w:rsidRPr="00A04E56">
        <w:rPr>
          <w:szCs w:val="20"/>
        </w:rPr>
        <w:t>ervices. The</w:t>
      </w:r>
      <w:r w:rsidRPr="00A04E56" w:rsidDel="00E17586">
        <w:rPr>
          <w:szCs w:val="20"/>
        </w:rPr>
        <w:t xml:space="preserve"> </w:t>
      </w:r>
      <w:r w:rsidR="00E17586" w:rsidRPr="00A04E56">
        <w:rPr>
          <w:szCs w:val="20"/>
        </w:rPr>
        <w:t xml:space="preserve">latest </w:t>
      </w:r>
      <w:r w:rsidRPr="00A04E56">
        <w:rPr>
          <w:szCs w:val="20"/>
        </w:rPr>
        <w:t xml:space="preserve">satellite launch was </w:t>
      </w:r>
      <w:r w:rsidR="0048002E" w:rsidRPr="00A04E56">
        <w:rPr>
          <w:szCs w:val="20"/>
        </w:rPr>
        <w:t xml:space="preserve">that of </w:t>
      </w:r>
      <w:r w:rsidRPr="00A04E56">
        <w:rPr>
          <w:szCs w:val="20"/>
        </w:rPr>
        <w:t>Sentinel 3B in April 2018</w:t>
      </w:r>
      <w:r w:rsidR="00E56756" w:rsidRPr="00A04E56">
        <w:rPr>
          <w:szCs w:val="20"/>
        </w:rPr>
        <w:t>.</w:t>
      </w:r>
      <w:r w:rsidRPr="00A04E56">
        <w:rPr>
          <w:szCs w:val="20"/>
        </w:rPr>
        <w:t xml:space="preserve"> </w:t>
      </w:r>
      <w:bookmarkEnd w:id="70"/>
      <w:bookmarkEnd w:id="71"/>
    </w:p>
    <w:p w14:paraId="2C41B90F" w14:textId="6FBCC6A1" w:rsidR="009739CF" w:rsidRPr="00A04E56" w:rsidRDefault="009739CF" w:rsidP="009739CF">
      <w:pPr>
        <w:pStyle w:val="BodyText1spaceafter"/>
        <w:rPr>
          <w:szCs w:val="20"/>
        </w:rPr>
      </w:pPr>
      <w:r w:rsidRPr="00A04E56">
        <w:rPr>
          <w:szCs w:val="20"/>
        </w:rPr>
        <w:t>The Copernicus Climate Change Service has moved to its operational phase in summer 2018. It has become an important and recognised climate information resource for international bodies. The Copernicus Emergency Management Service was activated over 86 times to assist authorities in relation to disasters, such as wildfires, storms, floods and volcanic eruptions, earthquakes, ground subsidence</w:t>
      </w:r>
      <w:r w:rsidR="00E14DAD" w:rsidRPr="00A04E56">
        <w:rPr>
          <w:rFonts w:ascii="Calibri" w:hAnsi="Calibri" w:cs="Calibri"/>
          <w:szCs w:val="20"/>
        </w:rPr>
        <w:t> </w:t>
      </w:r>
      <w:r w:rsidR="004D3C5E" w:rsidRPr="00A04E56">
        <w:rPr>
          <w:szCs w:val="20"/>
        </w:rPr>
        <w:t>(</w:t>
      </w:r>
      <w:r w:rsidR="004D3C5E" w:rsidRPr="0096197C">
        <w:rPr>
          <w:rStyle w:val="FootnoteReference"/>
          <w:sz w:val="20"/>
        </w:rPr>
        <w:footnoteReference w:id="102"/>
      </w:r>
      <w:r w:rsidR="004D3C5E" w:rsidRPr="00A04E56">
        <w:rPr>
          <w:szCs w:val="20"/>
        </w:rPr>
        <w:t>)</w:t>
      </w:r>
      <w:r w:rsidRPr="00A04E56">
        <w:rPr>
          <w:szCs w:val="20"/>
        </w:rPr>
        <w:t xml:space="preserve">. </w:t>
      </w:r>
    </w:p>
    <w:p w14:paraId="095C8581" w14:textId="4D5050A9" w:rsidR="009739CF" w:rsidRPr="00A04E56" w:rsidRDefault="009739CF" w:rsidP="009739CF">
      <w:pPr>
        <w:pStyle w:val="BodyText1spaceafter"/>
        <w:rPr>
          <w:szCs w:val="20"/>
        </w:rPr>
      </w:pPr>
      <w:r w:rsidRPr="00A04E56">
        <w:rPr>
          <w:szCs w:val="20"/>
        </w:rPr>
        <w:t xml:space="preserve">The </w:t>
      </w:r>
      <w:r w:rsidRPr="00A04E56">
        <w:rPr>
          <w:noProof w:val="0"/>
          <w:szCs w:val="20"/>
        </w:rPr>
        <w:t>data</w:t>
      </w:r>
      <w:r w:rsidRPr="00A04E56">
        <w:rPr>
          <w:szCs w:val="20"/>
        </w:rPr>
        <w:t xml:space="preserve"> and </w:t>
      </w:r>
      <w:r w:rsidRPr="00A04E56">
        <w:rPr>
          <w:noProof w:val="0"/>
          <w:szCs w:val="20"/>
        </w:rPr>
        <w:t>information access services</w:t>
      </w:r>
      <w:r w:rsidRPr="00A04E56">
        <w:rPr>
          <w:szCs w:val="20"/>
        </w:rPr>
        <w:t xml:space="preserve"> were launched in June 2018 allowing better uptake of Copernicus data, bringing the number of registered users to more than 200</w:t>
      </w:r>
      <w:r w:rsidRPr="00A04E56">
        <w:rPr>
          <w:rFonts w:cs="Calibri"/>
          <w:noProof w:val="0"/>
          <w:szCs w:val="20"/>
        </w:rPr>
        <w:t> </w:t>
      </w:r>
      <w:r w:rsidRPr="00A04E56" w:rsidDel="006221A4">
        <w:rPr>
          <w:szCs w:val="20"/>
        </w:rPr>
        <w:t>000</w:t>
      </w:r>
      <w:r w:rsidRPr="00A04E56">
        <w:rPr>
          <w:noProof w:val="0"/>
          <w:szCs w:val="20"/>
        </w:rPr>
        <w:t>.</w:t>
      </w:r>
      <w:r w:rsidRPr="00A04E56">
        <w:rPr>
          <w:szCs w:val="20"/>
        </w:rPr>
        <w:t xml:space="preserve"> In addition, more cooperation agreements have been signed with </w:t>
      </w:r>
      <w:r w:rsidRPr="00A04E56">
        <w:rPr>
          <w:noProof w:val="0"/>
          <w:szCs w:val="20"/>
        </w:rPr>
        <w:t xml:space="preserve">non-EU </w:t>
      </w:r>
      <w:r w:rsidR="00C6157D" w:rsidRPr="00A04E56">
        <w:rPr>
          <w:noProof w:val="0"/>
          <w:szCs w:val="20"/>
        </w:rPr>
        <w:t>(‘</w:t>
      </w:r>
      <w:r w:rsidRPr="00A04E56">
        <w:rPr>
          <w:szCs w:val="20"/>
        </w:rPr>
        <w:t>third</w:t>
      </w:r>
      <w:r w:rsidR="00C6157D" w:rsidRPr="00A04E56">
        <w:rPr>
          <w:szCs w:val="20"/>
        </w:rPr>
        <w:t>’)</w:t>
      </w:r>
      <w:r w:rsidRPr="00A04E56">
        <w:rPr>
          <w:szCs w:val="20"/>
        </w:rPr>
        <w:t xml:space="preserve"> </w:t>
      </w:r>
      <w:r w:rsidRPr="00A04E56">
        <w:rPr>
          <w:noProof w:val="0"/>
          <w:szCs w:val="20"/>
        </w:rPr>
        <w:t>countries</w:t>
      </w:r>
      <w:r w:rsidRPr="00A04E56">
        <w:rPr>
          <w:szCs w:val="20"/>
        </w:rPr>
        <w:t xml:space="preserve"> and organisations including the African Union, Brazil, Chile, Columbia, India, Serbia, Ukraine and to promote the uptake of Copernicus globally</w:t>
      </w:r>
      <w:r w:rsidRPr="00A04E56">
        <w:rPr>
          <w:rStyle w:val="fnRef"/>
          <w:rFonts w:ascii="Arial" w:hAnsi="Arial" w:cs="Arial"/>
        </w:rPr>
        <w:t> </w:t>
      </w:r>
      <w:r w:rsidRPr="00A04E56">
        <w:rPr>
          <w:rStyle w:val="fnRef"/>
        </w:rPr>
        <w:t>(</w:t>
      </w:r>
      <w:r w:rsidRPr="00A04E56">
        <w:rPr>
          <w:rStyle w:val="fnRefNo"/>
        </w:rPr>
        <w:footnoteReference w:id="103"/>
      </w:r>
      <w:r w:rsidRPr="00A04E56">
        <w:rPr>
          <w:rStyle w:val="fnRef"/>
        </w:rPr>
        <w:t>)</w:t>
      </w:r>
      <w:r w:rsidRPr="00A04E56">
        <w:rPr>
          <w:szCs w:val="20"/>
        </w:rPr>
        <w:t>.</w:t>
      </w:r>
    </w:p>
    <w:p w14:paraId="5316A4A1" w14:textId="4049E686" w:rsidR="009C631B" w:rsidRPr="00A04E56" w:rsidRDefault="009739CF" w:rsidP="00A62EAF">
      <w:pPr>
        <w:pStyle w:val="BodyText1spaceafter"/>
      </w:pPr>
      <w:bookmarkStart w:id="72" w:name="_Toc4680695"/>
      <w:bookmarkStart w:id="73" w:name="_Toc4682969"/>
      <w:r w:rsidRPr="00A04E56">
        <w:t>Galileo is operational since 2016 and has since been providing services continously. In paralle</w:t>
      </w:r>
      <w:r w:rsidR="004D3C5E" w:rsidRPr="00A04E56">
        <w:t>l</w:t>
      </w:r>
      <w:r w:rsidRPr="00A04E56">
        <w:t>, t</w:t>
      </w:r>
      <w:r w:rsidR="00FF704F" w:rsidRPr="00A04E56">
        <w:t xml:space="preserve">he deployment of the </w:t>
      </w:r>
      <w:r w:rsidR="00FF704F" w:rsidRPr="00A04E56">
        <w:rPr>
          <w:szCs w:val="20"/>
        </w:rPr>
        <w:t xml:space="preserve">Galileo space </w:t>
      </w:r>
      <w:r w:rsidR="00655667" w:rsidRPr="00A04E56">
        <w:rPr>
          <w:noProof w:val="0"/>
          <w:szCs w:val="20"/>
        </w:rPr>
        <w:t>infrastructure</w:t>
      </w:r>
      <w:r w:rsidR="00FF704F" w:rsidRPr="00A04E56">
        <w:rPr>
          <w:szCs w:val="20"/>
        </w:rPr>
        <w:t xml:space="preserve"> </w:t>
      </w:r>
      <w:r w:rsidR="00C329BC" w:rsidRPr="00A04E56">
        <w:rPr>
          <w:szCs w:val="20"/>
        </w:rPr>
        <w:t>is ongoing</w:t>
      </w:r>
      <w:r w:rsidR="00FF704F" w:rsidRPr="00A04E56">
        <w:rPr>
          <w:szCs w:val="20"/>
        </w:rPr>
        <w:t xml:space="preserve">. Four satellites were </w:t>
      </w:r>
      <w:r w:rsidR="00655667" w:rsidRPr="00A04E56">
        <w:rPr>
          <w:noProof w:val="0"/>
          <w:szCs w:val="20"/>
        </w:rPr>
        <w:t>successfully</w:t>
      </w:r>
      <w:r w:rsidR="00FF704F" w:rsidRPr="00A04E56">
        <w:rPr>
          <w:szCs w:val="20"/>
        </w:rPr>
        <w:t xml:space="preserve"> launched in July 2018 </w:t>
      </w:r>
      <w:r w:rsidR="00C85C18" w:rsidRPr="00A04E56">
        <w:rPr>
          <w:szCs w:val="20"/>
        </w:rPr>
        <w:t>bringing</w:t>
      </w:r>
      <w:r w:rsidR="00FF704F" w:rsidRPr="00A04E56">
        <w:rPr>
          <w:szCs w:val="20"/>
        </w:rPr>
        <w:t xml:space="preserve"> the total </w:t>
      </w:r>
      <w:r w:rsidR="00F96863" w:rsidRPr="00A04E56">
        <w:rPr>
          <w:szCs w:val="20"/>
        </w:rPr>
        <w:t xml:space="preserve">number </w:t>
      </w:r>
      <w:r w:rsidR="00FF704F" w:rsidRPr="00A04E56">
        <w:rPr>
          <w:szCs w:val="20"/>
        </w:rPr>
        <w:t>of satellites in space to 26. To ensure the independent monitoring of Galileo services, the Galileo Reference Centre started to operate in Noordwijk (</w:t>
      </w:r>
      <w:r w:rsidR="00716110" w:rsidRPr="00A04E56">
        <w:rPr>
          <w:noProof w:val="0"/>
          <w:szCs w:val="20"/>
        </w:rPr>
        <w:t xml:space="preserve">the </w:t>
      </w:r>
      <w:r w:rsidR="00FF704F" w:rsidRPr="00A04E56">
        <w:rPr>
          <w:szCs w:val="20"/>
        </w:rPr>
        <w:t xml:space="preserve">Netherlands). </w:t>
      </w:r>
      <w:r w:rsidR="00E17586" w:rsidRPr="00A04E56">
        <w:rPr>
          <w:szCs w:val="20"/>
        </w:rPr>
        <w:t>The Commercial Service High Accuracy (so-called High Accuracy Service) will offer a 20</w:t>
      </w:r>
      <w:r w:rsidR="000656B1" w:rsidRPr="00A04E56">
        <w:rPr>
          <w:szCs w:val="20"/>
        </w:rPr>
        <w:t xml:space="preserve"> </w:t>
      </w:r>
      <w:r w:rsidR="00E17586" w:rsidRPr="00A04E56">
        <w:rPr>
          <w:szCs w:val="20"/>
        </w:rPr>
        <w:t>cm positioning accuracy and will be provided for free of charge</w:t>
      </w:r>
      <w:r w:rsidR="000C3BFA" w:rsidRPr="00A04E56">
        <w:rPr>
          <w:rStyle w:val="fnRef"/>
          <w:rFonts w:ascii="Arial" w:hAnsi="Arial" w:cs="Arial"/>
        </w:rPr>
        <w:t> </w:t>
      </w:r>
      <w:r w:rsidR="00E17586" w:rsidRPr="00A04E56">
        <w:rPr>
          <w:rStyle w:val="fnRef"/>
        </w:rPr>
        <w:t>(</w:t>
      </w:r>
      <w:r w:rsidR="00E17586" w:rsidRPr="00A04E56">
        <w:rPr>
          <w:rStyle w:val="fnRefNo"/>
        </w:rPr>
        <w:footnoteReference w:id="104"/>
      </w:r>
      <w:r w:rsidR="00E17586" w:rsidRPr="00A04E56">
        <w:rPr>
          <w:rStyle w:val="fnRef"/>
        </w:rPr>
        <w:t>)</w:t>
      </w:r>
      <w:r w:rsidR="00E17586" w:rsidRPr="00A04E56">
        <w:rPr>
          <w:szCs w:val="20"/>
        </w:rPr>
        <w:t xml:space="preserve">. </w:t>
      </w:r>
      <w:r w:rsidR="000656B1" w:rsidRPr="00A04E56">
        <w:rPr>
          <w:szCs w:val="20"/>
        </w:rPr>
        <w:t>This level of accuracy</w:t>
      </w:r>
      <w:r w:rsidR="00FF704F" w:rsidRPr="00A04E56">
        <w:rPr>
          <w:szCs w:val="20"/>
        </w:rPr>
        <w:t xml:space="preserve"> is crucial for the development of emerging technologies such as automated connected cars. The market uptake of Galileo and of the European Geostationary Navigation Overlay Service boomed </w:t>
      </w:r>
      <w:r w:rsidR="008C1D39" w:rsidRPr="00A04E56">
        <w:rPr>
          <w:i/>
          <w:szCs w:val="20"/>
          <w:u w:val="single"/>
        </w:rPr>
        <w:t>in 2018</w:t>
      </w:r>
      <w:r w:rsidR="00FF704F" w:rsidRPr="00A04E56">
        <w:rPr>
          <w:szCs w:val="20"/>
        </w:rPr>
        <w:t xml:space="preserve"> with more than 500</w:t>
      </w:r>
      <w:r w:rsidR="00A827FD" w:rsidRPr="00A04E56">
        <w:rPr>
          <w:rFonts w:cs="Calibri"/>
          <w:noProof w:val="0"/>
          <w:szCs w:val="20"/>
        </w:rPr>
        <w:t> </w:t>
      </w:r>
      <w:r w:rsidR="00A827FD" w:rsidRPr="00A04E56">
        <w:rPr>
          <w:noProof w:val="0"/>
          <w:szCs w:val="20"/>
        </w:rPr>
        <w:t>million</w:t>
      </w:r>
      <w:r w:rsidR="00FF704F" w:rsidRPr="00A04E56">
        <w:rPr>
          <w:szCs w:val="20"/>
        </w:rPr>
        <w:t xml:space="preserve"> G</w:t>
      </w:r>
      <w:r w:rsidR="00C85C18" w:rsidRPr="00A04E56">
        <w:rPr>
          <w:szCs w:val="20"/>
        </w:rPr>
        <w:t>al</w:t>
      </w:r>
      <w:r w:rsidR="00FF704F" w:rsidRPr="00A04E56">
        <w:rPr>
          <w:szCs w:val="20"/>
        </w:rPr>
        <w:t>ileo-enabled devices on the market</w:t>
      </w:r>
      <w:r w:rsidR="00626496" w:rsidRPr="00A04E56">
        <w:rPr>
          <w:szCs w:val="20"/>
        </w:rPr>
        <w:t xml:space="preserve"> as per 31 December 2018</w:t>
      </w:r>
      <w:r w:rsidR="00E8009B" w:rsidRPr="00A04E56">
        <w:rPr>
          <w:szCs w:val="20"/>
        </w:rPr>
        <w:t>.</w:t>
      </w:r>
      <w:r w:rsidR="00626496" w:rsidRPr="00A04E56">
        <w:rPr>
          <w:szCs w:val="20"/>
        </w:rPr>
        <w:t xml:space="preserve"> </w:t>
      </w:r>
      <w:r w:rsidR="00BF4A27" w:rsidRPr="00A04E56">
        <w:rPr>
          <w:szCs w:val="20"/>
        </w:rPr>
        <w:t>Innovation is continuing, mid May 2019 already 714 million deviced were Galileo-enabled.</w:t>
      </w:r>
    </w:p>
    <w:p w14:paraId="2CD69789" w14:textId="180D0058" w:rsidR="009C631B" w:rsidRPr="00287356" w:rsidRDefault="00FF704F" w:rsidP="00A62EAF">
      <w:pPr>
        <w:pStyle w:val="BodyText1spaceafter"/>
      </w:pPr>
      <w:r w:rsidRPr="00287356">
        <w:t xml:space="preserve">Importantly, </w:t>
      </w:r>
      <w:r w:rsidRPr="00287356">
        <w:rPr>
          <w:i/>
          <w:u w:val="single"/>
        </w:rPr>
        <w:t xml:space="preserve">in November </w:t>
      </w:r>
      <w:r w:rsidRPr="00287356">
        <w:rPr>
          <w:i/>
          <w:szCs w:val="20"/>
          <w:u w:val="single"/>
        </w:rPr>
        <w:t>2018</w:t>
      </w:r>
      <w:r w:rsidRPr="00287356">
        <w:rPr>
          <w:szCs w:val="20"/>
        </w:rPr>
        <w:t xml:space="preserve"> Galileo became the first non-</w:t>
      </w:r>
      <w:r w:rsidRPr="00287356">
        <w:rPr>
          <w:noProof w:val="0"/>
          <w:szCs w:val="20"/>
        </w:rPr>
        <w:t>U</w:t>
      </w:r>
      <w:r w:rsidR="00D76862" w:rsidRPr="00287356">
        <w:rPr>
          <w:noProof w:val="0"/>
          <w:szCs w:val="20"/>
        </w:rPr>
        <w:t>nited States</w:t>
      </w:r>
      <w:r w:rsidRPr="00287356">
        <w:rPr>
          <w:szCs w:val="20"/>
        </w:rPr>
        <w:t xml:space="preserve"> global satellite navigation system </w:t>
      </w:r>
      <w:r w:rsidR="00AB266B" w:rsidRPr="00287356">
        <w:rPr>
          <w:szCs w:val="20"/>
        </w:rPr>
        <w:t>to be</w:t>
      </w:r>
      <w:r w:rsidRPr="00287356">
        <w:rPr>
          <w:szCs w:val="20"/>
        </w:rPr>
        <w:t xml:space="preserve"> allowed in the </w:t>
      </w:r>
      <w:r w:rsidR="00D76862" w:rsidRPr="00287356">
        <w:rPr>
          <w:noProof w:val="0"/>
          <w:szCs w:val="20"/>
        </w:rPr>
        <w:t>United States</w:t>
      </w:r>
      <w:r w:rsidRPr="00287356">
        <w:rPr>
          <w:noProof w:val="0"/>
          <w:szCs w:val="20"/>
        </w:rPr>
        <w:t>.</w:t>
      </w:r>
      <w:r w:rsidRPr="00287356">
        <w:rPr>
          <w:szCs w:val="20"/>
        </w:rPr>
        <w:t xml:space="preserve"> </w:t>
      </w:r>
      <w:r w:rsidR="009C631B" w:rsidRPr="00287356">
        <w:rPr>
          <w:szCs w:val="20"/>
        </w:rPr>
        <w:t xml:space="preserve">The use of </w:t>
      </w:r>
      <w:r w:rsidR="00925096" w:rsidRPr="00287356">
        <w:rPr>
          <w:szCs w:val="20"/>
        </w:rPr>
        <w:t xml:space="preserve">the EU’s </w:t>
      </w:r>
      <w:r w:rsidR="009C631B" w:rsidRPr="00287356">
        <w:rPr>
          <w:szCs w:val="20"/>
        </w:rPr>
        <w:t xml:space="preserve">Galileo in combination with </w:t>
      </w:r>
      <w:r w:rsidR="00925096" w:rsidRPr="00287356">
        <w:rPr>
          <w:szCs w:val="20"/>
        </w:rPr>
        <w:t xml:space="preserve">the United States </w:t>
      </w:r>
      <w:r w:rsidR="00FC27AB" w:rsidRPr="00287356">
        <w:rPr>
          <w:szCs w:val="20"/>
        </w:rPr>
        <w:t>global positioning system</w:t>
      </w:r>
      <w:r w:rsidR="005D50BD" w:rsidRPr="00287356">
        <w:rPr>
          <w:szCs w:val="20"/>
        </w:rPr>
        <w:t xml:space="preserve"> (</w:t>
      </w:r>
      <w:r w:rsidR="009739CF" w:rsidRPr="00287356">
        <w:rPr>
          <w:szCs w:val="20"/>
        </w:rPr>
        <w:t>GPS</w:t>
      </w:r>
      <w:r w:rsidR="005D50BD" w:rsidRPr="00287356">
        <w:rPr>
          <w:szCs w:val="20"/>
        </w:rPr>
        <w:t>)</w:t>
      </w:r>
      <w:r w:rsidR="00FC27AB" w:rsidRPr="00287356">
        <w:rPr>
          <w:rFonts w:cs="Calibri"/>
          <w:szCs w:val="20"/>
        </w:rPr>
        <w:t> </w:t>
      </w:r>
      <w:r w:rsidR="009C631B" w:rsidRPr="00287356">
        <w:rPr>
          <w:szCs w:val="20"/>
        </w:rPr>
        <w:t xml:space="preserve">will </w:t>
      </w:r>
      <w:r w:rsidR="009739CF" w:rsidRPr="00287356">
        <w:rPr>
          <w:szCs w:val="20"/>
        </w:rPr>
        <w:t xml:space="preserve">open the United States market for Galileo and </w:t>
      </w:r>
      <w:r w:rsidR="009C631B" w:rsidRPr="00287356">
        <w:rPr>
          <w:szCs w:val="20"/>
        </w:rPr>
        <w:t xml:space="preserve">improve the </w:t>
      </w:r>
      <w:r w:rsidR="009739CF" w:rsidRPr="00287356">
        <w:rPr>
          <w:szCs w:val="20"/>
        </w:rPr>
        <w:t>U</w:t>
      </w:r>
      <w:r w:rsidR="00F504A4" w:rsidRPr="00287356">
        <w:rPr>
          <w:szCs w:val="20"/>
        </w:rPr>
        <w:t xml:space="preserve">nited </w:t>
      </w:r>
      <w:r w:rsidR="009739CF" w:rsidRPr="00287356">
        <w:rPr>
          <w:szCs w:val="20"/>
        </w:rPr>
        <w:t>S</w:t>
      </w:r>
      <w:r w:rsidR="00F504A4" w:rsidRPr="00287356">
        <w:rPr>
          <w:szCs w:val="20"/>
        </w:rPr>
        <w:t>tates</w:t>
      </w:r>
      <w:r w:rsidR="009C631B" w:rsidRPr="00287356">
        <w:rPr>
          <w:szCs w:val="20"/>
        </w:rPr>
        <w:t xml:space="preserve"> consumer experience through improved availability, reliability and resiliency of these position, navigation, and timing services. </w:t>
      </w:r>
    </w:p>
    <w:p w14:paraId="52FD771C" w14:textId="0368D82F" w:rsidR="009C631B" w:rsidRPr="00287356" w:rsidRDefault="00CF74DF" w:rsidP="00C257BF">
      <w:pPr>
        <w:pStyle w:val="BOX3BluedashedborderBluetext"/>
        <w:rPr>
          <w:spacing w:val="-4"/>
        </w:rPr>
      </w:pPr>
      <w:r w:rsidRPr="00287356">
        <w:rPr>
          <w:spacing w:val="-4"/>
        </w:rPr>
        <w:t xml:space="preserve">Galileo is helping to save lives. </w:t>
      </w:r>
      <w:r w:rsidRPr="00287356">
        <w:rPr>
          <w:b/>
          <w:spacing w:val="-4"/>
        </w:rPr>
        <w:t xml:space="preserve">Galileo’s </w:t>
      </w:r>
      <w:r w:rsidR="002B5F47" w:rsidRPr="00287356">
        <w:rPr>
          <w:b/>
          <w:spacing w:val="-4"/>
        </w:rPr>
        <w:t>search-and-rescue service</w:t>
      </w:r>
      <w:r w:rsidR="002B5F47" w:rsidRPr="00287356">
        <w:rPr>
          <w:spacing w:val="-4"/>
        </w:rPr>
        <w:t xml:space="preserve"> </w:t>
      </w:r>
      <w:r w:rsidRPr="00287356">
        <w:rPr>
          <w:spacing w:val="-4"/>
        </w:rPr>
        <w:t xml:space="preserve">drastically reduces the time needed to detect emergency distress beacons from up to </w:t>
      </w:r>
      <w:r w:rsidR="00796397" w:rsidRPr="00287356">
        <w:rPr>
          <w:spacing w:val="-4"/>
        </w:rPr>
        <w:t>3 </w:t>
      </w:r>
      <w:r w:rsidRPr="00287356">
        <w:rPr>
          <w:spacing w:val="-4"/>
        </w:rPr>
        <w:t xml:space="preserve">hours to just </w:t>
      </w:r>
      <w:r w:rsidR="00796397" w:rsidRPr="00287356">
        <w:rPr>
          <w:spacing w:val="-4"/>
        </w:rPr>
        <w:t>10</w:t>
      </w:r>
      <w:r w:rsidR="00796397" w:rsidRPr="00287356">
        <w:rPr>
          <w:rFonts w:ascii="Calibri" w:hAnsi="Calibri" w:cs="Calibri"/>
          <w:spacing w:val="-4"/>
        </w:rPr>
        <w:t> </w:t>
      </w:r>
      <w:r w:rsidRPr="00287356">
        <w:rPr>
          <w:spacing w:val="-4"/>
        </w:rPr>
        <w:t>minutes. As the location of the distress beacon locations is determined more accurately, people lost at sea or in the mountains can be rescued more quickly</w:t>
      </w:r>
      <w:bookmarkEnd w:id="72"/>
      <w:r w:rsidR="00E84C4A" w:rsidRPr="00287356">
        <w:rPr>
          <w:rStyle w:val="fnRef"/>
          <w:rFonts w:ascii="Arial" w:hAnsi="Arial" w:cs="Arial"/>
          <w:spacing w:val="-4"/>
        </w:rPr>
        <w:t> </w:t>
      </w:r>
      <w:r w:rsidR="0035678A" w:rsidRPr="00287356">
        <w:rPr>
          <w:rStyle w:val="fnRef"/>
          <w:spacing w:val="-4"/>
        </w:rPr>
        <w:t>(</w:t>
      </w:r>
      <w:r w:rsidR="0035678A" w:rsidRPr="00287356">
        <w:rPr>
          <w:rStyle w:val="fnRefNo"/>
          <w:spacing w:val="-4"/>
        </w:rPr>
        <w:footnoteReference w:id="105"/>
      </w:r>
      <w:r w:rsidR="0035678A" w:rsidRPr="00287356">
        <w:rPr>
          <w:rStyle w:val="fnRef"/>
          <w:spacing w:val="-4"/>
        </w:rPr>
        <w:t>)</w:t>
      </w:r>
      <w:r w:rsidR="009C631B" w:rsidRPr="00287356">
        <w:rPr>
          <w:spacing w:val="-4"/>
        </w:rPr>
        <w:t>.</w:t>
      </w:r>
    </w:p>
    <w:bookmarkEnd w:id="73"/>
    <w:p w14:paraId="030FA713" w14:textId="14F6E685" w:rsidR="00FF704F" w:rsidRPr="00A04E56" w:rsidRDefault="00C63DC4" w:rsidP="00AA0340">
      <w:pPr>
        <w:pStyle w:val="Title3NumberedReport"/>
      </w:pPr>
      <w:r w:rsidRPr="00A04E56">
        <w:t>Assessment and evaluation</w:t>
      </w:r>
    </w:p>
    <w:p w14:paraId="0A893BA7" w14:textId="65E6E3A9" w:rsidR="00FF704F" w:rsidRPr="00A04E56" w:rsidRDefault="00FF704F" w:rsidP="00A62EAF">
      <w:pPr>
        <w:pStyle w:val="BodyText1spaceafter"/>
      </w:pPr>
      <w:r w:rsidRPr="00A04E56">
        <w:t>The Copernicus mid</w:t>
      </w:r>
      <w:r w:rsidR="00835047" w:rsidRPr="00A04E56">
        <w:rPr>
          <w:noProof w:val="0"/>
        </w:rPr>
        <w:t>term</w:t>
      </w:r>
      <w:r w:rsidRPr="00A04E56">
        <w:t xml:space="preserve"> evaluation confirmed that the programme is delivering on its objectives. However, while the data</w:t>
      </w:r>
      <w:r w:rsidR="00720189" w:rsidRPr="00A04E56">
        <w:t xml:space="preserve"> collected</w:t>
      </w:r>
      <w:r w:rsidRPr="00A04E56">
        <w:t xml:space="preserve"> is of good quality, the evaluation showed the need to improve the distribution and access to data with the aim </w:t>
      </w:r>
      <w:r w:rsidR="00A41BB3" w:rsidRPr="00A04E56">
        <w:t>of</w:t>
      </w:r>
      <w:r w:rsidRPr="00A04E56">
        <w:t xml:space="preserve"> increas</w:t>
      </w:r>
      <w:r w:rsidR="00A41BB3" w:rsidRPr="00A04E56">
        <w:t>ing</w:t>
      </w:r>
      <w:r w:rsidRPr="00A04E56" w:rsidDel="00A41BB3">
        <w:t xml:space="preserve"> </w:t>
      </w:r>
      <w:r w:rsidRPr="00A04E56">
        <w:t>user uptake</w:t>
      </w:r>
      <w:r w:rsidR="00633D4D" w:rsidRPr="00A04E56">
        <w:rPr>
          <w:rStyle w:val="fnRef"/>
          <w:rFonts w:ascii="Arial" w:hAnsi="Arial" w:cs="Arial"/>
        </w:rPr>
        <w:t> </w:t>
      </w:r>
      <w:r w:rsidR="0035678A" w:rsidRPr="00A04E56">
        <w:rPr>
          <w:rStyle w:val="fnRef"/>
        </w:rPr>
        <w:t>(</w:t>
      </w:r>
      <w:r w:rsidR="0035678A" w:rsidRPr="00A04E56">
        <w:rPr>
          <w:rStyle w:val="fnRefNo"/>
        </w:rPr>
        <w:footnoteReference w:id="106"/>
      </w:r>
      <w:r w:rsidR="0035678A" w:rsidRPr="00A04E56">
        <w:rPr>
          <w:rStyle w:val="fnRef"/>
        </w:rPr>
        <w:t>)</w:t>
      </w:r>
      <w:r w:rsidR="009C631B" w:rsidRPr="00A04E56">
        <w:t>.</w:t>
      </w:r>
      <w:r w:rsidRPr="00A04E56">
        <w:t xml:space="preserve"> The launch of the </w:t>
      </w:r>
      <w:r w:rsidR="005F3856" w:rsidRPr="00A04E56">
        <w:t>data</w:t>
      </w:r>
      <w:r w:rsidRPr="00A04E56">
        <w:t xml:space="preserve"> and </w:t>
      </w:r>
      <w:r w:rsidR="005F3856" w:rsidRPr="00A04E56">
        <w:t>information</w:t>
      </w:r>
      <w:r w:rsidR="00B51D6C" w:rsidRPr="00A04E56">
        <w:t xml:space="preserve"> </w:t>
      </w:r>
      <w:r w:rsidR="005F3856" w:rsidRPr="00A04E56">
        <w:t>access</w:t>
      </w:r>
      <w:r w:rsidRPr="00A04E56">
        <w:t xml:space="preserve"> services in June 2018 as well as the extension of various activities to maximise the use of Copernicus applications </w:t>
      </w:r>
      <w:r w:rsidR="00D4261A" w:rsidRPr="00A04E56">
        <w:t>(</w:t>
      </w:r>
      <w:r w:rsidRPr="00A04E56">
        <w:t>including through the signing of international cooperation agreements</w:t>
      </w:r>
      <w:r w:rsidR="00D4261A" w:rsidRPr="00A04E56">
        <w:t>)</w:t>
      </w:r>
      <w:r w:rsidRPr="00A04E56">
        <w:t xml:space="preserve"> are aimed at addressing the challenges of access to data and user uptake</w:t>
      </w:r>
      <w:r w:rsidR="00F12B78" w:rsidRPr="00A04E56">
        <w:t xml:space="preserve"> </w:t>
      </w:r>
      <w:r w:rsidRPr="00A04E56">
        <w:t>.</w:t>
      </w:r>
    </w:p>
    <w:p w14:paraId="4DC22E8A" w14:textId="46083D18" w:rsidR="00FF704F" w:rsidRPr="00A04E56" w:rsidRDefault="00FF704F" w:rsidP="00A62EAF">
      <w:pPr>
        <w:pStyle w:val="BodyText1spaceafter"/>
      </w:pPr>
      <w:r w:rsidRPr="00A04E56">
        <w:t xml:space="preserve">Galileo and the European </w:t>
      </w:r>
      <w:r w:rsidR="0046766A" w:rsidRPr="00A04E56">
        <w:t>G</w:t>
      </w:r>
      <w:r w:rsidR="00C05C57" w:rsidRPr="00A04E56">
        <w:t xml:space="preserve">eostationary </w:t>
      </w:r>
      <w:r w:rsidR="0046766A" w:rsidRPr="00A04E56">
        <w:t>N</w:t>
      </w:r>
      <w:r w:rsidR="00C05C57" w:rsidRPr="00A04E56">
        <w:t xml:space="preserve">avigation </w:t>
      </w:r>
      <w:r w:rsidR="0046766A" w:rsidRPr="00A04E56">
        <w:t>O</w:t>
      </w:r>
      <w:r w:rsidR="00C05C57" w:rsidRPr="00A04E56">
        <w:t xml:space="preserve">verlay </w:t>
      </w:r>
      <w:r w:rsidR="0046766A" w:rsidRPr="00A04E56">
        <w:rPr>
          <w:noProof w:val="0"/>
        </w:rPr>
        <w:t>S</w:t>
      </w:r>
      <w:r w:rsidR="00C05C57" w:rsidRPr="00A04E56">
        <w:rPr>
          <w:noProof w:val="0"/>
        </w:rPr>
        <w:t>ervices</w:t>
      </w:r>
      <w:r w:rsidRPr="00A04E56">
        <w:t xml:space="preserve"> are progressing well in delivering on </w:t>
      </w:r>
      <w:r w:rsidR="00560C4F" w:rsidRPr="00A04E56">
        <w:t>their</w:t>
      </w:r>
      <w:r w:rsidRPr="00A04E56">
        <w:t xml:space="preserve"> objectives according to the mid</w:t>
      </w:r>
      <w:r w:rsidR="00835047" w:rsidRPr="00A04E56">
        <w:rPr>
          <w:noProof w:val="0"/>
        </w:rPr>
        <w:t>term</w:t>
      </w:r>
      <w:r w:rsidRPr="00A04E56">
        <w:t xml:space="preserve"> evaluation</w:t>
      </w:r>
      <w:r w:rsidR="00633D4D" w:rsidRPr="00A04E56">
        <w:rPr>
          <w:rStyle w:val="fnRef"/>
          <w:rFonts w:ascii="Arial" w:hAnsi="Arial" w:cs="Arial"/>
        </w:rPr>
        <w:t> </w:t>
      </w:r>
      <w:r w:rsidR="0035678A" w:rsidRPr="00A04E56">
        <w:rPr>
          <w:rStyle w:val="fnRef"/>
        </w:rPr>
        <w:t>(</w:t>
      </w:r>
      <w:r w:rsidR="0035678A" w:rsidRPr="00A04E56">
        <w:rPr>
          <w:rStyle w:val="fnRefNo"/>
        </w:rPr>
        <w:footnoteReference w:id="107"/>
      </w:r>
      <w:r w:rsidR="0035678A" w:rsidRPr="00A04E56">
        <w:rPr>
          <w:rStyle w:val="fnRef"/>
        </w:rPr>
        <w:t>)</w:t>
      </w:r>
      <w:r w:rsidR="009C631B" w:rsidRPr="00A04E56">
        <w:t>.</w:t>
      </w:r>
      <w:r w:rsidRPr="00A04E56">
        <w:t xml:space="preserve"> However, the evaluation identified some inefficiency issues linked to governance</w:t>
      </w:r>
      <w:r w:rsidR="00387F96" w:rsidRPr="00A04E56">
        <w:t>,</w:t>
      </w:r>
      <w:r w:rsidR="005C5711" w:rsidRPr="00A04E56">
        <w:t xml:space="preserve"> given </w:t>
      </w:r>
      <w:r w:rsidRPr="00A04E56">
        <w:t xml:space="preserve">the number of actors involved and </w:t>
      </w:r>
      <w:r w:rsidR="005C5711" w:rsidRPr="00A04E56">
        <w:t>because of differences</w:t>
      </w:r>
      <w:r w:rsidRPr="00A04E56">
        <w:t xml:space="preserve"> </w:t>
      </w:r>
      <w:r w:rsidR="005C7E11" w:rsidRPr="00A04E56">
        <w:t>in</w:t>
      </w:r>
      <w:r w:rsidRPr="00A04E56">
        <w:t xml:space="preserve"> </w:t>
      </w:r>
      <w:r w:rsidR="009739CF" w:rsidRPr="00A04E56">
        <w:t xml:space="preserve">governance structures and work organisation between </w:t>
      </w:r>
      <w:r w:rsidRPr="00A04E56">
        <w:t>deployment</w:t>
      </w:r>
      <w:r w:rsidR="009739CF" w:rsidRPr="00A04E56">
        <w:t xml:space="preserve"> and</w:t>
      </w:r>
      <w:r w:rsidRPr="00A04E56">
        <w:t xml:space="preserve"> exploitation. </w:t>
      </w:r>
      <w:r w:rsidR="000F188F" w:rsidRPr="00A04E56">
        <w:t>The evaluation also identified</w:t>
      </w:r>
      <w:r w:rsidR="005C5711" w:rsidRPr="00A04E56">
        <w:t xml:space="preserve"> inefficiency linked to security governance.</w:t>
      </w:r>
    </w:p>
    <w:p w14:paraId="2D804FCC" w14:textId="56E72AE3" w:rsidR="00FF704F" w:rsidRPr="00A04E56" w:rsidRDefault="00FF704F" w:rsidP="00A62EAF">
      <w:pPr>
        <w:pStyle w:val="BodyText1spaceafter"/>
      </w:pPr>
      <w:r w:rsidRPr="00A04E56">
        <w:t xml:space="preserve">The proposal for a </w:t>
      </w:r>
      <w:r w:rsidR="007619D6" w:rsidRPr="00A04E56">
        <w:t>r</w:t>
      </w:r>
      <w:r w:rsidRPr="00A04E56">
        <w:t xml:space="preserve">egulation of the </w:t>
      </w:r>
      <w:r w:rsidR="00BF6D36" w:rsidRPr="00A04E56">
        <w:t xml:space="preserve">EU </w:t>
      </w:r>
      <w:r w:rsidRPr="00A04E56">
        <w:t>space programme</w:t>
      </w:r>
      <w:r w:rsidRPr="00A04E56" w:rsidDel="00BF6D36">
        <w:t xml:space="preserve"> </w:t>
      </w:r>
      <w:r w:rsidRPr="00A04E56">
        <w:t xml:space="preserve">for the post-2020 </w:t>
      </w:r>
      <w:r w:rsidR="001757F1" w:rsidRPr="00A04E56">
        <w:t>multian</w:t>
      </w:r>
      <w:r w:rsidRPr="00A04E56">
        <w:t xml:space="preserve">nual </w:t>
      </w:r>
      <w:r w:rsidR="001757F1" w:rsidRPr="00A04E56">
        <w:t xml:space="preserve">financial framework </w:t>
      </w:r>
      <w:r w:rsidRPr="00A04E56">
        <w:t>aims to address these governance concerns</w:t>
      </w:r>
      <w:r w:rsidR="00633D4D" w:rsidRPr="00A04E56">
        <w:rPr>
          <w:rStyle w:val="fnRef"/>
          <w:rFonts w:ascii="Arial" w:hAnsi="Arial" w:cs="Arial"/>
        </w:rPr>
        <w:t> </w:t>
      </w:r>
      <w:r w:rsidR="0035678A" w:rsidRPr="00A04E56">
        <w:rPr>
          <w:rStyle w:val="fnRef"/>
        </w:rPr>
        <w:t>(</w:t>
      </w:r>
      <w:r w:rsidR="0035678A" w:rsidRPr="00A04E56">
        <w:rPr>
          <w:rStyle w:val="fnRefNo"/>
        </w:rPr>
        <w:footnoteReference w:id="108"/>
      </w:r>
      <w:r w:rsidR="0035678A" w:rsidRPr="00A04E56">
        <w:rPr>
          <w:rStyle w:val="fnRef"/>
        </w:rPr>
        <w:t>)</w:t>
      </w:r>
      <w:r w:rsidR="005C5711" w:rsidRPr="00A04E56" w:rsidDel="00DC19AC">
        <w:t xml:space="preserve"> </w:t>
      </w:r>
      <w:r w:rsidR="005C5711" w:rsidRPr="00A04E56">
        <w:t xml:space="preserve">by </w:t>
      </w:r>
      <w:r w:rsidRPr="00A04E56">
        <w:t xml:space="preserve">clarifying the relations between the various </w:t>
      </w:r>
      <w:r w:rsidR="005625F4" w:rsidRPr="00A04E56">
        <w:t>stakeholder</w:t>
      </w:r>
      <w:r w:rsidRPr="00A04E56">
        <w:t>s</w:t>
      </w:r>
      <w:r w:rsidRPr="00A04E56" w:rsidDel="00DC19AC">
        <w:t xml:space="preserve"> </w:t>
      </w:r>
      <w:r w:rsidRPr="00A04E56">
        <w:t xml:space="preserve">and the role of </w:t>
      </w:r>
      <w:r w:rsidR="005625F4" w:rsidRPr="00A04E56">
        <w:t>each</w:t>
      </w:r>
      <w:r w:rsidR="00DC19AC" w:rsidRPr="00A04E56">
        <w:t xml:space="preserve"> one (i.e. </w:t>
      </w:r>
      <w:r w:rsidRPr="00A04E56">
        <w:t>mainly the Member States, the Commission and the E</w:t>
      </w:r>
      <w:r w:rsidR="00F504A4" w:rsidRPr="00A04E56">
        <w:t>uropean</w:t>
      </w:r>
      <w:r w:rsidRPr="00A04E56">
        <w:t xml:space="preserve"> Space</w:t>
      </w:r>
      <w:r w:rsidR="00F504A4" w:rsidRPr="00A04E56">
        <w:t xml:space="preserve"> Agency</w:t>
      </w:r>
      <w:r w:rsidR="00F504A4" w:rsidRPr="00A04E56">
        <w:rPr>
          <w:rFonts w:ascii="Calibri" w:hAnsi="Calibri" w:cs="Calibri"/>
        </w:rPr>
        <w:t> (ESA)</w:t>
      </w:r>
      <w:r w:rsidR="00DC19AC" w:rsidRPr="00A04E56">
        <w:t>)</w:t>
      </w:r>
      <w:r w:rsidRPr="00A04E56">
        <w:t>, and by establishing a unified system of governance for all the components of this programme</w:t>
      </w:r>
      <w:r w:rsidR="0046766A" w:rsidRPr="00A04E56">
        <w:t>)</w:t>
      </w:r>
      <w:r w:rsidRPr="00A04E56">
        <w:t xml:space="preserve">. </w:t>
      </w:r>
      <w:r w:rsidR="00C40273" w:rsidRPr="00A04E56">
        <w:t>The legislation</w:t>
      </w:r>
      <w:r w:rsidRPr="00A04E56" w:rsidDel="00F36DA3">
        <w:t xml:space="preserve"> </w:t>
      </w:r>
      <w:r w:rsidRPr="00A04E56">
        <w:t xml:space="preserve">enhances the role of the former European </w:t>
      </w:r>
      <w:r w:rsidR="0046766A" w:rsidRPr="00A04E56">
        <w:t>G</w:t>
      </w:r>
      <w:r w:rsidR="005C0E47" w:rsidRPr="00A04E56">
        <w:t xml:space="preserve">lobal </w:t>
      </w:r>
      <w:r w:rsidR="0046766A" w:rsidRPr="00A04E56">
        <w:t>N</w:t>
      </w:r>
      <w:r w:rsidR="005C0E47" w:rsidRPr="00A04E56">
        <w:t xml:space="preserve">avigation </w:t>
      </w:r>
      <w:r w:rsidR="0046766A" w:rsidRPr="00A04E56">
        <w:t>S</w:t>
      </w:r>
      <w:r w:rsidR="005C0E47" w:rsidRPr="00A04E56">
        <w:t xml:space="preserve">atellite </w:t>
      </w:r>
      <w:r w:rsidR="0046766A" w:rsidRPr="00A04E56">
        <w:t>S</w:t>
      </w:r>
      <w:r w:rsidR="005C0E47" w:rsidRPr="00A04E56">
        <w:t>ystem</w:t>
      </w:r>
      <w:r w:rsidR="005C0E47" w:rsidRPr="00A04E56">
        <w:rPr>
          <w:rFonts w:ascii="Calibri" w:hAnsi="Calibri" w:cs="Calibri"/>
        </w:rPr>
        <w:t> </w:t>
      </w:r>
      <w:r w:rsidR="005C0E47" w:rsidRPr="00A04E56">
        <w:rPr>
          <w:rFonts w:cs="Calibri"/>
        </w:rPr>
        <w:t>(GNSS)</w:t>
      </w:r>
      <w:r w:rsidR="005C0E47" w:rsidRPr="00A04E56">
        <w:t xml:space="preserve"> </w:t>
      </w:r>
      <w:r w:rsidR="00C40273" w:rsidRPr="00A04E56">
        <w:t>ag</w:t>
      </w:r>
      <w:r w:rsidRPr="00A04E56">
        <w:t xml:space="preserve">ency by expanding the scope of its tasks as regards security accreditation to include all the components of the </w:t>
      </w:r>
      <w:r w:rsidR="009A3132" w:rsidRPr="00A04E56">
        <w:t xml:space="preserve">EU </w:t>
      </w:r>
      <w:r w:rsidR="00C40273" w:rsidRPr="00A04E56">
        <w:t>space progra</w:t>
      </w:r>
      <w:r w:rsidRPr="00A04E56">
        <w:t>mme</w:t>
      </w:r>
      <w:r w:rsidR="009739CF" w:rsidRPr="00A04E56">
        <w:t xml:space="preserve"> and market update activities</w:t>
      </w:r>
      <w:r w:rsidR="009C631B" w:rsidRPr="00A04E56">
        <w:t>.</w:t>
      </w:r>
      <w:r w:rsidRPr="00A04E56">
        <w:t xml:space="preserve"> The new regulation also specifies and standardises the security framework for the </w:t>
      </w:r>
      <w:r w:rsidR="009A3132" w:rsidRPr="00A04E56">
        <w:t xml:space="preserve">EU </w:t>
      </w:r>
      <w:r w:rsidR="00C40273" w:rsidRPr="00A04E56">
        <w:t>space p</w:t>
      </w:r>
      <w:r w:rsidRPr="00A04E56">
        <w:t>rogramme.</w:t>
      </w:r>
    </w:p>
    <w:p w14:paraId="6E692575" w14:textId="396646C4" w:rsidR="00FF704F" w:rsidRPr="00A04E56" w:rsidRDefault="00FF704F" w:rsidP="00A023CF">
      <w:pPr>
        <w:pStyle w:val="Title2Report"/>
      </w:pPr>
      <w:bookmarkStart w:id="74" w:name="_Toc4603964"/>
      <w:bookmarkStart w:id="75" w:name="_Toc12021003"/>
      <w:r w:rsidRPr="00A04E56">
        <w:t xml:space="preserve">European </w:t>
      </w:r>
      <w:r w:rsidR="00074D62" w:rsidRPr="00A04E56">
        <w:t>D</w:t>
      </w:r>
      <w:r w:rsidR="00FE7FBB" w:rsidRPr="00A04E56">
        <w:t xml:space="preserve">efence </w:t>
      </w:r>
      <w:r w:rsidR="00074D62" w:rsidRPr="00A04E56">
        <w:t>I</w:t>
      </w:r>
      <w:r w:rsidR="00FE7FBB" w:rsidRPr="00A04E56">
        <w:t>ndustrial</w:t>
      </w:r>
      <w:r w:rsidR="00074D62" w:rsidRPr="00A04E56">
        <w:t xml:space="preserve"> D</w:t>
      </w:r>
      <w:r w:rsidR="00FE7FBB" w:rsidRPr="00A04E56">
        <w:t xml:space="preserve">evelopment </w:t>
      </w:r>
      <w:r w:rsidR="00074D62" w:rsidRPr="00A04E56">
        <w:t>P</w:t>
      </w:r>
      <w:r w:rsidR="00FE7FBB" w:rsidRPr="00A04E56">
        <w:t>rogramme</w:t>
      </w:r>
      <w:bookmarkEnd w:id="74"/>
      <w:bookmarkEnd w:id="75"/>
      <w:r w:rsidR="00FE7FBB" w:rsidRPr="00A04E56">
        <w:t xml:space="preserve"> </w:t>
      </w:r>
    </w:p>
    <w:tbl>
      <w:tblPr>
        <w:tblStyle w:val="TableGrid"/>
        <w:tblW w:w="0" w:type="auto"/>
        <w:tblBorders>
          <w:top w:val="none" w:sz="0" w:space="0" w:color="auto"/>
          <w:left w:val="none" w:sz="0" w:space="0" w:color="auto"/>
          <w:bottom w:val="single" w:sz="12" w:space="0" w:color="65BBC8" w:themeColor="accent1"/>
          <w:right w:val="none" w:sz="0" w:space="0" w:color="auto"/>
          <w:insideH w:val="none" w:sz="0" w:space="0" w:color="auto"/>
          <w:insideV w:val="none" w:sz="0" w:space="0" w:color="auto"/>
        </w:tblBorders>
        <w:tblLook w:val="04A0" w:firstRow="1" w:lastRow="0" w:firstColumn="1" w:lastColumn="0" w:noHBand="0" w:noVBand="1"/>
      </w:tblPr>
      <w:tblGrid>
        <w:gridCol w:w="1926"/>
        <w:gridCol w:w="7360"/>
      </w:tblGrid>
      <w:tr w:rsidR="00642DF3" w:rsidRPr="00A04E56" w14:paraId="18D03F54" w14:textId="77777777" w:rsidTr="005E39D1">
        <w:tc>
          <w:tcPr>
            <w:tcW w:w="1843" w:type="dxa"/>
          </w:tcPr>
          <w:p w14:paraId="505CB3DD" w14:textId="7ED79125" w:rsidR="00642DF3" w:rsidRPr="00A04E56" w:rsidRDefault="008D6A1C" w:rsidP="005E39D1">
            <w:pPr>
              <w:pStyle w:val="BodyText10"/>
              <w:rPr>
                <w:lang w:val="en-GB"/>
              </w:rPr>
            </w:pPr>
            <w:bookmarkStart w:id="76" w:name="_Toc4680697"/>
            <w:bookmarkStart w:id="77" w:name="_Toc4682971"/>
            <w:r>
              <w:rPr>
                <w:lang w:val="fr-BE"/>
              </w:rPr>
              <w:drawing>
                <wp:inline distT="0" distB="0" distL="0" distR="0" wp14:anchorId="11627742" wp14:editId="457628D5">
                  <wp:extent cx="1078994" cy="1069850"/>
                  <wp:effectExtent l="0" t="0" r="698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quote blue - scaled down.png"/>
                          <pic:cNvPicPr/>
                        </pic:nvPicPr>
                        <pic:blipFill>
                          <a:blip r:embed="rId120" cstate="email">
                            <a:extLst>
                              <a:ext uri="{28A0092B-C50C-407E-A947-70E740481C1C}">
                                <a14:useLocalDpi xmlns:a14="http://schemas.microsoft.com/office/drawing/2010/main"/>
                              </a:ext>
                            </a:extLst>
                          </a:blip>
                          <a:stretch>
                            <a:fillRect/>
                          </a:stretch>
                        </pic:blipFill>
                        <pic:spPr>
                          <a:xfrm>
                            <a:off x="0" y="0"/>
                            <a:ext cx="1078994" cy="1069850"/>
                          </a:xfrm>
                          <a:prstGeom prst="rect">
                            <a:avLst/>
                          </a:prstGeom>
                        </pic:spPr>
                      </pic:pic>
                    </a:graphicData>
                  </a:graphic>
                </wp:inline>
              </w:drawing>
            </w:r>
          </w:p>
        </w:tc>
        <w:tc>
          <w:tcPr>
            <w:tcW w:w="7445" w:type="dxa"/>
            <w:vAlign w:val="center"/>
          </w:tcPr>
          <w:p w14:paraId="0F6CFEE7" w14:textId="77777777" w:rsidR="00642DF3" w:rsidRPr="00A04E56" w:rsidRDefault="00642DF3" w:rsidP="00590CC6">
            <w:pPr>
              <w:pStyle w:val="QuoteReport"/>
              <w:keepNext/>
              <w:keepLines/>
              <w:ind w:left="40"/>
              <w:rPr>
                <w:lang w:val="en-GB"/>
              </w:rPr>
            </w:pPr>
            <w:r w:rsidRPr="00A04E56">
              <w:rPr>
                <w:lang w:val="en-GB"/>
              </w:rPr>
              <w:t>I will continue to work day and night over the next months to see the European Defence Fund and Permanent Structured Cooperation in Defence become fully operational.</w:t>
            </w:r>
          </w:p>
          <w:p w14:paraId="637BA0AF" w14:textId="77777777" w:rsidR="00642DF3" w:rsidRPr="00A04E56" w:rsidRDefault="00642DF3" w:rsidP="005E39D1">
            <w:pPr>
              <w:pStyle w:val="QuoteReportRef"/>
              <w:rPr>
                <w:lang w:val="en-GB"/>
              </w:rPr>
            </w:pPr>
            <w:r w:rsidRPr="00A04E56">
              <w:rPr>
                <w:lang w:val="en-GB"/>
              </w:rPr>
              <w:t>President Jean-Claude Juncker, State of the Union 2018</w:t>
            </w:r>
          </w:p>
        </w:tc>
      </w:tr>
    </w:tbl>
    <w:p w14:paraId="06572291" w14:textId="77777777" w:rsidR="00306DFA" w:rsidRPr="00A04E56" w:rsidRDefault="00306DFA" w:rsidP="00642DF3">
      <w:pPr>
        <w:pStyle w:val="NormalWeb"/>
        <w:jc w:val="both"/>
        <w:rPr>
          <w:rFonts w:eastAsia="Calibri"/>
          <w:noProof/>
          <w:color w:val="000000" w:themeColor="text1"/>
          <w:szCs w:val="22"/>
          <w:lang w:eastAsia="fr-BE"/>
        </w:rPr>
      </w:pPr>
    </w:p>
    <w:bookmarkEnd w:id="76"/>
    <w:bookmarkEnd w:id="77"/>
    <w:p w14:paraId="167F4559" w14:textId="09140335" w:rsidR="00D71D0E" w:rsidRPr="00A04E56" w:rsidRDefault="00D71D0E" w:rsidP="00AA0340">
      <w:pPr>
        <w:pStyle w:val="Title3NumberedReport"/>
      </w:pPr>
      <w:r w:rsidRPr="00A04E56">
        <w:t>Programme objectives</w:t>
      </w:r>
      <w:r w:rsidR="00376121" w:rsidRPr="00A04E56">
        <w:t xml:space="preserve"> </w:t>
      </w:r>
    </w:p>
    <w:p w14:paraId="4048E35C" w14:textId="77777777" w:rsidR="00642DF3" w:rsidRPr="00A04E56" w:rsidRDefault="00642DF3" w:rsidP="00642DF3">
      <w:pPr>
        <w:pStyle w:val="BodyText1spaceafter"/>
      </w:pPr>
      <w:r w:rsidRPr="00A04E56">
        <w:t xml:space="preserve">In a world of increasing instability and cross-border threats to our security, no country can succeed alone. That is why the Juncker Commission is making an unprecedented effort to protect and defend Europeans. The European Union cannot substitute Member States’ efforts in defence, but it can encourage their collaboration in developing and acquiring the technologies and equipment needed to address common security and defence challenges. </w:t>
      </w:r>
    </w:p>
    <w:p w14:paraId="177692A3" w14:textId="24FF3157" w:rsidR="00642DF3" w:rsidRPr="00A04E56" w:rsidRDefault="00642DF3" w:rsidP="00642DF3">
      <w:pPr>
        <w:pStyle w:val="BodyText1spaceafter"/>
      </w:pPr>
      <w:r w:rsidRPr="00A04E56">
        <w:t>On 18</w:t>
      </w:r>
      <w:r w:rsidRPr="00A04E56">
        <w:rPr>
          <w:rFonts w:cs="Calibri"/>
        </w:rPr>
        <w:t> </w:t>
      </w:r>
      <w:r w:rsidRPr="00A04E56">
        <w:t>July</w:t>
      </w:r>
      <w:r w:rsidRPr="00A04E56">
        <w:rPr>
          <w:rFonts w:cs="Calibri"/>
        </w:rPr>
        <w:t> </w:t>
      </w:r>
      <w:r w:rsidRPr="00A04E56">
        <w:t xml:space="preserve">2018 the European </w:t>
      </w:r>
      <w:r w:rsidR="00074D62" w:rsidRPr="00A04E56">
        <w:t>D</w:t>
      </w:r>
      <w:r w:rsidRPr="00A04E56">
        <w:t xml:space="preserve">efence </w:t>
      </w:r>
      <w:r w:rsidR="00074D62" w:rsidRPr="00A04E56">
        <w:t>I</w:t>
      </w:r>
      <w:r w:rsidRPr="00A04E56">
        <w:t>ndustrial</w:t>
      </w:r>
      <w:r w:rsidR="00074D62" w:rsidRPr="00A04E56">
        <w:t xml:space="preserve"> D</w:t>
      </w:r>
      <w:r w:rsidRPr="00A04E56">
        <w:t xml:space="preserve">evelopment </w:t>
      </w:r>
      <w:r w:rsidR="00074D62" w:rsidRPr="00A04E56">
        <w:t>P</w:t>
      </w:r>
      <w:r w:rsidRPr="00A04E56">
        <w:t xml:space="preserve">rogramme was adopted under the EU budget for 2019 and 2020. It supports the </w:t>
      </w:r>
      <w:r w:rsidRPr="00A04E56">
        <w:rPr>
          <w:rStyle w:val="BOLDLIGHTBLUEReport"/>
          <w:rFonts w:eastAsia="Calibri"/>
        </w:rPr>
        <w:t>competitiveness and innovative capacity of the EU defence industry</w:t>
      </w:r>
      <w:r w:rsidRPr="00A04E56">
        <w:t>, specifically in the development of prototypes</w:t>
      </w:r>
      <w:r w:rsidR="0067244B" w:rsidRPr="00A04E56">
        <w:t>,</w:t>
      </w:r>
      <w:r w:rsidRPr="00A04E56">
        <w:t xml:space="preserve"> defence equipment and technology through co-financing from the EU budget</w:t>
      </w:r>
      <w:r w:rsidR="0067244B" w:rsidRPr="00A04E56">
        <w:t>. The programme is implemented directly by</w:t>
      </w:r>
      <w:r w:rsidRPr="00A04E56">
        <w:t xml:space="preserve"> the Commission.</w:t>
      </w:r>
    </w:p>
    <w:p w14:paraId="4E79C021" w14:textId="21F36A95" w:rsidR="00902925" w:rsidRPr="00A04E56" w:rsidRDefault="00FF704F" w:rsidP="005941EE">
      <w:pPr>
        <w:pStyle w:val="BodyText1spaceafter"/>
        <w:rPr>
          <w:szCs w:val="20"/>
        </w:rPr>
      </w:pPr>
      <w:r w:rsidRPr="00A04E56">
        <w:t xml:space="preserve">The </w:t>
      </w:r>
      <w:r w:rsidR="00074D62" w:rsidRPr="00A04E56">
        <w:t xml:space="preserve">European Defence Industrial Development Programme </w:t>
      </w:r>
      <w:r w:rsidRPr="00A04E56">
        <w:t>help</w:t>
      </w:r>
      <w:r w:rsidR="00E73086" w:rsidRPr="00A04E56">
        <w:t>s</w:t>
      </w:r>
      <w:r w:rsidRPr="00A04E56">
        <w:t xml:space="preserve"> creat</w:t>
      </w:r>
      <w:r w:rsidR="00E73086" w:rsidRPr="00A04E56">
        <w:rPr>
          <w:szCs w:val="20"/>
        </w:rPr>
        <w:t>ing</w:t>
      </w:r>
      <w:r w:rsidRPr="00A04E56">
        <w:rPr>
          <w:szCs w:val="20"/>
        </w:rPr>
        <w:t xml:space="preserve"> a collaborative approach between </w:t>
      </w:r>
      <w:r w:rsidR="00617221" w:rsidRPr="00A04E56">
        <w:rPr>
          <w:szCs w:val="20"/>
        </w:rPr>
        <w:t xml:space="preserve">the </w:t>
      </w:r>
      <w:r w:rsidRPr="00A04E56">
        <w:rPr>
          <w:szCs w:val="20"/>
        </w:rPr>
        <w:t>defence industr</w:t>
      </w:r>
      <w:r w:rsidR="00845B6C" w:rsidRPr="00A04E56">
        <w:rPr>
          <w:szCs w:val="20"/>
        </w:rPr>
        <w:t xml:space="preserve">ies </w:t>
      </w:r>
      <w:r w:rsidR="00617221" w:rsidRPr="00A04E56">
        <w:rPr>
          <w:szCs w:val="20"/>
        </w:rPr>
        <w:t>in</w:t>
      </w:r>
      <w:r w:rsidRPr="00A04E56">
        <w:rPr>
          <w:szCs w:val="20"/>
        </w:rPr>
        <w:t xml:space="preserve"> the Member States. The financial contribution of the EU unlock</w:t>
      </w:r>
      <w:r w:rsidR="00312A39" w:rsidRPr="00A04E56">
        <w:rPr>
          <w:szCs w:val="20"/>
        </w:rPr>
        <w:t>s</w:t>
      </w:r>
      <w:r w:rsidRPr="00A04E56">
        <w:rPr>
          <w:szCs w:val="20"/>
        </w:rPr>
        <w:t xml:space="preserve"> development projects that otherwise would not have </w:t>
      </w:r>
      <w:r w:rsidR="0067244B" w:rsidRPr="00A04E56">
        <w:rPr>
          <w:szCs w:val="20"/>
        </w:rPr>
        <w:t xml:space="preserve">happened </w:t>
      </w:r>
      <w:r w:rsidR="002A58C3" w:rsidRPr="00A04E56">
        <w:rPr>
          <w:szCs w:val="20"/>
        </w:rPr>
        <w:t xml:space="preserve">due to </w:t>
      </w:r>
      <w:r w:rsidR="0067244B" w:rsidRPr="00A04E56">
        <w:rPr>
          <w:szCs w:val="20"/>
        </w:rPr>
        <w:t>high</w:t>
      </w:r>
      <w:r w:rsidRPr="00A04E56">
        <w:rPr>
          <w:szCs w:val="20"/>
        </w:rPr>
        <w:t xml:space="preserve"> financing needs or</w:t>
      </w:r>
      <w:r w:rsidRPr="00A04E56" w:rsidDel="002A58C3">
        <w:rPr>
          <w:szCs w:val="20"/>
        </w:rPr>
        <w:t xml:space="preserve"> </w:t>
      </w:r>
      <w:r w:rsidRPr="00A04E56">
        <w:rPr>
          <w:szCs w:val="20"/>
        </w:rPr>
        <w:t>technological risks involved</w:t>
      </w:r>
      <w:r w:rsidR="0067244B" w:rsidRPr="00A04E56">
        <w:rPr>
          <w:szCs w:val="20"/>
        </w:rPr>
        <w:t>. The programme is an enabling factor</w:t>
      </w:r>
      <w:r w:rsidRPr="00A04E56">
        <w:rPr>
          <w:szCs w:val="20"/>
        </w:rPr>
        <w:t xml:space="preserve"> leading to additional collaborative </w:t>
      </w:r>
      <w:r w:rsidR="0067244B" w:rsidRPr="00A04E56">
        <w:rPr>
          <w:szCs w:val="20"/>
        </w:rPr>
        <w:t xml:space="preserve">capability </w:t>
      </w:r>
      <w:r w:rsidRPr="00A04E56">
        <w:rPr>
          <w:szCs w:val="20"/>
        </w:rPr>
        <w:t>development projects</w:t>
      </w:r>
      <w:r w:rsidR="0067244B" w:rsidRPr="00A04E56">
        <w:rPr>
          <w:szCs w:val="20"/>
        </w:rPr>
        <w:t xml:space="preserve"> in key defence areas</w:t>
      </w:r>
      <w:r w:rsidRPr="00A04E56">
        <w:rPr>
          <w:szCs w:val="20"/>
        </w:rPr>
        <w:t>.</w:t>
      </w:r>
    </w:p>
    <w:p w14:paraId="0FEF50DE" w14:textId="69DAB5FD" w:rsidR="00FF704F" w:rsidRPr="00A04E56" w:rsidRDefault="00FF704F" w:rsidP="00AA32E1">
      <w:pPr>
        <w:pStyle w:val="BodyText1spacebeforeandafter"/>
        <w:rPr>
          <w:szCs w:val="20"/>
        </w:rPr>
      </w:pPr>
      <w:r w:rsidRPr="00A04E56">
        <w:t>Member States may</w:t>
      </w:r>
      <w:r w:rsidR="004E607C" w:rsidRPr="00A04E56">
        <w:t>,</w:t>
      </w:r>
      <w:r w:rsidRPr="00A04E56">
        <w:t xml:space="preserve"> for example</w:t>
      </w:r>
      <w:r w:rsidR="004E607C" w:rsidRPr="00A04E56">
        <w:t>,</w:t>
      </w:r>
      <w:r w:rsidRPr="00A04E56">
        <w:t xml:space="preserve"> jointly invest in developing drone technology or satellite communication, or</w:t>
      </w:r>
      <w:r w:rsidR="004E607C" w:rsidRPr="00A04E56">
        <w:t xml:space="preserve"> they may</w:t>
      </w:r>
      <w:r w:rsidRPr="00A04E56">
        <w:t xml:space="preserve"> bulk buy helicopters to reduce costs. Only collaborative projects will be eligible, and a proportion of the overall budget will be </w:t>
      </w:r>
      <w:r w:rsidRPr="00A04E56">
        <w:rPr>
          <w:szCs w:val="20"/>
        </w:rPr>
        <w:t>earmarked for projects involving cross-border participation of small and medium-sized enterprises.</w:t>
      </w:r>
    </w:p>
    <w:p w14:paraId="57A492EF" w14:textId="124C8855" w:rsidR="00BA7C5D" w:rsidRPr="00A04E56" w:rsidRDefault="00BA7C5D" w:rsidP="00C257BF">
      <w:pPr>
        <w:pStyle w:val="BOX3BluedashedborderBluetext-Bold"/>
        <w:keepNext/>
      </w:pPr>
      <w:r w:rsidRPr="00A04E56">
        <w:t>European cooperation in matters of defence makes economic sense.</w:t>
      </w:r>
      <w:r w:rsidR="005F56CA" w:rsidRPr="00A04E56">
        <w:t xml:space="preserve"> There is a strong case for the </w:t>
      </w:r>
      <w:r w:rsidR="00244AFB" w:rsidRPr="00A04E56">
        <w:t>E</w:t>
      </w:r>
      <w:r w:rsidR="005F56CA" w:rsidRPr="00A04E56">
        <w:t>uropean added value of a European Defence Fund</w:t>
      </w:r>
      <w:r w:rsidR="00A2656B" w:rsidRPr="00A04E56">
        <w:t>.</w:t>
      </w:r>
    </w:p>
    <w:p w14:paraId="288037EC" w14:textId="147BFE6F" w:rsidR="00BA7C5D" w:rsidRPr="00A04E56" w:rsidRDefault="00BA7C5D" w:rsidP="00C257BF">
      <w:pPr>
        <w:pStyle w:val="BOX3BluedashedborderBluebullets"/>
        <w:keepNext/>
      </w:pPr>
      <w:r w:rsidRPr="00A04E56">
        <w:t xml:space="preserve">Lack of cooperation between </w:t>
      </w:r>
      <w:r w:rsidR="0067244B" w:rsidRPr="00A04E56">
        <w:t>M</w:t>
      </w:r>
      <w:r w:rsidRPr="00A04E56">
        <w:t xml:space="preserve">ember </w:t>
      </w:r>
      <w:r w:rsidR="0067244B" w:rsidRPr="00A04E56">
        <w:t>S</w:t>
      </w:r>
      <w:r w:rsidRPr="00A04E56">
        <w:t>tates in the field of defence is estimated to cost between EUR 25 billion and EUR 100 billion every year.</w:t>
      </w:r>
    </w:p>
    <w:p w14:paraId="3DA3D8C1" w14:textId="7BECA38D" w:rsidR="00BA7C5D" w:rsidRPr="00A04E56" w:rsidRDefault="00BA7C5D" w:rsidP="00C257BF">
      <w:pPr>
        <w:pStyle w:val="BOX3BluedashedborderBluebullets"/>
        <w:keepNext/>
      </w:pPr>
      <w:r w:rsidRPr="00A04E56">
        <w:t xml:space="preserve">EUR 600 million </w:t>
      </w:r>
      <w:r w:rsidR="000D7FA9" w:rsidRPr="00A04E56">
        <w:t xml:space="preserve">per year </w:t>
      </w:r>
      <w:r w:rsidRPr="00A04E56">
        <w:t xml:space="preserve">could be saved if European armies shared infantry vehicles and EUR 500 million </w:t>
      </w:r>
      <w:r w:rsidR="000D7FA9" w:rsidRPr="00A04E56">
        <w:t>per year</w:t>
      </w:r>
      <w:r w:rsidRPr="00A04E56">
        <w:t xml:space="preserve"> if they had one certification system for ammunition.</w:t>
      </w:r>
    </w:p>
    <w:p w14:paraId="49598519" w14:textId="46252880" w:rsidR="00BA7C5D" w:rsidRPr="00A04E56" w:rsidRDefault="00BA7C5D" w:rsidP="00C257BF">
      <w:pPr>
        <w:pStyle w:val="BOX3BluedashedborderBluetext"/>
        <w:keepNext/>
        <w:numPr>
          <w:ilvl w:val="0"/>
          <w:numId w:val="74"/>
        </w:numPr>
        <w:ind w:left="357" w:hanging="357"/>
      </w:pPr>
      <w:r w:rsidRPr="00A04E56">
        <w:t xml:space="preserve">There are 178 </w:t>
      </w:r>
      <w:r w:rsidR="005F56CA" w:rsidRPr="00A04E56">
        <w:t>types of weapon</w:t>
      </w:r>
      <w:r w:rsidRPr="00A04E56">
        <w:t xml:space="preserve"> systems in Europe, 30 in the United States.</w:t>
      </w:r>
    </w:p>
    <w:p w14:paraId="2DF133E1" w14:textId="7A466592" w:rsidR="00BA7C5D" w:rsidRPr="00A04E56" w:rsidRDefault="00BA7C5D" w:rsidP="00C257BF">
      <w:pPr>
        <w:pStyle w:val="BOX3BluedashedborderBluetext"/>
        <w:keepNext/>
        <w:numPr>
          <w:ilvl w:val="0"/>
          <w:numId w:val="74"/>
        </w:numPr>
        <w:ind w:left="357" w:hanging="357"/>
      </w:pPr>
      <w:r w:rsidRPr="00A04E56">
        <w:t xml:space="preserve">Thereare 20 different types </w:t>
      </w:r>
      <w:r w:rsidR="000D7FA9" w:rsidRPr="00A04E56">
        <w:t xml:space="preserve">of fighter planes </w:t>
      </w:r>
      <w:r w:rsidRPr="00A04E56">
        <w:t>in Europe, 6 in the United States.</w:t>
      </w:r>
    </w:p>
    <w:p w14:paraId="244A1B57" w14:textId="4872450C" w:rsidR="00BA7C5D" w:rsidRPr="00A04E56" w:rsidRDefault="00BA7C5D" w:rsidP="00C257BF">
      <w:pPr>
        <w:pStyle w:val="BOX3BluedashedborderBluetext"/>
        <w:keepNext/>
        <w:numPr>
          <w:ilvl w:val="0"/>
          <w:numId w:val="74"/>
        </w:numPr>
        <w:ind w:left="357" w:hanging="357"/>
      </w:pPr>
      <w:r w:rsidRPr="00A04E56">
        <w:t>There are 17 different battle tank systems in Europe, 1 in the United States.</w:t>
      </w:r>
    </w:p>
    <w:p w14:paraId="62CFBADE" w14:textId="6922C42C" w:rsidR="00BA7C5D" w:rsidRPr="00A04E56" w:rsidRDefault="00BA7C5D" w:rsidP="00C257BF">
      <w:pPr>
        <w:pStyle w:val="BOX3BluedashedborderBluetext"/>
        <w:numPr>
          <w:ilvl w:val="0"/>
          <w:numId w:val="74"/>
        </w:numPr>
        <w:ind w:left="357" w:hanging="357"/>
      </w:pPr>
      <w:r w:rsidRPr="00A04E56">
        <w:t>In Europe, there are more types of helicopters than governments to buy them.</w:t>
      </w:r>
    </w:p>
    <w:tbl>
      <w:tblPr>
        <w:tblStyle w:val="Simpletable1"/>
        <w:tblW w:w="0" w:type="auto"/>
        <w:tblLook w:val="04A0" w:firstRow="1" w:lastRow="0" w:firstColumn="1" w:lastColumn="0" w:noHBand="0" w:noVBand="1"/>
      </w:tblPr>
      <w:tblGrid>
        <w:gridCol w:w="2541"/>
        <w:gridCol w:w="2952"/>
        <w:gridCol w:w="2953"/>
        <w:gridCol w:w="840"/>
      </w:tblGrid>
      <w:tr w:rsidR="0057735F" w:rsidRPr="00A04E56" w14:paraId="5429B763" w14:textId="77777777" w:rsidTr="00314F00">
        <w:trPr>
          <w:cantSplit/>
          <w:trHeight w:val="567"/>
        </w:trPr>
        <w:tc>
          <w:tcPr>
            <w:tcW w:w="2541" w:type="dxa"/>
            <w:tcBorders>
              <w:top w:val="nil"/>
              <w:left w:val="nil"/>
              <w:bottom w:val="nil"/>
              <w:right w:val="nil"/>
            </w:tcBorders>
            <w:vAlign w:val="center"/>
          </w:tcPr>
          <w:p w14:paraId="0B50A535" w14:textId="77777777" w:rsidR="0057735F" w:rsidRPr="00A04E56" w:rsidRDefault="0057735F" w:rsidP="003A3192">
            <w:pPr>
              <w:keepNext/>
              <w:keepLines/>
              <w:rPr>
                <w:rFonts w:eastAsia="Calibri"/>
                <w:sz w:val="22"/>
              </w:rPr>
            </w:pPr>
            <w:bookmarkStart w:id="78" w:name="_Toc4680698"/>
            <w:bookmarkStart w:id="79" w:name="_Toc4682972"/>
          </w:p>
        </w:tc>
        <w:tc>
          <w:tcPr>
            <w:tcW w:w="2952" w:type="dxa"/>
            <w:tcBorders>
              <w:top w:val="nil"/>
              <w:left w:val="nil"/>
              <w:bottom w:val="nil"/>
              <w:right w:val="nil"/>
            </w:tcBorders>
            <w:shd w:val="clear" w:color="auto" w:fill="65BBC8"/>
            <w:vAlign w:val="center"/>
          </w:tcPr>
          <w:p w14:paraId="2FDEA431" w14:textId="77777777" w:rsidR="0057735F" w:rsidRPr="00A04E56" w:rsidRDefault="0057735F" w:rsidP="003A3192">
            <w:pPr>
              <w:keepNext/>
              <w:keepLines/>
              <w:rPr>
                <w:rFonts w:eastAsia="Calibri"/>
                <w:b/>
                <w:color w:val="404040"/>
                <w:sz w:val="22"/>
              </w:rPr>
            </w:pPr>
            <w:r w:rsidRPr="00A04E56">
              <w:rPr>
                <w:rFonts w:eastAsia="Calibri"/>
                <w:b/>
                <w:color w:val="404040"/>
                <w:sz w:val="22"/>
              </w:rPr>
              <w:t>European Union</w:t>
            </w:r>
          </w:p>
        </w:tc>
        <w:tc>
          <w:tcPr>
            <w:tcW w:w="2953" w:type="dxa"/>
            <w:tcBorders>
              <w:top w:val="nil"/>
              <w:left w:val="nil"/>
              <w:bottom w:val="nil"/>
              <w:right w:val="nil"/>
            </w:tcBorders>
            <w:shd w:val="clear" w:color="auto" w:fill="82D2E8"/>
            <w:vAlign w:val="center"/>
          </w:tcPr>
          <w:p w14:paraId="0B4DBFA6" w14:textId="77777777" w:rsidR="0057735F" w:rsidRPr="00A04E56" w:rsidRDefault="0057735F" w:rsidP="003A3192">
            <w:pPr>
              <w:keepNext/>
              <w:keepLines/>
              <w:rPr>
                <w:rFonts w:eastAsia="Calibri"/>
                <w:b/>
                <w:color w:val="404040"/>
                <w:sz w:val="22"/>
              </w:rPr>
            </w:pPr>
            <w:r w:rsidRPr="00A04E56">
              <w:rPr>
                <w:rFonts w:eastAsia="Calibri"/>
                <w:b/>
                <w:color w:val="404040"/>
                <w:sz w:val="22"/>
              </w:rPr>
              <w:t>United States</w:t>
            </w:r>
          </w:p>
        </w:tc>
        <w:tc>
          <w:tcPr>
            <w:tcW w:w="840" w:type="dxa"/>
            <w:tcBorders>
              <w:top w:val="nil"/>
              <w:left w:val="nil"/>
              <w:bottom w:val="nil"/>
              <w:right w:val="nil"/>
            </w:tcBorders>
            <w:shd w:val="clear" w:color="auto" w:fill="FFFFFF"/>
          </w:tcPr>
          <w:p w14:paraId="40BE0099" w14:textId="77777777" w:rsidR="0057735F" w:rsidRPr="00A04E56" w:rsidRDefault="0057735F" w:rsidP="003A3192">
            <w:pPr>
              <w:keepNext/>
              <w:keepLines/>
              <w:rPr>
                <w:rFonts w:eastAsia="Calibri"/>
                <w:b/>
                <w:color w:val="FFFFFF"/>
                <w:sz w:val="22"/>
              </w:rPr>
            </w:pPr>
          </w:p>
        </w:tc>
      </w:tr>
      <w:tr w:rsidR="0057735F" w:rsidRPr="00A04E56" w14:paraId="4B037551" w14:textId="77777777" w:rsidTr="00314F00">
        <w:trPr>
          <w:cantSplit/>
          <w:trHeight w:val="567"/>
        </w:trPr>
        <w:tc>
          <w:tcPr>
            <w:tcW w:w="8446" w:type="dxa"/>
            <w:gridSpan w:val="3"/>
            <w:tcBorders>
              <w:top w:val="nil"/>
              <w:left w:val="nil"/>
              <w:bottom w:val="nil"/>
              <w:right w:val="nil"/>
            </w:tcBorders>
            <w:shd w:val="clear" w:color="auto" w:fill="1D3E89"/>
            <w:vAlign w:val="center"/>
          </w:tcPr>
          <w:p w14:paraId="5F6D2795" w14:textId="77777777" w:rsidR="0057735F" w:rsidRPr="00A04E56" w:rsidRDefault="0057735F" w:rsidP="003A3192">
            <w:pPr>
              <w:keepNext/>
              <w:keepLines/>
              <w:rPr>
                <w:rFonts w:eastAsia="Calibri"/>
                <w:b/>
                <w:color w:val="FFFFFF"/>
                <w:sz w:val="22"/>
              </w:rPr>
            </w:pPr>
            <w:r w:rsidRPr="00A04E56">
              <w:rPr>
                <w:rFonts w:eastAsia="Calibri"/>
                <w:b/>
                <w:color w:val="FFFFFF"/>
                <w:sz w:val="22"/>
              </w:rPr>
              <w:t>Defence expenditure</w:t>
            </w:r>
          </w:p>
        </w:tc>
        <w:tc>
          <w:tcPr>
            <w:tcW w:w="840" w:type="dxa"/>
            <w:tcBorders>
              <w:top w:val="nil"/>
              <w:left w:val="nil"/>
              <w:bottom w:val="nil"/>
              <w:right w:val="nil"/>
            </w:tcBorders>
            <w:shd w:val="clear" w:color="auto" w:fill="1D3E89"/>
          </w:tcPr>
          <w:p w14:paraId="79945811" w14:textId="77777777" w:rsidR="0057735F" w:rsidRPr="00A04E56" w:rsidRDefault="0057735F" w:rsidP="003A3192">
            <w:pPr>
              <w:keepNext/>
              <w:keepLines/>
              <w:rPr>
                <w:rFonts w:eastAsia="Calibri"/>
                <w:b/>
                <w:color w:val="FFFFFF"/>
                <w:sz w:val="22"/>
              </w:rPr>
            </w:pPr>
          </w:p>
        </w:tc>
      </w:tr>
      <w:tr w:rsidR="0057735F" w:rsidRPr="00A04E56" w14:paraId="34B9E55A" w14:textId="77777777" w:rsidTr="00314F00">
        <w:trPr>
          <w:cantSplit/>
          <w:trHeight w:val="567"/>
        </w:trPr>
        <w:tc>
          <w:tcPr>
            <w:tcW w:w="2541" w:type="dxa"/>
            <w:tcBorders>
              <w:top w:val="nil"/>
              <w:left w:val="nil"/>
              <w:bottom w:val="single" w:sz="4" w:space="0" w:color="1D3E89"/>
              <w:right w:val="nil"/>
            </w:tcBorders>
            <w:vAlign w:val="center"/>
          </w:tcPr>
          <w:p w14:paraId="5EB8890E" w14:textId="77777777" w:rsidR="0057735F" w:rsidRPr="00A04E56" w:rsidRDefault="0057735F" w:rsidP="003A3192">
            <w:pPr>
              <w:keepNext/>
              <w:rPr>
                <w:rFonts w:eastAsia="Calibri"/>
                <w:sz w:val="18"/>
              </w:rPr>
            </w:pPr>
            <w:r w:rsidRPr="00A04E56">
              <w:rPr>
                <w:rFonts w:eastAsia="Calibri"/>
                <w:sz w:val="18"/>
              </w:rPr>
              <w:t>Total amount</w:t>
            </w:r>
          </w:p>
        </w:tc>
        <w:tc>
          <w:tcPr>
            <w:tcW w:w="2952" w:type="dxa"/>
            <w:tcBorders>
              <w:top w:val="nil"/>
              <w:left w:val="nil"/>
              <w:bottom w:val="single" w:sz="4" w:space="0" w:color="1D3E89"/>
              <w:right w:val="nil"/>
            </w:tcBorders>
            <w:shd w:val="clear" w:color="auto" w:fill="65BBC8"/>
            <w:vAlign w:val="center"/>
          </w:tcPr>
          <w:p w14:paraId="686EB5C0" w14:textId="60F8F294" w:rsidR="0057735F" w:rsidRPr="00A04E56" w:rsidRDefault="0057735F" w:rsidP="003A3192">
            <w:pPr>
              <w:keepNext/>
              <w:rPr>
                <w:rFonts w:eastAsia="Calibri"/>
                <w:b/>
                <w:color w:val="404040"/>
                <w:sz w:val="22"/>
              </w:rPr>
            </w:pPr>
            <w:r w:rsidRPr="00A04E56">
              <w:rPr>
                <w:rFonts w:eastAsia="Calibri"/>
                <w:b/>
                <w:color w:val="404040"/>
                <w:sz w:val="22"/>
              </w:rPr>
              <w:t>EUR</w:t>
            </w:r>
            <w:r w:rsidR="00DC76C7" w:rsidRPr="00A04E56">
              <w:rPr>
                <w:rFonts w:ascii="Calibri" w:eastAsia="Calibri" w:hAnsi="Calibri"/>
                <w:b/>
                <w:color w:val="404040"/>
                <w:sz w:val="22"/>
              </w:rPr>
              <w:t> </w:t>
            </w:r>
            <w:r w:rsidRPr="00A04E56">
              <w:rPr>
                <w:rFonts w:eastAsia="Calibri"/>
                <w:b/>
                <w:color w:val="404040"/>
                <w:sz w:val="22"/>
              </w:rPr>
              <w:t>227 billion</w:t>
            </w:r>
          </w:p>
        </w:tc>
        <w:tc>
          <w:tcPr>
            <w:tcW w:w="2953" w:type="dxa"/>
            <w:tcBorders>
              <w:top w:val="nil"/>
              <w:left w:val="nil"/>
              <w:bottom w:val="single" w:sz="4" w:space="0" w:color="1D3E89"/>
              <w:right w:val="nil"/>
            </w:tcBorders>
            <w:shd w:val="clear" w:color="auto" w:fill="82D2E8"/>
            <w:vAlign w:val="center"/>
          </w:tcPr>
          <w:p w14:paraId="7A3F7484" w14:textId="35B68429" w:rsidR="0057735F" w:rsidRPr="00A04E56" w:rsidRDefault="0057735F" w:rsidP="003A3192">
            <w:pPr>
              <w:keepNext/>
              <w:rPr>
                <w:rFonts w:eastAsia="Calibri"/>
                <w:b/>
                <w:color w:val="404040"/>
                <w:sz w:val="22"/>
              </w:rPr>
            </w:pPr>
            <w:r w:rsidRPr="00A04E56">
              <w:rPr>
                <w:rFonts w:eastAsia="Calibri"/>
                <w:b/>
                <w:color w:val="404040"/>
                <w:sz w:val="22"/>
              </w:rPr>
              <w:t>EUR</w:t>
            </w:r>
            <w:r w:rsidR="00DC76C7" w:rsidRPr="00A04E56">
              <w:rPr>
                <w:rFonts w:ascii="Calibri" w:eastAsia="Calibri" w:hAnsi="Calibri"/>
                <w:b/>
                <w:color w:val="404040"/>
                <w:sz w:val="22"/>
              </w:rPr>
              <w:t> </w:t>
            </w:r>
            <w:r w:rsidRPr="00A04E56">
              <w:rPr>
                <w:rFonts w:eastAsia="Calibri"/>
                <w:b/>
                <w:color w:val="404040"/>
                <w:sz w:val="22"/>
              </w:rPr>
              <w:t>545 billion</w:t>
            </w:r>
          </w:p>
        </w:tc>
        <w:tc>
          <w:tcPr>
            <w:tcW w:w="840" w:type="dxa"/>
            <w:tcBorders>
              <w:top w:val="nil"/>
              <w:left w:val="nil"/>
              <w:bottom w:val="single" w:sz="4" w:space="0" w:color="1D3E89"/>
              <w:right w:val="nil"/>
            </w:tcBorders>
            <w:shd w:val="clear" w:color="auto" w:fill="FFFFFF"/>
          </w:tcPr>
          <w:p w14:paraId="6F65F020" w14:textId="77777777" w:rsidR="0057735F" w:rsidRPr="00A04E56" w:rsidRDefault="0057735F" w:rsidP="003A3192">
            <w:pPr>
              <w:keepNext/>
              <w:rPr>
                <w:rFonts w:eastAsia="Calibri"/>
                <w:b/>
                <w:color w:val="404040"/>
                <w:sz w:val="22"/>
              </w:rPr>
            </w:pPr>
          </w:p>
        </w:tc>
      </w:tr>
      <w:tr w:rsidR="0057735F" w:rsidRPr="00A04E56" w14:paraId="6F5C37B4" w14:textId="77777777" w:rsidTr="00314F00">
        <w:trPr>
          <w:cantSplit/>
          <w:trHeight w:val="567"/>
        </w:trPr>
        <w:tc>
          <w:tcPr>
            <w:tcW w:w="2541" w:type="dxa"/>
            <w:tcBorders>
              <w:top w:val="single" w:sz="4" w:space="0" w:color="1D3E89"/>
              <w:left w:val="nil"/>
              <w:bottom w:val="single" w:sz="4" w:space="0" w:color="1D3E89"/>
              <w:right w:val="nil"/>
            </w:tcBorders>
            <w:vAlign w:val="center"/>
          </w:tcPr>
          <w:p w14:paraId="5AA06C8F" w14:textId="66FA02A8" w:rsidR="0057735F" w:rsidRPr="00A04E56" w:rsidRDefault="0057735F" w:rsidP="003A3192">
            <w:pPr>
              <w:keepNext/>
              <w:rPr>
                <w:rFonts w:eastAsia="Calibri"/>
                <w:sz w:val="18"/>
              </w:rPr>
            </w:pPr>
            <w:r w:rsidRPr="00A04E56">
              <w:rPr>
                <w:rFonts w:eastAsia="Calibri"/>
                <w:sz w:val="18"/>
              </w:rPr>
              <w:t xml:space="preserve">% of </w:t>
            </w:r>
            <w:r w:rsidR="00CA36C2" w:rsidRPr="00A04E56">
              <w:rPr>
                <w:rFonts w:eastAsia="Calibri"/>
                <w:sz w:val="18"/>
              </w:rPr>
              <w:t>gross domestic product</w:t>
            </w:r>
          </w:p>
        </w:tc>
        <w:tc>
          <w:tcPr>
            <w:tcW w:w="2952" w:type="dxa"/>
            <w:tcBorders>
              <w:top w:val="single" w:sz="4" w:space="0" w:color="1D3E89"/>
              <w:left w:val="nil"/>
              <w:bottom w:val="single" w:sz="4" w:space="0" w:color="1D3E89"/>
              <w:right w:val="nil"/>
            </w:tcBorders>
            <w:shd w:val="clear" w:color="auto" w:fill="65BBC8"/>
            <w:vAlign w:val="center"/>
          </w:tcPr>
          <w:p w14:paraId="577192FF" w14:textId="77777777" w:rsidR="0057735F" w:rsidRPr="00A04E56" w:rsidRDefault="0057735F" w:rsidP="003A3192">
            <w:pPr>
              <w:keepNext/>
              <w:rPr>
                <w:rFonts w:eastAsia="Calibri"/>
                <w:b/>
                <w:color w:val="404040"/>
                <w:sz w:val="22"/>
              </w:rPr>
            </w:pPr>
            <w:r w:rsidRPr="00A04E56">
              <w:rPr>
                <w:rFonts w:eastAsia="Calibri"/>
                <w:b/>
                <w:color w:val="404040"/>
                <w:sz w:val="22"/>
              </w:rPr>
              <w:t>1.34</w:t>
            </w:r>
          </w:p>
        </w:tc>
        <w:tc>
          <w:tcPr>
            <w:tcW w:w="2953" w:type="dxa"/>
            <w:tcBorders>
              <w:top w:val="single" w:sz="4" w:space="0" w:color="1D3E89"/>
              <w:left w:val="nil"/>
              <w:bottom w:val="single" w:sz="4" w:space="0" w:color="1D3E89"/>
              <w:right w:val="nil"/>
            </w:tcBorders>
            <w:shd w:val="clear" w:color="auto" w:fill="82D2E8"/>
            <w:vAlign w:val="center"/>
          </w:tcPr>
          <w:p w14:paraId="3B2133CD" w14:textId="77777777" w:rsidR="0057735F" w:rsidRPr="00A04E56" w:rsidRDefault="0057735F" w:rsidP="003A3192">
            <w:pPr>
              <w:keepNext/>
              <w:rPr>
                <w:rFonts w:eastAsia="Calibri"/>
                <w:b/>
                <w:color w:val="404040"/>
                <w:sz w:val="22"/>
              </w:rPr>
            </w:pPr>
            <w:r w:rsidRPr="00A04E56">
              <w:rPr>
                <w:rFonts w:eastAsia="Calibri"/>
                <w:b/>
                <w:color w:val="404040"/>
                <w:sz w:val="22"/>
              </w:rPr>
              <w:t>3.3</w:t>
            </w:r>
          </w:p>
        </w:tc>
        <w:tc>
          <w:tcPr>
            <w:tcW w:w="840" w:type="dxa"/>
            <w:tcBorders>
              <w:top w:val="single" w:sz="4" w:space="0" w:color="1D3E89"/>
              <w:left w:val="nil"/>
              <w:bottom w:val="single" w:sz="4" w:space="0" w:color="1D3E89"/>
              <w:right w:val="nil"/>
            </w:tcBorders>
            <w:shd w:val="clear" w:color="auto" w:fill="FFFFFF"/>
          </w:tcPr>
          <w:p w14:paraId="03CD2049" w14:textId="77777777" w:rsidR="0057735F" w:rsidRPr="00A04E56" w:rsidRDefault="0057735F" w:rsidP="003A3192">
            <w:pPr>
              <w:keepNext/>
              <w:rPr>
                <w:rFonts w:eastAsia="Calibri"/>
                <w:b/>
                <w:color w:val="404040"/>
                <w:sz w:val="22"/>
              </w:rPr>
            </w:pPr>
          </w:p>
        </w:tc>
      </w:tr>
      <w:tr w:rsidR="0057735F" w:rsidRPr="00A04E56" w14:paraId="5323AFA5" w14:textId="77777777" w:rsidTr="00314F00">
        <w:trPr>
          <w:cantSplit/>
          <w:trHeight w:val="567"/>
        </w:trPr>
        <w:tc>
          <w:tcPr>
            <w:tcW w:w="2541" w:type="dxa"/>
            <w:tcBorders>
              <w:top w:val="single" w:sz="4" w:space="0" w:color="1D3E89"/>
              <w:left w:val="nil"/>
              <w:bottom w:val="nil"/>
              <w:right w:val="nil"/>
            </w:tcBorders>
            <w:vAlign w:val="center"/>
          </w:tcPr>
          <w:p w14:paraId="3FD1F485" w14:textId="77777777" w:rsidR="0057735F" w:rsidRPr="00A04E56" w:rsidRDefault="0057735F" w:rsidP="003A3192">
            <w:pPr>
              <w:keepNext/>
              <w:rPr>
                <w:rFonts w:eastAsia="Calibri"/>
                <w:sz w:val="18"/>
              </w:rPr>
            </w:pPr>
            <w:r w:rsidRPr="00A04E56">
              <w:rPr>
                <w:rFonts w:eastAsia="Calibri"/>
                <w:sz w:val="18"/>
              </w:rPr>
              <w:t>Investment per soldier</w:t>
            </w:r>
          </w:p>
        </w:tc>
        <w:tc>
          <w:tcPr>
            <w:tcW w:w="2952" w:type="dxa"/>
            <w:tcBorders>
              <w:top w:val="single" w:sz="4" w:space="0" w:color="1D3E89"/>
              <w:left w:val="nil"/>
              <w:bottom w:val="nil"/>
              <w:right w:val="nil"/>
            </w:tcBorders>
            <w:shd w:val="clear" w:color="auto" w:fill="65BBC8"/>
            <w:vAlign w:val="center"/>
          </w:tcPr>
          <w:p w14:paraId="749E5D2B" w14:textId="0344027F" w:rsidR="0057735F" w:rsidRPr="00A04E56" w:rsidRDefault="0057735F" w:rsidP="003A3192">
            <w:pPr>
              <w:keepNext/>
              <w:rPr>
                <w:rFonts w:eastAsia="Calibri"/>
                <w:b/>
                <w:color w:val="404040"/>
                <w:sz w:val="22"/>
              </w:rPr>
            </w:pPr>
            <w:r w:rsidRPr="00A04E56">
              <w:rPr>
                <w:rFonts w:eastAsia="Calibri"/>
                <w:b/>
                <w:color w:val="404040"/>
                <w:sz w:val="22"/>
              </w:rPr>
              <w:t>EUR</w:t>
            </w:r>
            <w:r w:rsidR="00DC76C7" w:rsidRPr="00A04E56">
              <w:rPr>
                <w:rFonts w:ascii="Calibri" w:eastAsia="Calibri" w:hAnsi="Calibri"/>
                <w:b/>
                <w:color w:val="404040"/>
                <w:sz w:val="22"/>
              </w:rPr>
              <w:t> </w:t>
            </w:r>
            <w:r w:rsidRPr="00A04E56">
              <w:rPr>
                <w:rFonts w:eastAsia="Calibri"/>
                <w:b/>
                <w:color w:val="404040"/>
                <w:sz w:val="22"/>
              </w:rPr>
              <w:t>27</w:t>
            </w:r>
            <w:r w:rsidR="00DC76C7" w:rsidRPr="00A04E56">
              <w:rPr>
                <w:rFonts w:ascii="Calibri" w:eastAsia="Calibri" w:hAnsi="Calibri"/>
                <w:b/>
                <w:color w:val="404040"/>
                <w:sz w:val="22"/>
              </w:rPr>
              <w:t> </w:t>
            </w:r>
            <w:r w:rsidRPr="00A04E56">
              <w:rPr>
                <w:rFonts w:eastAsia="Calibri"/>
                <w:b/>
                <w:color w:val="404040"/>
                <w:sz w:val="22"/>
              </w:rPr>
              <w:t>639</w:t>
            </w:r>
          </w:p>
        </w:tc>
        <w:tc>
          <w:tcPr>
            <w:tcW w:w="2953" w:type="dxa"/>
            <w:tcBorders>
              <w:top w:val="single" w:sz="4" w:space="0" w:color="1D3E89"/>
              <w:left w:val="nil"/>
              <w:bottom w:val="nil"/>
              <w:right w:val="nil"/>
            </w:tcBorders>
            <w:shd w:val="clear" w:color="auto" w:fill="82D2E8"/>
            <w:vAlign w:val="center"/>
          </w:tcPr>
          <w:p w14:paraId="7A692611" w14:textId="552C14CC" w:rsidR="0057735F" w:rsidRPr="00A04E56" w:rsidRDefault="0057735F" w:rsidP="003A3192">
            <w:pPr>
              <w:keepNext/>
              <w:rPr>
                <w:rFonts w:eastAsia="Calibri"/>
                <w:b/>
                <w:color w:val="404040"/>
                <w:sz w:val="22"/>
              </w:rPr>
            </w:pPr>
            <w:r w:rsidRPr="00A04E56">
              <w:rPr>
                <w:rFonts w:eastAsia="Calibri"/>
                <w:b/>
                <w:color w:val="404040"/>
                <w:sz w:val="22"/>
              </w:rPr>
              <w:t>EUR</w:t>
            </w:r>
            <w:r w:rsidR="00DC76C7" w:rsidRPr="00A04E56">
              <w:rPr>
                <w:rFonts w:ascii="Calibri" w:eastAsia="Calibri" w:hAnsi="Calibri"/>
                <w:b/>
                <w:color w:val="404040"/>
                <w:sz w:val="22"/>
              </w:rPr>
              <w:t> </w:t>
            </w:r>
            <w:r w:rsidRPr="00A04E56">
              <w:rPr>
                <w:rFonts w:eastAsia="Calibri"/>
                <w:b/>
                <w:color w:val="404040"/>
                <w:sz w:val="22"/>
              </w:rPr>
              <w:t>108</w:t>
            </w:r>
            <w:r w:rsidR="00DC76C7" w:rsidRPr="00A04E56">
              <w:rPr>
                <w:rFonts w:ascii="Calibri" w:eastAsia="Calibri" w:hAnsi="Calibri"/>
                <w:b/>
                <w:color w:val="404040"/>
                <w:sz w:val="22"/>
              </w:rPr>
              <w:t> </w:t>
            </w:r>
            <w:r w:rsidRPr="00A04E56">
              <w:rPr>
                <w:rFonts w:eastAsia="Calibri"/>
                <w:b/>
                <w:color w:val="404040"/>
                <w:sz w:val="22"/>
              </w:rPr>
              <w:t>322</w:t>
            </w:r>
          </w:p>
        </w:tc>
        <w:tc>
          <w:tcPr>
            <w:tcW w:w="840" w:type="dxa"/>
            <w:tcBorders>
              <w:top w:val="single" w:sz="4" w:space="0" w:color="1D3E89"/>
              <w:left w:val="nil"/>
              <w:bottom w:val="nil"/>
              <w:right w:val="nil"/>
            </w:tcBorders>
            <w:shd w:val="clear" w:color="auto" w:fill="FFFFFF"/>
          </w:tcPr>
          <w:p w14:paraId="2EE6464C" w14:textId="77777777" w:rsidR="0057735F" w:rsidRPr="00A04E56" w:rsidRDefault="0057735F" w:rsidP="003A3192">
            <w:pPr>
              <w:keepNext/>
              <w:rPr>
                <w:rFonts w:eastAsia="Calibri"/>
                <w:b/>
                <w:color w:val="404040"/>
                <w:sz w:val="22"/>
              </w:rPr>
            </w:pPr>
          </w:p>
        </w:tc>
      </w:tr>
      <w:tr w:rsidR="0057735F" w:rsidRPr="00A04E56" w14:paraId="404BF834" w14:textId="77777777" w:rsidTr="00314F00">
        <w:trPr>
          <w:cantSplit/>
          <w:trHeight w:val="567"/>
        </w:trPr>
        <w:tc>
          <w:tcPr>
            <w:tcW w:w="8446" w:type="dxa"/>
            <w:gridSpan w:val="3"/>
            <w:tcBorders>
              <w:top w:val="nil"/>
              <w:left w:val="nil"/>
              <w:bottom w:val="nil"/>
              <w:right w:val="nil"/>
            </w:tcBorders>
            <w:shd w:val="clear" w:color="auto" w:fill="1D3E89"/>
            <w:vAlign w:val="center"/>
          </w:tcPr>
          <w:p w14:paraId="1B162536" w14:textId="77777777" w:rsidR="0057735F" w:rsidRPr="00A04E56" w:rsidRDefault="0057735F" w:rsidP="003A3192">
            <w:pPr>
              <w:keepNext/>
              <w:rPr>
                <w:rFonts w:eastAsia="Calibri"/>
                <w:b/>
                <w:color w:val="FFFFFF"/>
                <w:sz w:val="22"/>
              </w:rPr>
            </w:pPr>
            <w:r w:rsidRPr="00A04E56">
              <w:rPr>
                <w:rFonts w:eastAsia="Calibri"/>
                <w:b/>
                <w:color w:val="FFFFFF"/>
                <w:sz w:val="22"/>
              </w:rPr>
              <w:t>Duplication of systems in use</w:t>
            </w:r>
          </w:p>
        </w:tc>
        <w:tc>
          <w:tcPr>
            <w:tcW w:w="840" w:type="dxa"/>
            <w:tcBorders>
              <w:top w:val="nil"/>
              <w:left w:val="nil"/>
              <w:bottom w:val="nil"/>
              <w:right w:val="nil"/>
            </w:tcBorders>
            <w:shd w:val="clear" w:color="auto" w:fill="1D3E89"/>
          </w:tcPr>
          <w:p w14:paraId="3B9E3B0B" w14:textId="77777777" w:rsidR="0057735F" w:rsidRPr="00A04E56" w:rsidRDefault="0057735F" w:rsidP="003A3192">
            <w:pPr>
              <w:keepNext/>
              <w:rPr>
                <w:rFonts w:eastAsia="Calibri"/>
                <w:b/>
                <w:color w:val="FFFFFF"/>
                <w:sz w:val="22"/>
              </w:rPr>
            </w:pPr>
          </w:p>
        </w:tc>
      </w:tr>
      <w:tr w:rsidR="0057735F" w:rsidRPr="00A04E56" w14:paraId="2C6FE46E" w14:textId="77777777" w:rsidTr="00314F00">
        <w:trPr>
          <w:cantSplit/>
          <w:trHeight w:val="567"/>
        </w:trPr>
        <w:tc>
          <w:tcPr>
            <w:tcW w:w="2541" w:type="dxa"/>
            <w:tcBorders>
              <w:top w:val="nil"/>
              <w:left w:val="nil"/>
              <w:bottom w:val="single" w:sz="4" w:space="0" w:color="1D3E89"/>
              <w:right w:val="nil"/>
            </w:tcBorders>
            <w:vAlign w:val="center"/>
          </w:tcPr>
          <w:p w14:paraId="3D7DA940" w14:textId="72CB7F34" w:rsidR="0057735F" w:rsidRPr="00A04E56" w:rsidRDefault="0057735F" w:rsidP="003A3192">
            <w:pPr>
              <w:keepNext/>
              <w:rPr>
                <w:rFonts w:eastAsia="Calibri"/>
                <w:sz w:val="18"/>
              </w:rPr>
            </w:pPr>
            <w:r w:rsidRPr="00A04E56">
              <w:rPr>
                <w:rFonts w:eastAsia="Calibri"/>
                <w:sz w:val="18"/>
              </w:rPr>
              <w:t>Number of types of weapon systems</w:t>
            </w:r>
            <w:r w:rsidR="00E8009B" w:rsidRPr="00A04E56">
              <w:rPr>
                <w:rFonts w:eastAsia="Calibri"/>
                <w:sz w:val="18"/>
              </w:rPr>
              <w:t xml:space="preserve"> for categories covered in the study</w:t>
            </w:r>
          </w:p>
        </w:tc>
        <w:tc>
          <w:tcPr>
            <w:tcW w:w="2952" w:type="dxa"/>
            <w:tcBorders>
              <w:top w:val="nil"/>
              <w:left w:val="nil"/>
              <w:bottom w:val="single" w:sz="4" w:space="0" w:color="1D3E89"/>
              <w:right w:val="nil"/>
            </w:tcBorders>
            <w:shd w:val="clear" w:color="auto" w:fill="65BBC8"/>
            <w:vAlign w:val="center"/>
          </w:tcPr>
          <w:p w14:paraId="18D2C53C" w14:textId="77777777" w:rsidR="0057735F" w:rsidRPr="00A04E56" w:rsidRDefault="0057735F" w:rsidP="003A3192">
            <w:pPr>
              <w:keepNext/>
              <w:rPr>
                <w:rFonts w:eastAsia="Calibri"/>
                <w:b/>
                <w:color w:val="404040"/>
                <w:sz w:val="22"/>
              </w:rPr>
            </w:pPr>
            <w:r w:rsidRPr="00A04E56">
              <w:rPr>
                <w:rFonts w:eastAsia="Calibri"/>
                <w:b/>
                <w:color w:val="404040"/>
                <w:sz w:val="22"/>
              </w:rPr>
              <w:t>178</w:t>
            </w:r>
          </w:p>
        </w:tc>
        <w:tc>
          <w:tcPr>
            <w:tcW w:w="2953" w:type="dxa"/>
            <w:tcBorders>
              <w:top w:val="nil"/>
              <w:left w:val="nil"/>
              <w:bottom w:val="single" w:sz="4" w:space="0" w:color="1D3E89"/>
              <w:right w:val="nil"/>
            </w:tcBorders>
            <w:shd w:val="clear" w:color="auto" w:fill="82D2E8"/>
            <w:vAlign w:val="center"/>
          </w:tcPr>
          <w:p w14:paraId="68E53F20" w14:textId="77777777" w:rsidR="0057735F" w:rsidRPr="00A04E56" w:rsidRDefault="0057735F" w:rsidP="003A3192">
            <w:pPr>
              <w:keepNext/>
              <w:rPr>
                <w:rFonts w:eastAsia="Calibri"/>
                <w:b/>
                <w:color w:val="404040"/>
                <w:sz w:val="22"/>
              </w:rPr>
            </w:pPr>
            <w:r w:rsidRPr="00A04E56">
              <w:rPr>
                <w:rFonts w:eastAsia="Calibri"/>
                <w:b/>
                <w:color w:val="404040"/>
                <w:sz w:val="22"/>
              </w:rPr>
              <w:t>30</w:t>
            </w:r>
          </w:p>
        </w:tc>
        <w:tc>
          <w:tcPr>
            <w:tcW w:w="840" w:type="dxa"/>
            <w:tcBorders>
              <w:top w:val="nil"/>
              <w:left w:val="nil"/>
              <w:bottom w:val="single" w:sz="4" w:space="0" w:color="1D3E89"/>
              <w:right w:val="nil"/>
            </w:tcBorders>
            <w:shd w:val="clear" w:color="auto" w:fill="FFFFFF"/>
          </w:tcPr>
          <w:p w14:paraId="3DB38E89" w14:textId="77777777" w:rsidR="0057735F" w:rsidRPr="00A04E56" w:rsidRDefault="0057735F" w:rsidP="003A3192">
            <w:pPr>
              <w:keepNext/>
              <w:rPr>
                <w:rFonts w:eastAsia="Calibri"/>
                <w:b/>
                <w:color w:val="404040"/>
                <w:sz w:val="22"/>
              </w:rPr>
            </w:pPr>
          </w:p>
        </w:tc>
      </w:tr>
      <w:tr w:rsidR="0057735F" w:rsidRPr="00A04E56" w14:paraId="3C9FD861" w14:textId="77777777" w:rsidTr="00314F00">
        <w:trPr>
          <w:cantSplit/>
          <w:trHeight w:val="567"/>
        </w:trPr>
        <w:tc>
          <w:tcPr>
            <w:tcW w:w="2541" w:type="dxa"/>
            <w:tcBorders>
              <w:top w:val="single" w:sz="4" w:space="0" w:color="1D3E89"/>
              <w:left w:val="nil"/>
              <w:bottom w:val="single" w:sz="4" w:space="0" w:color="1D3E89"/>
              <w:right w:val="nil"/>
            </w:tcBorders>
            <w:vAlign w:val="center"/>
          </w:tcPr>
          <w:p w14:paraId="5B9B0E73" w14:textId="77777777" w:rsidR="0057735F" w:rsidRPr="00A04E56" w:rsidRDefault="0057735F" w:rsidP="003A3192">
            <w:pPr>
              <w:keepNext/>
              <w:rPr>
                <w:rFonts w:eastAsia="Calibri"/>
                <w:sz w:val="18"/>
              </w:rPr>
            </w:pPr>
            <w:r w:rsidRPr="00A04E56">
              <w:rPr>
                <w:rFonts w:eastAsia="Calibri"/>
                <w:sz w:val="18"/>
              </w:rPr>
              <w:t>Main battle tanks</w:t>
            </w:r>
          </w:p>
        </w:tc>
        <w:tc>
          <w:tcPr>
            <w:tcW w:w="2952" w:type="dxa"/>
            <w:tcBorders>
              <w:top w:val="single" w:sz="4" w:space="0" w:color="1D3E89"/>
              <w:left w:val="nil"/>
              <w:bottom w:val="single" w:sz="4" w:space="0" w:color="1D3E89"/>
              <w:right w:val="nil"/>
            </w:tcBorders>
            <w:shd w:val="clear" w:color="auto" w:fill="65BBC8"/>
            <w:vAlign w:val="center"/>
          </w:tcPr>
          <w:p w14:paraId="66863E59" w14:textId="77777777" w:rsidR="0057735F" w:rsidRPr="00A04E56" w:rsidRDefault="0057735F" w:rsidP="003A3192">
            <w:pPr>
              <w:keepNext/>
              <w:rPr>
                <w:rFonts w:eastAsia="Calibri"/>
                <w:b/>
                <w:color w:val="404040"/>
                <w:sz w:val="22"/>
              </w:rPr>
            </w:pPr>
            <w:r w:rsidRPr="00A04E56">
              <w:rPr>
                <w:rFonts w:eastAsia="Calibri"/>
                <w:b/>
                <w:color w:val="404040"/>
                <w:sz w:val="22"/>
              </w:rPr>
              <w:t>17</w:t>
            </w:r>
          </w:p>
        </w:tc>
        <w:tc>
          <w:tcPr>
            <w:tcW w:w="2953" w:type="dxa"/>
            <w:tcBorders>
              <w:top w:val="single" w:sz="4" w:space="0" w:color="1D3E89"/>
              <w:left w:val="nil"/>
              <w:bottom w:val="single" w:sz="4" w:space="0" w:color="1D3E89"/>
              <w:right w:val="nil"/>
            </w:tcBorders>
            <w:shd w:val="clear" w:color="auto" w:fill="82D2E8"/>
            <w:vAlign w:val="center"/>
          </w:tcPr>
          <w:p w14:paraId="4712BDBD" w14:textId="77777777" w:rsidR="0057735F" w:rsidRPr="00A04E56" w:rsidRDefault="0057735F" w:rsidP="003A3192">
            <w:pPr>
              <w:keepNext/>
              <w:rPr>
                <w:rFonts w:eastAsia="Calibri"/>
                <w:b/>
                <w:color w:val="404040"/>
                <w:sz w:val="22"/>
              </w:rPr>
            </w:pPr>
            <w:r w:rsidRPr="00A04E56">
              <w:rPr>
                <w:rFonts w:eastAsia="Calibri"/>
                <w:b/>
                <w:color w:val="404040"/>
                <w:sz w:val="22"/>
              </w:rPr>
              <w:t>1</w:t>
            </w:r>
          </w:p>
        </w:tc>
        <w:tc>
          <w:tcPr>
            <w:tcW w:w="840" w:type="dxa"/>
            <w:tcBorders>
              <w:top w:val="single" w:sz="4" w:space="0" w:color="1D3E89"/>
              <w:left w:val="nil"/>
              <w:bottom w:val="single" w:sz="4" w:space="0" w:color="1D3E89"/>
              <w:right w:val="nil"/>
            </w:tcBorders>
            <w:shd w:val="clear" w:color="auto" w:fill="FFFFFF"/>
            <w:vAlign w:val="center"/>
          </w:tcPr>
          <w:p w14:paraId="3505DA98" w14:textId="77777777" w:rsidR="0057735F" w:rsidRPr="00A04E56" w:rsidRDefault="0057735F" w:rsidP="003A3192">
            <w:pPr>
              <w:keepNext/>
              <w:jc w:val="center"/>
              <w:rPr>
                <w:rFonts w:eastAsia="Calibri"/>
                <w:b/>
                <w:color w:val="404040"/>
                <w:sz w:val="22"/>
              </w:rPr>
            </w:pPr>
            <w:r w:rsidRPr="00A04E56">
              <w:rPr>
                <w:rFonts w:eastAsia="Calibri"/>
                <w:b/>
                <w:noProof/>
                <w:color w:val="000000"/>
                <w:sz w:val="22"/>
                <w:lang w:val="fr-BE" w:eastAsia="fr-BE"/>
              </w:rPr>
              <w:drawing>
                <wp:inline distT="0" distB="0" distL="0" distR="0" wp14:anchorId="14184F5B" wp14:editId="610956BB">
                  <wp:extent cx="372095" cy="2520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nk.emf"/>
                          <pic:cNvPicPr/>
                        </pic:nvPicPr>
                        <pic:blipFill>
                          <a:blip r:embed="rId136"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72095" cy="252000"/>
                          </a:xfrm>
                          <a:prstGeom prst="rect">
                            <a:avLst/>
                          </a:prstGeom>
                        </pic:spPr>
                      </pic:pic>
                    </a:graphicData>
                  </a:graphic>
                </wp:inline>
              </w:drawing>
            </w:r>
          </w:p>
        </w:tc>
      </w:tr>
      <w:tr w:rsidR="0057735F" w:rsidRPr="00A04E56" w14:paraId="33DFEC66" w14:textId="77777777" w:rsidTr="00314F00">
        <w:trPr>
          <w:cantSplit/>
          <w:trHeight w:val="567"/>
        </w:trPr>
        <w:tc>
          <w:tcPr>
            <w:tcW w:w="2541" w:type="dxa"/>
            <w:tcBorders>
              <w:top w:val="single" w:sz="4" w:space="0" w:color="1D3E89"/>
              <w:left w:val="nil"/>
              <w:bottom w:val="single" w:sz="4" w:space="0" w:color="1D3E89"/>
              <w:right w:val="nil"/>
            </w:tcBorders>
            <w:vAlign w:val="center"/>
          </w:tcPr>
          <w:p w14:paraId="5B3CCEF0" w14:textId="77777777" w:rsidR="0057735F" w:rsidRPr="00A04E56" w:rsidRDefault="0057735F" w:rsidP="003A3192">
            <w:pPr>
              <w:keepNext/>
              <w:rPr>
                <w:rFonts w:eastAsia="Calibri"/>
                <w:sz w:val="18"/>
              </w:rPr>
            </w:pPr>
            <w:r w:rsidRPr="00A04E56">
              <w:rPr>
                <w:rFonts w:eastAsia="Calibri"/>
                <w:sz w:val="18"/>
              </w:rPr>
              <w:t>Destroyers/frigates</w:t>
            </w:r>
          </w:p>
        </w:tc>
        <w:tc>
          <w:tcPr>
            <w:tcW w:w="2952" w:type="dxa"/>
            <w:tcBorders>
              <w:top w:val="single" w:sz="4" w:space="0" w:color="1D3E89"/>
              <w:left w:val="nil"/>
              <w:bottom w:val="single" w:sz="4" w:space="0" w:color="1D3E89"/>
              <w:right w:val="nil"/>
            </w:tcBorders>
            <w:shd w:val="clear" w:color="auto" w:fill="65BBC8"/>
            <w:vAlign w:val="center"/>
          </w:tcPr>
          <w:p w14:paraId="46DBB4E3" w14:textId="77777777" w:rsidR="0057735F" w:rsidRPr="00A04E56" w:rsidRDefault="0057735F" w:rsidP="003A3192">
            <w:pPr>
              <w:keepNext/>
              <w:rPr>
                <w:rFonts w:eastAsia="Calibri"/>
                <w:b/>
                <w:color w:val="404040"/>
                <w:sz w:val="22"/>
              </w:rPr>
            </w:pPr>
            <w:r w:rsidRPr="00A04E56">
              <w:rPr>
                <w:rFonts w:eastAsia="Calibri"/>
                <w:b/>
                <w:color w:val="404040"/>
                <w:sz w:val="22"/>
              </w:rPr>
              <w:t>29</w:t>
            </w:r>
          </w:p>
        </w:tc>
        <w:tc>
          <w:tcPr>
            <w:tcW w:w="2953" w:type="dxa"/>
            <w:tcBorders>
              <w:top w:val="single" w:sz="4" w:space="0" w:color="1D3E89"/>
              <w:left w:val="nil"/>
              <w:bottom w:val="single" w:sz="4" w:space="0" w:color="1D3E89"/>
              <w:right w:val="nil"/>
            </w:tcBorders>
            <w:shd w:val="clear" w:color="auto" w:fill="82D2E8"/>
            <w:vAlign w:val="center"/>
          </w:tcPr>
          <w:p w14:paraId="75B75149" w14:textId="77777777" w:rsidR="0057735F" w:rsidRPr="00A04E56" w:rsidRDefault="0057735F" w:rsidP="003A3192">
            <w:pPr>
              <w:keepNext/>
              <w:rPr>
                <w:rFonts w:eastAsia="Calibri"/>
                <w:b/>
                <w:color w:val="404040"/>
                <w:sz w:val="22"/>
              </w:rPr>
            </w:pPr>
            <w:r w:rsidRPr="00A04E56">
              <w:rPr>
                <w:rFonts w:eastAsia="Calibri"/>
                <w:b/>
                <w:color w:val="404040"/>
                <w:sz w:val="22"/>
              </w:rPr>
              <w:t>4</w:t>
            </w:r>
          </w:p>
        </w:tc>
        <w:tc>
          <w:tcPr>
            <w:tcW w:w="840" w:type="dxa"/>
            <w:tcBorders>
              <w:top w:val="single" w:sz="4" w:space="0" w:color="1D3E89"/>
              <w:left w:val="nil"/>
              <w:bottom w:val="single" w:sz="4" w:space="0" w:color="1D3E89"/>
              <w:right w:val="nil"/>
            </w:tcBorders>
            <w:shd w:val="clear" w:color="auto" w:fill="FFFFFF"/>
            <w:vAlign w:val="center"/>
          </w:tcPr>
          <w:p w14:paraId="14B66225" w14:textId="77777777" w:rsidR="0057735F" w:rsidRPr="00A04E56" w:rsidRDefault="0057735F" w:rsidP="003A3192">
            <w:pPr>
              <w:keepNext/>
              <w:jc w:val="center"/>
              <w:rPr>
                <w:rFonts w:eastAsia="Calibri"/>
                <w:b/>
                <w:color w:val="404040"/>
                <w:sz w:val="22"/>
              </w:rPr>
            </w:pPr>
            <w:r w:rsidRPr="00A04E56">
              <w:rPr>
                <w:rFonts w:eastAsia="Calibri"/>
                <w:b/>
                <w:noProof/>
                <w:color w:val="000000"/>
                <w:sz w:val="22"/>
                <w:lang w:val="fr-BE" w:eastAsia="fr-BE"/>
              </w:rPr>
              <w:drawing>
                <wp:inline distT="0" distB="0" distL="0" distR="0" wp14:anchorId="09E4DBA8" wp14:editId="3E513E97">
                  <wp:extent cx="360000" cy="284683"/>
                  <wp:effectExtent l="0" t="0" r="2540"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tleship.emf"/>
                          <pic:cNvPicPr/>
                        </pic:nvPicPr>
                        <pic:blipFill>
                          <a:blip r:embed="rId137"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360000" cy="284683"/>
                          </a:xfrm>
                          <a:prstGeom prst="rect">
                            <a:avLst/>
                          </a:prstGeom>
                        </pic:spPr>
                      </pic:pic>
                    </a:graphicData>
                  </a:graphic>
                </wp:inline>
              </w:drawing>
            </w:r>
          </w:p>
        </w:tc>
      </w:tr>
      <w:tr w:rsidR="0057735F" w:rsidRPr="00A04E56" w14:paraId="697A4E3C" w14:textId="77777777" w:rsidTr="00314F00">
        <w:trPr>
          <w:cantSplit/>
          <w:trHeight w:val="567"/>
        </w:trPr>
        <w:tc>
          <w:tcPr>
            <w:tcW w:w="2541" w:type="dxa"/>
            <w:tcBorders>
              <w:top w:val="single" w:sz="4" w:space="0" w:color="1D3E89"/>
              <w:left w:val="nil"/>
              <w:bottom w:val="nil"/>
              <w:right w:val="nil"/>
            </w:tcBorders>
            <w:vAlign w:val="center"/>
          </w:tcPr>
          <w:p w14:paraId="307CDF6B" w14:textId="77777777" w:rsidR="0057735F" w:rsidRPr="00A04E56" w:rsidRDefault="0057735F" w:rsidP="003A3192">
            <w:pPr>
              <w:keepNext/>
              <w:rPr>
                <w:rFonts w:eastAsia="Calibri"/>
                <w:sz w:val="18"/>
              </w:rPr>
            </w:pPr>
            <w:r w:rsidRPr="00A04E56">
              <w:rPr>
                <w:rFonts w:eastAsia="Calibri"/>
                <w:sz w:val="18"/>
              </w:rPr>
              <w:t>Fighter planes</w:t>
            </w:r>
          </w:p>
        </w:tc>
        <w:tc>
          <w:tcPr>
            <w:tcW w:w="2952" w:type="dxa"/>
            <w:tcBorders>
              <w:top w:val="single" w:sz="4" w:space="0" w:color="1D3E89"/>
              <w:left w:val="nil"/>
              <w:bottom w:val="nil"/>
              <w:right w:val="nil"/>
            </w:tcBorders>
            <w:shd w:val="clear" w:color="auto" w:fill="65BBC8"/>
            <w:vAlign w:val="center"/>
          </w:tcPr>
          <w:p w14:paraId="4193E7F5" w14:textId="77777777" w:rsidR="0057735F" w:rsidRPr="00A04E56" w:rsidRDefault="0057735F" w:rsidP="003A3192">
            <w:pPr>
              <w:keepNext/>
              <w:rPr>
                <w:rFonts w:eastAsia="Calibri"/>
                <w:b/>
                <w:color w:val="404040"/>
                <w:sz w:val="22"/>
              </w:rPr>
            </w:pPr>
            <w:r w:rsidRPr="00A04E56">
              <w:rPr>
                <w:rFonts w:eastAsia="Calibri"/>
                <w:b/>
                <w:color w:val="404040"/>
                <w:sz w:val="22"/>
              </w:rPr>
              <w:t>20</w:t>
            </w:r>
          </w:p>
        </w:tc>
        <w:tc>
          <w:tcPr>
            <w:tcW w:w="2953" w:type="dxa"/>
            <w:tcBorders>
              <w:top w:val="single" w:sz="4" w:space="0" w:color="1D3E89"/>
              <w:left w:val="nil"/>
              <w:bottom w:val="nil"/>
              <w:right w:val="nil"/>
            </w:tcBorders>
            <w:shd w:val="clear" w:color="auto" w:fill="82D2E8"/>
            <w:vAlign w:val="center"/>
          </w:tcPr>
          <w:p w14:paraId="623684E8" w14:textId="77777777" w:rsidR="0057735F" w:rsidRPr="00A04E56" w:rsidRDefault="0057735F" w:rsidP="003A3192">
            <w:pPr>
              <w:keepNext/>
              <w:rPr>
                <w:rFonts w:eastAsia="Calibri"/>
                <w:b/>
                <w:color w:val="404040"/>
                <w:sz w:val="22"/>
              </w:rPr>
            </w:pPr>
            <w:r w:rsidRPr="00A04E56">
              <w:rPr>
                <w:rFonts w:eastAsia="Calibri"/>
                <w:b/>
                <w:color w:val="404040"/>
                <w:sz w:val="22"/>
              </w:rPr>
              <w:t>6</w:t>
            </w:r>
          </w:p>
        </w:tc>
        <w:tc>
          <w:tcPr>
            <w:tcW w:w="840" w:type="dxa"/>
            <w:tcBorders>
              <w:top w:val="single" w:sz="4" w:space="0" w:color="1D3E89"/>
              <w:left w:val="nil"/>
              <w:bottom w:val="nil"/>
              <w:right w:val="nil"/>
            </w:tcBorders>
            <w:shd w:val="clear" w:color="auto" w:fill="FFFFFF"/>
            <w:vAlign w:val="center"/>
          </w:tcPr>
          <w:p w14:paraId="6095AF7E" w14:textId="77777777" w:rsidR="0057735F" w:rsidRPr="00A04E56" w:rsidRDefault="0057735F" w:rsidP="003A3192">
            <w:pPr>
              <w:keepNext/>
              <w:jc w:val="center"/>
              <w:rPr>
                <w:rFonts w:eastAsia="Calibri"/>
                <w:b/>
                <w:color w:val="404040"/>
                <w:sz w:val="22"/>
              </w:rPr>
            </w:pPr>
            <w:r w:rsidRPr="00A04E56">
              <w:rPr>
                <w:rFonts w:eastAsia="Calibri"/>
                <w:b/>
                <w:noProof/>
                <w:color w:val="000000"/>
                <w:sz w:val="22"/>
                <w:lang w:val="fr-BE" w:eastAsia="fr-BE"/>
              </w:rPr>
              <w:drawing>
                <wp:inline distT="0" distB="0" distL="0" distR="0" wp14:anchorId="3708B9D2" wp14:editId="4DDB0DF5">
                  <wp:extent cx="252000" cy="389130"/>
                  <wp:effectExtent l="762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hter-plane.emf"/>
                          <pic:cNvPicPr/>
                        </pic:nvPicPr>
                        <pic:blipFill>
                          <a:blip r:embed="rId138"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rot="5400000">
                            <a:off x="0" y="0"/>
                            <a:ext cx="252000" cy="389130"/>
                          </a:xfrm>
                          <a:prstGeom prst="rect">
                            <a:avLst/>
                          </a:prstGeom>
                        </pic:spPr>
                      </pic:pic>
                    </a:graphicData>
                  </a:graphic>
                </wp:inline>
              </w:drawing>
            </w:r>
          </w:p>
        </w:tc>
      </w:tr>
    </w:tbl>
    <w:p w14:paraId="44019D62" w14:textId="670CF509" w:rsidR="005F56CA" w:rsidRPr="00A04E56" w:rsidRDefault="005F56CA" w:rsidP="00446A25">
      <w:pPr>
        <w:pStyle w:val="Source-Table-Chart-PhotoCaption"/>
      </w:pPr>
      <w:r w:rsidRPr="00A04E56">
        <w:rPr>
          <w:rStyle w:val="italics"/>
        </w:rPr>
        <w:t>Source:</w:t>
      </w:r>
      <w:r w:rsidRPr="00A04E56">
        <w:t xml:space="preserve"> NATO, International Institute for Strategic Studies, SIPRI, Munich Security Report 2017</w:t>
      </w:r>
      <w:r w:rsidR="00420269" w:rsidRPr="00A04E56">
        <w:t>.</w:t>
      </w:r>
    </w:p>
    <w:bookmarkEnd w:id="78"/>
    <w:bookmarkEnd w:id="79"/>
    <w:p w14:paraId="1508CB29" w14:textId="0CE92C4D" w:rsidR="00FF704F" w:rsidRPr="00A04E56" w:rsidRDefault="00C63DC4" w:rsidP="006E504A">
      <w:pPr>
        <w:pStyle w:val="StyleTitle3NumberedReportBefore24pt"/>
      </w:pPr>
      <w:r w:rsidRPr="00A04E56">
        <w:t>Assessment and evaluation</w:t>
      </w:r>
    </w:p>
    <w:p w14:paraId="666EF3B3" w14:textId="58832663" w:rsidR="00642DF3" w:rsidRPr="00A04E56" w:rsidRDefault="00642DF3" w:rsidP="00C257BF">
      <w:pPr>
        <w:pStyle w:val="BOX3BluedashedborderBluetext"/>
      </w:pPr>
      <w:r w:rsidRPr="00A04E56">
        <w:rPr>
          <w:bCs/>
        </w:rPr>
        <w:t>Defence-research</w:t>
      </w:r>
      <w:r w:rsidRPr="00A04E56">
        <w:rPr>
          <w:rFonts w:ascii="Arial" w:hAnsi="Arial" w:cs="Arial"/>
        </w:rPr>
        <w:t> </w:t>
      </w:r>
      <w:r w:rsidRPr="00A04E56">
        <w:t xml:space="preserve">cooperation is already materialising. The first EU grant agreements under the 2017 budget included the research project Ocean2020, which brought together 42 partners from 15 EU Member States and supports surveillance missions at sea and to that end will integrate drones and unmanned submarines into fleet operations. </w:t>
      </w:r>
    </w:p>
    <w:p w14:paraId="0D66932D" w14:textId="141389B3" w:rsidR="00FF704F" w:rsidRPr="00314F00" w:rsidRDefault="00FF704F" w:rsidP="00B513F6">
      <w:pPr>
        <w:pStyle w:val="BodyText1spaceafter"/>
        <w:rPr>
          <w:spacing w:val="-2"/>
          <w:szCs w:val="20"/>
        </w:rPr>
      </w:pPr>
      <w:r w:rsidRPr="00314F00">
        <w:rPr>
          <w:spacing w:val="-2"/>
        </w:rPr>
        <w:t xml:space="preserve">An </w:t>
      </w:r>
      <w:r w:rsidRPr="00314F00">
        <w:rPr>
          <w:i/>
          <w:spacing w:val="-2"/>
        </w:rPr>
        <w:t>ex</w:t>
      </w:r>
      <w:r w:rsidR="009A0795" w:rsidRPr="00314F00">
        <w:rPr>
          <w:i/>
          <w:spacing w:val="-2"/>
        </w:rPr>
        <w:t xml:space="preserve"> </w:t>
      </w:r>
      <w:r w:rsidRPr="00314F00">
        <w:rPr>
          <w:i/>
          <w:spacing w:val="-2"/>
        </w:rPr>
        <w:t xml:space="preserve">ante </w:t>
      </w:r>
      <w:r w:rsidRPr="00314F00">
        <w:rPr>
          <w:spacing w:val="-2"/>
        </w:rPr>
        <w:t>evaluation</w:t>
      </w:r>
      <w:r w:rsidR="00633D4D" w:rsidRPr="00314F00">
        <w:rPr>
          <w:rStyle w:val="fnRef"/>
          <w:rFonts w:ascii="Arial" w:hAnsi="Arial" w:cs="Arial"/>
          <w:spacing w:val="-2"/>
        </w:rPr>
        <w:t> </w:t>
      </w:r>
      <w:r w:rsidR="0035678A" w:rsidRPr="00314F00">
        <w:rPr>
          <w:rStyle w:val="fnRef"/>
          <w:spacing w:val="-2"/>
        </w:rPr>
        <w:t>(</w:t>
      </w:r>
      <w:r w:rsidR="0035678A" w:rsidRPr="00314F00">
        <w:rPr>
          <w:rStyle w:val="fnRefNo"/>
          <w:spacing w:val="-2"/>
        </w:rPr>
        <w:footnoteReference w:id="109"/>
      </w:r>
      <w:r w:rsidR="0035678A" w:rsidRPr="00314F00">
        <w:rPr>
          <w:rStyle w:val="fnRef"/>
          <w:spacing w:val="-2"/>
        </w:rPr>
        <w:t>)</w:t>
      </w:r>
      <w:r w:rsidRPr="00314F00">
        <w:rPr>
          <w:spacing w:val="-2"/>
          <w:szCs w:val="20"/>
        </w:rPr>
        <w:t xml:space="preserve"> accompanying the proposal of the </w:t>
      </w:r>
      <w:r w:rsidR="00821050" w:rsidRPr="00314F00">
        <w:rPr>
          <w:spacing w:val="-2"/>
        </w:rPr>
        <w:t xml:space="preserve">European Defence Industrial Development Programme </w:t>
      </w:r>
      <w:r w:rsidRPr="00314F00">
        <w:rPr>
          <w:spacing w:val="-2"/>
          <w:szCs w:val="20"/>
        </w:rPr>
        <w:t xml:space="preserve">concluded that the European defence industry faces significant challenges linked to low investment in </w:t>
      </w:r>
      <w:r w:rsidR="0067244B" w:rsidRPr="00314F00">
        <w:rPr>
          <w:spacing w:val="-2"/>
          <w:szCs w:val="20"/>
        </w:rPr>
        <w:t xml:space="preserve">capability </w:t>
      </w:r>
      <w:r w:rsidRPr="00314F00">
        <w:rPr>
          <w:spacing w:val="-2"/>
          <w:szCs w:val="20"/>
        </w:rPr>
        <w:t xml:space="preserve">development projects, fragmentation and </w:t>
      </w:r>
      <w:r w:rsidR="001C4D0B" w:rsidRPr="00314F00">
        <w:rPr>
          <w:spacing w:val="-2"/>
          <w:szCs w:val="20"/>
        </w:rPr>
        <w:t xml:space="preserve">a </w:t>
      </w:r>
      <w:r w:rsidRPr="00314F00">
        <w:rPr>
          <w:spacing w:val="-2"/>
          <w:szCs w:val="20"/>
        </w:rPr>
        <w:t xml:space="preserve">lack of cooperation. </w:t>
      </w:r>
      <w:r w:rsidR="001C4D0B" w:rsidRPr="00314F00">
        <w:rPr>
          <w:spacing w:val="-2"/>
          <w:szCs w:val="20"/>
        </w:rPr>
        <w:t xml:space="preserve">The </w:t>
      </w:r>
      <w:r w:rsidR="00821050" w:rsidRPr="00314F00">
        <w:rPr>
          <w:i/>
          <w:spacing w:val="-2"/>
        </w:rPr>
        <w:t>ex ante</w:t>
      </w:r>
      <w:r w:rsidR="00821050" w:rsidRPr="00314F00">
        <w:rPr>
          <w:spacing w:val="-2"/>
          <w:szCs w:val="20"/>
        </w:rPr>
        <w:t xml:space="preserve"> </w:t>
      </w:r>
      <w:r w:rsidR="001C4D0B" w:rsidRPr="00314F00">
        <w:rPr>
          <w:spacing w:val="-2"/>
          <w:szCs w:val="20"/>
        </w:rPr>
        <w:t>evaluation</w:t>
      </w:r>
      <w:r w:rsidRPr="00314F00">
        <w:rPr>
          <w:spacing w:val="-2"/>
          <w:szCs w:val="20"/>
        </w:rPr>
        <w:t xml:space="preserve"> highlighted the need for an EU initiative supporting the competitiveness and innovation capacity of the European defence </w:t>
      </w:r>
      <w:r w:rsidR="0067244B" w:rsidRPr="00314F00">
        <w:rPr>
          <w:spacing w:val="-2"/>
          <w:szCs w:val="20"/>
        </w:rPr>
        <w:t xml:space="preserve">technological and </w:t>
      </w:r>
      <w:r w:rsidRPr="00314F00">
        <w:rPr>
          <w:spacing w:val="-2"/>
          <w:szCs w:val="20"/>
        </w:rPr>
        <w:t>industr</w:t>
      </w:r>
      <w:r w:rsidR="0067244B" w:rsidRPr="00314F00">
        <w:rPr>
          <w:spacing w:val="-2"/>
          <w:szCs w:val="20"/>
        </w:rPr>
        <w:t>ial</w:t>
      </w:r>
      <w:r w:rsidRPr="00314F00">
        <w:rPr>
          <w:spacing w:val="-2"/>
          <w:szCs w:val="20"/>
        </w:rPr>
        <w:t xml:space="preserve"> base. This will strengthen European strategic autonomy and </w:t>
      </w:r>
      <w:r w:rsidR="006A4AB3" w:rsidRPr="00314F00">
        <w:rPr>
          <w:spacing w:val="-2"/>
          <w:szCs w:val="20"/>
        </w:rPr>
        <w:t xml:space="preserve">reduce </w:t>
      </w:r>
      <w:r w:rsidRPr="00314F00">
        <w:rPr>
          <w:spacing w:val="-2"/>
          <w:szCs w:val="20"/>
        </w:rPr>
        <w:t xml:space="preserve">dependencies for key defence capabilities. </w:t>
      </w:r>
      <w:r w:rsidR="00EA19B7" w:rsidRPr="00314F00">
        <w:rPr>
          <w:spacing w:val="-2"/>
          <w:szCs w:val="20"/>
        </w:rPr>
        <w:t>It</w:t>
      </w:r>
      <w:r w:rsidRPr="00314F00">
        <w:rPr>
          <w:spacing w:val="-2"/>
          <w:szCs w:val="20"/>
        </w:rPr>
        <w:t xml:space="preserve"> </w:t>
      </w:r>
      <w:r w:rsidR="00F132B9" w:rsidRPr="00314F00">
        <w:rPr>
          <w:spacing w:val="-2"/>
          <w:szCs w:val="20"/>
        </w:rPr>
        <w:t>showed</w:t>
      </w:r>
      <w:r w:rsidRPr="00314F00">
        <w:rPr>
          <w:spacing w:val="-2"/>
          <w:szCs w:val="20"/>
        </w:rPr>
        <w:t xml:space="preserve"> that cooperation is an effective way to achieve this, since it is likely that in the long run no single European </w:t>
      </w:r>
      <w:r w:rsidR="004B6805" w:rsidRPr="00314F00">
        <w:rPr>
          <w:spacing w:val="-2"/>
          <w:szCs w:val="20"/>
        </w:rPr>
        <w:t xml:space="preserve">Member State </w:t>
      </w:r>
      <w:r w:rsidRPr="00314F00">
        <w:rPr>
          <w:spacing w:val="-2"/>
          <w:szCs w:val="20"/>
        </w:rPr>
        <w:t xml:space="preserve">can afford to maintain a full spectrum defence </w:t>
      </w:r>
      <w:r w:rsidR="004B6805" w:rsidRPr="00314F00">
        <w:rPr>
          <w:spacing w:val="-2"/>
          <w:szCs w:val="20"/>
        </w:rPr>
        <w:t xml:space="preserve">industry </w:t>
      </w:r>
      <w:r w:rsidRPr="00314F00">
        <w:rPr>
          <w:spacing w:val="-2"/>
          <w:szCs w:val="20"/>
        </w:rPr>
        <w:t xml:space="preserve">base and corresponding defence capabilities on its own. The EU can make a substantive contribution. The </w:t>
      </w:r>
      <w:r w:rsidR="00821050" w:rsidRPr="00314F00">
        <w:rPr>
          <w:spacing w:val="-2"/>
        </w:rPr>
        <w:t xml:space="preserve">European Defence Industrial Development Programme </w:t>
      </w:r>
      <w:r w:rsidRPr="00314F00">
        <w:rPr>
          <w:spacing w:val="-2"/>
          <w:szCs w:val="20"/>
        </w:rPr>
        <w:t xml:space="preserve">will bring significant value added by </w:t>
      </w:r>
      <w:r w:rsidRPr="00314F00">
        <w:rPr>
          <w:rStyle w:val="BOLDLIGHTBLUEReport"/>
          <w:rFonts w:eastAsia="Calibri"/>
          <w:spacing w:val="-2"/>
        </w:rPr>
        <w:t xml:space="preserve">incentivising collaboration and unlocking additional </w:t>
      </w:r>
      <w:r w:rsidR="0067244B" w:rsidRPr="00314F00">
        <w:rPr>
          <w:rStyle w:val="BOLDLIGHTBLUEReport"/>
          <w:rFonts w:eastAsia="Calibri"/>
          <w:spacing w:val="-2"/>
        </w:rPr>
        <w:t xml:space="preserve">capability </w:t>
      </w:r>
      <w:r w:rsidRPr="00314F00">
        <w:rPr>
          <w:rStyle w:val="BOLDLIGHTBLUEReport"/>
          <w:rFonts w:eastAsia="Calibri"/>
          <w:spacing w:val="-2"/>
        </w:rPr>
        <w:t>development projects</w:t>
      </w:r>
      <w:r w:rsidRPr="00314F00">
        <w:rPr>
          <w:spacing w:val="-2"/>
          <w:szCs w:val="20"/>
        </w:rPr>
        <w:t>.</w:t>
      </w:r>
    </w:p>
    <w:p w14:paraId="009F6B62" w14:textId="507DBC9E" w:rsidR="00205EC7" w:rsidRPr="00A04E56" w:rsidRDefault="00F92C89" w:rsidP="00642DF3">
      <w:pPr>
        <w:pStyle w:val="NormalWeb"/>
        <w:spacing w:after="216"/>
        <w:jc w:val="both"/>
        <w:rPr>
          <w:rFonts w:eastAsia="Calibri"/>
          <w:color w:val="000000" w:themeColor="text1"/>
          <w:lang w:eastAsia="fr-BE"/>
        </w:rPr>
      </w:pPr>
      <w:r w:rsidRPr="00A04E56">
        <w:rPr>
          <w:rFonts w:eastAsia="Calibri"/>
          <w:noProof/>
          <w:color w:val="000000" w:themeColor="text1"/>
          <w:lang w:eastAsia="fr-BE"/>
        </w:rPr>
        <w:t xml:space="preserve">Building on the </w:t>
      </w:r>
      <w:r w:rsidR="0067244B" w:rsidRPr="00A04E56">
        <w:rPr>
          <w:rFonts w:eastAsia="Calibri"/>
          <w:noProof/>
          <w:color w:val="000000" w:themeColor="text1"/>
          <w:lang w:eastAsia="fr-BE"/>
        </w:rPr>
        <w:t xml:space="preserve">current programmes, namely the </w:t>
      </w:r>
      <w:r w:rsidR="00821050" w:rsidRPr="00A04E56">
        <w:t>European Defence Industrial Development Programme</w:t>
      </w:r>
      <w:r w:rsidR="0067244B" w:rsidRPr="00A04E56">
        <w:t xml:space="preserve"> and the Preparatory Action on Defence Research</w:t>
      </w:r>
      <w:r w:rsidR="00EA19B7" w:rsidRPr="00A04E56">
        <w:rPr>
          <w:rFonts w:eastAsia="Calibri"/>
          <w:noProof/>
          <w:color w:val="000000" w:themeColor="text1"/>
          <w:lang w:eastAsia="fr-BE"/>
        </w:rPr>
        <w:t xml:space="preserve">, the Commission proposed in June 2018 a fully-fledged </w:t>
      </w:r>
      <w:r w:rsidR="00EA19B7" w:rsidRPr="00A04E56">
        <w:rPr>
          <w:rStyle w:val="BOLDLIGHTBLUEReport"/>
          <w:rFonts w:eastAsia="Calibri"/>
        </w:rPr>
        <w:t>European Defence Fund</w:t>
      </w:r>
      <w:r w:rsidR="00EA19B7" w:rsidRPr="00A04E56">
        <w:rPr>
          <w:rFonts w:eastAsia="Calibri"/>
          <w:noProof/>
          <w:color w:val="000000" w:themeColor="text1"/>
          <w:lang w:eastAsia="fr-BE"/>
        </w:rPr>
        <w:t xml:space="preserve"> worth </w:t>
      </w:r>
      <w:r w:rsidR="00F132B9" w:rsidRPr="00A04E56">
        <w:rPr>
          <w:rFonts w:eastAsia="Calibri"/>
          <w:noProof/>
          <w:color w:val="000000" w:themeColor="text1"/>
          <w:lang w:eastAsia="fr-BE"/>
        </w:rPr>
        <w:t xml:space="preserve">EUR </w:t>
      </w:r>
      <w:r w:rsidR="00EA19B7" w:rsidRPr="00A04E56">
        <w:rPr>
          <w:rFonts w:eastAsia="Calibri"/>
          <w:noProof/>
          <w:color w:val="000000" w:themeColor="text1"/>
          <w:lang w:eastAsia="fr-BE"/>
        </w:rPr>
        <w:t xml:space="preserve">13 billion under the next EU long-term budget to cover both the research and capability </w:t>
      </w:r>
      <w:r w:rsidR="0067244B" w:rsidRPr="00A04E56">
        <w:rPr>
          <w:rFonts w:eastAsia="Calibri"/>
          <w:noProof/>
          <w:color w:val="000000" w:themeColor="text1"/>
          <w:lang w:eastAsia="fr-BE"/>
        </w:rPr>
        <w:t xml:space="preserve">development </w:t>
      </w:r>
      <w:r w:rsidR="00EA19B7" w:rsidRPr="00A04E56">
        <w:rPr>
          <w:rFonts w:eastAsia="Calibri"/>
          <w:noProof/>
          <w:color w:val="000000" w:themeColor="text1"/>
          <w:lang w:eastAsia="fr-BE"/>
        </w:rPr>
        <w:t>strands. The</w:t>
      </w:r>
      <w:r w:rsidR="00322BD3" w:rsidRPr="00A04E56">
        <w:rPr>
          <w:rFonts w:eastAsia="Calibri"/>
          <w:noProof/>
          <w:color w:val="000000" w:themeColor="text1"/>
          <w:lang w:eastAsia="fr-BE"/>
        </w:rPr>
        <w:t xml:space="preserve"> fund </w:t>
      </w:r>
      <w:r w:rsidR="00EA19B7" w:rsidRPr="00A04E56">
        <w:rPr>
          <w:rFonts w:eastAsia="Calibri"/>
          <w:noProof/>
          <w:color w:val="000000" w:themeColor="text1"/>
          <w:lang w:eastAsia="fr-BE"/>
        </w:rPr>
        <w:t xml:space="preserve">will support competitive and collaborative defence projects throughout the entire cycle of research and development for a bigger impact. The EU will directly finance total costs during the research phase, in particular through grants. After that phase, the </w:t>
      </w:r>
      <w:r w:rsidR="0069401D" w:rsidRPr="00A04E56">
        <w:rPr>
          <w:rFonts w:eastAsia="Calibri"/>
          <w:noProof/>
          <w:color w:val="000000" w:themeColor="text1"/>
          <w:lang w:eastAsia="fr-BE"/>
        </w:rPr>
        <w:t>f</w:t>
      </w:r>
      <w:r w:rsidR="00EA19B7" w:rsidRPr="00A04E56">
        <w:rPr>
          <w:rFonts w:eastAsia="Calibri"/>
          <w:noProof/>
          <w:color w:val="000000" w:themeColor="text1"/>
          <w:lang w:eastAsia="fr-BE"/>
        </w:rPr>
        <w:t>und will complement Member States’ investment by co-financing up to 20% of the costs for prototype development and up to 80% of ensuing certification and testing activities.</w:t>
      </w:r>
      <w:r w:rsidRPr="00A04E56">
        <w:rPr>
          <w:rFonts w:eastAsia="Calibri"/>
          <w:noProof/>
          <w:color w:val="000000" w:themeColor="text1"/>
          <w:lang w:eastAsia="fr-BE"/>
        </w:rPr>
        <w:t xml:space="preserve"> </w:t>
      </w:r>
      <w:r w:rsidR="00EA19B7" w:rsidRPr="00A04E56">
        <w:rPr>
          <w:rFonts w:eastAsia="Calibri"/>
          <w:noProof/>
          <w:color w:val="000000" w:themeColor="text1"/>
          <w:lang w:eastAsia="fr-BE"/>
        </w:rPr>
        <w:t>The</w:t>
      </w:r>
      <w:r w:rsidR="0069401D" w:rsidRPr="00A04E56">
        <w:rPr>
          <w:rFonts w:eastAsia="Calibri"/>
          <w:noProof/>
          <w:color w:val="000000" w:themeColor="text1"/>
          <w:lang w:eastAsia="fr-BE"/>
        </w:rPr>
        <w:t xml:space="preserve"> </w:t>
      </w:r>
      <w:r w:rsidR="0067244B" w:rsidRPr="00A04E56">
        <w:rPr>
          <w:rFonts w:eastAsia="Calibri"/>
          <w:noProof/>
          <w:color w:val="000000" w:themeColor="text1"/>
          <w:lang w:eastAsia="fr-BE"/>
        </w:rPr>
        <w:t xml:space="preserve">EU will not </w:t>
      </w:r>
      <w:r w:rsidR="0069401D" w:rsidRPr="00A04E56">
        <w:rPr>
          <w:rFonts w:eastAsia="Calibri"/>
          <w:noProof/>
          <w:color w:val="000000" w:themeColor="text1"/>
          <w:lang w:eastAsia="fr-BE"/>
        </w:rPr>
        <w:t xml:space="preserve">fund </w:t>
      </w:r>
      <w:r w:rsidRPr="00A04E56">
        <w:rPr>
          <w:rFonts w:eastAsia="Calibri"/>
          <w:noProof/>
          <w:color w:val="000000" w:themeColor="text1"/>
          <w:lang w:eastAsia="fr-BE"/>
        </w:rPr>
        <w:t>the acquisition phase, but</w:t>
      </w:r>
      <w:r w:rsidR="00D6440F" w:rsidRPr="00A04E56">
        <w:rPr>
          <w:rFonts w:eastAsia="Calibri"/>
          <w:noProof/>
          <w:color w:val="000000" w:themeColor="text1"/>
          <w:lang w:eastAsia="fr-BE"/>
        </w:rPr>
        <w:t xml:space="preserve"> </w:t>
      </w:r>
      <w:r w:rsidR="0067244B" w:rsidRPr="00A04E56">
        <w:rPr>
          <w:rFonts w:eastAsia="Calibri"/>
          <w:noProof/>
          <w:color w:val="000000" w:themeColor="text1"/>
          <w:lang w:eastAsia="fr-BE"/>
        </w:rPr>
        <w:t>the Commission can offer practical support</w:t>
      </w:r>
      <w:r w:rsidR="004F1BCB" w:rsidRPr="00A04E56">
        <w:rPr>
          <w:rFonts w:eastAsia="Calibri"/>
          <w:noProof/>
          <w:color w:val="000000" w:themeColor="text1"/>
          <w:lang w:eastAsia="fr-BE"/>
        </w:rPr>
        <w:t xml:space="preserve"> to</w:t>
      </w:r>
      <w:r w:rsidR="00F77BF1" w:rsidRPr="00A04E56">
        <w:rPr>
          <w:rFonts w:eastAsia="Calibri"/>
          <w:noProof/>
          <w:color w:val="000000" w:themeColor="text1"/>
          <w:lang w:eastAsia="fr-BE"/>
        </w:rPr>
        <w:t xml:space="preserve"> </w:t>
      </w:r>
      <w:r w:rsidR="00902247" w:rsidRPr="00A04E56">
        <w:rPr>
          <w:rFonts w:eastAsia="Calibri"/>
          <w:noProof/>
          <w:color w:val="000000" w:themeColor="text1"/>
          <w:lang w:eastAsia="fr-BE"/>
        </w:rPr>
        <w:t xml:space="preserve">Member States wishing to procure jointly products and technology. </w:t>
      </w:r>
    </w:p>
    <w:p w14:paraId="7EE72F31" w14:textId="635CAED2" w:rsidR="00205EC7" w:rsidRPr="00A04E56" w:rsidRDefault="00F24B64" w:rsidP="00A023CF">
      <w:pPr>
        <w:pStyle w:val="Title2Report"/>
      </w:pPr>
      <w:bookmarkStart w:id="80" w:name="_Toc12021004"/>
      <w:r w:rsidRPr="00A04E56">
        <w:t>Customs</w:t>
      </w:r>
      <w:r w:rsidR="00205EC7" w:rsidRPr="00A04E56">
        <w:t xml:space="preserve"> 2020</w:t>
      </w:r>
      <w:bookmarkEnd w:id="80"/>
    </w:p>
    <w:p w14:paraId="63A96ED3" w14:textId="10355328" w:rsidR="00387D58" w:rsidRPr="00A04E56" w:rsidRDefault="00205EC7" w:rsidP="004C2555">
      <w:pPr>
        <w:pStyle w:val="BodyText1spaceafter"/>
      </w:pPr>
      <w:r w:rsidRPr="00A04E56">
        <w:t xml:space="preserve">The EU </w:t>
      </w:r>
      <w:r w:rsidR="00CA598F" w:rsidRPr="00A04E56">
        <w:t xml:space="preserve">customs </w:t>
      </w:r>
      <w:r w:rsidR="00CA598F" w:rsidRPr="00A04E56">
        <w:rPr>
          <w:noProof w:val="0"/>
        </w:rPr>
        <w:t>union</w:t>
      </w:r>
      <w:r w:rsidR="00CA598F" w:rsidRPr="00A04E56">
        <w:t xml:space="preserve"> </w:t>
      </w:r>
      <w:r w:rsidRPr="00A04E56">
        <w:t xml:space="preserve">territory is governed by common rules and procedures laid down in the </w:t>
      </w:r>
      <w:r w:rsidR="009A0795" w:rsidRPr="00A04E56">
        <w:rPr>
          <w:noProof w:val="0"/>
        </w:rPr>
        <w:t>EU</w:t>
      </w:r>
      <w:r w:rsidRPr="00A04E56">
        <w:t xml:space="preserve"> </w:t>
      </w:r>
      <w:r w:rsidR="00CA598F" w:rsidRPr="00A04E56">
        <w:t>customs code</w:t>
      </w:r>
      <w:r w:rsidR="00633D4D" w:rsidRPr="00A04E56">
        <w:rPr>
          <w:rStyle w:val="fnRef"/>
          <w:rFonts w:ascii="Arial" w:hAnsi="Arial" w:cs="Arial"/>
        </w:rPr>
        <w:t> </w:t>
      </w:r>
      <w:r w:rsidR="0035678A" w:rsidRPr="00A04E56">
        <w:rPr>
          <w:rStyle w:val="fnRef"/>
        </w:rPr>
        <w:t>(</w:t>
      </w:r>
      <w:r w:rsidR="0035678A" w:rsidRPr="00A04E56">
        <w:rPr>
          <w:rStyle w:val="fnRefNo"/>
        </w:rPr>
        <w:footnoteReference w:id="110"/>
      </w:r>
      <w:r w:rsidR="0035678A" w:rsidRPr="00A04E56">
        <w:rPr>
          <w:rStyle w:val="fnRef"/>
        </w:rPr>
        <w:t>)</w:t>
      </w:r>
      <w:r w:rsidRPr="00A04E56">
        <w:t>. They require proper and uniform implementation and application across the EU. Moreover, customs policy and the customs administrations</w:t>
      </w:r>
      <w:r w:rsidRPr="00A04E56" w:rsidDel="002838E7">
        <w:t xml:space="preserve"> </w:t>
      </w:r>
      <w:r w:rsidRPr="00A04E56">
        <w:t xml:space="preserve">need to </w:t>
      </w:r>
      <w:r w:rsidR="002838E7" w:rsidRPr="00A04E56">
        <w:t xml:space="preserve">constantly </w:t>
      </w:r>
      <w:r w:rsidRPr="00A04E56">
        <w:t xml:space="preserve">adapt to modern trade realities and modern communication tools. </w:t>
      </w:r>
    </w:p>
    <w:p w14:paraId="543C3080" w14:textId="0EAB453D" w:rsidR="00387D58" w:rsidRPr="00A04E56" w:rsidRDefault="00387D58" w:rsidP="004C2555">
      <w:pPr>
        <w:pStyle w:val="BodyText1spaceafter"/>
      </w:pPr>
      <w:r w:rsidRPr="00A04E56">
        <w:t>Customs 2020 is a programme to facilitate and enhance cooperation between</w:t>
      </w:r>
      <w:r w:rsidRPr="00A04E56" w:rsidDel="0030404B">
        <w:t xml:space="preserve"> </w:t>
      </w:r>
      <w:r w:rsidRPr="00A04E56">
        <w:t xml:space="preserve">national customs administrations. This cooperation helps improving the administrative capacity of the customs authorities and strengthen the competitiveness of European businesses, for instance through reducing compliance costs and administrative burden. The coopersation also increases safety and security, protects citizens and the environment. </w:t>
      </w:r>
    </w:p>
    <w:p w14:paraId="58CC01AB" w14:textId="6E768794" w:rsidR="00205EC7" w:rsidRPr="00A04E56" w:rsidRDefault="00205EC7" w:rsidP="004C2555">
      <w:pPr>
        <w:pStyle w:val="BodyText1spaceafter"/>
      </w:pPr>
      <w:r w:rsidRPr="00A04E56">
        <w:t xml:space="preserve">The </w:t>
      </w:r>
      <w:r w:rsidR="009A0795" w:rsidRPr="00A04E56">
        <w:rPr>
          <w:rStyle w:val="BOLDLIGHTBLUEReport"/>
          <w:rFonts w:eastAsia="Calibri"/>
        </w:rPr>
        <w:t>EU</w:t>
      </w:r>
      <w:r w:rsidRPr="00A04E56">
        <w:rPr>
          <w:rStyle w:val="BOLDLIGHTBLUEReport"/>
          <w:rFonts w:eastAsia="Calibri"/>
        </w:rPr>
        <w:t xml:space="preserve"> </w:t>
      </w:r>
      <w:r w:rsidR="002838E7" w:rsidRPr="00A04E56">
        <w:rPr>
          <w:rStyle w:val="BOLDLIGHTBLUEReport"/>
          <w:rFonts w:eastAsia="Calibri"/>
        </w:rPr>
        <w:t>customs code</w:t>
      </w:r>
      <w:r w:rsidR="002838E7" w:rsidRPr="00A04E56">
        <w:t xml:space="preserve"> is </w:t>
      </w:r>
      <w:r w:rsidRPr="00A04E56">
        <w:t>a milestone in modernising EU customs, and the EU’s Customs 2020 action programme is indispensable in supporting its implementation.</w:t>
      </w:r>
    </w:p>
    <w:p w14:paraId="293236CC" w14:textId="36CADD7E" w:rsidR="00205EC7" w:rsidRPr="00A04E56" w:rsidRDefault="00205EC7" w:rsidP="004C2555">
      <w:pPr>
        <w:pStyle w:val="BodyText1spaceafter"/>
      </w:pPr>
      <w:r w:rsidRPr="00A04E56">
        <w:t xml:space="preserve">The key exchange network is the highly reliable </w:t>
      </w:r>
      <w:r w:rsidR="00D42CFD" w:rsidRPr="00A04E56">
        <w:rPr>
          <w:rStyle w:val="BOLDLIGHTBLUEReport"/>
          <w:rFonts w:eastAsia="Calibri"/>
        </w:rPr>
        <w:t>common communication network</w:t>
      </w:r>
      <w:r w:rsidRPr="00A04E56">
        <w:t xml:space="preserve">, common to customs and taxation areas. It is composed of 112 </w:t>
      </w:r>
      <w:r w:rsidR="00511109" w:rsidRPr="00A04E56">
        <w:t>internet</w:t>
      </w:r>
      <w:r w:rsidR="00561E1B" w:rsidRPr="00A04E56">
        <w:t xml:space="preserve"> </w:t>
      </w:r>
      <w:r w:rsidR="00511109" w:rsidRPr="00A04E56">
        <w:t xml:space="preserve">based </w:t>
      </w:r>
      <w:r w:rsidRPr="00A04E56">
        <w:t xml:space="preserve">gateways in 49 sites located in 33 different countries. Over the years of the </w:t>
      </w:r>
      <w:r w:rsidR="00ED64FD" w:rsidRPr="00A04E56">
        <w:t xml:space="preserve">customs programme </w:t>
      </w:r>
      <w:r w:rsidRPr="00A04E56">
        <w:t xml:space="preserve">iterations, there has been a steady increase in the number and volume of data exchanged. </w:t>
      </w:r>
      <w:r w:rsidR="008C1D39" w:rsidRPr="00A04E56">
        <w:rPr>
          <w:i/>
          <w:u w:val="single"/>
        </w:rPr>
        <w:t>In 2017</w:t>
      </w:r>
      <w:r w:rsidRPr="00A04E56">
        <w:t xml:space="preserve"> alone, nearly 4.8</w:t>
      </w:r>
      <w:r w:rsidR="006B7032" w:rsidRPr="00A04E56">
        <w:rPr>
          <w:rFonts w:cs="Calibri"/>
          <w:noProof w:val="0"/>
        </w:rPr>
        <w:t> </w:t>
      </w:r>
      <w:r w:rsidR="006B7032" w:rsidRPr="00A04E56">
        <w:rPr>
          <w:noProof w:val="0"/>
        </w:rPr>
        <w:t>billion</w:t>
      </w:r>
      <w:r w:rsidRPr="00A04E56">
        <w:t xml:space="preserve"> messages of 5.5 terabytes</w:t>
      </w:r>
      <w:r w:rsidR="00A246E1" w:rsidRPr="00A04E56">
        <w:rPr>
          <w:rFonts w:cs="Calibri"/>
        </w:rPr>
        <w:t> (TB)</w:t>
      </w:r>
      <w:r w:rsidRPr="00A04E56">
        <w:t xml:space="preserve"> of volume were exchanged. Over 11.2</w:t>
      </w:r>
      <w:r w:rsidR="00A827FD" w:rsidRPr="00A04E56">
        <w:rPr>
          <w:rFonts w:cs="Calibri"/>
          <w:noProof w:val="0"/>
        </w:rPr>
        <w:t> </w:t>
      </w:r>
      <w:r w:rsidR="00A827FD" w:rsidRPr="00A04E56">
        <w:rPr>
          <w:noProof w:val="0"/>
        </w:rPr>
        <w:t>million</w:t>
      </w:r>
      <w:r w:rsidRPr="00A04E56">
        <w:t xml:space="preserve"> transit movements </w:t>
      </w:r>
      <w:r w:rsidR="00511109" w:rsidRPr="00A04E56">
        <w:t>took place</w:t>
      </w:r>
      <w:r w:rsidRPr="00A04E56">
        <w:t xml:space="preserve"> t</w:t>
      </w:r>
      <w:r w:rsidR="001D7E9D" w:rsidRPr="00A04E56">
        <w:t>hrough the new computerised transit system</w:t>
      </w:r>
      <w:r w:rsidRPr="00A04E56">
        <w:t>, with the average number of movements released per business day reaching over 44</w:t>
      </w:r>
      <w:r w:rsidR="00E91F65" w:rsidRPr="00A04E56">
        <w:rPr>
          <w:rFonts w:cs="Calibri"/>
          <w:noProof w:val="0"/>
        </w:rPr>
        <w:t> </w:t>
      </w:r>
      <w:r w:rsidRPr="00A04E56" w:rsidDel="006221A4">
        <w:t>000</w:t>
      </w:r>
      <w:r w:rsidRPr="00A04E56">
        <w:rPr>
          <w:noProof w:val="0"/>
        </w:rPr>
        <w:t>.</w:t>
      </w:r>
      <w:r w:rsidRPr="00A04E56">
        <w:t xml:space="preserve"> 5.1</w:t>
      </w:r>
      <w:r w:rsidR="00A827FD" w:rsidRPr="00A04E56">
        <w:rPr>
          <w:rFonts w:cs="Calibri"/>
          <w:noProof w:val="0"/>
        </w:rPr>
        <w:t> </w:t>
      </w:r>
      <w:r w:rsidR="00A827FD" w:rsidRPr="00A04E56">
        <w:rPr>
          <w:noProof w:val="0"/>
        </w:rPr>
        <w:t>million</w:t>
      </w:r>
      <w:r w:rsidRPr="00A04E56">
        <w:t xml:space="preserve"> indirect export movements were recorded in the </w:t>
      </w:r>
      <w:r w:rsidR="00DE2163" w:rsidRPr="00A04E56">
        <w:t xml:space="preserve">export control system </w:t>
      </w:r>
      <w:r w:rsidRPr="00A04E56">
        <w:t>and some 48</w:t>
      </w:r>
      <w:r w:rsidR="00A827FD" w:rsidRPr="00A04E56">
        <w:rPr>
          <w:rFonts w:cs="Calibri"/>
          <w:noProof w:val="0"/>
        </w:rPr>
        <w:t> </w:t>
      </w:r>
      <w:r w:rsidR="00A827FD" w:rsidRPr="00A04E56">
        <w:rPr>
          <w:noProof w:val="0"/>
        </w:rPr>
        <w:t>millio</w:t>
      </w:r>
      <w:r w:rsidR="00DE2163" w:rsidRPr="00A04E56">
        <w:rPr>
          <w:noProof w:val="0"/>
        </w:rPr>
        <w:t>n</w:t>
      </w:r>
      <w:r w:rsidR="00DE2163" w:rsidRPr="00A04E56">
        <w:t xml:space="preserve"> entry summary declarations </w:t>
      </w:r>
      <w:r w:rsidRPr="00A04E56">
        <w:t xml:space="preserve">were lodged in </w:t>
      </w:r>
      <w:r w:rsidR="006629D8" w:rsidRPr="00A04E56">
        <w:t xml:space="preserve">the </w:t>
      </w:r>
      <w:r w:rsidRPr="00A04E56">
        <w:t xml:space="preserve">EU through the </w:t>
      </w:r>
      <w:r w:rsidR="00A626F7" w:rsidRPr="00A04E56">
        <w:t>import control system</w:t>
      </w:r>
      <w:r w:rsidRPr="00A04E56">
        <w:t xml:space="preserve">. The outreach of the programme is not always easy to measure as thousands of officials and </w:t>
      </w:r>
      <w:r w:rsidR="006629D8" w:rsidRPr="00A04E56">
        <w:t>businesse</w:t>
      </w:r>
      <w:r w:rsidRPr="00A04E56">
        <w:t xml:space="preserve">s use the </w:t>
      </w:r>
      <w:r w:rsidR="00DB61A1" w:rsidRPr="00A04E56">
        <w:t>information technology (</w:t>
      </w:r>
      <w:r w:rsidRPr="00A04E56">
        <w:t>IT</w:t>
      </w:r>
      <w:r w:rsidR="00DB61A1" w:rsidRPr="00A04E56">
        <w:t>)</w:t>
      </w:r>
      <w:r w:rsidRPr="00A04E56">
        <w:t xml:space="preserve"> systems supported by Customs 2020 without realising where they come from.</w:t>
      </w:r>
    </w:p>
    <w:p w14:paraId="066D005D" w14:textId="1FA0079D" w:rsidR="00205EC7" w:rsidRPr="00A04E56" w:rsidRDefault="00205EC7">
      <w:pPr>
        <w:pStyle w:val="BodyText1spaceafter"/>
      </w:pPr>
      <w:r w:rsidRPr="00A04E56">
        <w:t xml:space="preserve">The programme supported a great number of various types of </w:t>
      </w:r>
      <w:r w:rsidRPr="00A04E56">
        <w:rPr>
          <w:rStyle w:val="BOLDLIGHTBLUEReport"/>
          <w:rFonts w:eastAsia="Calibri"/>
        </w:rPr>
        <w:t>joint action</w:t>
      </w:r>
      <w:r w:rsidRPr="00A04E56">
        <w:t xml:space="preserve"> as well. Th</w:t>
      </w:r>
      <w:r w:rsidR="00A6221A" w:rsidRPr="00A04E56">
        <w:t>e</w:t>
      </w:r>
      <w:r w:rsidRPr="00A04E56">
        <w:t xml:space="preserve">re </w:t>
      </w:r>
      <w:r w:rsidR="00B20C49" w:rsidRPr="00A04E56">
        <w:t>were</w:t>
      </w:r>
      <w:r w:rsidRPr="00A04E56">
        <w:t xml:space="preserve"> 16</w:t>
      </w:r>
      <w:r w:rsidRPr="00A04E56">
        <w:rPr>
          <w:rFonts w:cs="Calibri"/>
        </w:rPr>
        <w:t> </w:t>
      </w:r>
      <w:r w:rsidRPr="00A04E56">
        <w:t>864 project groups</w:t>
      </w:r>
      <w:r w:rsidR="00511109" w:rsidRPr="00A04E56">
        <w:t xml:space="preserve"> meetings</w:t>
      </w:r>
      <w:r w:rsidRPr="00A04E56">
        <w:t>, 1</w:t>
      </w:r>
      <w:r w:rsidR="002925BA" w:rsidRPr="00A04E56">
        <w:rPr>
          <w:rFonts w:cs="Calibri"/>
        </w:rPr>
        <w:t> </w:t>
      </w:r>
      <w:r w:rsidRPr="00A04E56">
        <w:t>897 workshops, 1</w:t>
      </w:r>
      <w:r w:rsidR="002925BA" w:rsidRPr="00A04E56">
        <w:rPr>
          <w:rFonts w:cs="Calibri"/>
        </w:rPr>
        <w:t> </w:t>
      </w:r>
      <w:r w:rsidRPr="00A04E56">
        <w:t>106 working visits, 947 seminars, 203 join communication actions, 180 capacity</w:t>
      </w:r>
      <w:r w:rsidR="00C6111C" w:rsidRPr="00A04E56">
        <w:t>-</w:t>
      </w:r>
      <w:r w:rsidR="00BE5067" w:rsidRPr="00A04E56">
        <w:t>building</w:t>
      </w:r>
      <w:r w:rsidRPr="00A04E56" w:rsidDel="009E6023">
        <w:t xml:space="preserve"> </w:t>
      </w:r>
      <w:r w:rsidRPr="00A04E56">
        <w:t>and supporting actions and 72 monitoring activities organised across all participating countries within the programme’s first 4</w:t>
      </w:r>
      <w:r w:rsidR="004361A7" w:rsidRPr="00A04E56">
        <w:rPr>
          <w:rFonts w:cs="Calibri"/>
          <w:noProof w:val="0"/>
        </w:rPr>
        <w:t> </w:t>
      </w:r>
      <w:r w:rsidRPr="00A04E56">
        <w:t>years in operation.</w:t>
      </w:r>
    </w:p>
    <w:p w14:paraId="1850956F" w14:textId="0A1DD410" w:rsidR="00E30293" w:rsidRPr="00A04E56" w:rsidRDefault="008C1D39" w:rsidP="00C257BF">
      <w:pPr>
        <w:pStyle w:val="BodyText1spaceafter"/>
      </w:pPr>
      <w:r w:rsidRPr="00A04E56">
        <w:rPr>
          <w:i/>
          <w:u w:val="single"/>
        </w:rPr>
        <w:t>In 2018</w:t>
      </w:r>
      <w:r w:rsidR="00E30293" w:rsidRPr="00A04E56">
        <w:t>, the Commission carried out a mid</w:t>
      </w:r>
      <w:r w:rsidR="003B6127" w:rsidRPr="00A04E56">
        <w:t>term</w:t>
      </w:r>
      <w:r w:rsidR="00E30293" w:rsidRPr="00A04E56">
        <w:t xml:space="preserve"> evaluation of the Customs 2020 </w:t>
      </w:r>
      <w:r w:rsidR="0096197C" w:rsidRPr="00A04E56">
        <w:t>programme</w:t>
      </w:r>
      <w:r w:rsidR="0096197C">
        <w:rPr>
          <w:rFonts w:ascii="Calibri" w:hAnsi="Calibri" w:cs="Calibri"/>
        </w:rPr>
        <w:t> </w:t>
      </w:r>
      <w:r w:rsidR="00E30293" w:rsidRPr="00A04E56">
        <w:t>(</w:t>
      </w:r>
      <w:r w:rsidR="00E30293" w:rsidRPr="00277538">
        <w:rPr>
          <w:rStyle w:val="fnRefNo"/>
        </w:rPr>
        <w:footnoteReference w:id="111"/>
      </w:r>
      <w:r w:rsidR="00E30293" w:rsidRPr="00A04E56">
        <w:t xml:space="preserve">), which confirmed that the programme is working well, is needed and adds value. Most of the programme’s joint actions, training and European Information Systems directly help customs administrations to get ready for the modern, well functioning Customs Union. </w:t>
      </w:r>
    </w:p>
    <w:p w14:paraId="66818243" w14:textId="5FFE1ABE" w:rsidR="00E30293" w:rsidRPr="00A04E56" w:rsidRDefault="00E30293" w:rsidP="00C257BF">
      <w:pPr>
        <w:pStyle w:val="BodyText1spaceafter"/>
      </w:pPr>
      <w:r w:rsidRPr="00A04E56">
        <w:t>The European Information Systems are resource-intensive but bring an array of benefits in all areas of customs activities. The benefits include harmonisation of customs procedures, uniform implementation of the customs law, sharing of information and generating economies of scale, particularly through the centralised systems. They are interconnected and interoperable and vastly used in the day-to-day customs operations. Their importance in pursuing modernisation of customs towards a paperless environment was found invaluable and the IT architecture as a whole unmatched and unreproducible at national level.</w:t>
      </w:r>
    </w:p>
    <w:p w14:paraId="3254CEAE" w14:textId="4DC13728" w:rsidR="00E30293" w:rsidRPr="00A04E56" w:rsidRDefault="00E30293" w:rsidP="00C257BF">
      <w:pPr>
        <w:pStyle w:val="BodyText1spaceafter"/>
      </w:pPr>
      <w:r w:rsidRPr="00A04E56">
        <w:t>Customs 2020 programme fosters cooperation and builds trust between customs administrations and their officials. Training activities are also conducive to shared understanding, alignment of interpretations of the customs provisions, standardisation of terminology and ultimately more uniformity into application of the EU law across the Member States.</w:t>
      </w:r>
    </w:p>
    <w:p w14:paraId="51D4A7AE" w14:textId="253B82C7" w:rsidR="00E30293" w:rsidRPr="00A04E56" w:rsidRDefault="00E30293" w:rsidP="00C257BF">
      <w:pPr>
        <w:pStyle w:val="BodyText1spaceafter"/>
      </w:pPr>
      <w:r w:rsidRPr="00A04E56">
        <w:t>The mid</w:t>
      </w:r>
      <w:r w:rsidR="003B6127" w:rsidRPr="00A04E56">
        <w:t>term</w:t>
      </w:r>
      <w:r w:rsidRPr="00A04E56">
        <w:t xml:space="preserve"> evaluation of the programme identified nevertheless some room for improvement in certain areas, such as the simplifying the Performance Measurement Framework or increasing the interoperability of some IT systems.</w:t>
      </w:r>
    </w:p>
    <w:p w14:paraId="10AB3676" w14:textId="5DB64D2E" w:rsidR="00205EC7" w:rsidRPr="00A04E56" w:rsidRDefault="00FD738A">
      <w:pPr>
        <w:pStyle w:val="BodyText1spaceafter"/>
      </w:pPr>
      <w:r w:rsidRPr="00A04E56">
        <w:t>T</w:t>
      </w:r>
      <w:r w:rsidR="00205EC7" w:rsidRPr="00A04E56">
        <w:t>he Commission proposed to continue the programme post</w:t>
      </w:r>
      <w:r w:rsidR="000B7280" w:rsidRPr="00A04E56">
        <w:t>-</w:t>
      </w:r>
      <w:r w:rsidR="00205EC7" w:rsidRPr="00A04E56">
        <w:t>2020. Customs cooperation</w:t>
      </w:r>
      <w:r w:rsidR="00DB61A1" w:rsidRPr="00A04E56">
        <w:t>s</w:t>
      </w:r>
      <w:r w:rsidR="00205EC7" w:rsidRPr="00A04E56">
        <w:t xml:space="preserve"> and capacity building would be clustered around human</w:t>
      </w:r>
      <w:r w:rsidR="00DB61A1" w:rsidRPr="00A04E56">
        <w:t>-</w:t>
      </w:r>
      <w:r w:rsidR="00205EC7" w:rsidRPr="00A04E56">
        <w:t>networking and competency</w:t>
      </w:r>
      <w:r w:rsidR="00DB61A1" w:rsidRPr="00A04E56">
        <w:t>-</w:t>
      </w:r>
      <w:r w:rsidR="00205EC7" w:rsidRPr="00A04E56">
        <w:t>building actions, on the one hand, and information technology capacity</w:t>
      </w:r>
      <w:r w:rsidR="00243AF7" w:rsidRPr="00A04E56">
        <w:t>-</w:t>
      </w:r>
      <w:r w:rsidR="00205EC7" w:rsidRPr="00A04E56">
        <w:t xml:space="preserve">building actions, on the other hand. As with the current </w:t>
      </w:r>
      <w:r w:rsidR="00655667" w:rsidRPr="00A04E56">
        <w:rPr>
          <w:noProof w:val="0"/>
        </w:rPr>
        <w:t>iteration</w:t>
      </w:r>
      <w:r w:rsidR="00205EC7" w:rsidRPr="00A04E56">
        <w:t xml:space="preserve"> of the programme, the vast majority of the proposed budget will be spent on </w:t>
      </w:r>
      <w:r w:rsidR="00243AF7" w:rsidRPr="00A04E56">
        <w:t>IT capacity-building actions</w:t>
      </w:r>
      <w:r w:rsidR="00205EC7" w:rsidRPr="00A04E56">
        <w:t>, continuing the approach based on an IT</w:t>
      </w:r>
      <w:r w:rsidR="00243AF7" w:rsidRPr="00A04E56">
        <w:t>-</w:t>
      </w:r>
      <w:r w:rsidR="00205EC7" w:rsidRPr="00A04E56">
        <w:t>architecture model where European electronic systems are made of a combination of common and national components. This model has been favoured above the fully centralised architecture</w:t>
      </w:r>
      <w:r w:rsidR="00243AF7" w:rsidRPr="00A04E56">
        <w:t>,</w:t>
      </w:r>
      <w:r w:rsidR="00205EC7" w:rsidRPr="00A04E56" w:rsidDel="00243AF7">
        <w:t xml:space="preserve"> </w:t>
      </w:r>
      <w:r w:rsidR="00205EC7" w:rsidRPr="00A04E56">
        <w:t xml:space="preserve">leaving the Member States some flexibility in designing the national-end applications, taking into account their preferences, requirements and constraints. </w:t>
      </w:r>
    </w:p>
    <w:p w14:paraId="67FFF9B2" w14:textId="41D66230" w:rsidR="00205EC7" w:rsidRPr="00A04E56" w:rsidRDefault="00205EC7" w:rsidP="00A023CF">
      <w:pPr>
        <w:pStyle w:val="Title2Report"/>
      </w:pPr>
      <w:bookmarkStart w:id="81" w:name="_Toc12021005"/>
      <w:r w:rsidRPr="00A04E56">
        <w:t>Fiscalis 2020</w:t>
      </w:r>
      <w:bookmarkEnd w:id="81"/>
    </w:p>
    <w:p w14:paraId="44F21EB3" w14:textId="1AA1E426" w:rsidR="00205EC7" w:rsidRPr="00A04E56" w:rsidRDefault="00205EC7" w:rsidP="004C2555">
      <w:pPr>
        <w:pStyle w:val="BodyText1spaceafter"/>
      </w:pPr>
      <w:r w:rsidRPr="00A04E56">
        <w:t xml:space="preserve">The Fiscalis 2020 programme is one of the </w:t>
      </w:r>
      <w:r w:rsidR="00597757" w:rsidRPr="00A04E56">
        <w:t>key</w:t>
      </w:r>
      <w:r w:rsidRPr="00A04E56">
        <w:t xml:space="preserve"> measures to support the implementation of European Union taxation policy. It provides a framework to improve the proper functioning of the taxation systems in the single market through enhanced cooperation between participating countries, their tax authorities and officials. The participating countries are made up of the EU Member States and </w:t>
      </w:r>
      <w:r w:rsidR="00AE4700" w:rsidRPr="00A04E56">
        <w:t>the</w:t>
      </w:r>
      <w:r w:rsidRPr="00A04E56">
        <w:t xml:space="preserve"> </w:t>
      </w:r>
      <w:r w:rsidR="00E9307F" w:rsidRPr="00A04E56">
        <w:rPr>
          <w:noProof w:val="0"/>
        </w:rPr>
        <w:t>countries negotiating to join the EU (‘</w:t>
      </w:r>
      <w:r w:rsidRPr="00A04E56">
        <w:t xml:space="preserve">candidate </w:t>
      </w:r>
      <w:r w:rsidR="00E9307F" w:rsidRPr="00A04E56">
        <w:rPr>
          <w:noProof w:val="0"/>
        </w:rPr>
        <w:t xml:space="preserve">countries’) </w:t>
      </w:r>
      <w:r w:rsidRPr="00A04E56">
        <w:t>and potential candidate countries</w:t>
      </w:r>
      <w:r w:rsidR="00633D4D" w:rsidRPr="00A04E56">
        <w:rPr>
          <w:rStyle w:val="fnRef"/>
          <w:rFonts w:ascii="Arial" w:hAnsi="Arial" w:cs="Arial"/>
        </w:rPr>
        <w:t> </w:t>
      </w:r>
      <w:r w:rsidR="0035678A" w:rsidRPr="00A04E56">
        <w:rPr>
          <w:rStyle w:val="fnRef"/>
        </w:rPr>
        <w:t>(</w:t>
      </w:r>
      <w:r w:rsidR="0035678A" w:rsidRPr="00A04E56">
        <w:rPr>
          <w:rStyle w:val="fnRefNo"/>
        </w:rPr>
        <w:footnoteReference w:id="112"/>
      </w:r>
      <w:r w:rsidR="0035678A" w:rsidRPr="00A04E56">
        <w:rPr>
          <w:rStyle w:val="fnRef"/>
        </w:rPr>
        <w:t>)</w:t>
      </w:r>
      <w:r w:rsidRPr="00A04E56">
        <w:t>.</w:t>
      </w:r>
      <w:r w:rsidR="0014072F" w:rsidRPr="00A04E56">
        <w:t xml:space="preserve"> Due to the programme’s design and objectives, the vast majority of funding goes into the development and operation of the IT systems (around 75%), followed by the organisation of the joint action, studies and training activities.</w:t>
      </w:r>
    </w:p>
    <w:p w14:paraId="18D4E6AE" w14:textId="5D5ADFB8" w:rsidR="0014072F" w:rsidRPr="00A04E56" w:rsidRDefault="00874DBF">
      <w:pPr>
        <w:pStyle w:val="BodyText1spaceafter"/>
      </w:pPr>
      <w:r w:rsidRPr="00A04E56">
        <w:t>T</w:t>
      </w:r>
      <w:r w:rsidR="00205EC7" w:rsidRPr="00A04E56">
        <w:t xml:space="preserve">he </w:t>
      </w:r>
      <w:r w:rsidR="00347D38" w:rsidRPr="00A04E56">
        <w:t xml:space="preserve">Commision carried out the </w:t>
      </w:r>
      <w:r w:rsidR="00205EC7" w:rsidRPr="00A04E56">
        <w:t>mid</w:t>
      </w:r>
      <w:r w:rsidR="00835047" w:rsidRPr="00A04E56">
        <w:rPr>
          <w:noProof w:val="0"/>
        </w:rPr>
        <w:t>term</w:t>
      </w:r>
      <w:r w:rsidR="00205EC7" w:rsidRPr="00A04E56">
        <w:t xml:space="preserve"> evaluation of the Fiscalis 2020 </w:t>
      </w:r>
      <w:r w:rsidR="00722D66" w:rsidRPr="00A04E56">
        <w:t>progr</w:t>
      </w:r>
      <w:r w:rsidR="00205EC7" w:rsidRPr="00A04E56">
        <w:t>amme</w:t>
      </w:r>
      <w:r w:rsidR="00205EC7" w:rsidRPr="00A04E56" w:rsidDel="00347D38">
        <w:t xml:space="preserve"> </w:t>
      </w:r>
      <w:r w:rsidRPr="00A04E56">
        <w:t>during the course of 2018</w:t>
      </w:r>
      <w:r w:rsidR="00205EC7" w:rsidRPr="00A04E56">
        <w:t>, assessing its achievements for the first 4</w:t>
      </w:r>
      <w:r w:rsidR="004361A7" w:rsidRPr="00A04E56">
        <w:rPr>
          <w:rFonts w:cs="Calibri"/>
          <w:noProof w:val="0"/>
        </w:rPr>
        <w:t> </w:t>
      </w:r>
      <w:r w:rsidR="00205EC7" w:rsidRPr="00A04E56">
        <w:t>years of operation</w:t>
      </w:r>
      <w:r w:rsidR="00633D4D" w:rsidRPr="00A04E56">
        <w:rPr>
          <w:rStyle w:val="fnRef"/>
          <w:rFonts w:ascii="Arial" w:hAnsi="Arial" w:cs="Arial"/>
        </w:rPr>
        <w:t> </w:t>
      </w:r>
      <w:r w:rsidR="0035678A" w:rsidRPr="00A04E56">
        <w:rPr>
          <w:rStyle w:val="fnRef"/>
        </w:rPr>
        <w:t>(</w:t>
      </w:r>
      <w:r w:rsidR="0035678A" w:rsidRPr="00A04E56">
        <w:rPr>
          <w:rStyle w:val="fnRefNo"/>
        </w:rPr>
        <w:footnoteReference w:id="113"/>
      </w:r>
      <w:r w:rsidR="0035678A" w:rsidRPr="00A04E56">
        <w:rPr>
          <w:rStyle w:val="fnRef"/>
        </w:rPr>
        <w:t>)</w:t>
      </w:r>
      <w:r w:rsidR="00205EC7" w:rsidRPr="00A04E56">
        <w:t xml:space="preserve">. </w:t>
      </w:r>
    </w:p>
    <w:p w14:paraId="26F56451" w14:textId="67FF4A4F" w:rsidR="00205EC7" w:rsidRPr="00A04E56" w:rsidRDefault="0014072F">
      <w:pPr>
        <w:pStyle w:val="BodyText1spaceafter"/>
        <w:rPr>
          <w:szCs w:val="20"/>
        </w:rPr>
      </w:pPr>
      <w:r w:rsidRPr="00A04E56">
        <w:t>It</w:t>
      </w:r>
      <w:r w:rsidR="00205EC7" w:rsidRPr="00A04E56">
        <w:t xml:space="preserve"> confirmed that the programme is working well, is needed and adds value. </w:t>
      </w:r>
      <w:r w:rsidR="00205EC7" w:rsidRPr="00A04E56">
        <w:rPr>
          <w:szCs w:val="20"/>
        </w:rPr>
        <w:t>Fiscalis 2020 has played an integral role in reinforcing cooperation between tax authorities in the EU Member States and other participating countries,</w:t>
      </w:r>
      <w:r w:rsidR="00205EC7" w:rsidRPr="00A04E56" w:rsidDel="00603676">
        <w:rPr>
          <w:szCs w:val="20"/>
        </w:rPr>
        <w:t xml:space="preserve"> </w:t>
      </w:r>
      <w:r w:rsidR="00205EC7" w:rsidRPr="00A04E56">
        <w:rPr>
          <w:szCs w:val="20"/>
        </w:rPr>
        <w:t>through its three main types of activities (joint actions, European Information Systems and training). The programme has provided the framework and technological means necessary to work together and share information</w:t>
      </w:r>
      <w:r w:rsidR="00AC77AA" w:rsidRPr="00A04E56">
        <w:rPr>
          <w:szCs w:val="20"/>
        </w:rPr>
        <w:t>; thus,</w:t>
      </w:r>
      <w:r w:rsidR="00205EC7" w:rsidRPr="00A04E56">
        <w:rPr>
          <w:szCs w:val="20"/>
        </w:rPr>
        <w:t xml:space="preserve"> implementing EU tax law and fighting tax evasion, fraud and aggressive tax planning in an increasingly mobile Europe. Contributions were most pronounced in the areas of fighting tax fraud</w:t>
      </w:r>
      <w:r w:rsidR="00452D93" w:rsidRPr="00A04E56">
        <w:rPr>
          <w:szCs w:val="20"/>
        </w:rPr>
        <w:t>/</w:t>
      </w:r>
      <w:r w:rsidR="00205EC7" w:rsidRPr="00A04E56">
        <w:rPr>
          <w:szCs w:val="20"/>
        </w:rPr>
        <w:t xml:space="preserve">evasion in the areas of </w:t>
      </w:r>
      <w:r w:rsidR="00597757" w:rsidRPr="00A04E56">
        <w:rPr>
          <w:szCs w:val="20"/>
        </w:rPr>
        <w:t xml:space="preserve">value </w:t>
      </w:r>
      <w:r w:rsidR="00205EC7" w:rsidRPr="00A04E56">
        <w:rPr>
          <w:szCs w:val="20"/>
        </w:rPr>
        <w:t xml:space="preserve">added tax and excise (for </w:t>
      </w:r>
      <w:r w:rsidR="00597757" w:rsidRPr="00A04E56">
        <w:rPr>
          <w:szCs w:val="20"/>
        </w:rPr>
        <w:t>information technol</w:t>
      </w:r>
      <w:r w:rsidR="00835302" w:rsidRPr="00A04E56">
        <w:rPr>
          <w:szCs w:val="20"/>
        </w:rPr>
        <w:t>ogy such as the mini-one-stop-shop, eforms or vies-on-web</w:t>
      </w:r>
      <w:r w:rsidR="00205EC7" w:rsidRPr="00A04E56">
        <w:rPr>
          <w:szCs w:val="20"/>
        </w:rPr>
        <w:t>).</w:t>
      </w:r>
    </w:p>
    <w:p w14:paraId="2F163039" w14:textId="266C466C" w:rsidR="00205EC7" w:rsidRPr="00A04E56" w:rsidRDefault="00205EC7">
      <w:pPr>
        <w:pStyle w:val="BodyText1spaceafter"/>
      </w:pPr>
      <w:r w:rsidRPr="00A04E56">
        <w:t xml:space="preserve">The </w:t>
      </w:r>
      <w:r w:rsidR="00597757" w:rsidRPr="00A04E56">
        <w:t>i</w:t>
      </w:r>
      <w:r w:rsidRPr="00A04E56">
        <w:t xml:space="preserve">nformation </w:t>
      </w:r>
      <w:r w:rsidR="00597757" w:rsidRPr="00A04E56">
        <w:t>s</w:t>
      </w:r>
      <w:r w:rsidRPr="00A04E56">
        <w:t xml:space="preserve">ystems supported by the Fiscalis programme have led to substantial, if hard to quantify, cost savings for national administrations in the form of reduced spending </w:t>
      </w:r>
      <w:r w:rsidR="00597757" w:rsidRPr="00A04E56">
        <w:t xml:space="preserve">on information technology </w:t>
      </w:r>
      <w:r w:rsidRPr="00A04E56">
        <w:t>and human resources. Centrally developed systems are cheaper to develop and implement than 28 individual national systems</w:t>
      </w:r>
      <w:r w:rsidR="00597757" w:rsidRPr="00A04E56">
        <w:t>. They</w:t>
      </w:r>
      <w:r w:rsidRPr="00A04E56">
        <w:t xml:space="preserve"> also avoid costs relating to interoperability between countries. Where systems are split between EU and national components, the programme ensures interconnectivity and efficient coexistence.</w:t>
      </w:r>
    </w:p>
    <w:p w14:paraId="0144C869" w14:textId="22D65CED" w:rsidR="00205EC7" w:rsidRPr="00A04E56" w:rsidRDefault="00205EC7">
      <w:pPr>
        <w:pStyle w:val="BodyText1spaceafter"/>
      </w:pPr>
      <w:r w:rsidRPr="00A04E56">
        <w:t xml:space="preserve">In terms of functionality, major European Information Systems like </w:t>
      </w:r>
      <w:r w:rsidR="001451B3" w:rsidRPr="00A04E56">
        <w:t xml:space="preserve">the </w:t>
      </w:r>
      <w:r w:rsidRPr="00A04E56">
        <w:t xml:space="preserve">Excise Movement and Control System and the Mini-One-Stop-Shop have also been referred to by several interviewees as </w:t>
      </w:r>
      <w:r w:rsidR="00DB3463" w:rsidRPr="00A04E56">
        <w:t>‘</w:t>
      </w:r>
      <w:r w:rsidRPr="00A04E56">
        <w:t>revolutionary</w:t>
      </w:r>
      <w:r w:rsidR="00DB3463" w:rsidRPr="00A04E56">
        <w:t>’</w:t>
      </w:r>
      <w:r w:rsidRPr="00A04E56">
        <w:t xml:space="preserve"> in their fields, leading to completely new possibilities for monitoring, sharing of information</w:t>
      </w:r>
      <w:r w:rsidR="00FE7FBB" w:rsidRPr="00A04E56">
        <w:t xml:space="preserve"> and</w:t>
      </w:r>
      <w:r w:rsidRPr="00A04E56">
        <w:t xml:space="preserve"> prevention of fraud. Secondary benefits include new opportunities for big data analysis for e.g. compliance risk management. The expansion of the Mini-One-Stop-Shop in the next programme (to cover physical products) is expected to generate especially big benefits for tax collection and the facilitation of trade. </w:t>
      </w:r>
    </w:p>
    <w:p w14:paraId="78CFEF92" w14:textId="6D7FDC08" w:rsidR="009D152F" w:rsidRPr="00A04E56" w:rsidRDefault="009D152F" w:rsidP="00A023CF">
      <w:pPr>
        <w:pStyle w:val="Title2Report"/>
      </w:pPr>
      <w:bookmarkStart w:id="82" w:name="_Toc12021006"/>
      <w:bookmarkStart w:id="83" w:name="_Toc4603969"/>
      <w:r w:rsidRPr="00A04E56">
        <w:t>Hercule III</w:t>
      </w:r>
      <w:bookmarkEnd w:id="82"/>
      <w:r w:rsidRPr="00A04E56">
        <w:t xml:space="preserve"> </w:t>
      </w:r>
      <w:bookmarkEnd w:id="83"/>
    </w:p>
    <w:p w14:paraId="254378A5" w14:textId="0E2477E8" w:rsidR="009D152F" w:rsidRPr="00A04E56" w:rsidRDefault="009D152F" w:rsidP="0005798F">
      <w:pPr>
        <w:pStyle w:val="BodyText1spaceafter"/>
        <w:keepLines/>
      </w:pPr>
      <w:r w:rsidRPr="00A04E56">
        <w:t xml:space="preserve">Hercule III </w:t>
      </w:r>
      <w:r w:rsidR="00512266" w:rsidRPr="00A04E56">
        <w:t>is a p</w:t>
      </w:r>
      <w:r w:rsidRPr="00A04E56">
        <w:t>rogramme</w:t>
      </w:r>
      <w:r w:rsidR="00633D4D" w:rsidRPr="00A04E56">
        <w:rPr>
          <w:rStyle w:val="fnRef"/>
          <w:rFonts w:ascii="Arial" w:hAnsi="Arial" w:cs="Arial"/>
        </w:rPr>
        <w:t> </w:t>
      </w:r>
      <w:r w:rsidR="0035678A" w:rsidRPr="00A04E56">
        <w:rPr>
          <w:rStyle w:val="fnRef"/>
        </w:rPr>
        <w:t>(</w:t>
      </w:r>
      <w:r w:rsidR="0035678A" w:rsidRPr="00A04E56">
        <w:rPr>
          <w:rStyle w:val="fnRefNo"/>
        </w:rPr>
        <w:footnoteReference w:id="114"/>
      </w:r>
      <w:r w:rsidR="0035678A" w:rsidRPr="00A04E56">
        <w:rPr>
          <w:rStyle w:val="fnRef"/>
        </w:rPr>
        <w:t>)</w:t>
      </w:r>
      <w:r w:rsidRPr="00A04E56">
        <w:t xml:space="preserve"> </w:t>
      </w:r>
      <w:r w:rsidR="00C437CF" w:rsidRPr="00A04E56">
        <w:t>that</w:t>
      </w:r>
      <w:r w:rsidRPr="00A04E56">
        <w:t xml:space="preserve"> helps EU countries to </w:t>
      </w:r>
      <w:r w:rsidRPr="00A04E56">
        <w:rPr>
          <w:szCs w:val="20"/>
        </w:rPr>
        <w:t>combat irregularities, fraud and corruption affecting the EU budget.</w:t>
      </w:r>
      <w:r w:rsidRPr="00A04E56" w:rsidDel="00603676">
        <w:rPr>
          <w:szCs w:val="20"/>
        </w:rPr>
        <w:t xml:space="preserve"> </w:t>
      </w:r>
      <w:r w:rsidRPr="00A04E56">
        <w:t xml:space="preserve">The programme aims to protect </w:t>
      </w:r>
      <w:r w:rsidR="00C520F1" w:rsidRPr="00A04E56">
        <w:t xml:space="preserve">the EU’s financial interests and consequently protect </w:t>
      </w:r>
      <w:r w:rsidRPr="00A04E56">
        <w:t xml:space="preserve">taxpayers’ money </w:t>
      </w:r>
      <w:r w:rsidR="00C520F1" w:rsidRPr="00A04E56">
        <w:t xml:space="preserve">and enhance </w:t>
      </w:r>
      <w:r w:rsidRPr="00A04E56">
        <w:t xml:space="preserve">the competitiveness of the </w:t>
      </w:r>
      <w:r w:rsidR="009A0795" w:rsidRPr="00A04E56">
        <w:rPr>
          <w:noProof w:val="0"/>
        </w:rPr>
        <w:t>EU</w:t>
      </w:r>
      <w:r w:rsidRPr="00A04E56">
        <w:t xml:space="preserve"> economy.</w:t>
      </w:r>
      <w:bookmarkStart w:id="84" w:name="_Toc4680718"/>
      <w:bookmarkStart w:id="85" w:name="_Toc4682992"/>
      <w:r w:rsidR="00603676" w:rsidRPr="00A04E56">
        <w:rPr>
          <w:noProof w:val="0"/>
        </w:rPr>
        <w:t xml:space="preserve"> </w:t>
      </w:r>
      <w:bookmarkEnd w:id="84"/>
      <w:bookmarkEnd w:id="85"/>
      <w:r w:rsidRPr="00A04E56">
        <w:t xml:space="preserve">The programme also finances practical projects, such as the purchase by national authorities of x-ray scanners, sniffer dogs and other </w:t>
      </w:r>
      <w:r w:rsidR="006C0F4F" w:rsidRPr="00A04E56">
        <w:t xml:space="preserve">detection and investigation </w:t>
      </w:r>
      <w:r w:rsidRPr="00A04E56">
        <w:t xml:space="preserve">equipment to stamp out smuggling and other criminal activities. </w:t>
      </w:r>
    </w:p>
    <w:p w14:paraId="287813F4" w14:textId="7714E4A1" w:rsidR="009D152F" w:rsidRPr="00A04E56" w:rsidRDefault="009D152F">
      <w:pPr>
        <w:pStyle w:val="BodyText1spaceafter"/>
      </w:pPr>
      <w:r w:rsidRPr="00A04E56">
        <w:t xml:space="preserve">A key domain is </w:t>
      </w:r>
      <w:r w:rsidRPr="00A04E56">
        <w:rPr>
          <w:rStyle w:val="BodyText1Char"/>
          <w:lang w:val="en-GB"/>
        </w:rPr>
        <w:t>combating tobacco smuggling</w:t>
      </w:r>
      <w:r w:rsidRPr="00A04E56">
        <w:t xml:space="preserve"> which remains a major concern, accounting for estimated annual losses of at least </w:t>
      </w:r>
      <w:r w:rsidRPr="00A04E56" w:rsidDel="00543763">
        <w:t>EUR</w:t>
      </w:r>
      <w:r w:rsidR="00543763" w:rsidRPr="00A04E56">
        <w:rPr>
          <w:rFonts w:cs="Calibri"/>
          <w:noProof w:val="0"/>
        </w:rPr>
        <w:t> </w:t>
      </w:r>
      <w:r w:rsidRPr="00A04E56">
        <w:t>10</w:t>
      </w:r>
      <w:r w:rsidR="006B7032" w:rsidRPr="00A04E56">
        <w:rPr>
          <w:rFonts w:cs="Calibri"/>
          <w:noProof w:val="0"/>
        </w:rPr>
        <w:t> </w:t>
      </w:r>
      <w:r w:rsidR="006B7032" w:rsidRPr="00A04E56">
        <w:rPr>
          <w:noProof w:val="0"/>
        </w:rPr>
        <w:t>billion</w:t>
      </w:r>
      <w:r w:rsidRPr="00A04E56">
        <w:t xml:space="preserve"> to national and EU budgets. Helping to fund x-ray scanners and other technical equipment in harbours and airports, for example, aims to boost national authorities' capacity to fight smuggling. Hercule III also finances </w:t>
      </w:r>
      <w:r w:rsidR="0028083D" w:rsidRPr="00A04E56">
        <w:t xml:space="preserve">the </w:t>
      </w:r>
      <w:r w:rsidRPr="00A04E56">
        <w:t xml:space="preserve">sharing </w:t>
      </w:r>
      <w:r w:rsidR="0028083D" w:rsidRPr="00A04E56">
        <w:t xml:space="preserve">of </w:t>
      </w:r>
      <w:r w:rsidRPr="00A04E56">
        <w:t xml:space="preserve">best practices on issues such as preventing </w:t>
      </w:r>
      <w:r w:rsidR="006C0F4F" w:rsidRPr="00A04E56">
        <w:t xml:space="preserve">corruption </w:t>
      </w:r>
      <w:r w:rsidRPr="00A04E56">
        <w:t>in procurement</w:t>
      </w:r>
      <w:r w:rsidR="002B5F47" w:rsidRPr="00A04E56">
        <w:t xml:space="preserve"> </w:t>
      </w:r>
      <w:r w:rsidRPr="00A04E56">
        <w:t>procedure</w:t>
      </w:r>
      <w:r w:rsidR="002B5F47" w:rsidRPr="00A04E56">
        <w:t>s</w:t>
      </w:r>
      <w:r w:rsidRPr="00A04E56">
        <w:t xml:space="preserve">. Another facet is </w:t>
      </w:r>
      <w:r w:rsidR="006C0F4F" w:rsidRPr="00A04E56">
        <w:t xml:space="preserve">anti-fraud </w:t>
      </w:r>
      <w:r w:rsidRPr="00A04E56">
        <w:t xml:space="preserve">training, including </w:t>
      </w:r>
      <w:r w:rsidR="006C0F4F" w:rsidRPr="00A04E56">
        <w:t>training aimed at boosting</w:t>
      </w:r>
      <w:r w:rsidR="0048797A" w:rsidRPr="00A04E56">
        <w:t xml:space="preserve"> </w:t>
      </w:r>
      <w:r w:rsidRPr="00A04E56">
        <w:t>and updat</w:t>
      </w:r>
      <w:r w:rsidR="0048797A" w:rsidRPr="00A04E56">
        <w:t>ing</w:t>
      </w:r>
      <w:r w:rsidRPr="00A04E56">
        <w:t xml:space="preserve"> the digital forensic</w:t>
      </w:r>
      <w:r w:rsidR="006C0F4F" w:rsidRPr="00A04E56">
        <w:t xml:space="preserve"> and analyst</w:t>
      </w:r>
      <w:r w:rsidRPr="00A04E56">
        <w:t xml:space="preserve"> skills of law</w:t>
      </w:r>
      <w:r w:rsidR="0048797A" w:rsidRPr="00A04E56">
        <w:t>-</w:t>
      </w:r>
      <w:r w:rsidRPr="00A04E56">
        <w:t>enforcement staff.</w:t>
      </w:r>
    </w:p>
    <w:p w14:paraId="5921257D" w14:textId="030211E9" w:rsidR="006C0F4F" w:rsidRPr="00A04E56" w:rsidRDefault="009D152F" w:rsidP="006C0F4F">
      <w:pPr>
        <w:pStyle w:val="BodyText1spaceafter"/>
      </w:pPr>
      <w:r w:rsidRPr="00A04E56">
        <w:t xml:space="preserve">The </w:t>
      </w:r>
      <w:r w:rsidR="006C0F4F" w:rsidRPr="00A04E56">
        <w:t>mid</w:t>
      </w:r>
      <w:r w:rsidR="003B6127" w:rsidRPr="00A04E56">
        <w:t>term</w:t>
      </w:r>
      <w:r w:rsidRPr="00A04E56">
        <w:rPr>
          <w:rStyle w:val="BodyText1Char"/>
          <w:lang w:val="en-GB"/>
        </w:rPr>
        <w:t xml:space="preserve"> </w:t>
      </w:r>
      <w:r w:rsidR="00F82FDB" w:rsidRPr="00A04E56">
        <w:rPr>
          <w:rStyle w:val="BodyText1Char"/>
          <w:lang w:val="en-GB"/>
        </w:rPr>
        <w:t xml:space="preserve">Commission </w:t>
      </w:r>
      <w:r w:rsidRPr="00A04E56">
        <w:rPr>
          <w:rStyle w:val="BodyText1Char"/>
          <w:lang w:val="en-GB"/>
        </w:rPr>
        <w:t>evaluation</w:t>
      </w:r>
      <w:r w:rsidR="00633D4D" w:rsidRPr="00A04E56">
        <w:rPr>
          <w:rStyle w:val="fnRef"/>
          <w:rFonts w:ascii="Arial" w:hAnsi="Arial" w:cs="Arial"/>
        </w:rPr>
        <w:t> </w:t>
      </w:r>
      <w:r w:rsidR="0035678A" w:rsidRPr="00A04E56">
        <w:rPr>
          <w:rStyle w:val="fnRef"/>
        </w:rPr>
        <w:t>(</w:t>
      </w:r>
      <w:r w:rsidR="0035678A" w:rsidRPr="00A04E56">
        <w:rPr>
          <w:rStyle w:val="fnRefNo"/>
        </w:rPr>
        <w:footnoteReference w:id="115"/>
      </w:r>
      <w:r w:rsidR="0035678A" w:rsidRPr="00A04E56">
        <w:rPr>
          <w:rStyle w:val="fnRef"/>
        </w:rPr>
        <w:t>)</w:t>
      </w:r>
      <w:r w:rsidRPr="00A04E56">
        <w:t xml:space="preserve"> demonstrated that the Hercule III </w:t>
      </w:r>
      <w:r w:rsidR="00F82FDB" w:rsidRPr="00A04E56">
        <w:t>pro</w:t>
      </w:r>
      <w:r w:rsidRPr="00A04E56">
        <w:t xml:space="preserve">gramme has largely fulfilled its mission. </w:t>
      </w:r>
      <w:r w:rsidR="006C0F4F" w:rsidRPr="00A04E56">
        <w:t xml:space="preserve">The evaluation revealed the overall efficiency and effectiveness of the programme for both training actions and technical assistance activities. The stakeholders reported that the programme has been efficiently implemented while effectively addressing the Member States' needs. </w:t>
      </w:r>
    </w:p>
    <w:p w14:paraId="393248D7" w14:textId="3D4F934F" w:rsidR="006C0F4F" w:rsidRPr="00A04E56" w:rsidRDefault="006C0F4F" w:rsidP="006C0F4F">
      <w:pPr>
        <w:pStyle w:val="BodyText1spaceafter"/>
      </w:pPr>
      <w:r w:rsidRPr="00A04E56">
        <w:t>The introduction of the electronic submission and processing of grant applications is an important development which has considerably shortened the time for notifying applicants about the outcome of the evaluation procedure.</w:t>
      </w:r>
    </w:p>
    <w:p w14:paraId="5E13EBF2" w14:textId="6BFADA84" w:rsidR="006C0F4F" w:rsidRPr="00A04E56" w:rsidRDefault="006C0F4F" w:rsidP="006C0F4F">
      <w:pPr>
        <w:pStyle w:val="BodyText1"/>
        <w:rPr>
          <w:lang w:val="en-GB"/>
        </w:rPr>
      </w:pPr>
      <w:r w:rsidRPr="00A04E56">
        <w:rPr>
          <w:lang w:val="en-GB"/>
        </w:rPr>
        <w:t>The new EU Anti-Fraud Programme (2021-2027) aims at continuing and strengthening the support to Member States in their fight against fraud, irregularities and corruption affecting the EU budget.</w:t>
      </w:r>
    </w:p>
    <w:p w14:paraId="427E6C58" w14:textId="0D534304" w:rsidR="009D152F" w:rsidRPr="00A04E56" w:rsidRDefault="009D152F" w:rsidP="00A023CF">
      <w:pPr>
        <w:pStyle w:val="Title2Report"/>
      </w:pPr>
      <w:bookmarkStart w:id="86" w:name="_Toc12021007"/>
      <w:r w:rsidRPr="00A04E56">
        <w:t>Pericles 2020</w:t>
      </w:r>
      <w:bookmarkEnd w:id="86"/>
      <w:r w:rsidRPr="00A04E56">
        <w:t xml:space="preserve"> </w:t>
      </w:r>
    </w:p>
    <w:p w14:paraId="2733F5F8" w14:textId="4F8ADFBB" w:rsidR="009B159E" w:rsidRPr="00A04E56" w:rsidRDefault="009B159E">
      <w:pPr>
        <w:pStyle w:val="BodyText1spaceafter"/>
      </w:pPr>
      <w:r w:rsidRPr="00A04E56">
        <w:t>Pericles 2020 funds staff exchanges, seminars, training and studies for law</w:t>
      </w:r>
      <w:r w:rsidR="006F05C2" w:rsidRPr="00A04E56">
        <w:t>-</w:t>
      </w:r>
      <w:r w:rsidRPr="00A04E56">
        <w:t>enforcement and judicial authorities, banks and others involved in preventing and combating euro</w:t>
      </w:r>
      <w:r w:rsidR="006F05C2" w:rsidRPr="00A04E56">
        <w:t xml:space="preserve"> </w:t>
      </w:r>
      <w:r w:rsidR="0042643F" w:rsidRPr="00A04E56">
        <w:t xml:space="preserve">banknote and coin </w:t>
      </w:r>
      <w:r w:rsidRPr="00A04E56">
        <w:t xml:space="preserve">counterfeiting. Actions can take place </w:t>
      </w:r>
      <w:r w:rsidR="006F05C2" w:rsidRPr="00A04E56">
        <w:t>with</w:t>
      </w:r>
      <w:r w:rsidRPr="00A04E56">
        <w:t>in the euro area, in EU countries outside the euro area and in third countries</w:t>
      </w:r>
      <w:r w:rsidR="0042643F" w:rsidRPr="00A04E56">
        <w:t xml:space="preserve"> representing a counterfeiting hub</w:t>
      </w:r>
      <w:r w:rsidR="00A4078B" w:rsidRPr="00A04E56">
        <w:t>. Funding is</w:t>
      </w:r>
      <w:r w:rsidRPr="00A04E56">
        <w:t xml:space="preserve"> used for: (i) the provision of grants to </w:t>
      </w:r>
      <w:r w:rsidR="00513AA4" w:rsidRPr="00A04E56">
        <w:rPr>
          <w:noProof w:val="0"/>
        </w:rPr>
        <w:t xml:space="preserve">competent national authorities </w:t>
      </w:r>
      <w:r w:rsidRPr="00A04E56">
        <w:t xml:space="preserve">(CNAs) interested in implementing actions (‘CNA-implemented actions’); and (ii) the financing of actions implemented directly by the European Commission (‘direct actions’). The annual distributions vary, but around 70% of the annual budget is commonly allocated to </w:t>
      </w:r>
      <w:r w:rsidR="00513AA4" w:rsidRPr="00A04E56">
        <w:rPr>
          <w:noProof w:val="0"/>
        </w:rPr>
        <w:t>competent national authorit</w:t>
      </w:r>
      <w:r w:rsidR="006F05C2" w:rsidRPr="00A04E56">
        <w:rPr>
          <w:noProof w:val="0"/>
        </w:rPr>
        <w:t>y (CNA)-</w:t>
      </w:r>
      <w:r w:rsidRPr="00A04E56">
        <w:t xml:space="preserve">implemented actions and 30% to direct actions. </w:t>
      </w:r>
    </w:p>
    <w:p w14:paraId="0F6FFC18" w14:textId="0175C607" w:rsidR="009B159E" w:rsidRPr="00A04E56" w:rsidRDefault="008C1D39">
      <w:pPr>
        <w:pStyle w:val="BodyText1spaceafter"/>
        <w:rPr>
          <w:szCs w:val="20"/>
        </w:rPr>
      </w:pPr>
      <w:r w:rsidRPr="00A04E56">
        <w:rPr>
          <w:i/>
          <w:u w:val="single"/>
        </w:rPr>
        <w:t>In 2018</w:t>
      </w:r>
      <w:r w:rsidR="009B159E" w:rsidRPr="00A04E56">
        <w:t xml:space="preserve">, the programme funded 11 projects; </w:t>
      </w:r>
      <w:r w:rsidR="00304671" w:rsidRPr="00A04E56">
        <w:t>eight</w:t>
      </w:r>
      <w:r w:rsidR="009B159E" w:rsidRPr="00A04E56">
        <w:t xml:space="preserve"> originated from the </w:t>
      </w:r>
      <w:r w:rsidR="00096A41" w:rsidRPr="00A04E56">
        <w:t xml:space="preserve">competent </w:t>
      </w:r>
      <w:r w:rsidR="00271325" w:rsidRPr="00A04E56">
        <w:t xml:space="preserve">national authorities </w:t>
      </w:r>
      <w:r w:rsidR="009B159E" w:rsidRPr="00A04E56">
        <w:t xml:space="preserve">of euro area Member States, while </w:t>
      </w:r>
      <w:r w:rsidR="00304671" w:rsidRPr="00A04E56">
        <w:t>three</w:t>
      </w:r>
      <w:r w:rsidR="009B159E" w:rsidRPr="00A04E56">
        <w:t xml:space="preserve"> were initiatives of the Commission. </w:t>
      </w:r>
    </w:p>
    <w:p w14:paraId="2E651368" w14:textId="234FEFA7" w:rsidR="002D1154" w:rsidRPr="00A04E56" w:rsidRDefault="002D1154" w:rsidP="00C2446B">
      <w:pPr>
        <w:pStyle w:val="Title2Report"/>
      </w:pPr>
      <w:bookmarkStart w:id="87" w:name="_Toc12021008"/>
      <w:r w:rsidRPr="00A04E56">
        <w:t>Anti-</w:t>
      </w:r>
      <w:r w:rsidR="000150E2" w:rsidRPr="00A04E56">
        <w:t>fraud information system</w:t>
      </w:r>
      <w:r w:rsidR="0065292A" w:rsidRPr="00564415">
        <w:rPr>
          <w:rStyle w:val="fnRef"/>
          <w:rFonts w:ascii="Arial" w:hAnsi="Arial" w:cs="Arial"/>
          <w:b w:val="0"/>
        </w:rPr>
        <w:t> </w:t>
      </w:r>
      <w:r w:rsidR="005C1953" w:rsidRPr="00277538">
        <w:rPr>
          <w:rStyle w:val="fnRef"/>
          <w:b w:val="0"/>
        </w:rPr>
        <w:t>(</w:t>
      </w:r>
      <w:r w:rsidR="00B60B7F" w:rsidRPr="00277538">
        <w:rPr>
          <w:rStyle w:val="fnRefNo"/>
          <w:b w:val="0"/>
        </w:rPr>
        <w:footnoteReference w:id="116"/>
      </w:r>
      <w:r w:rsidR="005C1953" w:rsidRPr="00277538">
        <w:rPr>
          <w:rStyle w:val="fnRef"/>
          <w:b w:val="0"/>
        </w:rPr>
        <w:t>)</w:t>
      </w:r>
      <w:bookmarkEnd w:id="87"/>
    </w:p>
    <w:p w14:paraId="76A65ABD" w14:textId="4161A7BF" w:rsidR="002D1154" w:rsidRPr="00A04E56" w:rsidRDefault="002D1154" w:rsidP="004C2555">
      <w:pPr>
        <w:pStyle w:val="BodyText1spaceafter"/>
      </w:pPr>
      <w:r w:rsidRPr="00A04E56">
        <w:t xml:space="preserve">The </w:t>
      </w:r>
      <w:r w:rsidR="00F24C0B" w:rsidRPr="00A04E56">
        <w:t xml:space="preserve">anti-fraud information system </w:t>
      </w:r>
      <w:r w:rsidR="00276B51" w:rsidRPr="00A04E56">
        <w:rPr>
          <w:noProof w:val="0"/>
        </w:rPr>
        <w:t>set</w:t>
      </w:r>
      <w:r w:rsidRPr="00A04E56">
        <w:rPr>
          <w:noProof w:val="0"/>
        </w:rPr>
        <w:t>s</w:t>
      </w:r>
      <w:r w:rsidRPr="00A04E56">
        <w:t xml:space="preserve"> </w:t>
      </w:r>
      <w:r w:rsidR="00276B51" w:rsidRPr="00A04E56">
        <w:rPr>
          <w:noProof w:val="0"/>
        </w:rPr>
        <w:t xml:space="preserve">out </w:t>
      </w:r>
      <w:r w:rsidR="00512266" w:rsidRPr="00A04E56">
        <w:t>and funds</w:t>
      </w:r>
      <w:r w:rsidRPr="00A04E56">
        <w:t xml:space="preserve"> a set of anti-fraud </w:t>
      </w:r>
      <w:r w:rsidR="00276B51" w:rsidRPr="00A04E56">
        <w:rPr>
          <w:noProof w:val="0"/>
        </w:rPr>
        <w:t>information</w:t>
      </w:r>
      <w:r w:rsidR="002B5F47" w:rsidRPr="00A04E56">
        <w:rPr>
          <w:noProof w:val="0"/>
        </w:rPr>
        <w:t>-</w:t>
      </w:r>
      <w:r w:rsidR="00276B51" w:rsidRPr="00A04E56">
        <w:rPr>
          <w:noProof w:val="0"/>
        </w:rPr>
        <w:t xml:space="preserve">technology </w:t>
      </w:r>
      <w:r w:rsidRPr="00A04E56">
        <w:t xml:space="preserve">applications operated by the European Commission. These ensure the timely and secure exchange of fraud-related information between </w:t>
      </w:r>
      <w:r w:rsidR="00D33154" w:rsidRPr="00A04E56">
        <w:t xml:space="preserve">the </w:t>
      </w:r>
      <w:r w:rsidRPr="00A04E56">
        <w:t xml:space="preserve">national and </w:t>
      </w:r>
      <w:r w:rsidR="00E108B6" w:rsidRPr="00A04E56">
        <w:t xml:space="preserve">the </w:t>
      </w:r>
      <w:r w:rsidRPr="00A04E56">
        <w:t xml:space="preserve">EU competent administrations. It encompasses two major areas: </w:t>
      </w:r>
      <w:r w:rsidR="00851B12" w:rsidRPr="00A04E56">
        <w:t xml:space="preserve">the </w:t>
      </w:r>
      <w:r w:rsidRPr="00A04E56">
        <w:t xml:space="preserve">mutual assistance in customs and </w:t>
      </w:r>
      <w:r w:rsidR="00851B12" w:rsidRPr="00A04E56">
        <w:t xml:space="preserve">the management of </w:t>
      </w:r>
      <w:r w:rsidRPr="00A04E56">
        <w:t>irregularities</w:t>
      </w:r>
      <w:r w:rsidR="00851B12" w:rsidRPr="00A04E56">
        <w:t>.</w:t>
      </w:r>
      <w:r w:rsidRPr="00A04E56">
        <w:t xml:space="preserve"> </w:t>
      </w:r>
      <w:r w:rsidR="00A87D81" w:rsidRPr="00A04E56">
        <w:t>The system</w:t>
      </w:r>
      <w:r w:rsidRPr="00A04E56">
        <w:t xml:space="preserve"> is supported by a portal, which is a single and common infrastructure for the delivery of these services to more than 8</w:t>
      </w:r>
      <w:r w:rsidR="00E91F65" w:rsidRPr="00A04E56">
        <w:rPr>
          <w:rFonts w:cs="Calibri"/>
          <w:noProof w:val="0"/>
        </w:rPr>
        <w:t> </w:t>
      </w:r>
      <w:r w:rsidR="00E91F65" w:rsidRPr="00A04E56">
        <w:rPr>
          <w:noProof w:val="0"/>
        </w:rPr>
        <w:t>0</w:t>
      </w:r>
      <w:r w:rsidRPr="00A04E56">
        <w:t>00 registered end</w:t>
      </w:r>
      <w:r w:rsidR="00BE5067" w:rsidRPr="00A04E56">
        <w:t>-users</w:t>
      </w:r>
      <w:r w:rsidRPr="00A04E56">
        <w:t xml:space="preserve"> in more than 1 200 competent services from Member States, partner third countries, international organisations, Commission services and other EU institutions. The portal enables substantial economies of scale and </w:t>
      </w:r>
      <w:r w:rsidR="00DE6AB9" w:rsidRPr="00A04E56">
        <w:t xml:space="preserve">mutual benefits </w:t>
      </w:r>
      <w:r w:rsidRPr="00A04E56">
        <w:t>in the development, maintenance and operations of such a wide and diverse set of IT services and tools.</w:t>
      </w:r>
    </w:p>
    <w:p w14:paraId="66F3FC52" w14:textId="08621C26" w:rsidR="002D1154" w:rsidRPr="00A04E56" w:rsidRDefault="0093086A">
      <w:pPr>
        <w:pStyle w:val="BodyText1spaceafter"/>
      </w:pPr>
      <w:r w:rsidRPr="00A04E56">
        <w:t xml:space="preserve">The </w:t>
      </w:r>
      <w:r w:rsidR="00727C8D" w:rsidRPr="00A04E56" w:rsidDel="00A906DB">
        <w:t xml:space="preserve">anti-fraud information system </w:t>
      </w:r>
      <w:r w:rsidR="00B45172" w:rsidRPr="00A04E56">
        <w:t>also</w:t>
      </w:r>
      <w:r w:rsidR="00CE26AC" w:rsidRPr="00A04E56">
        <w:t xml:space="preserve"> includes a</w:t>
      </w:r>
      <w:r w:rsidR="00B45172" w:rsidRPr="00A04E56">
        <w:t xml:space="preserve"> system for managing </w:t>
      </w:r>
      <w:r w:rsidR="00CE26AC" w:rsidRPr="00A04E56">
        <w:t>irregularit</w:t>
      </w:r>
      <w:r w:rsidR="00B45172" w:rsidRPr="00A04E56">
        <w:t>ies</w:t>
      </w:r>
      <w:r w:rsidRPr="00A04E56">
        <w:t>. It</w:t>
      </w:r>
      <w:r w:rsidR="00322B67" w:rsidRPr="00A04E56">
        <w:t xml:space="preserve"> gave </w:t>
      </w:r>
      <w:r w:rsidR="002D1154" w:rsidRPr="00A04E56">
        <w:t xml:space="preserve">assistance to the European Commission and Member States in the fight against customs fraud and </w:t>
      </w:r>
      <w:r w:rsidR="006B0325" w:rsidRPr="00A04E56">
        <w:t>the administration of</w:t>
      </w:r>
      <w:r w:rsidR="002D1154" w:rsidRPr="00A04E56">
        <w:t xml:space="preserve"> the expenditure part of the EU budget</w:t>
      </w:r>
      <w:r w:rsidRPr="00A04E56">
        <w:t xml:space="preserve">. </w:t>
      </w:r>
    </w:p>
    <w:p w14:paraId="2CA36B5F" w14:textId="27F9B7E8" w:rsidR="00BE17D0" w:rsidRPr="00A04E56" w:rsidRDefault="002D1154">
      <w:pPr>
        <w:pStyle w:val="BodyText1spaceafter"/>
      </w:pPr>
      <w:r w:rsidRPr="00A04E56">
        <w:t xml:space="preserve">For example, </w:t>
      </w:r>
      <w:r w:rsidR="008C1D39" w:rsidRPr="00A04E56">
        <w:rPr>
          <w:i/>
          <w:u w:val="single"/>
        </w:rPr>
        <w:t>in 2018</w:t>
      </w:r>
      <w:r w:rsidRPr="00A04E56">
        <w:t xml:space="preserve">, </w:t>
      </w:r>
      <w:r w:rsidR="00F42B58" w:rsidRPr="00A04E56">
        <w:t xml:space="preserve">the anti-fraud information system </w:t>
      </w:r>
      <w:r w:rsidRPr="00A04E56">
        <w:t>supported mutual</w:t>
      </w:r>
      <w:r w:rsidR="00F75032" w:rsidRPr="00A04E56">
        <w:t>-</w:t>
      </w:r>
      <w:r w:rsidRPr="00A04E56">
        <w:t xml:space="preserve">assistance activities including </w:t>
      </w:r>
      <w:r w:rsidR="008D55B7" w:rsidRPr="00A04E56">
        <w:t xml:space="preserve">joint customs operations </w:t>
      </w:r>
      <w:r w:rsidRPr="00A04E56">
        <w:t xml:space="preserve">co-organised by </w:t>
      </w:r>
      <w:r w:rsidR="00513AA4" w:rsidRPr="00A04E56">
        <w:rPr>
          <w:noProof w:val="0"/>
        </w:rPr>
        <w:t>the European Anti-Fraud Office</w:t>
      </w:r>
      <w:r w:rsidR="0093086A" w:rsidRPr="00A04E56">
        <w:rPr>
          <w:noProof w:val="0"/>
        </w:rPr>
        <w:t xml:space="preserve"> (OLAF)</w:t>
      </w:r>
      <w:r w:rsidRPr="00A04E56">
        <w:t xml:space="preserve"> and the European Union Border Assistance Mission to Moldova and Ukraine, or organised by Member States or Europol with the support of </w:t>
      </w:r>
      <w:r w:rsidR="001451B3" w:rsidRPr="00A04E56">
        <w:rPr>
          <w:noProof w:val="0"/>
        </w:rPr>
        <w:t>European Anti-Fraud Office</w:t>
      </w:r>
      <w:r w:rsidR="0093086A" w:rsidRPr="00A04E56">
        <w:rPr>
          <w:noProof w:val="0"/>
        </w:rPr>
        <w:t xml:space="preserve"> (OLAF)</w:t>
      </w:r>
      <w:r w:rsidRPr="00A04E56">
        <w:t xml:space="preserve">. </w:t>
      </w:r>
      <w:r w:rsidRPr="00A04E56">
        <w:rPr>
          <w:i/>
          <w:u w:val="single"/>
        </w:rPr>
        <w:t>Throughout 2018</w:t>
      </w:r>
      <w:r w:rsidRPr="00A04E56">
        <w:t xml:space="preserve">, five </w:t>
      </w:r>
      <w:r w:rsidR="00C26A83" w:rsidRPr="00A04E56">
        <w:t xml:space="preserve">joint customs operations </w:t>
      </w:r>
      <w:r w:rsidRPr="00A04E56">
        <w:t xml:space="preserve">were co-organised or supported under the system. Modules of the system were used for the secure exchange of information in these </w:t>
      </w:r>
      <w:r w:rsidR="00C26A83" w:rsidRPr="00A04E56">
        <w:t>joint customs operations</w:t>
      </w:r>
      <w:r w:rsidRPr="00A04E56">
        <w:t>. The number of active customs fraud cases for which information is available in the mutual</w:t>
      </w:r>
      <w:r w:rsidR="00C26A83" w:rsidRPr="00A04E56">
        <w:t>-</w:t>
      </w:r>
      <w:r w:rsidRPr="00A04E56">
        <w:t xml:space="preserve">assistance databases of the system </w:t>
      </w:r>
      <w:r w:rsidR="008C1D39" w:rsidRPr="00A04E56">
        <w:rPr>
          <w:i/>
          <w:u w:val="single"/>
        </w:rPr>
        <w:t>in 2018</w:t>
      </w:r>
      <w:r w:rsidRPr="00A04E56">
        <w:t xml:space="preserve"> was 18 340, an increase of </w:t>
      </w:r>
      <w:r w:rsidR="00D3642A" w:rsidRPr="00A04E56">
        <w:t>20</w:t>
      </w:r>
      <w:r w:rsidRPr="00A04E56">
        <w:t>16 cases in comparison to the previous year.</w:t>
      </w:r>
      <w:r w:rsidR="00512266" w:rsidRPr="00A04E56">
        <w:t xml:space="preserve"> Under the next </w:t>
      </w:r>
      <w:r w:rsidR="001757F1" w:rsidRPr="00A04E56">
        <w:t>multiannual financial framework</w:t>
      </w:r>
      <w:r w:rsidR="00512266" w:rsidRPr="00A04E56">
        <w:t xml:space="preserve">, the </w:t>
      </w:r>
      <w:r w:rsidR="007827E5" w:rsidRPr="00A04E56">
        <w:t>anti-fraud information system</w:t>
      </w:r>
      <w:r w:rsidR="00512266" w:rsidRPr="00A04E56">
        <w:t xml:space="preserve"> will be integrated in the future </w:t>
      </w:r>
      <w:r w:rsidR="00FD4143" w:rsidRPr="00A04E56">
        <w:t xml:space="preserve">anti-fraud </w:t>
      </w:r>
      <w:r w:rsidR="00512266" w:rsidRPr="00A04E56">
        <w:t>programme.</w:t>
      </w:r>
    </w:p>
    <w:p w14:paraId="3923B2C7" w14:textId="54BB6EE8" w:rsidR="002D1154" w:rsidRPr="00A04E56" w:rsidRDefault="00BE17D0">
      <w:pPr>
        <w:pStyle w:val="BodyText1spaceafter"/>
      </w:pPr>
      <w:r w:rsidRPr="00A04E56">
        <w:t xml:space="preserve">The future </w:t>
      </w:r>
      <w:r w:rsidR="00DD75BC" w:rsidRPr="00A04E56">
        <w:t>p</w:t>
      </w:r>
      <w:r w:rsidRPr="00A04E56">
        <w:t xml:space="preserve">rogramme will strengthen and streamline the existing </w:t>
      </w:r>
      <w:r w:rsidR="00835302" w:rsidRPr="00A04E56">
        <w:t>u</w:t>
      </w:r>
      <w:r w:rsidRPr="00A04E56">
        <w:t xml:space="preserve">nion support to the efforts to protect the </w:t>
      </w:r>
      <w:r w:rsidR="00C6157D" w:rsidRPr="00A04E56">
        <w:t>E</w:t>
      </w:r>
      <w:r w:rsidRPr="00A04E56">
        <w:t>U's financial interests and for mutual administrative assistance in customs matters, as well as exploit synergies and create flexibility between various existing actions</w:t>
      </w:r>
      <w:r w:rsidR="009E7BD2" w:rsidRPr="00A04E56">
        <w:rPr>
          <w:rStyle w:val="fnRef"/>
          <w:rFonts w:ascii="Calibri" w:hAnsi="Calibri"/>
        </w:rPr>
        <w:t> </w:t>
      </w:r>
      <w:r w:rsidR="00DD75BC" w:rsidRPr="00A04E56">
        <w:rPr>
          <w:rStyle w:val="fnRef"/>
        </w:rPr>
        <w:t>(</w:t>
      </w:r>
      <w:r w:rsidR="00CF0874" w:rsidRPr="00A04E56">
        <w:rPr>
          <w:rStyle w:val="fnRefNo"/>
        </w:rPr>
        <w:footnoteReference w:id="117"/>
      </w:r>
      <w:r w:rsidR="00DD75BC" w:rsidRPr="00A04E56">
        <w:rPr>
          <w:rStyle w:val="fnRef"/>
        </w:rPr>
        <w:t>)</w:t>
      </w:r>
      <w:r w:rsidR="00DD75BC" w:rsidRPr="00A04E56">
        <w:t>.</w:t>
      </w:r>
    </w:p>
    <w:p w14:paraId="1C13ACE1" w14:textId="29547F10" w:rsidR="005B1476" w:rsidRPr="00A04E56" w:rsidRDefault="005B1476" w:rsidP="0036613F">
      <w:pPr>
        <w:pStyle w:val="Title2Report"/>
      </w:pPr>
      <w:bookmarkStart w:id="88" w:name="_Toc12021009"/>
      <w:r w:rsidRPr="00A04E56">
        <w:t>ISA</w:t>
      </w:r>
      <w:r w:rsidRPr="00A04E56">
        <w:rPr>
          <w:vertAlign w:val="superscript"/>
        </w:rPr>
        <w:t>2</w:t>
      </w:r>
      <w:r w:rsidR="00EC0B83" w:rsidRPr="00A04E56">
        <w:t xml:space="preserve"> — </w:t>
      </w:r>
      <w:r w:rsidRPr="00A04E56">
        <w:t>Interoperability solutions and common frameworks for European public administration, businesses and citizens</w:t>
      </w:r>
      <w:bookmarkEnd w:id="88"/>
    </w:p>
    <w:p w14:paraId="39DC0410" w14:textId="69F7C767" w:rsidR="005B1476" w:rsidRPr="00A04E56" w:rsidRDefault="003217BF" w:rsidP="004C2555">
      <w:pPr>
        <w:pStyle w:val="BodyText1spaceafter"/>
      </w:pPr>
      <w:r w:rsidRPr="00A04E56">
        <w:t xml:space="preserve">Coordination issues hamper cross-border and cross-sectorial interoperability. They arise mostly due to the institutional complexity, with multiple layers of governance and differences between national public administrations from various Member States, and regional, local public administrations within the Member States. </w:t>
      </w:r>
      <w:r w:rsidR="005B1476" w:rsidRPr="00A04E56">
        <w:t>The ISA</w:t>
      </w:r>
      <w:r w:rsidR="005B1476" w:rsidRPr="00A04E56">
        <w:rPr>
          <w:vertAlign w:val="superscript"/>
        </w:rPr>
        <w:t>2</w:t>
      </w:r>
      <w:r w:rsidR="005B1476" w:rsidRPr="00A04E56">
        <w:t xml:space="preserve"> programme </w:t>
      </w:r>
      <w:r w:rsidR="001451B3" w:rsidRPr="00A04E56">
        <w:t xml:space="preserve">for </w:t>
      </w:r>
      <w:r w:rsidR="00FE7FBB" w:rsidRPr="00A04E56">
        <w:t>i</w:t>
      </w:r>
      <w:r w:rsidR="001451B3" w:rsidRPr="00A04E56">
        <w:t xml:space="preserve">nteroperability solutions and common frameworks for European public administration, businesses and citizens </w:t>
      </w:r>
      <w:r w:rsidR="005B1476" w:rsidRPr="00A04E56">
        <w:t xml:space="preserve">supports the development of digital solutions that enable public administrations, businesses and </w:t>
      </w:r>
      <w:r w:rsidR="0093086A" w:rsidRPr="00A04E56">
        <w:t>the public</w:t>
      </w:r>
      <w:r w:rsidR="005B1476" w:rsidRPr="00A04E56">
        <w:t xml:space="preserve"> to benefit from interoperable cross-border and cross-sector public services.</w:t>
      </w:r>
    </w:p>
    <w:p w14:paraId="4894A8DD" w14:textId="359AA5BB" w:rsidR="005B1476" w:rsidRPr="00A04E56" w:rsidRDefault="001451B3">
      <w:pPr>
        <w:pStyle w:val="BodyText1spaceafter"/>
        <w:rPr>
          <w:noProof w:val="0"/>
        </w:rPr>
      </w:pPr>
      <w:r w:rsidRPr="00A04E56">
        <w:t>The</w:t>
      </w:r>
      <w:r w:rsidR="005B1476" w:rsidRPr="00A04E56">
        <w:t xml:space="preserve"> programme is part of a wider policy framework related to the digitalisation of public administrations in the EU. It develops interoperability solutions </w:t>
      </w:r>
      <w:r w:rsidR="00437342" w:rsidRPr="00A04E56">
        <w:t xml:space="preserve">either </w:t>
      </w:r>
      <w:r w:rsidR="005B1476" w:rsidRPr="00A04E56">
        <w:t xml:space="preserve">autonomously or </w:t>
      </w:r>
      <w:r w:rsidR="00437342" w:rsidRPr="00A04E56">
        <w:t xml:space="preserve">to </w:t>
      </w:r>
      <w:r w:rsidR="005B1476" w:rsidRPr="00A04E56">
        <w:t xml:space="preserve">complement and support other </w:t>
      </w:r>
      <w:r w:rsidR="009A0795" w:rsidRPr="00A04E56">
        <w:rPr>
          <w:noProof w:val="0"/>
        </w:rPr>
        <w:t>EU</w:t>
      </w:r>
      <w:r w:rsidR="005B1476" w:rsidRPr="00A04E56">
        <w:t xml:space="preserve"> initiatives. It also promotes and maintains the European </w:t>
      </w:r>
      <w:r w:rsidR="000174ED" w:rsidRPr="00A04E56">
        <w:t xml:space="preserve">interoperability framework </w:t>
      </w:r>
      <w:r w:rsidR="005B1476" w:rsidRPr="00A04E56">
        <w:t xml:space="preserve">in cooperation with the Member States and the Commission. </w:t>
      </w:r>
      <w:r w:rsidR="005B1476" w:rsidRPr="00A04E56">
        <w:rPr>
          <w:noProof w:val="0"/>
        </w:rPr>
        <w:t>The 2018 rolling work programme consist</w:t>
      </w:r>
      <w:r w:rsidR="000174ED" w:rsidRPr="00A04E56">
        <w:rPr>
          <w:noProof w:val="0"/>
        </w:rPr>
        <w:t>ed</w:t>
      </w:r>
      <w:r w:rsidR="005B1476" w:rsidRPr="00A04E56">
        <w:rPr>
          <w:noProof w:val="0"/>
        </w:rPr>
        <w:t xml:space="preserve"> of 53 actions, having evolved from managing 39 actions in its first year of operation, and 43 actions </w:t>
      </w:r>
      <w:r w:rsidR="008C1D39" w:rsidRPr="00277538">
        <w:t>in 2017</w:t>
      </w:r>
      <w:r w:rsidR="005B1476" w:rsidRPr="00A04E56">
        <w:rPr>
          <w:noProof w:val="0"/>
        </w:rPr>
        <w:t xml:space="preserve">. The programme has so far been implemented efficiently </w:t>
      </w:r>
      <w:r w:rsidR="00B0261D" w:rsidRPr="00A04E56">
        <w:t xml:space="preserve">with </w:t>
      </w:r>
      <w:r w:rsidR="00B0261D" w:rsidRPr="00A04E56">
        <w:rPr>
          <w:noProof w:val="0"/>
        </w:rPr>
        <w:t>close to all</w:t>
      </w:r>
      <w:r w:rsidR="005B1476" w:rsidRPr="00A04E56">
        <w:rPr>
          <w:noProof w:val="0"/>
        </w:rPr>
        <w:t xml:space="preserve"> the actions progressing as planned at the end of </w:t>
      </w:r>
      <w:r w:rsidR="00B0261D" w:rsidRPr="00A04E56">
        <w:t xml:space="preserve">2018. </w:t>
      </w:r>
    </w:p>
    <w:p w14:paraId="0A1EF1F7" w14:textId="001A6313" w:rsidR="005B1476" w:rsidRPr="00A04E56" w:rsidRDefault="00E3580B">
      <w:pPr>
        <w:pStyle w:val="BodyText1spaceafter"/>
      </w:pPr>
      <w:r w:rsidRPr="00A04E56">
        <w:rPr>
          <w:rFonts w:eastAsiaTheme="minorHAnsi"/>
        </w:rPr>
        <w:t>The preliminary findings of the interim evaluation confirm the programme’s relevance and effectiveness and the fact that the programme’s implementation is on track</w:t>
      </w:r>
      <w:r w:rsidR="00220CB7" w:rsidRPr="00A04E56">
        <w:rPr>
          <w:rStyle w:val="fnRef"/>
          <w:rFonts w:ascii="Calibri" w:hAnsi="Calibri" w:cs="Calibri"/>
        </w:rPr>
        <w:t> </w:t>
      </w:r>
      <w:r w:rsidRPr="00A04E56">
        <w:rPr>
          <w:rStyle w:val="fnRef"/>
        </w:rPr>
        <w:t>(</w:t>
      </w:r>
      <w:r w:rsidRPr="00A04E56">
        <w:rPr>
          <w:rStyle w:val="fnRefNo"/>
        </w:rPr>
        <w:footnoteReference w:id="118"/>
      </w:r>
      <w:r w:rsidRPr="00A04E56">
        <w:rPr>
          <w:rStyle w:val="fnRef"/>
        </w:rPr>
        <w:t>)</w:t>
      </w:r>
      <w:r w:rsidRPr="00A04E56">
        <w:rPr>
          <w:rFonts w:eastAsiaTheme="minorHAnsi"/>
        </w:rPr>
        <w:t xml:space="preserve">. </w:t>
      </w:r>
      <w:r w:rsidR="005B1476" w:rsidRPr="00A04E56">
        <w:t xml:space="preserve">The programme has </w:t>
      </w:r>
      <w:r w:rsidR="005B1476" w:rsidRPr="00A04E56">
        <w:rPr>
          <w:rStyle w:val="BOLDLIGHTBLUEReport"/>
          <w:rFonts w:eastAsia="Calibri"/>
        </w:rPr>
        <w:t>contributed to enhancing cross-border interoperability</w:t>
      </w:r>
      <w:r w:rsidR="005B1476" w:rsidRPr="00A04E56">
        <w:t xml:space="preserve"> in the EU. By way of example, it raises the awareness about interoperability across EU Member States and helps put the topic on national agendas. It also brings people together, creating networks and helping national organisations meet their counterparts in different countries, thus facilitating exchanges between Member States in the field of interoperability.</w:t>
      </w:r>
    </w:p>
    <w:p w14:paraId="64AE428F" w14:textId="042F44B9" w:rsidR="00E3580B" w:rsidRPr="00A04E56" w:rsidRDefault="00E3580B" w:rsidP="00590CC6">
      <w:pPr>
        <w:pStyle w:val="BodyText1spaceafter"/>
      </w:pPr>
      <w:r w:rsidRPr="00A04E56">
        <w:t>These external factors are considered when selecting new actions for ISA</w:t>
      </w:r>
      <w:r w:rsidRPr="00A04E56">
        <w:rPr>
          <w:vertAlign w:val="superscript"/>
        </w:rPr>
        <w:t>2</w:t>
      </w:r>
      <w:r w:rsidRPr="00A04E56">
        <w:t xml:space="preserve"> yearly work programmes. In the context of the next </w:t>
      </w:r>
      <w:r w:rsidR="003217BF" w:rsidRPr="00A04E56">
        <w:t>m</w:t>
      </w:r>
      <w:r w:rsidRPr="00A04E56">
        <w:t xml:space="preserve">ultiannual </w:t>
      </w:r>
      <w:r w:rsidR="003217BF" w:rsidRPr="00A04E56">
        <w:t>f</w:t>
      </w:r>
      <w:r w:rsidRPr="00A04E56">
        <w:t xml:space="preserve">inancial </w:t>
      </w:r>
      <w:r w:rsidR="003217BF" w:rsidRPr="00A04E56">
        <w:t>f</w:t>
      </w:r>
      <w:r w:rsidRPr="00A04E56">
        <w:t>ramework, ISA</w:t>
      </w:r>
      <w:r w:rsidRPr="00A04E56">
        <w:rPr>
          <w:vertAlign w:val="superscript"/>
        </w:rPr>
        <w:t>2</w:t>
      </w:r>
      <w:r w:rsidRPr="00A04E56">
        <w:t xml:space="preserve"> will be </w:t>
      </w:r>
      <w:r w:rsidR="003217BF" w:rsidRPr="00A04E56">
        <w:t>succeeded</w:t>
      </w:r>
      <w:r w:rsidRPr="00A04E56">
        <w:t xml:space="preserve"> by the </w:t>
      </w:r>
      <w:r w:rsidR="003D55F2" w:rsidRPr="00A04E56">
        <w:t>d</w:t>
      </w:r>
      <w:r w:rsidRPr="00A04E56">
        <w:t xml:space="preserve">igital Europe </w:t>
      </w:r>
      <w:r w:rsidR="003D55F2" w:rsidRPr="00A04E56">
        <w:t>p</w:t>
      </w:r>
      <w:r w:rsidRPr="00A04E56">
        <w:t>rogramme, which will enlarg</w:t>
      </w:r>
      <w:r w:rsidR="003217BF" w:rsidRPr="00A04E56">
        <w:t>e</w:t>
      </w:r>
      <w:r w:rsidRPr="00A04E56">
        <w:t xml:space="preserve"> the scope of intervention and </w:t>
      </w:r>
      <w:r w:rsidR="008E12FB" w:rsidRPr="00A04E56">
        <w:t xml:space="preserve">leverage </w:t>
      </w:r>
      <w:r w:rsidRPr="00A04E56">
        <w:t xml:space="preserve">synergies with </w:t>
      </w:r>
      <w:r w:rsidR="0001323A" w:rsidRPr="00A04E56">
        <w:t>actions</w:t>
      </w:r>
      <w:r w:rsidRPr="00A04E56">
        <w:t xml:space="preserve"> from the current Connecting Europe Facility</w:t>
      </w:r>
      <w:r w:rsidR="00347003" w:rsidRPr="00A04E56">
        <w:t xml:space="preserve"> </w:t>
      </w:r>
      <w:r w:rsidRPr="00A04E56">
        <w:t>and Horizon 2020 programmes.</w:t>
      </w:r>
    </w:p>
    <w:p w14:paraId="256FCB50" w14:textId="3C5900BE" w:rsidR="005B1476" w:rsidRPr="00A04E56" w:rsidRDefault="005B1476" w:rsidP="000A4E1E">
      <w:pPr>
        <w:pStyle w:val="Title2Report"/>
      </w:pPr>
      <w:bookmarkStart w:id="89" w:name="_Toc12021010"/>
      <w:r w:rsidRPr="00A04E56">
        <w:t>European statistical programme</w:t>
      </w:r>
      <w:bookmarkEnd w:id="89"/>
      <w:r w:rsidRPr="00A04E56">
        <w:t xml:space="preserve"> </w:t>
      </w:r>
    </w:p>
    <w:p w14:paraId="4CD78BC9" w14:textId="246C1393" w:rsidR="005B1476" w:rsidRPr="00A04E56" w:rsidRDefault="005B1476" w:rsidP="004C2555">
      <w:pPr>
        <w:pStyle w:val="BodyText1spaceafter"/>
        <w:rPr>
          <w:szCs w:val="20"/>
        </w:rPr>
      </w:pPr>
      <w:r w:rsidRPr="00A04E56">
        <w:t xml:space="preserve">The European statistical programme </w:t>
      </w:r>
      <w:r w:rsidRPr="00A04E56">
        <w:rPr>
          <w:szCs w:val="20"/>
        </w:rPr>
        <w:t>as laid down in Regulation (EU) 99/2013</w:t>
      </w:r>
      <w:r w:rsidR="00633D4D" w:rsidRPr="00A04E56">
        <w:rPr>
          <w:rStyle w:val="fnRef"/>
          <w:rFonts w:ascii="Arial" w:hAnsi="Arial" w:cs="Arial"/>
        </w:rPr>
        <w:t> </w:t>
      </w:r>
      <w:r w:rsidR="0035678A" w:rsidRPr="00A04E56">
        <w:rPr>
          <w:rStyle w:val="fnRef"/>
        </w:rPr>
        <w:t>(</w:t>
      </w:r>
      <w:r w:rsidR="0035678A" w:rsidRPr="00A04E56">
        <w:rPr>
          <w:rStyle w:val="fnRefNo"/>
        </w:rPr>
        <w:footnoteReference w:id="119"/>
      </w:r>
      <w:r w:rsidR="0035678A" w:rsidRPr="00A04E56">
        <w:rPr>
          <w:rStyle w:val="fnRef"/>
        </w:rPr>
        <w:t>)</w:t>
      </w:r>
      <w:r w:rsidRPr="00A04E56">
        <w:t xml:space="preserve"> </w:t>
      </w:r>
      <w:r w:rsidRPr="00A04E56">
        <w:rPr>
          <w:rStyle w:val="BOLDLIGHTBLUEReport"/>
          <w:rFonts w:eastAsia="Calibri"/>
        </w:rPr>
        <w:t>provides the framework for the development, production and dissemination of European statistics</w:t>
      </w:r>
      <w:r w:rsidRPr="00A04E56">
        <w:rPr>
          <w:szCs w:val="20"/>
        </w:rPr>
        <w:t xml:space="preserve"> for the period 2013-2020. The statistics produced within the framework of the programme are </w:t>
      </w:r>
      <w:r w:rsidRPr="00A04E56">
        <w:t>indispensable for EU decision-making and for the measurement of the performance and impact of key initiatives</w:t>
      </w:r>
      <w:r w:rsidRPr="00A04E56">
        <w:rPr>
          <w:szCs w:val="20"/>
        </w:rPr>
        <w:t xml:space="preserve"> such as the </w:t>
      </w:r>
      <w:r w:rsidR="00D37313" w:rsidRPr="00A04E56">
        <w:rPr>
          <w:szCs w:val="20"/>
        </w:rPr>
        <w:t xml:space="preserve">investment plan </w:t>
      </w:r>
      <w:r w:rsidRPr="00A04E56">
        <w:rPr>
          <w:szCs w:val="20"/>
        </w:rPr>
        <w:t>for Europe, the Eu</w:t>
      </w:r>
      <w:r w:rsidR="00AC77AA" w:rsidRPr="00A04E56">
        <w:rPr>
          <w:szCs w:val="20"/>
        </w:rPr>
        <w:t>ropean Pillar of Social Rights</w:t>
      </w:r>
      <w:r w:rsidR="005C38D6" w:rsidRPr="00A04E56">
        <w:rPr>
          <w:szCs w:val="20"/>
        </w:rPr>
        <w:t xml:space="preserve">, </w:t>
      </w:r>
      <w:r w:rsidRPr="00A04E56">
        <w:rPr>
          <w:szCs w:val="20"/>
        </w:rPr>
        <w:t xml:space="preserve">or </w:t>
      </w:r>
      <w:r w:rsidR="00AE4B2D" w:rsidRPr="00A04E56">
        <w:rPr>
          <w:szCs w:val="20"/>
        </w:rPr>
        <w:t>the energy</w:t>
      </w:r>
      <w:r w:rsidR="00AE4B2D" w:rsidRPr="00A04E56">
        <w:rPr>
          <w:noProof w:val="0"/>
          <w:szCs w:val="20"/>
        </w:rPr>
        <w:t xml:space="preserve"> </w:t>
      </w:r>
      <w:r w:rsidR="009A0795" w:rsidRPr="00A04E56">
        <w:rPr>
          <w:noProof w:val="0"/>
          <w:szCs w:val="20"/>
        </w:rPr>
        <w:t>union</w:t>
      </w:r>
      <w:r w:rsidRPr="00A04E56">
        <w:rPr>
          <w:szCs w:val="20"/>
        </w:rPr>
        <w:t>.</w:t>
      </w:r>
    </w:p>
    <w:p w14:paraId="041A820E" w14:textId="1C9E732E" w:rsidR="005B1476" w:rsidRPr="00A04E56" w:rsidRDefault="005B1476">
      <w:pPr>
        <w:pStyle w:val="BodyText1spaceafter"/>
        <w:rPr>
          <w:szCs w:val="20"/>
        </w:rPr>
      </w:pPr>
      <w:r w:rsidRPr="00A04E56">
        <w:t xml:space="preserve">The European statistical programme is designed to provide quality statistical information in a timely manner while keeping a balance between </w:t>
      </w:r>
      <w:r w:rsidR="00C23690" w:rsidRPr="00A04E56">
        <w:t xml:space="preserve">the </w:t>
      </w:r>
      <w:r w:rsidRPr="00A04E56">
        <w:t xml:space="preserve">economic, social and environmental fields. It serves the needs of the wide range of users of European statistics, including decision-makers, researchers, businesses and </w:t>
      </w:r>
      <w:r w:rsidR="0093086A" w:rsidRPr="00A04E56">
        <w:t>the public</w:t>
      </w:r>
      <w:r w:rsidRPr="00A04E56">
        <w:t xml:space="preserve"> in general, in a cost-effective manner without unnecessary duplication of effort. </w:t>
      </w:r>
    </w:p>
    <w:p w14:paraId="6EBF2655" w14:textId="6137A1E0" w:rsidR="0021126E" w:rsidRPr="00A04E56" w:rsidRDefault="005B1476" w:rsidP="00B513F6">
      <w:pPr>
        <w:pStyle w:val="BodyText1spaceafter"/>
        <w:rPr>
          <w:szCs w:val="20"/>
        </w:rPr>
      </w:pPr>
      <w:r w:rsidRPr="00A04E56">
        <w:t>A second mid</w:t>
      </w:r>
      <w:r w:rsidR="00835047" w:rsidRPr="00A04E56">
        <w:rPr>
          <w:noProof w:val="0"/>
        </w:rPr>
        <w:t>term</w:t>
      </w:r>
      <w:r w:rsidRPr="00A04E56">
        <w:t xml:space="preserve"> evaluation of the European statistical programme 2013-2020 was performed </w:t>
      </w:r>
      <w:r w:rsidR="008C1D39" w:rsidRPr="00A04E56">
        <w:rPr>
          <w:i/>
          <w:u w:val="single"/>
        </w:rPr>
        <w:t>in 2018</w:t>
      </w:r>
      <w:r w:rsidRPr="00A04E56">
        <w:t xml:space="preserve">, covering the years 2015-2017. </w:t>
      </w:r>
      <w:r w:rsidRPr="00A04E56">
        <w:rPr>
          <w:szCs w:val="20"/>
        </w:rPr>
        <w:t xml:space="preserve">The evaluation indicates that the programme is run efficiently, that it provides clear EU added value and is consistent </w:t>
      </w:r>
      <w:r w:rsidR="00276B51" w:rsidRPr="00A04E56">
        <w:rPr>
          <w:noProof w:val="0"/>
          <w:szCs w:val="20"/>
        </w:rPr>
        <w:t xml:space="preserve">both internally and </w:t>
      </w:r>
      <w:r w:rsidRPr="00A04E56">
        <w:rPr>
          <w:szCs w:val="20"/>
        </w:rPr>
        <w:t>externally with other initiatives aiming at producing statistics. The results also show that the European statistical programme has contributed and continues to contribute to satisfy the user needs and to the design and monitoring of policies but more is needed.</w:t>
      </w:r>
      <w:r w:rsidRPr="00A04E56" w:rsidDel="00603676">
        <w:rPr>
          <w:szCs w:val="20"/>
        </w:rPr>
        <w:t xml:space="preserve"> </w:t>
      </w:r>
      <w:r w:rsidRPr="00A04E56">
        <w:rPr>
          <w:szCs w:val="20"/>
        </w:rPr>
        <w:t xml:space="preserve">Eurostat and the European </w:t>
      </w:r>
      <w:r w:rsidR="00791109" w:rsidRPr="00A04E56">
        <w:rPr>
          <w:szCs w:val="20"/>
        </w:rPr>
        <w:t xml:space="preserve">statistical system </w:t>
      </w:r>
      <w:r w:rsidRPr="00A04E56">
        <w:rPr>
          <w:szCs w:val="20"/>
        </w:rPr>
        <w:t xml:space="preserve">are modernising the statistical production processes to respond to such needs while taking advantage of new technologies. Under the next </w:t>
      </w:r>
      <w:r w:rsidR="00AA1FB8" w:rsidRPr="00A04E56">
        <w:rPr>
          <w:szCs w:val="20"/>
        </w:rPr>
        <w:t>multiannual financial framewor</w:t>
      </w:r>
      <w:r w:rsidRPr="00A04E56">
        <w:rPr>
          <w:szCs w:val="20"/>
        </w:rPr>
        <w:t xml:space="preserve">k, these activities will be integrated in the new </w:t>
      </w:r>
      <w:r w:rsidR="00791109" w:rsidRPr="00A04E56">
        <w:rPr>
          <w:szCs w:val="20"/>
        </w:rPr>
        <w:t xml:space="preserve">single market </w:t>
      </w:r>
      <w:r w:rsidR="00791109" w:rsidRPr="00A04E56" w:rsidDel="00655667">
        <w:rPr>
          <w:szCs w:val="20"/>
        </w:rPr>
        <w:t>programme</w:t>
      </w:r>
      <w:r w:rsidR="0013599E" w:rsidRPr="00A04E56">
        <w:rPr>
          <w:szCs w:val="20"/>
        </w:rPr>
        <w:t>, while preserving the necessary professional independence in the delivery of European statistics</w:t>
      </w:r>
      <w:r w:rsidR="0013599E" w:rsidRPr="00A04E56" w:rsidDel="00655667">
        <w:rPr>
          <w:szCs w:val="20"/>
        </w:rPr>
        <w:t>.</w:t>
      </w:r>
      <w:r w:rsidR="00655667" w:rsidRPr="00A04E56">
        <w:rPr>
          <w:noProof w:val="0"/>
          <w:szCs w:val="20"/>
        </w:rPr>
        <w:t xml:space="preserve"> The</w:t>
      </w:r>
      <w:r w:rsidRPr="00A04E56">
        <w:rPr>
          <w:szCs w:val="20"/>
        </w:rPr>
        <w:t xml:space="preserve"> integration of different </w:t>
      </w:r>
      <w:r w:rsidR="00791109" w:rsidRPr="00A04E56">
        <w:rPr>
          <w:szCs w:val="20"/>
        </w:rPr>
        <w:t>single market</w:t>
      </w:r>
      <w:r w:rsidRPr="00A04E56">
        <w:rPr>
          <w:szCs w:val="20"/>
        </w:rPr>
        <w:t xml:space="preserve">-related instruments centrally managed by the Commission into one programme will reduce overlaps, increase synergies and facilitate communication and networking with all </w:t>
      </w:r>
      <w:r w:rsidR="001C3835" w:rsidRPr="00A04E56">
        <w:rPr>
          <w:szCs w:val="20"/>
        </w:rPr>
        <w:t xml:space="preserve">of the </w:t>
      </w:r>
      <w:r w:rsidRPr="00A04E56">
        <w:rPr>
          <w:szCs w:val="20"/>
        </w:rPr>
        <w:t>various stakeholder groups. Such a consolidation of activities provides higher value for money and cost-efficiency.</w:t>
      </w:r>
    </w:p>
    <w:p w14:paraId="1E55D4A2" w14:textId="061D7469" w:rsidR="001A4A14" w:rsidRPr="00A04E56" w:rsidRDefault="001A4A14" w:rsidP="00AD48B8">
      <w:pPr>
        <w:pStyle w:val="Title2Report"/>
      </w:pPr>
      <w:bookmarkStart w:id="90" w:name="_Toc4603966"/>
      <w:bookmarkStart w:id="91" w:name="_Toc4680703"/>
      <w:bookmarkStart w:id="92" w:name="_Toc4682977"/>
      <w:bookmarkStart w:id="93" w:name="_Toc4683089"/>
      <w:bookmarkStart w:id="94" w:name="_Toc12021011"/>
      <w:r w:rsidRPr="00A04E56">
        <w:t>Nuclear</w:t>
      </w:r>
      <w:r w:rsidR="002B5F47" w:rsidRPr="00A04E56">
        <w:t>-</w:t>
      </w:r>
      <w:r w:rsidRPr="00A04E56">
        <w:t>decommissioning assistance programme</w:t>
      </w:r>
      <w:r w:rsidR="00C63DC4" w:rsidRPr="00A04E56">
        <w:t>s</w:t>
      </w:r>
      <w:r w:rsidRPr="00A04E56">
        <w:t xml:space="preserve"> </w:t>
      </w:r>
      <w:r w:rsidR="0087338C" w:rsidRPr="00A04E56">
        <w:t xml:space="preserve">in </w:t>
      </w:r>
      <w:r w:rsidRPr="00A04E56">
        <w:t xml:space="preserve">Bulgaria, </w:t>
      </w:r>
      <w:r w:rsidR="00C63DC4" w:rsidRPr="00A04E56">
        <w:t xml:space="preserve">Slovakia and </w:t>
      </w:r>
      <w:r w:rsidRPr="00A04E56">
        <w:t>Lithuania</w:t>
      </w:r>
      <w:bookmarkEnd w:id="90"/>
      <w:bookmarkEnd w:id="91"/>
      <w:bookmarkEnd w:id="92"/>
      <w:bookmarkEnd w:id="93"/>
      <w:bookmarkEnd w:id="94"/>
    </w:p>
    <w:p w14:paraId="530C85D6" w14:textId="7A598C1E" w:rsidR="001A4A14" w:rsidRPr="00A04E56" w:rsidRDefault="001A4A14" w:rsidP="00B513F6">
      <w:pPr>
        <w:pStyle w:val="BodyText1spaceafter"/>
      </w:pPr>
      <w:r w:rsidRPr="00A04E56">
        <w:t xml:space="preserve">Bulgaria, Lithuania and Slovakia agreed </w:t>
      </w:r>
      <w:r w:rsidR="009A0795" w:rsidRPr="00A04E56">
        <w:rPr>
          <w:noProof w:val="0"/>
        </w:rPr>
        <w:t>as part of</w:t>
      </w:r>
      <w:r w:rsidRPr="00A04E56">
        <w:t xml:space="preserve"> their accession to the EU to close and decommission a number of first</w:t>
      </w:r>
      <w:r w:rsidR="00CC5603" w:rsidRPr="00A04E56">
        <w:t>-</w:t>
      </w:r>
      <w:r w:rsidRPr="00A04E56">
        <w:t xml:space="preserve">generation nuclear </w:t>
      </w:r>
      <w:r w:rsidR="0093086A" w:rsidRPr="00A04E56">
        <w:t xml:space="preserve">power </w:t>
      </w:r>
      <w:r w:rsidRPr="00A04E56">
        <w:t>reactors</w:t>
      </w:r>
      <w:r w:rsidR="00220706" w:rsidRPr="00A04E56">
        <w:t xml:space="preserve"> power plants</w:t>
      </w:r>
      <w:r w:rsidRPr="00A04E56">
        <w:t xml:space="preserve"> (</w:t>
      </w:r>
      <w:r w:rsidR="00304671" w:rsidRPr="00A04E56">
        <w:t>eight</w:t>
      </w:r>
      <w:r w:rsidRPr="00A04E56">
        <w:t xml:space="preserve"> units at </w:t>
      </w:r>
      <w:r w:rsidR="00304671" w:rsidRPr="00A04E56">
        <w:t>three</w:t>
      </w:r>
      <w:r w:rsidRPr="00A04E56">
        <w:t xml:space="preserve"> different sites: Kozloduy, Ignalina and Bohunice, respectively) before </w:t>
      </w:r>
      <w:r w:rsidR="00034F75" w:rsidRPr="00A04E56">
        <w:t xml:space="preserve">the end of </w:t>
      </w:r>
      <w:r w:rsidRPr="00A04E56">
        <w:t xml:space="preserve">their envisaged operational lifetime. Given the </w:t>
      </w:r>
      <w:r w:rsidR="00E0526A" w:rsidRPr="00A04E56">
        <w:t>financial</w:t>
      </w:r>
      <w:r w:rsidRPr="00A04E56">
        <w:t xml:space="preserve"> burden the process would entail and acknowledging the long-term nature of the decommissioning of the nuclear power plants, the EU committed to provid</w:t>
      </w:r>
      <w:r w:rsidR="00236210" w:rsidRPr="00A04E56">
        <w:t>ing</w:t>
      </w:r>
      <w:r w:rsidRPr="00A04E56">
        <w:t xml:space="preserve"> financial assistance to the three countries. </w:t>
      </w:r>
    </w:p>
    <w:p w14:paraId="56384EA3" w14:textId="03537422" w:rsidR="001A4A14" w:rsidRPr="00A04E56" w:rsidRDefault="001A4A14" w:rsidP="00B513F6">
      <w:pPr>
        <w:pStyle w:val="BodyText1spaceafter"/>
      </w:pPr>
      <w:r w:rsidRPr="00A04E56">
        <w:t>In Bulgaria</w:t>
      </w:r>
      <w:r w:rsidR="00291376" w:rsidRPr="00A04E56">
        <w:rPr>
          <w:rStyle w:val="fnRef"/>
          <w:rFonts w:ascii="Arial" w:hAnsi="Arial" w:cs="Arial"/>
        </w:rPr>
        <w:t> </w:t>
      </w:r>
      <w:r w:rsidR="0035678A" w:rsidRPr="00A04E56">
        <w:rPr>
          <w:rStyle w:val="fnRef"/>
        </w:rPr>
        <w:t>(</w:t>
      </w:r>
      <w:r w:rsidR="0035678A" w:rsidRPr="00A04E56">
        <w:rPr>
          <w:rStyle w:val="fnRefNo"/>
        </w:rPr>
        <w:footnoteReference w:id="120"/>
      </w:r>
      <w:r w:rsidR="0035678A" w:rsidRPr="00A04E56">
        <w:rPr>
          <w:rStyle w:val="fnRef"/>
        </w:rPr>
        <w:t>)</w:t>
      </w:r>
      <w:r w:rsidRPr="00A04E56">
        <w:t xml:space="preserve"> the programme has seen important waste</w:t>
      </w:r>
      <w:r w:rsidR="008163DA" w:rsidRPr="00A04E56">
        <w:t>-</w:t>
      </w:r>
      <w:r w:rsidRPr="00A04E56">
        <w:t>management infrastructures become operational</w:t>
      </w:r>
      <w:r w:rsidR="008163DA" w:rsidRPr="00A04E56">
        <w:t>.</w:t>
      </w:r>
      <w:r w:rsidRPr="00A04E56">
        <w:t xml:space="preserve"> </w:t>
      </w:r>
      <w:r w:rsidR="008C1D39" w:rsidRPr="00A04E56">
        <w:rPr>
          <w:i/>
          <w:u w:val="single"/>
        </w:rPr>
        <w:t>In 2018</w:t>
      </w:r>
      <w:r w:rsidR="008163DA" w:rsidRPr="00A04E56">
        <w:t>,</w:t>
      </w:r>
      <w:r w:rsidRPr="00A04E56">
        <w:t xml:space="preserve"> in particular</w:t>
      </w:r>
      <w:r w:rsidR="008163DA" w:rsidRPr="00A04E56">
        <w:t>,</w:t>
      </w:r>
      <w:r w:rsidRPr="00A04E56">
        <w:t xml:space="preserve"> a facility for high-performance volume reduction of radioactive waste</w:t>
      </w:r>
      <w:r w:rsidR="008163DA" w:rsidRPr="00A04E56">
        <w:t xml:space="preserve"> entered into service</w:t>
      </w:r>
      <w:r w:rsidRPr="00A04E56">
        <w:t xml:space="preserve">. The operational feedback will be of high interest to </w:t>
      </w:r>
      <w:r w:rsidR="001451B3" w:rsidRPr="00A04E56">
        <w:t>other organisations that treat</w:t>
      </w:r>
      <w:r w:rsidRPr="00A04E56">
        <w:t xml:space="preserve"> radioactive waste in the EU as they are confronted </w:t>
      </w:r>
      <w:r w:rsidR="008163DA" w:rsidRPr="00A04E56">
        <w:t>with</w:t>
      </w:r>
      <w:r w:rsidRPr="00A04E56">
        <w:t xml:space="preserve"> similar challenges.</w:t>
      </w:r>
    </w:p>
    <w:p w14:paraId="492DB64E" w14:textId="339AF885" w:rsidR="001A4A14" w:rsidRPr="00A04E56" w:rsidRDefault="001A4A14" w:rsidP="00B513F6">
      <w:pPr>
        <w:pStyle w:val="BodyText1spaceafter"/>
      </w:pPr>
      <w:r w:rsidRPr="00A04E56">
        <w:t>In Slovakia</w:t>
      </w:r>
      <w:r w:rsidR="00291376" w:rsidRPr="00A04E56">
        <w:rPr>
          <w:rStyle w:val="fnRef"/>
          <w:rFonts w:ascii="Arial" w:hAnsi="Arial" w:cs="Arial"/>
        </w:rPr>
        <w:t> </w:t>
      </w:r>
      <w:r w:rsidR="0035678A" w:rsidRPr="00A04E56">
        <w:rPr>
          <w:rStyle w:val="fnRef"/>
        </w:rPr>
        <w:t>(</w:t>
      </w:r>
      <w:r w:rsidR="0035678A" w:rsidRPr="00A04E56">
        <w:rPr>
          <w:rStyle w:val="fnRefNo"/>
        </w:rPr>
        <w:footnoteReference w:id="121"/>
      </w:r>
      <w:r w:rsidR="0035678A" w:rsidRPr="00A04E56">
        <w:rPr>
          <w:rStyle w:val="fnRef"/>
        </w:rPr>
        <w:t>)</w:t>
      </w:r>
      <w:r w:rsidRPr="00A04E56">
        <w:t xml:space="preserve">, there </w:t>
      </w:r>
      <w:r w:rsidR="004B177F" w:rsidRPr="00A04E56">
        <w:t>was</w:t>
      </w:r>
      <w:r w:rsidRPr="00A04E56">
        <w:t xml:space="preserve"> significant progress </w:t>
      </w:r>
      <w:r w:rsidR="008C1D39" w:rsidRPr="00A04E56">
        <w:rPr>
          <w:i/>
          <w:u w:val="single"/>
        </w:rPr>
        <w:t>in 2018</w:t>
      </w:r>
      <w:r w:rsidRPr="00A04E56">
        <w:t xml:space="preserve"> notably as regards decontamination and dismantling both in turbine halls and auxiliary buildings (demolition of four cooling towers) and in the reactor building (decontamination of the spent</w:t>
      </w:r>
      <w:r w:rsidR="00984797" w:rsidRPr="00A04E56">
        <w:t>-</w:t>
      </w:r>
      <w:r w:rsidRPr="00A04E56">
        <w:t xml:space="preserve">fuel pools and other tanks). The demolition of the cooling towers attracted widespread </w:t>
      </w:r>
      <w:r w:rsidR="00984797" w:rsidRPr="00A04E56">
        <w:t xml:space="preserve">public </w:t>
      </w:r>
      <w:r w:rsidRPr="00A04E56">
        <w:t>attention</w:t>
      </w:r>
      <w:r w:rsidRPr="00A04E56" w:rsidDel="00984797">
        <w:t xml:space="preserve"> </w:t>
      </w:r>
      <w:r w:rsidR="00EB1936" w:rsidRPr="00A04E56">
        <w:t>and</w:t>
      </w:r>
      <w:r w:rsidRPr="00A04E56">
        <w:t xml:space="preserve"> was a visible demonstration of the site's progress towards clean-up. The decontamination in the reactor building has greatly contributed to reducing the radiation </w:t>
      </w:r>
      <w:r w:rsidR="00EB1936" w:rsidRPr="00A04E56">
        <w:t xml:space="preserve">exposure </w:t>
      </w:r>
      <w:r w:rsidRPr="00A04E56">
        <w:t xml:space="preserve">of the personnel </w:t>
      </w:r>
      <w:r w:rsidR="00600B95" w:rsidRPr="00A04E56">
        <w:t>concerned</w:t>
      </w:r>
      <w:r w:rsidRPr="00A04E56">
        <w:t xml:space="preserve">. </w:t>
      </w:r>
    </w:p>
    <w:p w14:paraId="79B7A82C" w14:textId="5C18A0E9" w:rsidR="001A4A14" w:rsidRPr="00A04E56" w:rsidRDefault="001A4A14" w:rsidP="00B513F6">
      <w:pPr>
        <w:pStyle w:val="BodyText1spaceafter"/>
      </w:pPr>
      <w:r w:rsidRPr="00A04E56">
        <w:t>In Lithuania</w:t>
      </w:r>
      <w:r w:rsidR="00291376" w:rsidRPr="00A04E56">
        <w:rPr>
          <w:rStyle w:val="fnRef"/>
          <w:rFonts w:ascii="Arial" w:hAnsi="Arial" w:cs="Arial"/>
        </w:rPr>
        <w:t> </w:t>
      </w:r>
      <w:r w:rsidR="0035678A" w:rsidRPr="00A04E56">
        <w:rPr>
          <w:rStyle w:val="fnRef"/>
        </w:rPr>
        <w:t>(</w:t>
      </w:r>
      <w:r w:rsidR="0035678A" w:rsidRPr="00A04E56">
        <w:rPr>
          <w:rStyle w:val="fnRefNo"/>
        </w:rPr>
        <w:footnoteReference w:id="122"/>
      </w:r>
      <w:r w:rsidR="0035678A" w:rsidRPr="00A04E56">
        <w:rPr>
          <w:rStyle w:val="fnRef"/>
        </w:rPr>
        <w:t>)</w:t>
      </w:r>
      <w:r w:rsidRPr="00A04E56">
        <w:t xml:space="preserve">, </w:t>
      </w:r>
      <w:r w:rsidR="00A65D7B" w:rsidRPr="00A04E56">
        <w:t>a</w:t>
      </w:r>
      <w:r w:rsidRPr="00A04E56">
        <w:t xml:space="preserve"> second reactor was fully defueled </w:t>
      </w:r>
      <w:r w:rsidRPr="00A04E56">
        <w:rPr>
          <w:i/>
          <w:u w:val="single"/>
        </w:rPr>
        <w:t>in February 2018</w:t>
      </w:r>
      <w:r w:rsidR="004E084C" w:rsidRPr="00A04E56">
        <w:t>,</w:t>
      </w:r>
      <w:r w:rsidRPr="00A04E56">
        <w:t xml:space="preserve"> months ahead of schedule. </w:t>
      </w:r>
      <w:r w:rsidR="00A65D7B" w:rsidRPr="00A04E56">
        <w:t>Two</w:t>
      </w:r>
      <w:r w:rsidRPr="00A04E56">
        <w:t xml:space="preserve"> reactors are </w:t>
      </w:r>
      <w:r w:rsidR="00600B95" w:rsidRPr="00A04E56">
        <w:t xml:space="preserve">now </w:t>
      </w:r>
      <w:r w:rsidRPr="00A04E56" w:rsidDel="00EB1936">
        <w:t>defueled</w:t>
      </w:r>
      <w:r w:rsidR="00EB1936" w:rsidRPr="00A04E56">
        <w:t xml:space="preserve">. </w:t>
      </w:r>
      <w:r w:rsidR="00A65D7B" w:rsidRPr="00A04E56">
        <w:rPr>
          <w:i/>
          <w:u w:val="single"/>
        </w:rPr>
        <w:t>By</w:t>
      </w:r>
      <w:r w:rsidR="00EB1936" w:rsidRPr="00A04E56">
        <w:rPr>
          <w:i/>
          <w:u w:val="single"/>
        </w:rPr>
        <w:t xml:space="preserve"> 31</w:t>
      </w:r>
      <w:r w:rsidR="00E9307F" w:rsidRPr="00A04E56">
        <w:rPr>
          <w:rFonts w:cs="Calibri"/>
          <w:i/>
          <w:noProof w:val="0"/>
          <w:u w:val="single"/>
        </w:rPr>
        <w:t> </w:t>
      </w:r>
      <w:r w:rsidR="00E9307F" w:rsidRPr="00A04E56">
        <w:rPr>
          <w:i/>
          <w:noProof w:val="0"/>
          <w:u w:val="single"/>
        </w:rPr>
        <w:t>December</w:t>
      </w:r>
      <w:r w:rsidR="00E9307F" w:rsidRPr="00A04E56">
        <w:rPr>
          <w:rFonts w:cs="Calibri"/>
          <w:i/>
          <w:noProof w:val="0"/>
          <w:u w:val="single"/>
        </w:rPr>
        <w:t> </w:t>
      </w:r>
      <w:r w:rsidR="00E9307F" w:rsidRPr="00A04E56">
        <w:rPr>
          <w:i/>
          <w:noProof w:val="0"/>
          <w:u w:val="single"/>
        </w:rPr>
        <w:t>2018</w:t>
      </w:r>
      <w:r w:rsidR="00EB1936" w:rsidRPr="00A04E56">
        <w:t>, more than 50% of spent</w:t>
      </w:r>
      <w:r w:rsidR="00A65D7B" w:rsidRPr="00A04E56">
        <w:t>-</w:t>
      </w:r>
      <w:r w:rsidR="00EB1936" w:rsidRPr="00A04E56">
        <w:t xml:space="preserve">fuel assemblies </w:t>
      </w:r>
      <w:r w:rsidR="00A65D7B" w:rsidRPr="00A04E56">
        <w:t>had been</w:t>
      </w:r>
      <w:r w:rsidR="00EB1936" w:rsidRPr="00A04E56">
        <w:t xml:space="preserve"> safely loaded into casks and put into storage</w:t>
      </w:r>
      <w:r w:rsidR="00600B95" w:rsidRPr="00A04E56">
        <w:t xml:space="preserve"> meaning t</w:t>
      </w:r>
      <w:r w:rsidRPr="00A04E56">
        <w:t>he level of radiological hazard and risk to the general public</w:t>
      </w:r>
      <w:r w:rsidR="00EB1936" w:rsidRPr="00A04E56">
        <w:t xml:space="preserve"> </w:t>
      </w:r>
      <w:r w:rsidR="00600B95" w:rsidRPr="00A04E56">
        <w:t xml:space="preserve">have substantially </w:t>
      </w:r>
      <w:r w:rsidR="00EB1936" w:rsidRPr="00A04E56">
        <w:t>decrease</w:t>
      </w:r>
      <w:r w:rsidR="00600B95" w:rsidRPr="00A04E56">
        <w:t>d</w:t>
      </w:r>
      <w:r w:rsidRPr="00A04E56">
        <w:t xml:space="preserve">. </w:t>
      </w:r>
    </w:p>
    <w:p w14:paraId="27BEFF64" w14:textId="5B3CDAB0" w:rsidR="00081FA0" w:rsidRPr="00A04E56" w:rsidRDefault="001A4A14" w:rsidP="00B513F6">
      <w:pPr>
        <w:pStyle w:val="BodyText1spaceafter"/>
      </w:pPr>
      <w:r w:rsidRPr="00A04E56">
        <w:t>A very important aspect, as highlighted also by the evaluation</w:t>
      </w:r>
      <w:r w:rsidR="003939FA" w:rsidRPr="00A04E56">
        <w:t xml:space="preserve"> finalised </w:t>
      </w:r>
      <w:r w:rsidR="008C1D39" w:rsidRPr="00A04E56">
        <w:rPr>
          <w:i/>
          <w:u w:val="single"/>
        </w:rPr>
        <w:t>in 2018</w:t>
      </w:r>
      <w:r w:rsidR="00291376" w:rsidRPr="00A04E56">
        <w:rPr>
          <w:rStyle w:val="fnRef"/>
          <w:rFonts w:ascii="Arial" w:hAnsi="Arial" w:cs="Arial"/>
        </w:rPr>
        <w:t> </w:t>
      </w:r>
      <w:r w:rsidR="0035678A" w:rsidRPr="00A04E56">
        <w:rPr>
          <w:rStyle w:val="fnRef"/>
        </w:rPr>
        <w:t>(</w:t>
      </w:r>
      <w:r w:rsidR="0035678A" w:rsidRPr="00A04E56">
        <w:rPr>
          <w:rStyle w:val="fnRefNo"/>
        </w:rPr>
        <w:footnoteReference w:id="123"/>
      </w:r>
      <w:r w:rsidR="0035678A" w:rsidRPr="00A04E56">
        <w:rPr>
          <w:rStyle w:val="fnRef"/>
        </w:rPr>
        <w:t>)</w:t>
      </w:r>
      <w:r w:rsidRPr="00A04E56">
        <w:t xml:space="preserve">, </w:t>
      </w:r>
      <w:r w:rsidR="000F12DC" w:rsidRPr="00A04E56">
        <w:t>is</w:t>
      </w:r>
      <w:r w:rsidRPr="00A04E56">
        <w:t xml:space="preserve"> the additional value the </w:t>
      </w:r>
      <w:r w:rsidR="000F12DC" w:rsidRPr="00A04E56">
        <w:t xml:space="preserve">nuclear-decommissioning assistance </w:t>
      </w:r>
      <w:r w:rsidRPr="00A04E56">
        <w:t>programme brings in terms of building up knowledge and expertise. This has helped the three countries</w:t>
      </w:r>
      <w:r w:rsidR="0018199D" w:rsidRPr="00A04E56">
        <w:t xml:space="preserve"> concerned</w:t>
      </w:r>
      <w:r w:rsidRPr="00A04E56">
        <w:t xml:space="preserve">. For example, Slovakia helped Bulgaria to draft the specifications for the call for tender in support of the preparation of the reactor building for the decontamination of the primary circuit, after having successfully completed the decontamination of their </w:t>
      </w:r>
      <w:r w:rsidR="0018199D" w:rsidRPr="00A04E56">
        <w:t xml:space="preserve">own </w:t>
      </w:r>
      <w:r w:rsidRPr="00A04E56">
        <w:t>primary circuit</w:t>
      </w:r>
      <w:r w:rsidR="00291376" w:rsidRPr="00A04E56">
        <w:rPr>
          <w:rStyle w:val="fnRef"/>
          <w:rFonts w:ascii="Arial" w:hAnsi="Arial" w:cs="Arial"/>
        </w:rPr>
        <w:t> </w:t>
      </w:r>
      <w:r w:rsidR="0035678A" w:rsidRPr="00A04E56">
        <w:rPr>
          <w:rStyle w:val="fnRef"/>
        </w:rPr>
        <w:t>(</w:t>
      </w:r>
      <w:r w:rsidR="0035678A" w:rsidRPr="00A04E56">
        <w:rPr>
          <w:rStyle w:val="fnRefNo"/>
        </w:rPr>
        <w:footnoteReference w:id="124"/>
      </w:r>
      <w:r w:rsidR="0035678A" w:rsidRPr="00A04E56">
        <w:rPr>
          <w:rStyle w:val="fnRef"/>
        </w:rPr>
        <w:t>)</w:t>
      </w:r>
      <w:r w:rsidRPr="00A04E56">
        <w:t>. The knowledge is also important</w:t>
      </w:r>
      <w:r w:rsidR="0018199D" w:rsidRPr="00A04E56">
        <w:t>,</w:t>
      </w:r>
      <w:r w:rsidRPr="00A04E56">
        <w:t xml:space="preserve"> given the no</w:t>
      </w:r>
      <w:r w:rsidR="0018199D" w:rsidRPr="00A04E56">
        <w:t>n-</w:t>
      </w:r>
      <w:r w:rsidRPr="00A04E56">
        <w:t xml:space="preserve">negligible number of nuclear power plants across the EU that will require decommissioning in the future. </w:t>
      </w:r>
    </w:p>
    <w:p w14:paraId="09C74B87" w14:textId="4CFFF697" w:rsidR="008331F6" w:rsidRPr="00A04E56" w:rsidRDefault="00512266" w:rsidP="00081FA0">
      <w:pPr>
        <w:pStyle w:val="BodyText1spaceafter"/>
      </w:pPr>
      <w:r w:rsidRPr="00A04E56">
        <w:t xml:space="preserve">In its proposal for the </w:t>
      </w:r>
      <w:r w:rsidR="00AA1FB8" w:rsidRPr="00A04E56">
        <w:rPr>
          <w:noProof w:val="0"/>
        </w:rPr>
        <w:t>multiannual financial framework</w:t>
      </w:r>
      <w:r w:rsidRPr="00A04E56">
        <w:t xml:space="preserve">, the Commission included support to continue these activities. </w:t>
      </w:r>
    </w:p>
    <w:p w14:paraId="2EF33A7A" w14:textId="77777777" w:rsidR="008331F6" w:rsidRPr="00A04E56" w:rsidRDefault="008331F6" w:rsidP="008331F6">
      <w:pPr>
        <w:pStyle w:val="TITLE1Report"/>
      </w:pPr>
      <w:bookmarkStart w:id="95" w:name="Economicsocialterritorialcohesion"/>
      <w:bookmarkStart w:id="96" w:name="_Toc4603942"/>
      <w:bookmarkStart w:id="97" w:name="_Toc4603971"/>
      <w:bookmarkStart w:id="98" w:name="_Toc4680723"/>
      <w:bookmarkStart w:id="99" w:name="_Toc4682997"/>
      <w:bookmarkStart w:id="100" w:name="_Toc4683092"/>
      <w:r w:rsidRPr="00A04E56">
        <w:t>Economic, social and territorial cohesion</w:t>
      </w:r>
      <w:bookmarkEnd w:id="95"/>
      <w:r w:rsidRPr="00A04E56">
        <w:t xml:space="preserve"> (budget heading 1B)</w:t>
      </w:r>
      <w:bookmarkEnd w:id="96"/>
      <w:bookmarkEnd w:id="97"/>
      <w:bookmarkEnd w:id="98"/>
      <w:bookmarkEnd w:id="99"/>
      <w:bookmarkEnd w:id="100"/>
    </w:p>
    <w:p w14:paraId="44172BC4" w14:textId="1D7E16DD" w:rsidR="008331F6" w:rsidRPr="00A04E56" w:rsidRDefault="00321611" w:rsidP="008331F6">
      <w:pPr>
        <w:pStyle w:val="BodyText1spaceafter"/>
      </w:pPr>
      <w:bookmarkStart w:id="101" w:name="_Toc3206055"/>
      <w:bookmarkStart w:id="102" w:name="_Toc4680724"/>
      <w:bookmarkStart w:id="103" w:name="_Toc4682998"/>
      <w:r w:rsidRPr="00A04E56">
        <w:rPr>
          <w:i/>
          <w:u w:val="single"/>
        </w:rPr>
        <w:t>In 2018</w:t>
      </w:r>
      <w:r w:rsidRPr="00A04E56">
        <w:t xml:space="preserve">, </w:t>
      </w:r>
      <w:r w:rsidR="008331F6" w:rsidRPr="00A04E56">
        <w:t>EUR</w:t>
      </w:r>
      <w:r w:rsidR="008331F6" w:rsidRPr="00A04E56">
        <w:rPr>
          <w:rFonts w:ascii="Calibri" w:hAnsi="Calibri" w:cs="Calibri"/>
        </w:rPr>
        <w:t> </w:t>
      </w:r>
      <w:r w:rsidR="00A261CE">
        <w:t>55</w:t>
      </w:r>
      <w:r w:rsidR="008331F6" w:rsidRPr="00A04E56">
        <w:t>.</w:t>
      </w:r>
      <w:r w:rsidR="00A261CE">
        <w:t>5</w:t>
      </w:r>
      <w:r w:rsidR="008331F6" w:rsidRPr="00A04E56">
        <w:rPr>
          <w:rFonts w:ascii="Calibri" w:hAnsi="Calibri" w:cs="Calibri"/>
        </w:rPr>
        <w:t> </w:t>
      </w:r>
      <w:r w:rsidR="008331F6" w:rsidRPr="00A04E56">
        <w:t>billion was allocated to the programmes under heading 1B, representing 3</w:t>
      </w:r>
      <w:r w:rsidR="00A261CE">
        <w:t>5</w:t>
      </w:r>
      <w:r w:rsidR="008331F6" w:rsidRPr="00A04E56">
        <w:t xml:space="preserve">% of the total EU budget for the year. This heading covers the youth employment initiative, the Fund for European Aid to the Most Deprived and three funds that work together to support cohesion across all EU Member </w:t>
      </w:r>
      <w:r w:rsidR="000D1BBE" w:rsidRPr="00A04E56">
        <w:t>States</w:t>
      </w:r>
      <w:r w:rsidR="000D1BBE">
        <w:rPr>
          <w:rFonts w:ascii="Calibri" w:hAnsi="Calibri" w:cs="Calibri"/>
        </w:rPr>
        <w:t> </w:t>
      </w:r>
      <w:r w:rsidR="00A2656B" w:rsidRPr="00A04E56">
        <w:t>(</w:t>
      </w:r>
      <w:r w:rsidR="007F5F1F" w:rsidRPr="00277538">
        <w:rPr>
          <w:rStyle w:val="fnRefNo"/>
        </w:rPr>
        <w:footnoteReference w:id="125"/>
      </w:r>
      <w:r w:rsidR="00A2656B" w:rsidRPr="00A04E56">
        <w:t>)</w:t>
      </w:r>
      <w:r w:rsidR="008331F6" w:rsidRPr="00A04E56">
        <w:t>:</w:t>
      </w:r>
    </w:p>
    <w:p w14:paraId="47F6E90D" w14:textId="4BC74589" w:rsidR="008331F6" w:rsidRPr="00A04E56" w:rsidRDefault="008331F6" w:rsidP="00107DA0">
      <w:pPr>
        <w:pStyle w:val="BulletsblueNew"/>
      </w:pPr>
      <w:r w:rsidRPr="00A04E56">
        <w:t>the European Regional Development Fund (ERDF)</w:t>
      </w:r>
    </w:p>
    <w:p w14:paraId="6657724F" w14:textId="77777777" w:rsidR="008331F6" w:rsidRPr="00A04E56" w:rsidRDefault="008331F6" w:rsidP="00107DA0">
      <w:pPr>
        <w:pStyle w:val="BulletsblueNew"/>
      </w:pPr>
      <w:r w:rsidRPr="00A04E56">
        <w:t>the European Social Fund (ESF)</w:t>
      </w:r>
    </w:p>
    <w:p w14:paraId="188429D8" w14:textId="5C4A3F2B" w:rsidR="008331F6" w:rsidRPr="00A04E56" w:rsidRDefault="008331F6" w:rsidP="0005798F">
      <w:pPr>
        <w:pStyle w:val="BulletsblueNew-Spaceafter"/>
        <w:spacing w:after="360"/>
      </w:pPr>
      <w:r w:rsidRPr="00A04E56">
        <w:t xml:space="preserve">the Cohesion Fund. </w:t>
      </w:r>
    </w:p>
    <w:p w14:paraId="21461571" w14:textId="120B9A29" w:rsidR="008331F6" w:rsidRPr="00A04E56" w:rsidRDefault="00064C43" w:rsidP="00C257BF">
      <w:pPr>
        <w:pStyle w:val="BodyText1spaceafter"/>
        <w:keepNext/>
        <w:spacing w:after="0"/>
      </w:pPr>
      <w:r w:rsidRPr="00064C43">
        <w:rPr>
          <w:lang w:val="fr-BE"/>
        </w:rPr>
        <w:drawing>
          <wp:inline distT="0" distB="0" distL="0" distR="0" wp14:anchorId="394B7D3C" wp14:editId="52F4BD36">
            <wp:extent cx="5753100" cy="3599815"/>
            <wp:effectExtent l="0" t="0" r="0"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5753100" cy="3599815"/>
                    </a:xfrm>
                    <a:prstGeom prst="rect">
                      <a:avLst/>
                    </a:prstGeom>
                    <a:noFill/>
                    <a:ln>
                      <a:noFill/>
                    </a:ln>
                  </pic:spPr>
                </pic:pic>
              </a:graphicData>
            </a:graphic>
          </wp:inline>
        </w:drawing>
      </w:r>
    </w:p>
    <w:p w14:paraId="10D53479" w14:textId="63A45AC2" w:rsidR="00B00C04" w:rsidRPr="00A04E56" w:rsidRDefault="00A32B29" w:rsidP="00B4696E">
      <w:pPr>
        <w:pStyle w:val="Source-Table-Chart-PhotoCaption"/>
      </w:pPr>
      <w:r w:rsidRPr="00A04E56">
        <w:rPr>
          <w:rStyle w:val="italics"/>
        </w:rPr>
        <w:t>Chart:</w:t>
      </w:r>
      <w:r w:rsidRPr="00A04E56">
        <w:t xml:space="preserve"> Main programmes financed in 2018 </w:t>
      </w:r>
      <w:r w:rsidR="00321611" w:rsidRPr="00A04E56">
        <w:t xml:space="preserve">(commitment appropriations) </w:t>
      </w:r>
      <w:r w:rsidRPr="00A04E56">
        <w:t>under heading 1</w:t>
      </w:r>
      <w:r w:rsidR="00281D05" w:rsidRPr="00A04E56">
        <w:t>B</w:t>
      </w:r>
      <w:r w:rsidRPr="00A04E56">
        <w:t xml:space="preserve">, </w:t>
      </w:r>
      <w:r w:rsidR="00281D05" w:rsidRPr="00A04E56">
        <w:t>Economic, social and territorial cohesion</w:t>
      </w:r>
      <w:r w:rsidRPr="00A04E56">
        <w:t>. The category ‘other programmes’ includes among other</w:t>
      </w:r>
      <w:r w:rsidRPr="00A04E56">
        <w:rPr>
          <w:rStyle w:val="BodyTextChar"/>
          <w:rFonts w:ascii="EC Square Sans Pro" w:hAnsi="EC Square Sans Pro"/>
          <w:sz w:val="16"/>
        </w:rPr>
        <w:t xml:space="preserve"> </w:t>
      </w:r>
      <w:r w:rsidR="00835302" w:rsidRPr="00A04E56">
        <w:rPr>
          <w:rStyle w:val="BodyTextChar"/>
          <w:rFonts w:ascii="EC Square Sans Pro" w:hAnsi="EC Square Sans Pro"/>
          <w:sz w:val="16"/>
        </w:rPr>
        <w:t>outermost</w:t>
      </w:r>
      <w:r w:rsidR="00281D05" w:rsidRPr="00A04E56">
        <w:rPr>
          <w:rStyle w:val="BodyTextChar"/>
          <w:rFonts w:ascii="EC Square Sans Pro" w:hAnsi="EC Square Sans Pro"/>
          <w:sz w:val="16"/>
        </w:rPr>
        <w:t xml:space="preserve"> and sparsely populated regions, </w:t>
      </w:r>
      <w:r w:rsidR="00835302" w:rsidRPr="00A04E56">
        <w:rPr>
          <w:rStyle w:val="BodyTextChar"/>
          <w:rFonts w:ascii="EC Square Sans Pro" w:hAnsi="EC Square Sans Pro"/>
          <w:sz w:val="16"/>
        </w:rPr>
        <w:t>technical</w:t>
      </w:r>
      <w:r w:rsidR="00281D05" w:rsidRPr="00A04E56">
        <w:rPr>
          <w:rStyle w:val="BodyTextChar"/>
          <w:rFonts w:ascii="EC Square Sans Pro" w:hAnsi="EC Square Sans Pro"/>
          <w:sz w:val="16"/>
        </w:rPr>
        <w:t xml:space="preserve"> assistance, Contribution to the Connecting Europe Facility (CEF), Pilot projects and preparatory actions</w:t>
      </w:r>
      <w:r w:rsidR="00B00C04" w:rsidRPr="00A04E56">
        <w:t xml:space="preserve"> </w:t>
      </w:r>
    </w:p>
    <w:p w14:paraId="47CF429C" w14:textId="6D31213E" w:rsidR="00B00C04" w:rsidRPr="00A04E56" w:rsidRDefault="00B00C04" w:rsidP="00B4696E">
      <w:pPr>
        <w:pStyle w:val="Source-Table-Chart-PhotoCaption"/>
      </w:pPr>
      <w:r w:rsidRPr="00A04E56">
        <w:rPr>
          <w:rStyle w:val="italics"/>
        </w:rPr>
        <w:t>Source:</w:t>
      </w:r>
      <w:r w:rsidRPr="00A04E56">
        <w:t xml:space="preserve"> European Commission.</w:t>
      </w:r>
    </w:p>
    <w:p w14:paraId="18B15EF4" w14:textId="521E4E6E" w:rsidR="008331F6" w:rsidRPr="00A04E56" w:rsidRDefault="008331F6" w:rsidP="0005798F">
      <w:pPr>
        <w:pStyle w:val="BodyText1spacebeforeandafter"/>
        <w:spacing w:before="360"/>
      </w:pPr>
      <w:r w:rsidRPr="00A04E56">
        <w:t xml:space="preserve">Cohesion policy contributes to the economic, social and territorial cohesion of the </w:t>
      </w:r>
      <w:r w:rsidR="00321611" w:rsidRPr="00A04E56">
        <w:t>EU</w:t>
      </w:r>
      <w:r w:rsidRPr="00A04E56">
        <w:t xml:space="preserve"> by reducing the economic and social disparities that still exist between its regions and countries. This policy is one of the EU’s most important sources of investment, contributing to the delivery of the Europe 2020 objectives by </w:t>
      </w:r>
      <w:bookmarkEnd w:id="101"/>
      <w:bookmarkEnd w:id="102"/>
      <w:bookmarkEnd w:id="103"/>
      <w:r w:rsidRPr="00A04E56">
        <w:t>supporting growth and job creation at EU level and structural reforms at national level. The funds are complemented by the European Fund for Strategic Investments, which leverages public and private investment, supports structural reforms</w:t>
      </w:r>
      <w:r w:rsidR="00091924" w:rsidRPr="00A04E56">
        <w:t xml:space="preserve"> and</w:t>
      </w:r>
      <w:r w:rsidRPr="00A04E56">
        <w:t xml:space="preserve"> improves access to funding. </w:t>
      </w:r>
    </w:p>
    <w:p w14:paraId="67947461" w14:textId="77777777" w:rsidR="008331F6" w:rsidRPr="00A04E56" w:rsidRDefault="008331F6" w:rsidP="0005798F">
      <w:pPr>
        <w:pStyle w:val="BodyText1spaceafter"/>
        <w:keepLines/>
      </w:pPr>
      <w:r w:rsidRPr="00A04E56">
        <w:t xml:space="preserve">Cohesion policy supports the completion of the digital single market and the energy union and, by investing in energy, environment, climate and sustainable transport, makes a significant contribution to Europe’s transition to a low-carbon economy. Cohesion policy also contributes to the development of the internal market, to the comprehensive approach to migration policy, and to the implementation of the European Pillar of Social Rights. This is achieved for example by moderating the effects of poverty and the social exclusion of people who find themselves in situations of severe deprivation and by supporting (youth) employment. </w:t>
      </w:r>
    </w:p>
    <w:p w14:paraId="4A00B508" w14:textId="5E576498" w:rsidR="008331F6" w:rsidRPr="00A04E56" w:rsidRDefault="008331F6" w:rsidP="008331F6">
      <w:pPr>
        <w:pStyle w:val="BOX2Blue"/>
      </w:pPr>
      <w:r w:rsidRPr="00A04E56">
        <w:rPr>
          <w:rStyle w:val="BOLDLIGHTBLUEReport"/>
          <w:rFonts w:eastAsia="Calibri"/>
        </w:rPr>
        <w:t>Despite having started more slowly than in the 2007-2013 period, the rate of project selection in the current programming period has now caught up.</w:t>
      </w:r>
      <w:r w:rsidRPr="00A04E56">
        <w:rPr>
          <w:color w:val="3B97A5" w:themeColor="accent1" w:themeShade="BF"/>
        </w:rPr>
        <w:t xml:space="preserve"> </w:t>
      </w:r>
      <w:r w:rsidRPr="00A04E56">
        <w:rPr>
          <w:i/>
          <w:u w:val="single"/>
        </w:rPr>
        <w:t xml:space="preserve">By </w:t>
      </w:r>
      <w:r w:rsidR="00EF2C51" w:rsidRPr="00A04E56">
        <w:rPr>
          <w:i/>
          <w:u w:val="single"/>
        </w:rPr>
        <w:t>December 2018</w:t>
      </w:r>
      <w:r w:rsidRPr="00A04E56">
        <w:t xml:space="preserve">, the European Regional Development Fund, the Cohesion Fund, the European Social Fund and the youth employment initiative had selected </w:t>
      </w:r>
      <w:r w:rsidR="00EF2C51" w:rsidRPr="00A04E56">
        <w:t>more than 1 million</w:t>
      </w:r>
      <w:r w:rsidRPr="00A04E56">
        <w:t xml:space="preserve"> projects for support all over Europe, amounting to EUR</w:t>
      </w:r>
      <w:r w:rsidRPr="00A04E56">
        <w:rPr>
          <w:rFonts w:ascii="Calibri" w:hAnsi="Calibri" w:cs="Calibri"/>
        </w:rPr>
        <w:t> </w:t>
      </w:r>
      <w:r w:rsidR="00EF2C51" w:rsidRPr="00A04E56">
        <w:t>362</w:t>
      </w:r>
      <w:r w:rsidRPr="00A04E56">
        <w:rPr>
          <w:rFonts w:ascii="Calibri" w:hAnsi="Calibri" w:cs="Calibri"/>
        </w:rPr>
        <w:t> </w:t>
      </w:r>
      <w:r w:rsidRPr="00A04E56">
        <w:t xml:space="preserve">billion of the total financing available for the period. This level of project selection over 2014-2018 is comparable to the same timeframe of the 2007-2013 period. </w:t>
      </w:r>
    </w:p>
    <w:p w14:paraId="73B7BB4C" w14:textId="77777777" w:rsidR="000250C5" w:rsidRPr="00A04E56" w:rsidRDefault="000250C5" w:rsidP="000250C5">
      <w:pPr>
        <w:pStyle w:val="AMPRText"/>
      </w:pPr>
    </w:p>
    <w:p w14:paraId="1558BAC4" w14:textId="77777777" w:rsidR="000250C5" w:rsidRPr="00A04E56" w:rsidRDefault="000250C5">
      <w:pPr>
        <w:rPr>
          <w:rFonts w:eastAsia="Times New Roman"/>
          <w:color w:val="7F7F7F" w:themeColor="text1" w:themeTint="80"/>
          <w:sz w:val="19"/>
          <w:szCs w:val="24"/>
          <w:lang w:eastAsia="en-GB"/>
        </w:rPr>
      </w:pPr>
      <w:r w:rsidRPr="00A04E56">
        <w:br w:type="page"/>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dashSmallGap" w:sz="12" w:space="0" w:color="65BBC8"/>
          <w:insideV w:val="dashSmallGap" w:sz="12" w:space="0" w:color="65BBC8"/>
        </w:tblBorders>
        <w:tblLook w:val="04A0" w:firstRow="1" w:lastRow="0" w:firstColumn="1" w:lastColumn="0" w:noHBand="0" w:noVBand="1"/>
      </w:tblPr>
      <w:tblGrid>
        <w:gridCol w:w="9286"/>
      </w:tblGrid>
      <w:tr w:rsidR="006D299D" w:rsidRPr="00A04E56" w14:paraId="06188FCF" w14:textId="77777777" w:rsidTr="006D299D">
        <w:tc>
          <w:tcPr>
            <w:tcW w:w="9286" w:type="dxa"/>
          </w:tcPr>
          <w:p w14:paraId="5E10B829" w14:textId="77777777" w:rsidR="006D299D" w:rsidRPr="00A04E56" w:rsidRDefault="006D299D" w:rsidP="006D299D">
            <w:pPr>
              <w:pStyle w:val="AMPRText"/>
              <w:spacing w:after="240" w:line="240" w:lineRule="auto"/>
              <w:rPr>
                <w:rFonts w:ascii="EC Square Sans Cond Pro" w:hAnsi="EC Square Sans Cond Pro" w:cstheme="minorBidi"/>
                <w:color w:val="65BBC8"/>
                <w:kern w:val="24"/>
                <w:sz w:val="48"/>
                <w:szCs w:val="48"/>
              </w:rPr>
            </w:pPr>
            <w:r w:rsidRPr="00A04E56">
              <w:rPr>
                <w:rFonts w:ascii="EC Square Sans Cond Pro" w:hAnsi="EC Square Sans Cond Pro" w:cstheme="minorBidi"/>
                <w:color w:val="65BBC8"/>
                <w:kern w:val="24"/>
                <w:sz w:val="48"/>
                <w:szCs w:val="48"/>
              </w:rPr>
              <w:t>European Regional Development Fund and Cohesion Fund investments support all EU regions</w:t>
            </w:r>
          </w:p>
          <w:p w14:paraId="4275E2CC" w14:textId="0CDBBA7D" w:rsidR="006D299D" w:rsidRPr="00A04E56" w:rsidRDefault="006D299D" w:rsidP="006D299D">
            <w:pPr>
              <w:keepNext/>
              <w:keepLines/>
              <w:spacing w:before="40" w:line="276" w:lineRule="auto"/>
              <w:outlineLvl w:val="2"/>
              <w:rPr>
                <w:rFonts w:eastAsia="Times New Roman"/>
                <w:color w:val="243F60"/>
                <w:sz w:val="22"/>
                <w:szCs w:val="24"/>
              </w:rPr>
            </w:pPr>
            <w:r w:rsidRPr="00A04E56">
              <w:rPr>
                <w:rFonts w:eastAsia="Times New Roman"/>
                <w:color w:val="243F60"/>
                <w:sz w:val="22"/>
                <w:szCs w:val="24"/>
              </w:rPr>
              <w:t xml:space="preserve">By giving them the means to succeed in a globalised economy </w:t>
            </w:r>
          </w:p>
          <w:p w14:paraId="3F8A8726" w14:textId="30D1C2D6" w:rsidR="006D299D" w:rsidRPr="00A04E56" w:rsidRDefault="006D299D" w:rsidP="00107DA0">
            <w:pPr>
              <w:numPr>
                <w:ilvl w:val="0"/>
                <w:numId w:val="91"/>
              </w:numPr>
              <w:spacing w:after="200"/>
              <w:rPr>
                <w:sz w:val="18"/>
              </w:rPr>
            </w:pPr>
            <w:r w:rsidRPr="00A04E56">
              <w:rPr>
                <w:noProof/>
                <w:sz w:val="22"/>
                <w:lang w:val="fr-BE" w:eastAsia="fr-BE"/>
              </w:rPr>
              <mc:AlternateContent>
                <mc:Choice Requires="wps">
                  <w:drawing>
                    <wp:anchor distT="0" distB="0" distL="114300" distR="114300" simplePos="0" relativeHeight="251715584" behindDoc="0" locked="0" layoutInCell="1" allowOverlap="1" wp14:anchorId="748AD8EC" wp14:editId="63C8B947">
                      <wp:simplePos x="0" y="0"/>
                      <wp:positionH relativeFrom="column">
                        <wp:posOffset>5038090</wp:posOffset>
                      </wp:positionH>
                      <wp:positionV relativeFrom="paragraph">
                        <wp:posOffset>68269</wp:posOffset>
                      </wp:positionV>
                      <wp:extent cx="437515" cy="441960"/>
                      <wp:effectExtent l="0" t="0" r="635" b="0"/>
                      <wp:wrapSquare wrapText="bothSides"/>
                      <wp:docPr id="14695" name="Freeform 1469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7515" cy="441960"/>
                              </a:xfrm>
                              <a:custGeom>
                                <a:avLst/>
                                <a:gdLst>
                                  <a:gd name="T0" fmla="*/ 49 w 134"/>
                                  <a:gd name="T1" fmla="*/ 2 h 133"/>
                                  <a:gd name="T2" fmla="*/ 46 w 134"/>
                                  <a:gd name="T3" fmla="*/ 3 h 133"/>
                                  <a:gd name="T4" fmla="*/ 0 w 134"/>
                                  <a:gd name="T5" fmla="*/ 66 h 133"/>
                                  <a:gd name="T6" fmla="*/ 67 w 134"/>
                                  <a:gd name="T7" fmla="*/ 133 h 133"/>
                                  <a:gd name="T8" fmla="*/ 118 w 134"/>
                                  <a:gd name="T9" fmla="*/ 110 h 133"/>
                                  <a:gd name="T10" fmla="*/ 129 w 134"/>
                                  <a:gd name="T11" fmla="*/ 42 h 133"/>
                                  <a:gd name="T12" fmla="*/ 101 w 134"/>
                                  <a:gd name="T13" fmla="*/ 9 h 133"/>
                                  <a:gd name="T14" fmla="*/ 67 w 134"/>
                                  <a:gd name="T15" fmla="*/ 5 h 133"/>
                                  <a:gd name="T16" fmla="*/ 85 w 134"/>
                                  <a:gd name="T17" fmla="*/ 54 h 133"/>
                                  <a:gd name="T18" fmla="*/ 75 w 134"/>
                                  <a:gd name="T19" fmla="*/ 51 h 133"/>
                                  <a:gd name="T20" fmla="*/ 53 w 134"/>
                                  <a:gd name="T21" fmla="*/ 7 h 133"/>
                                  <a:gd name="T22" fmla="*/ 30 w 134"/>
                                  <a:gd name="T23" fmla="*/ 115 h 133"/>
                                  <a:gd name="T24" fmla="*/ 25 w 134"/>
                                  <a:gd name="T25" fmla="*/ 22 h 133"/>
                                  <a:gd name="T26" fmla="*/ 45 w 134"/>
                                  <a:gd name="T27" fmla="*/ 39 h 133"/>
                                  <a:gd name="T28" fmla="*/ 43 w 134"/>
                                  <a:gd name="T29" fmla="*/ 64 h 133"/>
                                  <a:gd name="T30" fmla="*/ 52 w 134"/>
                                  <a:gd name="T31" fmla="*/ 73 h 133"/>
                                  <a:gd name="T32" fmla="*/ 40 w 134"/>
                                  <a:gd name="T33" fmla="*/ 96 h 133"/>
                                  <a:gd name="T34" fmla="*/ 67 w 134"/>
                                  <a:gd name="T35" fmla="*/ 127 h 133"/>
                                  <a:gd name="T36" fmla="*/ 46 w 134"/>
                                  <a:gd name="T37" fmla="*/ 98 h 133"/>
                                  <a:gd name="T38" fmla="*/ 58 w 134"/>
                                  <a:gd name="T39" fmla="*/ 73 h 133"/>
                                  <a:gd name="T40" fmla="*/ 48 w 134"/>
                                  <a:gd name="T41" fmla="*/ 61 h 133"/>
                                  <a:gd name="T42" fmla="*/ 50 w 134"/>
                                  <a:gd name="T43" fmla="*/ 40 h 133"/>
                                  <a:gd name="T44" fmla="*/ 30 w 134"/>
                                  <a:gd name="T45" fmla="*/ 18 h 133"/>
                                  <a:gd name="T46" fmla="*/ 65 w 134"/>
                                  <a:gd name="T47" fmla="*/ 32 h 133"/>
                                  <a:gd name="T48" fmla="*/ 70 w 134"/>
                                  <a:gd name="T49" fmla="*/ 49 h 133"/>
                                  <a:gd name="T50" fmla="*/ 70 w 134"/>
                                  <a:gd name="T51" fmla="*/ 51 h 133"/>
                                  <a:gd name="T52" fmla="*/ 79 w 134"/>
                                  <a:gd name="T53" fmla="*/ 61 h 133"/>
                                  <a:gd name="T54" fmla="*/ 100 w 134"/>
                                  <a:gd name="T55" fmla="*/ 35 h 133"/>
                                  <a:gd name="T56" fmla="*/ 122 w 134"/>
                                  <a:gd name="T57" fmla="*/ 41 h 133"/>
                                  <a:gd name="T58" fmla="*/ 95 w 134"/>
                                  <a:gd name="T59" fmla="*/ 74 h 133"/>
                                  <a:gd name="T60" fmla="*/ 72 w 134"/>
                                  <a:gd name="T61" fmla="*/ 97 h 133"/>
                                  <a:gd name="T62" fmla="*/ 67 w 134"/>
                                  <a:gd name="T63" fmla="*/ 127 h 133"/>
                                  <a:gd name="T64" fmla="*/ 79 w 134"/>
                                  <a:gd name="T65" fmla="*/ 126 h 133"/>
                                  <a:gd name="T66" fmla="*/ 84 w 134"/>
                                  <a:gd name="T67" fmla="*/ 98 h 133"/>
                                  <a:gd name="T68" fmla="*/ 124 w 134"/>
                                  <a:gd name="T69" fmla="*/ 46 h 133"/>
                                  <a:gd name="T70" fmla="*/ 113 w 134"/>
                                  <a:gd name="T71" fmla="*/ 106 h 133"/>
                                  <a:gd name="T72" fmla="*/ 113 w 134"/>
                                  <a:gd name="T73" fmla="*/ 106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4" h="133">
                                    <a:moveTo>
                                      <a:pt x="64" y="0"/>
                                    </a:moveTo>
                                    <a:cubicBezTo>
                                      <a:pt x="59" y="0"/>
                                      <a:pt x="54" y="1"/>
                                      <a:pt x="49" y="2"/>
                                    </a:cubicBezTo>
                                    <a:cubicBezTo>
                                      <a:pt x="46" y="3"/>
                                      <a:pt x="46" y="3"/>
                                      <a:pt x="46" y="3"/>
                                    </a:cubicBezTo>
                                    <a:cubicBezTo>
                                      <a:pt x="46" y="3"/>
                                      <a:pt x="46" y="3"/>
                                      <a:pt x="46" y="3"/>
                                    </a:cubicBezTo>
                                    <a:cubicBezTo>
                                      <a:pt x="38" y="5"/>
                                      <a:pt x="30" y="10"/>
                                      <a:pt x="23" y="16"/>
                                    </a:cubicBezTo>
                                    <a:cubicBezTo>
                                      <a:pt x="8" y="29"/>
                                      <a:pt x="0" y="47"/>
                                      <a:pt x="0" y="66"/>
                                    </a:cubicBezTo>
                                    <a:cubicBezTo>
                                      <a:pt x="0" y="88"/>
                                      <a:pt x="10" y="108"/>
                                      <a:pt x="28" y="121"/>
                                    </a:cubicBezTo>
                                    <a:cubicBezTo>
                                      <a:pt x="39" y="129"/>
                                      <a:pt x="53" y="133"/>
                                      <a:pt x="67" y="133"/>
                                    </a:cubicBezTo>
                                    <a:cubicBezTo>
                                      <a:pt x="71" y="133"/>
                                      <a:pt x="74" y="133"/>
                                      <a:pt x="78" y="132"/>
                                    </a:cubicBezTo>
                                    <a:cubicBezTo>
                                      <a:pt x="94" y="130"/>
                                      <a:pt x="108" y="121"/>
                                      <a:pt x="118" y="110"/>
                                    </a:cubicBezTo>
                                    <a:cubicBezTo>
                                      <a:pt x="128" y="98"/>
                                      <a:pt x="134" y="82"/>
                                      <a:pt x="134" y="66"/>
                                    </a:cubicBezTo>
                                    <a:cubicBezTo>
                                      <a:pt x="134" y="58"/>
                                      <a:pt x="132" y="50"/>
                                      <a:pt x="129" y="42"/>
                                    </a:cubicBezTo>
                                    <a:cubicBezTo>
                                      <a:pt x="129" y="42"/>
                                      <a:pt x="129" y="42"/>
                                      <a:pt x="129" y="42"/>
                                    </a:cubicBezTo>
                                    <a:cubicBezTo>
                                      <a:pt x="124" y="28"/>
                                      <a:pt x="114" y="17"/>
                                      <a:pt x="101" y="9"/>
                                    </a:cubicBezTo>
                                    <a:cubicBezTo>
                                      <a:pt x="92" y="3"/>
                                      <a:pt x="81" y="0"/>
                                      <a:pt x="70" y="0"/>
                                    </a:cubicBezTo>
                                    <a:moveTo>
                                      <a:pt x="67" y="5"/>
                                    </a:moveTo>
                                    <a:cubicBezTo>
                                      <a:pt x="77" y="5"/>
                                      <a:pt x="88" y="8"/>
                                      <a:pt x="97" y="13"/>
                                    </a:cubicBezTo>
                                    <a:cubicBezTo>
                                      <a:pt x="96" y="32"/>
                                      <a:pt x="92" y="51"/>
                                      <a:pt x="85" y="54"/>
                                    </a:cubicBezTo>
                                    <a:cubicBezTo>
                                      <a:pt x="81" y="55"/>
                                      <a:pt x="79" y="56"/>
                                      <a:pt x="77" y="55"/>
                                    </a:cubicBezTo>
                                    <a:cubicBezTo>
                                      <a:pt x="76" y="54"/>
                                      <a:pt x="76" y="52"/>
                                      <a:pt x="75" y="51"/>
                                    </a:cubicBezTo>
                                    <a:cubicBezTo>
                                      <a:pt x="77" y="48"/>
                                      <a:pt x="82" y="35"/>
                                      <a:pt x="68" y="27"/>
                                    </a:cubicBezTo>
                                    <a:cubicBezTo>
                                      <a:pt x="59" y="22"/>
                                      <a:pt x="55" y="12"/>
                                      <a:pt x="53" y="7"/>
                                    </a:cubicBezTo>
                                    <a:cubicBezTo>
                                      <a:pt x="58" y="6"/>
                                      <a:pt x="62" y="5"/>
                                      <a:pt x="67" y="5"/>
                                    </a:cubicBezTo>
                                    <a:close/>
                                    <a:moveTo>
                                      <a:pt x="30" y="115"/>
                                    </a:moveTo>
                                    <a:cubicBezTo>
                                      <a:pt x="15" y="103"/>
                                      <a:pt x="6" y="85"/>
                                      <a:pt x="6" y="66"/>
                                    </a:cubicBezTo>
                                    <a:cubicBezTo>
                                      <a:pt x="6" y="49"/>
                                      <a:pt x="13" y="33"/>
                                      <a:pt x="25" y="22"/>
                                    </a:cubicBezTo>
                                    <a:cubicBezTo>
                                      <a:pt x="28" y="23"/>
                                      <a:pt x="32" y="26"/>
                                      <a:pt x="36" y="29"/>
                                    </a:cubicBezTo>
                                    <a:cubicBezTo>
                                      <a:pt x="43" y="34"/>
                                      <a:pt x="45" y="38"/>
                                      <a:pt x="45" y="39"/>
                                    </a:cubicBezTo>
                                    <a:cubicBezTo>
                                      <a:pt x="44" y="40"/>
                                      <a:pt x="44" y="41"/>
                                      <a:pt x="43" y="43"/>
                                    </a:cubicBezTo>
                                    <a:cubicBezTo>
                                      <a:pt x="41" y="50"/>
                                      <a:pt x="39" y="58"/>
                                      <a:pt x="43" y="64"/>
                                    </a:cubicBezTo>
                                    <a:cubicBezTo>
                                      <a:pt x="44" y="66"/>
                                      <a:pt x="46" y="68"/>
                                      <a:pt x="48" y="69"/>
                                    </a:cubicBezTo>
                                    <a:cubicBezTo>
                                      <a:pt x="50" y="71"/>
                                      <a:pt x="52" y="72"/>
                                      <a:pt x="52" y="73"/>
                                    </a:cubicBezTo>
                                    <a:cubicBezTo>
                                      <a:pt x="52" y="74"/>
                                      <a:pt x="52" y="75"/>
                                      <a:pt x="49" y="78"/>
                                    </a:cubicBezTo>
                                    <a:cubicBezTo>
                                      <a:pt x="45" y="82"/>
                                      <a:pt x="43" y="89"/>
                                      <a:pt x="40" y="96"/>
                                    </a:cubicBezTo>
                                    <a:cubicBezTo>
                                      <a:pt x="38" y="104"/>
                                      <a:pt x="36" y="112"/>
                                      <a:pt x="30" y="115"/>
                                    </a:cubicBezTo>
                                    <a:close/>
                                    <a:moveTo>
                                      <a:pt x="67" y="127"/>
                                    </a:moveTo>
                                    <a:cubicBezTo>
                                      <a:pt x="55" y="127"/>
                                      <a:pt x="45" y="124"/>
                                      <a:pt x="35" y="118"/>
                                    </a:cubicBezTo>
                                    <a:cubicBezTo>
                                      <a:pt x="41" y="114"/>
                                      <a:pt x="44" y="105"/>
                                      <a:pt x="46" y="98"/>
                                    </a:cubicBezTo>
                                    <a:cubicBezTo>
                                      <a:pt x="48" y="91"/>
                                      <a:pt x="50" y="85"/>
                                      <a:pt x="53" y="82"/>
                                    </a:cubicBezTo>
                                    <a:cubicBezTo>
                                      <a:pt x="57" y="79"/>
                                      <a:pt x="58" y="76"/>
                                      <a:pt x="58" y="73"/>
                                    </a:cubicBezTo>
                                    <a:cubicBezTo>
                                      <a:pt x="58" y="69"/>
                                      <a:pt x="55" y="67"/>
                                      <a:pt x="52" y="65"/>
                                    </a:cubicBezTo>
                                    <a:cubicBezTo>
                                      <a:pt x="50" y="63"/>
                                      <a:pt x="49" y="62"/>
                                      <a:pt x="48" y="61"/>
                                    </a:cubicBezTo>
                                    <a:cubicBezTo>
                                      <a:pt x="45" y="57"/>
                                      <a:pt x="47" y="50"/>
                                      <a:pt x="49" y="44"/>
                                    </a:cubicBezTo>
                                    <a:cubicBezTo>
                                      <a:pt x="49" y="43"/>
                                      <a:pt x="50" y="41"/>
                                      <a:pt x="50" y="40"/>
                                    </a:cubicBezTo>
                                    <a:cubicBezTo>
                                      <a:pt x="51" y="36"/>
                                      <a:pt x="48" y="31"/>
                                      <a:pt x="40" y="25"/>
                                    </a:cubicBezTo>
                                    <a:cubicBezTo>
                                      <a:pt x="36" y="22"/>
                                      <a:pt x="33" y="20"/>
                                      <a:pt x="30" y="18"/>
                                    </a:cubicBezTo>
                                    <a:cubicBezTo>
                                      <a:pt x="35" y="14"/>
                                      <a:pt x="41" y="11"/>
                                      <a:pt x="47" y="8"/>
                                    </a:cubicBezTo>
                                    <a:cubicBezTo>
                                      <a:pt x="49" y="14"/>
                                      <a:pt x="54" y="26"/>
                                      <a:pt x="65" y="32"/>
                                    </a:cubicBezTo>
                                    <a:cubicBezTo>
                                      <a:pt x="70" y="35"/>
                                      <a:pt x="72" y="38"/>
                                      <a:pt x="72" y="43"/>
                                    </a:cubicBezTo>
                                    <a:cubicBezTo>
                                      <a:pt x="72" y="46"/>
                                      <a:pt x="70" y="49"/>
                                      <a:pt x="70" y="49"/>
                                    </a:cubicBezTo>
                                    <a:cubicBezTo>
                                      <a:pt x="70" y="50"/>
                                      <a:pt x="70" y="50"/>
                                      <a:pt x="70" y="50"/>
                                    </a:cubicBezTo>
                                    <a:cubicBezTo>
                                      <a:pt x="70" y="51"/>
                                      <a:pt x="70" y="51"/>
                                      <a:pt x="70" y="51"/>
                                    </a:cubicBezTo>
                                    <a:cubicBezTo>
                                      <a:pt x="70" y="51"/>
                                      <a:pt x="70" y="57"/>
                                      <a:pt x="74" y="60"/>
                                    </a:cubicBezTo>
                                    <a:cubicBezTo>
                                      <a:pt x="76" y="61"/>
                                      <a:pt x="77" y="61"/>
                                      <a:pt x="79" y="61"/>
                                    </a:cubicBezTo>
                                    <a:cubicBezTo>
                                      <a:pt x="82" y="61"/>
                                      <a:pt x="84" y="61"/>
                                      <a:pt x="87" y="59"/>
                                    </a:cubicBezTo>
                                    <a:cubicBezTo>
                                      <a:pt x="93" y="57"/>
                                      <a:pt x="98" y="49"/>
                                      <a:pt x="100" y="35"/>
                                    </a:cubicBezTo>
                                    <a:cubicBezTo>
                                      <a:pt x="101" y="29"/>
                                      <a:pt x="102" y="22"/>
                                      <a:pt x="102" y="17"/>
                                    </a:cubicBezTo>
                                    <a:cubicBezTo>
                                      <a:pt x="111" y="23"/>
                                      <a:pt x="118" y="31"/>
                                      <a:pt x="122" y="41"/>
                                    </a:cubicBezTo>
                                    <a:cubicBezTo>
                                      <a:pt x="119" y="42"/>
                                      <a:pt x="115" y="43"/>
                                      <a:pt x="111" y="46"/>
                                    </a:cubicBezTo>
                                    <a:cubicBezTo>
                                      <a:pt x="103" y="52"/>
                                      <a:pt x="97" y="62"/>
                                      <a:pt x="95" y="74"/>
                                    </a:cubicBezTo>
                                    <a:cubicBezTo>
                                      <a:pt x="91" y="91"/>
                                      <a:pt x="88" y="91"/>
                                      <a:pt x="83" y="92"/>
                                    </a:cubicBezTo>
                                    <a:cubicBezTo>
                                      <a:pt x="80" y="93"/>
                                      <a:pt x="76" y="93"/>
                                      <a:pt x="72" y="97"/>
                                    </a:cubicBezTo>
                                    <a:cubicBezTo>
                                      <a:pt x="64" y="105"/>
                                      <a:pt x="69" y="119"/>
                                      <a:pt x="73" y="127"/>
                                    </a:cubicBezTo>
                                    <a:cubicBezTo>
                                      <a:pt x="71" y="127"/>
                                      <a:pt x="69" y="127"/>
                                      <a:pt x="67" y="127"/>
                                    </a:cubicBezTo>
                                    <a:close/>
                                    <a:moveTo>
                                      <a:pt x="113" y="106"/>
                                    </a:moveTo>
                                    <a:cubicBezTo>
                                      <a:pt x="104" y="116"/>
                                      <a:pt x="92" y="123"/>
                                      <a:pt x="79" y="126"/>
                                    </a:cubicBezTo>
                                    <a:cubicBezTo>
                                      <a:pt x="75" y="117"/>
                                      <a:pt x="71" y="106"/>
                                      <a:pt x="77" y="101"/>
                                    </a:cubicBezTo>
                                    <a:cubicBezTo>
                                      <a:pt x="79" y="99"/>
                                      <a:pt x="82" y="98"/>
                                      <a:pt x="84" y="98"/>
                                    </a:cubicBezTo>
                                    <a:cubicBezTo>
                                      <a:pt x="92" y="96"/>
                                      <a:pt x="97" y="94"/>
                                      <a:pt x="101" y="75"/>
                                    </a:cubicBezTo>
                                    <a:cubicBezTo>
                                      <a:pt x="105" y="54"/>
                                      <a:pt x="118" y="48"/>
                                      <a:pt x="124" y="46"/>
                                    </a:cubicBezTo>
                                    <a:cubicBezTo>
                                      <a:pt x="127" y="53"/>
                                      <a:pt x="128" y="60"/>
                                      <a:pt x="128" y="66"/>
                                    </a:cubicBezTo>
                                    <a:cubicBezTo>
                                      <a:pt x="128" y="81"/>
                                      <a:pt x="123" y="95"/>
                                      <a:pt x="113" y="106"/>
                                    </a:cubicBezTo>
                                    <a:close/>
                                    <a:moveTo>
                                      <a:pt x="113" y="106"/>
                                    </a:moveTo>
                                    <a:cubicBezTo>
                                      <a:pt x="113" y="106"/>
                                      <a:pt x="113" y="106"/>
                                      <a:pt x="113" y="106"/>
                                    </a:cubicBezTo>
                                  </a:path>
                                </a:pathLst>
                              </a:custGeom>
                              <a:solidFill>
                                <a:srgbClr val="3FB296"/>
                              </a:solidFill>
                              <a:ln>
                                <a:noFill/>
                              </a:ln>
                              <a:extLst/>
                            </wps:spPr>
                            <wps:bodyPr rot="0" vert="horz" wrap="square" lIns="91440" tIns="45720" rIns="91440" bIns="45720" anchor="t" anchorCtr="0" upright="1">
                              <a:noAutofit/>
                            </wps:bodyPr>
                          </wps:wsp>
                        </a:graphicData>
                      </a:graphic>
                    </wp:anchor>
                  </w:drawing>
                </mc:Choice>
                <mc:Fallback>
                  <w:pict>
                    <v:shape w14:anchorId="6CAD9EC2" id="Freeform 14695" o:spid="_x0000_s1026" style="position:absolute;margin-left:396.7pt;margin-top:5.4pt;width:34.45pt;height:34.8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13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" path="m64,c59,,54,1,49,2,46,3,46,3,46,3v,,,,,c38,5,30,10,23,16,8,29,,47,,66v,22,10,42,28,55c39,129,53,133,67,133v4,,7,,11,-1c94,130,108,121,118,110,128,98,134,82,134,66v,-8,-2,-16,-5,-24c129,42,129,42,129,42,124,28,114,17,101,9,92,3,81,,70,m67,5v10,,21,3,30,8c96,32,92,51,85,54v-4,1,-6,2,-8,1c76,54,76,52,75,51,77,48,82,35,68,27,59,22,55,12,53,7,58,6,62,5,67,5xm30,115c15,103,6,85,6,66,6,49,13,33,25,22v3,1,7,4,11,7c43,34,45,38,45,39v-1,1,-1,2,-2,4c41,50,39,58,43,64v1,2,3,4,5,5c50,71,52,72,52,73v,1,,2,-3,5c45,82,43,89,40,96v-2,8,-4,16,-10,19xm67,127v-12,,-22,-3,-32,-9c41,114,44,105,46,98v2,-7,4,-13,7,-16c57,79,58,76,58,73v,-4,-3,-6,-6,-8c50,63,49,62,48,61,45,57,47,50,49,44v,-1,1,-3,1,-4c51,36,48,31,40,25,36,22,33,20,30,18,35,14,41,11,47,8v2,6,7,18,18,24c70,35,72,38,72,43v,3,-2,6,-2,6c70,50,70,50,70,50v,1,,1,,1c70,51,70,57,74,60v2,1,3,1,5,1c82,61,84,61,87,59,93,57,98,49,100,35v1,-6,2,-13,2,-18c111,23,118,31,122,41v-3,1,-7,2,-11,5c103,52,97,62,95,74,91,91,88,91,83,92v-3,1,-7,1,-11,5c64,105,69,119,73,127v-2,,-4,,-6,xm113,106v-9,10,-21,17,-34,20c75,117,71,106,77,101v2,-2,5,-3,7,-3c92,96,97,94,101,75v4,-21,17,-27,23,-29c127,53,128,60,128,66v,15,-5,29,-15,40xm113,106v,,,,,e" fillcolor="#3fb296" stroked="f">
                      <v:path arrowok="t" o:connecttype="custom" o:connectlocs="159987,6646;150192,9969;0,219318;218758,441960;385274,365531;421190,139566;329769,29907;218758,16615;277528,179442;244878,169473;173047,23261;97951,382146;81626,73106;146927,129597;140397,212672;169782,242580;130601,319009;218758,422022;150192,325655;189372,242580;156722,202703;163252,132920;97951,59814;212227,106336;228553,162827;228553,169473;257938,202703;326504,116305;398335,136243;310179,245903;235083,322332;218758,422022;257938,418699;274263,325655;404865,152858;368949,352239;368949,352239" o:connectangles="0,0,0,0,0,0,0,0,0,0,0,0,0,0,0,0,0,0,0,0,0,0,0,0,0,0,0,0,0,0,0,0,0,0,0,0,0"/>
                      <o:lock v:ext="edit" verticies="t"/>
                      <w10:wrap type="square"/>
                    </v:shape>
                  </w:pict>
                </mc:Fallback>
              </mc:AlternateContent>
            </w:r>
            <w:r w:rsidRPr="00A04E56">
              <w:rPr>
                <w:sz w:val="18"/>
              </w:rPr>
              <w:t>Cohesion policy funds have helped create 1.3 million jobs in the EU over the last 10 years</w:t>
            </w:r>
            <w:r w:rsidR="00485ED0">
              <w:rPr>
                <w:sz w:val="18"/>
              </w:rPr>
              <w:t xml:space="preserve"> and over</w:t>
            </w:r>
            <w:r w:rsidRPr="00A04E56">
              <w:rPr>
                <w:sz w:val="18"/>
              </w:rPr>
              <w:t xml:space="preserve"> 8.9 million people have gained new qualification</w:t>
            </w:r>
            <w:r w:rsidR="00485ED0">
              <w:rPr>
                <w:sz w:val="18"/>
              </w:rPr>
              <w:t xml:space="preserve"> </w:t>
            </w:r>
            <w:r w:rsidR="00485ED0" w:rsidRPr="00A04E56">
              <w:rPr>
                <w:sz w:val="18"/>
              </w:rPr>
              <w:t>(</w:t>
            </w:r>
            <w:r w:rsidR="00485ED0" w:rsidRPr="00A04E56">
              <w:rPr>
                <w:sz w:val="18"/>
                <w:vertAlign w:val="superscript"/>
              </w:rPr>
              <w:t>a</w:t>
            </w:r>
            <w:r w:rsidR="00485ED0" w:rsidRPr="00A04E56">
              <w:rPr>
                <w:sz w:val="18"/>
              </w:rPr>
              <w:t>)</w:t>
            </w:r>
            <w:r w:rsidR="00CD0119">
              <w:rPr>
                <w:sz w:val="18"/>
              </w:rPr>
              <w:t>.</w:t>
            </w:r>
            <w:r w:rsidR="00485ED0">
              <w:rPr>
                <w:sz w:val="18"/>
              </w:rPr>
              <w:t xml:space="preserve"> </w:t>
            </w:r>
          </w:p>
          <w:p w14:paraId="406F8AE1" w14:textId="5FA747F6" w:rsidR="006D299D" w:rsidRPr="00A04E56" w:rsidRDefault="006D299D" w:rsidP="00107DA0">
            <w:pPr>
              <w:numPr>
                <w:ilvl w:val="0"/>
                <w:numId w:val="91"/>
              </w:numPr>
              <w:spacing w:after="200"/>
              <w:rPr>
                <w:sz w:val="18"/>
              </w:rPr>
            </w:pPr>
            <w:r w:rsidRPr="00A04E56">
              <w:rPr>
                <w:sz w:val="18"/>
              </w:rPr>
              <w:t>Over 43 000 companies</w:t>
            </w:r>
            <w:r w:rsidRPr="00A04E56">
              <w:rPr>
                <w:sz w:val="18"/>
                <w:vertAlign w:val="superscript"/>
              </w:rPr>
              <w:t xml:space="preserve"> </w:t>
            </w:r>
            <w:r w:rsidRPr="00A04E56">
              <w:rPr>
                <w:sz w:val="18"/>
              </w:rPr>
              <w:t>cooperating with research institutions have received funding</w:t>
            </w:r>
            <w:r w:rsidR="00CD0119">
              <w:rPr>
                <w:sz w:val="18"/>
              </w:rPr>
              <w:t>.</w:t>
            </w:r>
          </w:p>
          <w:p w14:paraId="122FBDEC" w14:textId="24451266" w:rsidR="006D299D" w:rsidRPr="00A04E56" w:rsidRDefault="006D299D" w:rsidP="00107DA0">
            <w:pPr>
              <w:numPr>
                <w:ilvl w:val="0"/>
                <w:numId w:val="91"/>
              </w:numPr>
              <w:spacing w:after="200"/>
              <w:rPr>
                <w:sz w:val="18"/>
              </w:rPr>
            </w:pPr>
            <w:r w:rsidRPr="00A04E56">
              <w:rPr>
                <w:sz w:val="18"/>
              </w:rPr>
              <w:t xml:space="preserve">More than 284 000 </w:t>
            </w:r>
            <w:r w:rsidR="00235BA3" w:rsidRPr="00A04E56">
              <w:rPr>
                <w:sz w:val="18"/>
              </w:rPr>
              <w:t>jobs</w:t>
            </w:r>
            <w:r w:rsidR="00235BA3" w:rsidRPr="00A04E56">
              <w:rPr>
                <w:sz w:val="18"/>
                <w:vertAlign w:val="superscript"/>
              </w:rPr>
              <w:t xml:space="preserve"> </w:t>
            </w:r>
            <w:r w:rsidR="00235BA3" w:rsidRPr="00A04E56">
              <w:rPr>
                <w:sz w:val="18"/>
              </w:rPr>
              <w:t>are</w:t>
            </w:r>
            <w:r w:rsidRPr="00A04E56">
              <w:rPr>
                <w:sz w:val="18"/>
              </w:rPr>
              <w:t xml:space="preserve"> created thanks to support to small businesses</w:t>
            </w:r>
            <w:r w:rsidR="00CD0119">
              <w:rPr>
                <w:sz w:val="18"/>
              </w:rPr>
              <w:t>.</w:t>
            </w:r>
          </w:p>
          <w:p w14:paraId="4C95B497" w14:textId="7D4E3E66" w:rsidR="006D299D" w:rsidRPr="00A04E56" w:rsidRDefault="006D299D" w:rsidP="00107DA0">
            <w:pPr>
              <w:numPr>
                <w:ilvl w:val="0"/>
                <w:numId w:val="91"/>
              </w:numPr>
              <w:spacing w:after="200"/>
              <w:rPr>
                <w:sz w:val="18"/>
              </w:rPr>
            </w:pPr>
            <w:r w:rsidRPr="00A04E56">
              <w:rPr>
                <w:sz w:val="18"/>
              </w:rPr>
              <w:t>90 000 start-ups received funding.</w:t>
            </w:r>
          </w:p>
          <w:p w14:paraId="263DE4FE" w14:textId="77777777" w:rsidR="006D299D" w:rsidRPr="00A04E56" w:rsidRDefault="006D299D" w:rsidP="006D299D">
            <w:pPr>
              <w:spacing w:after="200" w:line="276" w:lineRule="auto"/>
              <w:rPr>
                <w:sz w:val="18"/>
              </w:rPr>
            </w:pPr>
            <w:r w:rsidRPr="00A04E56">
              <w:rPr>
                <w:noProof/>
                <w:sz w:val="22"/>
                <w:lang w:val="fr-BE" w:eastAsia="fr-BE"/>
              </w:rPr>
              <mc:AlternateContent>
                <mc:Choice Requires="wpg">
                  <w:drawing>
                    <wp:anchor distT="0" distB="0" distL="114300" distR="114300" simplePos="0" relativeHeight="251666432" behindDoc="0" locked="0" layoutInCell="1" allowOverlap="1" wp14:anchorId="540F09BB" wp14:editId="2678C2F8">
                      <wp:simplePos x="0" y="0"/>
                      <wp:positionH relativeFrom="column">
                        <wp:posOffset>5166995</wp:posOffset>
                      </wp:positionH>
                      <wp:positionV relativeFrom="paragraph">
                        <wp:posOffset>301625</wp:posOffset>
                      </wp:positionV>
                      <wp:extent cx="219075" cy="401320"/>
                      <wp:effectExtent l="0" t="0" r="9525" b="0"/>
                      <wp:wrapSquare wrapText="bothSides"/>
                      <wp:docPr id="14696" name="Group 14696"/>
                      <wp:cNvGraphicFramePr/>
                      <a:graphic xmlns:a="http://schemas.openxmlformats.org/drawingml/2006/main">
                        <a:graphicData uri="http://schemas.microsoft.com/office/word/2010/wordprocessingGroup">
                          <wpg:wgp>
                            <wpg:cNvGrpSpPr/>
                            <wpg:grpSpPr>
                              <a:xfrm>
                                <a:off x="0" y="0"/>
                                <a:ext cx="219075" cy="401320"/>
                                <a:chOff x="0" y="0"/>
                                <a:chExt cx="219075" cy="401320"/>
                              </a:xfrm>
                              <a:solidFill>
                                <a:srgbClr val="3FB296"/>
                              </a:solidFill>
                            </wpg:grpSpPr>
                            <wps:wsp>
                              <wps:cNvPr id="14697" name="Freeform 6"/>
                              <wps:cNvSpPr>
                                <a:spLocks noEditPoints="1"/>
                              </wps:cNvSpPr>
                              <wps:spPr bwMode="auto">
                                <a:xfrm>
                                  <a:off x="0" y="0"/>
                                  <a:ext cx="219075" cy="401320"/>
                                </a:xfrm>
                                <a:custGeom>
                                  <a:avLst/>
                                  <a:gdLst>
                                    <a:gd name="T0" fmla="*/ 55 w 67"/>
                                    <a:gd name="T1" fmla="*/ 0 h 121"/>
                                    <a:gd name="T2" fmla="*/ 11 w 67"/>
                                    <a:gd name="T3" fmla="*/ 0 h 121"/>
                                    <a:gd name="T4" fmla="*/ 0 w 67"/>
                                    <a:gd name="T5" fmla="*/ 11 h 121"/>
                                    <a:gd name="T6" fmla="*/ 0 w 67"/>
                                    <a:gd name="T7" fmla="*/ 22 h 121"/>
                                    <a:gd name="T8" fmla="*/ 0 w 67"/>
                                    <a:gd name="T9" fmla="*/ 95 h 121"/>
                                    <a:gd name="T10" fmla="*/ 0 w 67"/>
                                    <a:gd name="T11" fmla="*/ 109 h 121"/>
                                    <a:gd name="T12" fmla="*/ 11 w 67"/>
                                    <a:gd name="T13" fmla="*/ 121 h 121"/>
                                    <a:gd name="T14" fmla="*/ 55 w 67"/>
                                    <a:gd name="T15" fmla="*/ 121 h 121"/>
                                    <a:gd name="T16" fmla="*/ 67 w 67"/>
                                    <a:gd name="T17" fmla="*/ 109 h 121"/>
                                    <a:gd name="T18" fmla="*/ 67 w 67"/>
                                    <a:gd name="T19" fmla="*/ 95 h 121"/>
                                    <a:gd name="T20" fmla="*/ 67 w 67"/>
                                    <a:gd name="T21" fmla="*/ 22 h 121"/>
                                    <a:gd name="T22" fmla="*/ 67 w 67"/>
                                    <a:gd name="T23" fmla="*/ 11 h 121"/>
                                    <a:gd name="T24" fmla="*/ 55 w 67"/>
                                    <a:gd name="T25" fmla="*/ 0 h 121"/>
                                    <a:gd name="T26" fmla="*/ 6 w 67"/>
                                    <a:gd name="T27" fmla="*/ 11 h 121"/>
                                    <a:gd name="T28" fmla="*/ 11 w 67"/>
                                    <a:gd name="T29" fmla="*/ 6 h 121"/>
                                    <a:gd name="T30" fmla="*/ 55 w 67"/>
                                    <a:gd name="T31" fmla="*/ 6 h 121"/>
                                    <a:gd name="T32" fmla="*/ 61 w 67"/>
                                    <a:gd name="T33" fmla="*/ 11 h 121"/>
                                    <a:gd name="T34" fmla="*/ 61 w 67"/>
                                    <a:gd name="T35" fmla="*/ 18 h 121"/>
                                    <a:gd name="T36" fmla="*/ 6 w 67"/>
                                    <a:gd name="T37" fmla="*/ 18 h 121"/>
                                    <a:gd name="T38" fmla="*/ 6 w 67"/>
                                    <a:gd name="T39" fmla="*/ 11 h 121"/>
                                    <a:gd name="T40" fmla="*/ 61 w 67"/>
                                    <a:gd name="T41" fmla="*/ 25 h 121"/>
                                    <a:gd name="T42" fmla="*/ 61 w 67"/>
                                    <a:gd name="T43" fmla="*/ 92 h 121"/>
                                    <a:gd name="T44" fmla="*/ 6 w 67"/>
                                    <a:gd name="T45" fmla="*/ 92 h 121"/>
                                    <a:gd name="T46" fmla="*/ 6 w 67"/>
                                    <a:gd name="T47" fmla="*/ 25 h 121"/>
                                    <a:gd name="T48" fmla="*/ 61 w 67"/>
                                    <a:gd name="T49" fmla="*/ 25 h 121"/>
                                    <a:gd name="T50" fmla="*/ 61 w 67"/>
                                    <a:gd name="T51" fmla="*/ 109 h 121"/>
                                    <a:gd name="T52" fmla="*/ 55 w 67"/>
                                    <a:gd name="T53" fmla="*/ 115 h 121"/>
                                    <a:gd name="T54" fmla="*/ 11 w 67"/>
                                    <a:gd name="T55" fmla="*/ 115 h 121"/>
                                    <a:gd name="T56" fmla="*/ 6 w 67"/>
                                    <a:gd name="T57" fmla="*/ 109 h 121"/>
                                    <a:gd name="T58" fmla="*/ 6 w 67"/>
                                    <a:gd name="T59" fmla="*/ 98 h 121"/>
                                    <a:gd name="T60" fmla="*/ 61 w 67"/>
                                    <a:gd name="T61" fmla="*/ 98 h 121"/>
                                    <a:gd name="T62" fmla="*/ 61 w 67"/>
                                    <a:gd name="T63" fmla="*/ 109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7" h="121">
                                      <a:moveTo>
                                        <a:pt x="55" y="0"/>
                                      </a:moveTo>
                                      <a:cubicBezTo>
                                        <a:pt x="11" y="0"/>
                                        <a:pt x="11" y="0"/>
                                        <a:pt x="11" y="0"/>
                                      </a:cubicBezTo>
                                      <a:cubicBezTo>
                                        <a:pt x="5" y="0"/>
                                        <a:pt x="0" y="5"/>
                                        <a:pt x="0" y="11"/>
                                      </a:cubicBezTo>
                                      <a:cubicBezTo>
                                        <a:pt x="0" y="22"/>
                                        <a:pt x="0" y="22"/>
                                        <a:pt x="0" y="22"/>
                                      </a:cubicBezTo>
                                      <a:cubicBezTo>
                                        <a:pt x="0" y="95"/>
                                        <a:pt x="0" y="95"/>
                                        <a:pt x="0" y="95"/>
                                      </a:cubicBezTo>
                                      <a:cubicBezTo>
                                        <a:pt x="0" y="109"/>
                                        <a:pt x="0" y="109"/>
                                        <a:pt x="0" y="109"/>
                                      </a:cubicBezTo>
                                      <a:cubicBezTo>
                                        <a:pt x="0" y="116"/>
                                        <a:pt x="5" y="121"/>
                                        <a:pt x="11" y="121"/>
                                      </a:cubicBezTo>
                                      <a:cubicBezTo>
                                        <a:pt x="55" y="121"/>
                                        <a:pt x="55" y="121"/>
                                        <a:pt x="55" y="121"/>
                                      </a:cubicBezTo>
                                      <a:cubicBezTo>
                                        <a:pt x="62" y="121"/>
                                        <a:pt x="67" y="116"/>
                                        <a:pt x="67" y="109"/>
                                      </a:cubicBezTo>
                                      <a:cubicBezTo>
                                        <a:pt x="67" y="95"/>
                                        <a:pt x="67" y="95"/>
                                        <a:pt x="67" y="95"/>
                                      </a:cubicBezTo>
                                      <a:cubicBezTo>
                                        <a:pt x="67" y="22"/>
                                        <a:pt x="67" y="22"/>
                                        <a:pt x="67" y="22"/>
                                      </a:cubicBezTo>
                                      <a:cubicBezTo>
                                        <a:pt x="67" y="11"/>
                                        <a:pt x="67" y="11"/>
                                        <a:pt x="67" y="11"/>
                                      </a:cubicBezTo>
                                      <a:cubicBezTo>
                                        <a:pt x="67" y="5"/>
                                        <a:pt x="62" y="0"/>
                                        <a:pt x="55" y="0"/>
                                      </a:cubicBezTo>
                                      <a:close/>
                                      <a:moveTo>
                                        <a:pt x="6" y="11"/>
                                      </a:moveTo>
                                      <a:cubicBezTo>
                                        <a:pt x="6" y="8"/>
                                        <a:pt x="8" y="6"/>
                                        <a:pt x="11" y="6"/>
                                      </a:cubicBezTo>
                                      <a:cubicBezTo>
                                        <a:pt x="55" y="6"/>
                                        <a:pt x="55" y="6"/>
                                        <a:pt x="55" y="6"/>
                                      </a:cubicBezTo>
                                      <a:cubicBezTo>
                                        <a:pt x="58" y="6"/>
                                        <a:pt x="61" y="8"/>
                                        <a:pt x="61" y="11"/>
                                      </a:cubicBezTo>
                                      <a:cubicBezTo>
                                        <a:pt x="61" y="18"/>
                                        <a:pt x="61" y="18"/>
                                        <a:pt x="61" y="18"/>
                                      </a:cubicBezTo>
                                      <a:cubicBezTo>
                                        <a:pt x="6" y="18"/>
                                        <a:pt x="6" y="18"/>
                                        <a:pt x="6" y="18"/>
                                      </a:cubicBezTo>
                                      <a:lnTo>
                                        <a:pt x="6" y="11"/>
                                      </a:lnTo>
                                      <a:close/>
                                      <a:moveTo>
                                        <a:pt x="61" y="25"/>
                                      </a:moveTo>
                                      <a:cubicBezTo>
                                        <a:pt x="61" y="92"/>
                                        <a:pt x="61" y="92"/>
                                        <a:pt x="61" y="92"/>
                                      </a:cubicBezTo>
                                      <a:cubicBezTo>
                                        <a:pt x="6" y="92"/>
                                        <a:pt x="6" y="92"/>
                                        <a:pt x="6" y="92"/>
                                      </a:cubicBezTo>
                                      <a:cubicBezTo>
                                        <a:pt x="6" y="25"/>
                                        <a:pt x="6" y="25"/>
                                        <a:pt x="6" y="25"/>
                                      </a:cubicBezTo>
                                      <a:lnTo>
                                        <a:pt x="61" y="25"/>
                                      </a:lnTo>
                                      <a:close/>
                                      <a:moveTo>
                                        <a:pt x="61" y="109"/>
                                      </a:moveTo>
                                      <a:cubicBezTo>
                                        <a:pt x="61" y="112"/>
                                        <a:pt x="58" y="115"/>
                                        <a:pt x="55" y="115"/>
                                      </a:cubicBezTo>
                                      <a:cubicBezTo>
                                        <a:pt x="11" y="115"/>
                                        <a:pt x="11" y="115"/>
                                        <a:pt x="11" y="115"/>
                                      </a:cubicBezTo>
                                      <a:cubicBezTo>
                                        <a:pt x="8" y="115"/>
                                        <a:pt x="6" y="112"/>
                                        <a:pt x="6" y="109"/>
                                      </a:cubicBezTo>
                                      <a:cubicBezTo>
                                        <a:pt x="6" y="98"/>
                                        <a:pt x="6" y="98"/>
                                        <a:pt x="6" y="98"/>
                                      </a:cubicBezTo>
                                      <a:cubicBezTo>
                                        <a:pt x="61" y="98"/>
                                        <a:pt x="61" y="98"/>
                                        <a:pt x="61" y="98"/>
                                      </a:cubicBezTo>
                                      <a:lnTo>
                                        <a:pt x="61" y="10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8" name="Oval 14698"/>
                              <wps:cNvSpPr>
                                <a:spLocks noChangeArrowheads="1"/>
                              </wps:cNvSpPr>
                              <wps:spPr bwMode="auto">
                                <a:xfrm>
                                  <a:off x="97972" y="335902"/>
                                  <a:ext cx="26035" cy="2984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8702985" id="Group 14696" o:spid="_x0000_s1026" style="position:absolute;margin-left:406.85pt;margin-top:23.75pt;width:17.25pt;height:31.6pt;z-index:251666432" coordsize="219075,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">
                      <v:shape id="Freeform 6" o:spid="_x0000_s1027" style="position:absolute;width:219075;height:401320;visibility:visible;mso-wrap-style:square;v-text-anchor:top" coordsize="6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" path="m55,c11,,11,,11,,5,,,5,,11,,22,,22,,22,,95,,95,,95v,14,,14,,14c,116,5,121,11,121v44,,44,,44,c62,121,67,116,67,109v,-14,,-14,,-14c67,22,67,22,67,22v,-11,,-11,,-11c67,5,62,,55,xm6,11c6,8,8,6,11,6v44,,44,,44,c58,6,61,8,61,11v,7,,7,,7c6,18,6,18,6,18r,-7xm61,25v,67,,67,,67c6,92,6,92,6,92,6,25,6,25,6,25r55,xm61,109v,3,-3,6,-6,6c11,115,11,115,11,115v-3,,-5,-3,-5,-6c6,98,6,98,6,98v55,,55,,55,l61,109xe" filled="f" stroked="f">
                        <v:path arrowok="t" o:connecttype="custom" o:connectlocs="179838,0;35968,0;0,36484;0,72967;0,315086;0,361520;35968,401320;179838,401320;219075,361520;219075,315086;219075,72967;219075,36484;179838,0;19619,36484;35968,19900;179838,19900;199456,36484;199456,59700;19619,59700;19619,36484;199456,82917;199456,305136;19619,305136;19619,82917;199456,82917;199456,361520;179838,381420;35968,381420;19619,361520;19619,325036;199456,325036;199456,361520" o:connectangles="0,0,0,0,0,0,0,0,0,0,0,0,0,0,0,0,0,0,0,0,0,0,0,0,0,0,0,0,0,0,0,0"/>
                        <o:lock v:ext="edit" verticies="t"/>
                      </v:shape>
                      <v:oval id="Oval 14698" o:spid="_x0000_s1028" style="position:absolute;left:97972;top:335902;width:26035;height:29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" filled="f" stroked="f"/>
                      <w10:wrap type="square"/>
                    </v:group>
                  </w:pict>
                </mc:Fallback>
              </mc:AlternateContent>
            </w:r>
          </w:p>
          <w:p w14:paraId="2F869979" w14:textId="77777777" w:rsidR="006D299D" w:rsidRPr="00A04E56" w:rsidRDefault="006D299D" w:rsidP="006D299D">
            <w:pPr>
              <w:keepNext/>
              <w:keepLines/>
              <w:spacing w:before="40" w:line="276" w:lineRule="auto"/>
              <w:outlineLvl w:val="2"/>
              <w:rPr>
                <w:rFonts w:eastAsia="Times New Roman"/>
                <w:color w:val="243F60"/>
                <w:sz w:val="22"/>
                <w:szCs w:val="24"/>
              </w:rPr>
            </w:pPr>
            <w:r w:rsidRPr="00A04E56">
              <w:rPr>
                <w:rFonts w:eastAsia="Times New Roman"/>
                <w:color w:val="243F60"/>
                <w:sz w:val="22"/>
                <w:szCs w:val="24"/>
              </w:rPr>
              <w:t>By helping them embrace the digital revolution</w:t>
            </w:r>
          </w:p>
          <w:p w14:paraId="59BA8F72" w14:textId="2C3C3F23" w:rsidR="006D299D" w:rsidRPr="00A04E56" w:rsidRDefault="006D299D" w:rsidP="006D299D">
            <w:pPr>
              <w:numPr>
                <w:ilvl w:val="0"/>
                <w:numId w:val="80"/>
              </w:numPr>
              <w:spacing w:after="200" w:line="276" w:lineRule="auto"/>
              <w:rPr>
                <w:sz w:val="18"/>
              </w:rPr>
            </w:pPr>
            <w:r w:rsidRPr="00A04E56">
              <w:rPr>
                <w:sz w:val="18"/>
              </w:rPr>
              <w:t xml:space="preserve">Some 7 800 projects were selected to support the connected digital single market, </w:t>
            </w:r>
            <w:r w:rsidRPr="00A04E56">
              <w:rPr>
                <w:sz w:val="18"/>
              </w:rPr>
              <w:br/>
              <w:t>corresponding to EUR 10.3 billion of total investment (EU plus national co-financing)</w:t>
            </w:r>
            <w:r w:rsidR="00CD0119">
              <w:rPr>
                <w:sz w:val="18"/>
              </w:rPr>
              <w:t>.</w:t>
            </w:r>
          </w:p>
          <w:p w14:paraId="651DF61B" w14:textId="77777777" w:rsidR="006D299D" w:rsidRPr="00A04E56" w:rsidRDefault="006D299D" w:rsidP="006D299D">
            <w:pPr>
              <w:spacing w:after="200" w:line="276" w:lineRule="auto"/>
              <w:rPr>
                <w:sz w:val="18"/>
              </w:rPr>
            </w:pPr>
          </w:p>
          <w:p w14:paraId="49776703" w14:textId="77777777" w:rsidR="006D299D" w:rsidRPr="00A04E56" w:rsidRDefault="006D299D" w:rsidP="006D299D">
            <w:pPr>
              <w:keepNext/>
              <w:keepLines/>
              <w:spacing w:before="40" w:line="276" w:lineRule="auto"/>
              <w:outlineLvl w:val="2"/>
              <w:rPr>
                <w:rFonts w:eastAsia="Times New Roman"/>
                <w:color w:val="243F60"/>
                <w:sz w:val="22"/>
                <w:szCs w:val="24"/>
              </w:rPr>
            </w:pPr>
            <w:r w:rsidRPr="00A04E56">
              <w:rPr>
                <w:rFonts w:eastAsia="Times New Roman"/>
                <w:noProof/>
                <w:color w:val="243F60"/>
                <w:sz w:val="18"/>
                <w:szCs w:val="24"/>
                <w:lang w:val="fr-BE" w:eastAsia="fr-BE"/>
              </w:rPr>
              <mc:AlternateContent>
                <mc:Choice Requires="wpg">
                  <w:drawing>
                    <wp:anchor distT="0" distB="0" distL="114300" distR="114300" simplePos="0" relativeHeight="251678720" behindDoc="0" locked="0" layoutInCell="1" allowOverlap="1" wp14:anchorId="59E1397D" wp14:editId="01DC6656">
                      <wp:simplePos x="0" y="0"/>
                      <wp:positionH relativeFrom="column">
                        <wp:posOffset>5040539</wp:posOffset>
                      </wp:positionH>
                      <wp:positionV relativeFrom="paragraph">
                        <wp:posOffset>129177</wp:posOffset>
                      </wp:positionV>
                      <wp:extent cx="499564" cy="510268"/>
                      <wp:effectExtent l="19050" t="0" r="0" b="42545"/>
                      <wp:wrapSquare wrapText="bothSides"/>
                      <wp:docPr id="14699" name="Group 14699"/>
                      <wp:cNvGraphicFramePr/>
                      <a:graphic xmlns:a="http://schemas.openxmlformats.org/drawingml/2006/main">
                        <a:graphicData uri="http://schemas.microsoft.com/office/word/2010/wordprocessingGroup">
                          <wpg:wgp>
                            <wpg:cNvGrpSpPr/>
                            <wpg:grpSpPr>
                              <a:xfrm>
                                <a:off x="0" y="0"/>
                                <a:ext cx="499564" cy="510268"/>
                                <a:chOff x="0" y="0"/>
                                <a:chExt cx="499564" cy="510268"/>
                              </a:xfrm>
                              <a:solidFill>
                                <a:srgbClr val="3FB296"/>
                              </a:solidFill>
                            </wpg:grpSpPr>
                            <wps:wsp>
                              <wps:cNvPr id="14700" name="Freeform 8"/>
                              <wps:cNvSpPr>
                                <a:spLocks noEditPoints="1"/>
                              </wps:cNvSpPr>
                              <wps:spPr bwMode="auto">
                                <a:xfrm>
                                  <a:off x="182880" y="251460"/>
                                  <a:ext cx="48895" cy="69850"/>
                                </a:xfrm>
                                <a:custGeom>
                                  <a:avLst/>
                                  <a:gdLst>
                                    <a:gd name="T0" fmla="*/ 0 w 15"/>
                                    <a:gd name="T1" fmla="*/ 18 h 21"/>
                                    <a:gd name="T2" fmla="*/ 3 w 15"/>
                                    <a:gd name="T3" fmla="*/ 21 h 21"/>
                                    <a:gd name="T4" fmla="*/ 13 w 15"/>
                                    <a:gd name="T5" fmla="*/ 21 h 21"/>
                                    <a:gd name="T6" fmla="*/ 15 w 15"/>
                                    <a:gd name="T7" fmla="*/ 18 h 21"/>
                                    <a:gd name="T8" fmla="*/ 15 w 15"/>
                                    <a:gd name="T9" fmla="*/ 3 h 21"/>
                                    <a:gd name="T10" fmla="*/ 13 w 15"/>
                                    <a:gd name="T11" fmla="*/ 0 h 21"/>
                                    <a:gd name="T12" fmla="*/ 3 w 15"/>
                                    <a:gd name="T13" fmla="*/ 0 h 21"/>
                                    <a:gd name="T14" fmla="*/ 0 w 15"/>
                                    <a:gd name="T15" fmla="*/ 3 h 21"/>
                                    <a:gd name="T16" fmla="*/ 0 w 15"/>
                                    <a:gd name="T17" fmla="*/ 18 h 21"/>
                                    <a:gd name="T18" fmla="*/ 5 w 15"/>
                                    <a:gd name="T19" fmla="*/ 5 h 21"/>
                                    <a:gd name="T20" fmla="*/ 10 w 15"/>
                                    <a:gd name="T21" fmla="*/ 5 h 21"/>
                                    <a:gd name="T22" fmla="*/ 10 w 15"/>
                                    <a:gd name="T23" fmla="*/ 16 h 21"/>
                                    <a:gd name="T24" fmla="*/ 5 w 15"/>
                                    <a:gd name="T25" fmla="*/ 16 h 21"/>
                                    <a:gd name="T26" fmla="*/ 5 w 15"/>
                                    <a:gd name="T27" fmla="*/ 5 h 21"/>
                                    <a:gd name="T28" fmla="*/ 5 w 15"/>
                                    <a:gd name="T29" fmla="*/ 5 h 21"/>
                                    <a:gd name="T30" fmla="*/ 5 w 15"/>
                                    <a:gd name="T31" fmla="*/ 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1">
                                      <a:moveTo>
                                        <a:pt x="0" y="18"/>
                                      </a:moveTo>
                                      <a:cubicBezTo>
                                        <a:pt x="0" y="20"/>
                                        <a:pt x="1" y="21"/>
                                        <a:pt x="3" y="21"/>
                                      </a:cubicBezTo>
                                      <a:cubicBezTo>
                                        <a:pt x="13" y="21"/>
                                        <a:pt x="13" y="21"/>
                                        <a:pt x="13" y="21"/>
                                      </a:cubicBezTo>
                                      <a:cubicBezTo>
                                        <a:pt x="14" y="21"/>
                                        <a:pt x="15" y="20"/>
                                        <a:pt x="15" y="18"/>
                                      </a:cubicBezTo>
                                      <a:cubicBezTo>
                                        <a:pt x="15" y="3"/>
                                        <a:pt x="15" y="3"/>
                                        <a:pt x="15" y="3"/>
                                      </a:cubicBezTo>
                                      <a:cubicBezTo>
                                        <a:pt x="15" y="1"/>
                                        <a:pt x="14" y="0"/>
                                        <a:pt x="13" y="0"/>
                                      </a:cubicBezTo>
                                      <a:cubicBezTo>
                                        <a:pt x="3" y="0"/>
                                        <a:pt x="3" y="0"/>
                                        <a:pt x="3" y="0"/>
                                      </a:cubicBezTo>
                                      <a:cubicBezTo>
                                        <a:pt x="1" y="0"/>
                                        <a:pt x="0" y="1"/>
                                        <a:pt x="0" y="3"/>
                                      </a:cubicBezTo>
                                      <a:lnTo>
                                        <a:pt x="0" y="18"/>
                                      </a:lnTo>
                                      <a:close/>
                                      <a:moveTo>
                                        <a:pt x="5" y="5"/>
                                      </a:moveTo>
                                      <a:cubicBezTo>
                                        <a:pt x="10" y="5"/>
                                        <a:pt x="10" y="5"/>
                                        <a:pt x="10" y="5"/>
                                      </a:cubicBezTo>
                                      <a:cubicBezTo>
                                        <a:pt x="10" y="16"/>
                                        <a:pt x="10" y="16"/>
                                        <a:pt x="10" y="16"/>
                                      </a:cubicBezTo>
                                      <a:cubicBezTo>
                                        <a:pt x="5" y="16"/>
                                        <a:pt x="5" y="16"/>
                                        <a:pt x="5" y="16"/>
                                      </a:cubicBezTo>
                                      <a:lnTo>
                                        <a:pt x="5" y="5"/>
                                      </a:lnTo>
                                      <a:close/>
                                      <a:moveTo>
                                        <a:pt x="5" y="5"/>
                                      </a:moveTo>
                                      <a:cubicBezTo>
                                        <a:pt x="5" y="5"/>
                                        <a:pt x="5" y="5"/>
                                        <a:pt x="5"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1" name="Freeform 9"/>
                              <wps:cNvSpPr>
                                <a:spLocks noEditPoints="1"/>
                              </wps:cNvSpPr>
                              <wps:spPr bwMode="auto">
                                <a:xfrm>
                                  <a:off x="182880" y="153488"/>
                                  <a:ext cx="48895" cy="66675"/>
                                </a:xfrm>
                                <a:custGeom>
                                  <a:avLst/>
                                  <a:gdLst>
                                    <a:gd name="T0" fmla="*/ 3 w 15"/>
                                    <a:gd name="T1" fmla="*/ 20 h 20"/>
                                    <a:gd name="T2" fmla="*/ 13 w 15"/>
                                    <a:gd name="T3" fmla="*/ 20 h 20"/>
                                    <a:gd name="T4" fmla="*/ 15 w 15"/>
                                    <a:gd name="T5" fmla="*/ 18 h 20"/>
                                    <a:gd name="T6" fmla="*/ 15 w 15"/>
                                    <a:gd name="T7" fmla="*/ 2 h 20"/>
                                    <a:gd name="T8" fmla="*/ 13 w 15"/>
                                    <a:gd name="T9" fmla="*/ 0 h 20"/>
                                    <a:gd name="T10" fmla="*/ 3 w 15"/>
                                    <a:gd name="T11" fmla="*/ 0 h 20"/>
                                    <a:gd name="T12" fmla="*/ 0 w 15"/>
                                    <a:gd name="T13" fmla="*/ 2 h 20"/>
                                    <a:gd name="T14" fmla="*/ 0 w 15"/>
                                    <a:gd name="T15" fmla="*/ 18 h 20"/>
                                    <a:gd name="T16" fmla="*/ 3 w 15"/>
                                    <a:gd name="T17" fmla="*/ 20 h 20"/>
                                    <a:gd name="T18" fmla="*/ 5 w 15"/>
                                    <a:gd name="T19" fmla="*/ 5 h 20"/>
                                    <a:gd name="T20" fmla="*/ 10 w 15"/>
                                    <a:gd name="T21" fmla="*/ 5 h 20"/>
                                    <a:gd name="T22" fmla="*/ 10 w 15"/>
                                    <a:gd name="T23" fmla="*/ 15 h 20"/>
                                    <a:gd name="T24" fmla="*/ 5 w 15"/>
                                    <a:gd name="T25" fmla="*/ 15 h 20"/>
                                    <a:gd name="T26" fmla="*/ 5 w 15"/>
                                    <a:gd name="T27" fmla="*/ 5 h 20"/>
                                    <a:gd name="T28" fmla="*/ 5 w 15"/>
                                    <a:gd name="T29" fmla="*/ 5 h 20"/>
                                    <a:gd name="T30" fmla="*/ 5 w 15"/>
                                    <a:gd name="T31" fmla="*/ 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0">
                                      <a:moveTo>
                                        <a:pt x="3" y="20"/>
                                      </a:moveTo>
                                      <a:cubicBezTo>
                                        <a:pt x="13" y="20"/>
                                        <a:pt x="13" y="20"/>
                                        <a:pt x="13" y="20"/>
                                      </a:cubicBezTo>
                                      <a:cubicBezTo>
                                        <a:pt x="14" y="20"/>
                                        <a:pt x="15" y="19"/>
                                        <a:pt x="15" y="18"/>
                                      </a:cubicBezTo>
                                      <a:cubicBezTo>
                                        <a:pt x="15" y="2"/>
                                        <a:pt x="15" y="2"/>
                                        <a:pt x="15" y="2"/>
                                      </a:cubicBezTo>
                                      <a:cubicBezTo>
                                        <a:pt x="15" y="1"/>
                                        <a:pt x="14" y="0"/>
                                        <a:pt x="13" y="0"/>
                                      </a:cubicBezTo>
                                      <a:cubicBezTo>
                                        <a:pt x="3" y="0"/>
                                        <a:pt x="3" y="0"/>
                                        <a:pt x="3" y="0"/>
                                      </a:cubicBezTo>
                                      <a:cubicBezTo>
                                        <a:pt x="1" y="0"/>
                                        <a:pt x="0" y="1"/>
                                        <a:pt x="0" y="2"/>
                                      </a:cubicBezTo>
                                      <a:cubicBezTo>
                                        <a:pt x="0" y="18"/>
                                        <a:pt x="0" y="18"/>
                                        <a:pt x="0" y="18"/>
                                      </a:cubicBezTo>
                                      <a:cubicBezTo>
                                        <a:pt x="0" y="19"/>
                                        <a:pt x="1" y="20"/>
                                        <a:pt x="3" y="20"/>
                                      </a:cubicBezTo>
                                      <a:close/>
                                      <a:moveTo>
                                        <a:pt x="5" y="5"/>
                                      </a:moveTo>
                                      <a:cubicBezTo>
                                        <a:pt x="10" y="5"/>
                                        <a:pt x="10" y="5"/>
                                        <a:pt x="10" y="5"/>
                                      </a:cubicBezTo>
                                      <a:cubicBezTo>
                                        <a:pt x="10" y="15"/>
                                        <a:pt x="10" y="15"/>
                                        <a:pt x="10" y="15"/>
                                      </a:cubicBezTo>
                                      <a:cubicBezTo>
                                        <a:pt x="5" y="15"/>
                                        <a:pt x="5" y="15"/>
                                        <a:pt x="5" y="15"/>
                                      </a:cubicBezTo>
                                      <a:lnTo>
                                        <a:pt x="5" y="5"/>
                                      </a:lnTo>
                                      <a:close/>
                                      <a:moveTo>
                                        <a:pt x="5" y="5"/>
                                      </a:moveTo>
                                      <a:cubicBezTo>
                                        <a:pt x="5" y="5"/>
                                        <a:pt x="5" y="5"/>
                                        <a:pt x="5"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2" name="Freeform 10"/>
                              <wps:cNvSpPr>
                                <a:spLocks noEditPoints="1"/>
                              </wps:cNvSpPr>
                              <wps:spPr bwMode="auto">
                                <a:xfrm>
                                  <a:off x="114300" y="0"/>
                                  <a:ext cx="271145" cy="162560"/>
                                </a:xfrm>
                                <a:custGeom>
                                  <a:avLst/>
                                  <a:gdLst>
                                    <a:gd name="T0" fmla="*/ 5 w 83"/>
                                    <a:gd name="T1" fmla="*/ 48 h 49"/>
                                    <a:gd name="T2" fmla="*/ 42 w 83"/>
                                    <a:gd name="T3" fmla="*/ 26 h 49"/>
                                    <a:gd name="T4" fmla="*/ 78 w 83"/>
                                    <a:gd name="T5" fmla="*/ 48 h 49"/>
                                    <a:gd name="T6" fmla="*/ 80 w 83"/>
                                    <a:gd name="T7" fmla="*/ 48 h 49"/>
                                    <a:gd name="T8" fmla="*/ 82 w 83"/>
                                    <a:gd name="T9" fmla="*/ 47 h 49"/>
                                    <a:gd name="T10" fmla="*/ 81 w 83"/>
                                    <a:gd name="T11" fmla="*/ 44 h 49"/>
                                    <a:gd name="T12" fmla="*/ 44 w 83"/>
                                    <a:gd name="T13" fmla="*/ 21 h 49"/>
                                    <a:gd name="T14" fmla="*/ 44 w 83"/>
                                    <a:gd name="T15" fmla="*/ 5 h 49"/>
                                    <a:gd name="T16" fmla="*/ 57 w 83"/>
                                    <a:gd name="T17" fmla="*/ 5 h 49"/>
                                    <a:gd name="T18" fmla="*/ 57 w 83"/>
                                    <a:gd name="T19" fmla="*/ 10 h 49"/>
                                    <a:gd name="T20" fmla="*/ 43 w 83"/>
                                    <a:gd name="T21" fmla="*/ 10 h 49"/>
                                    <a:gd name="T22" fmla="*/ 41 w 83"/>
                                    <a:gd name="T23" fmla="*/ 13 h 49"/>
                                    <a:gd name="T24" fmla="*/ 43 w 83"/>
                                    <a:gd name="T25" fmla="*/ 15 h 49"/>
                                    <a:gd name="T26" fmla="*/ 59 w 83"/>
                                    <a:gd name="T27" fmla="*/ 15 h 49"/>
                                    <a:gd name="T28" fmla="*/ 62 w 83"/>
                                    <a:gd name="T29" fmla="*/ 13 h 49"/>
                                    <a:gd name="T30" fmla="*/ 62 w 83"/>
                                    <a:gd name="T31" fmla="*/ 3 h 49"/>
                                    <a:gd name="T32" fmla="*/ 59 w 83"/>
                                    <a:gd name="T33" fmla="*/ 0 h 49"/>
                                    <a:gd name="T34" fmla="*/ 42 w 83"/>
                                    <a:gd name="T35" fmla="*/ 0 h 49"/>
                                    <a:gd name="T36" fmla="*/ 39 w 83"/>
                                    <a:gd name="T37" fmla="*/ 3 h 49"/>
                                    <a:gd name="T38" fmla="*/ 39 w 83"/>
                                    <a:gd name="T39" fmla="*/ 21 h 49"/>
                                    <a:gd name="T40" fmla="*/ 2 w 83"/>
                                    <a:gd name="T41" fmla="*/ 44 h 49"/>
                                    <a:gd name="T42" fmla="*/ 1 w 83"/>
                                    <a:gd name="T43" fmla="*/ 47 h 49"/>
                                    <a:gd name="T44" fmla="*/ 5 w 83"/>
                                    <a:gd name="T45" fmla="*/ 48 h 49"/>
                                    <a:gd name="T46" fmla="*/ 5 w 83"/>
                                    <a:gd name="T47" fmla="*/ 48 h 49"/>
                                    <a:gd name="T48" fmla="*/ 5 w 83"/>
                                    <a:gd name="T49" fmla="*/ 4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 h="49">
                                      <a:moveTo>
                                        <a:pt x="5" y="48"/>
                                      </a:moveTo>
                                      <a:cubicBezTo>
                                        <a:pt x="42" y="26"/>
                                        <a:pt x="42" y="26"/>
                                        <a:pt x="42" y="26"/>
                                      </a:cubicBezTo>
                                      <a:cubicBezTo>
                                        <a:pt x="78" y="48"/>
                                        <a:pt x="78" y="48"/>
                                        <a:pt x="78" y="48"/>
                                      </a:cubicBezTo>
                                      <a:cubicBezTo>
                                        <a:pt x="79" y="48"/>
                                        <a:pt x="79" y="48"/>
                                        <a:pt x="80" y="48"/>
                                      </a:cubicBezTo>
                                      <a:cubicBezTo>
                                        <a:pt x="81" y="48"/>
                                        <a:pt x="81" y="48"/>
                                        <a:pt x="82" y="47"/>
                                      </a:cubicBezTo>
                                      <a:cubicBezTo>
                                        <a:pt x="83" y="46"/>
                                        <a:pt x="82" y="44"/>
                                        <a:pt x="81" y="44"/>
                                      </a:cubicBezTo>
                                      <a:cubicBezTo>
                                        <a:pt x="44" y="21"/>
                                        <a:pt x="44" y="21"/>
                                        <a:pt x="44" y="21"/>
                                      </a:cubicBezTo>
                                      <a:cubicBezTo>
                                        <a:pt x="44" y="5"/>
                                        <a:pt x="44" y="5"/>
                                        <a:pt x="44" y="5"/>
                                      </a:cubicBezTo>
                                      <a:cubicBezTo>
                                        <a:pt x="57" y="5"/>
                                        <a:pt x="57" y="5"/>
                                        <a:pt x="57" y="5"/>
                                      </a:cubicBezTo>
                                      <a:cubicBezTo>
                                        <a:pt x="57" y="10"/>
                                        <a:pt x="57" y="10"/>
                                        <a:pt x="57" y="10"/>
                                      </a:cubicBezTo>
                                      <a:cubicBezTo>
                                        <a:pt x="43" y="10"/>
                                        <a:pt x="43" y="10"/>
                                        <a:pt x="43" y="10"/>
                                      </a:cubicBezTo>
                                      <a:cubicBezTo>
                                        <a:pt x="42" y="10"/>
                                        <a:pt x="41" y="11"/>
                                        <a:pt x="41" y="13"/>
                                      </a:cubicBezTo>
                                      <a:cubicBezTo>
                                        <a:pt x="41" y="14"/>
                                        <a:pt x="42" y="15"/>
                                        <a:pt x="43" y="15"/>
                                      </a:cubicBezTo>
                                      <a:cubicBezTo>
                                        <a:pt x="59" y="15"/>
                                        <a:pt x="59" y="15"/>
                                        <a:pt x="59" y="15"/>
                                      </a:cubicBezTo>
                                      <a:cubicBezTo>
                                        <a:pt x="61" y="15"/>
                                        <a:pt x="62" y="14"/>
                                        <a:pt x="62" y="13"/>
                                      </a:cubicBezTo>
                                      <a:cubicBezTo>
                                        <a:pt x="62" y="3"/>
                                        <a:pt x="62" y="3"/>
                                        <a:pt x="62" y="3"/>
                                      </a:cubicBezTo>
                                      <a:cubicBezTo>
                                        <a:pt x="62" y="1"/>
                                        <a:pt x="61" y="0"/>
                                        <a:pt x="59" y="0"/>
                                      </a:cubicBezTo>
                                      <a:cubicBezTo>
                                        <a:pt x="42" y="0"/>
                                        <a:pt x="42" y="0"/>
                                        <a:pt x="42" y="0"/>
                                      </a:cubicBezTo>
                                      <a:cubicBezTo>
                                        <a:pt x="40" y="0"/>
                                        <a:pt x="39" y="1"/>
                                        <a:pt x="39" y="3"/>
                                      </a:cubicBezTo>
                                      <a:cubicBezTo>
                                        <a:pt x="39" y="21"/>
                                        <a:pt x="39" y="21"/>
                                        <a:pt x="39" y="21"/>
                                      </a:cubicBezTo>
                                      <a:cubicBezTo>
                                        <a:pt x="2" y="44"/>
                                        <a:pt x="2" y="44"/>
                                        <a:pt x="2" y="44"/>
                                      </a:cubicBezTo>
                                      <a:cubicBezTo>
                                        <a:pt x="1" y="44"/>
                                        <a:pt x="0" y="46"/>
                                        <a:pt x="1" y="47"/>
                                      </a:cubicBezTo>
                                      <a:cubicBezTo>
                                        <a:pt x="2" y="48"/>
                                        <a:pt x="3" y="49"/>
                                        <a:pt x="5" y="48"/>
                                      </a:cubicBezTo>
                                      <a:close/>
                                      <a:moveTo>
                                        <a:pt x="5" y="48"/>
                                      </a:moveTo>
                                      <a:cubicBezTo>
                                        <a:pt x="5" y="48"/>
                                        <a:pt x="5" y="48"/>
                                        <a:pt x="5" y="4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3" name="Freeform 11"/>
                              <wps:cNvSpPr>
                                <a:spLocks noEditPoints="1"/>
                              </wps:cNvSpPr>
                              <wps:spPr bwMode="auto">
                                <a:xfrm>
                                  <a:off x="48986" y="251460"/>
                                  <a:ext cx="52070" cy="69850"/>
                                </a:xfrm>
                                <a:custGeom>
                                  <a:avLst/>
                                  <a:gdLst>
                                    <a:gd name="T0" fmla="*/ 13 w 16"/>
                                    <a:gd name="T1" fmla="*/ 21 h 21"/>
                                    <a:gd name="T2" fmla="*/ 16 w 16"/>
                                    <a:gd name="T3" fmla="*/ 18 h 21"/>
                                    <a:gd name="T4" fmla="*/ 16 w 16"/>
                                    <a:gd name="T5" fmla="*/ 3 h 21"/>
                                    <a:gd name="T6" fmla="*/ 13 w 16"/>
                                    <a:gd name="T7" fmla="*/ 0 h 21"/>
                                    <a:gd name="T8" fmla="*/ 3 w 16"/>
                                    <a:gd name="T9" fmla="*/ 0 h 21"/>
                                    <a:gd name="T10" fmla="*/ 0 w 16"/>
                                    <a:gd name="T11" fmla="*/ 3 h 21"/>
                                    <a:gd name="T12" fmla="*/ 0 w 16"/>
                                    <a:gd name="T13" fmla="*/ 8 h 21"/>
                                    <a:gd name="T14" fmla="*/ 3 w 16"/>
                                    <a:gd name="T15" fmla="*/ 11 h 21"/>
                                    <a:gd name="T16" fmla="*/ 6 w 16"/>
                                    <a:gd name="T17" fmla="*/ 8 h 21"/>
                                    <a:gd name="T18" fmla="*/ 6 w 16"/>
                                    <a:gd name="T19" fmla="*/ 5 h 21"/>
                                    <a:gd name="T20" fmla="*/ 11 w 16"/>
                                    <a:gd name="T21" fmla="*/ 5 h 21"/>
                                    <a:gd name="T22" fmla="*/ 11 w 16"/>
                                    <a:gd name="T23" fmla="*/ 18 h 21"/>
                                    <a:gd name="T24" fmla="*/ 13 w 16"/>
                                    <a:gd name="T25" fmla="*/ 21 h 21"/>
                                    <a:gd name="T26" fmla="*/ 13 w 16"/>
                                    <a:gd name="T27" fmla="*/ 21 h 21"/>
                                    <a:gd name="T28" fmla="*/ 13 w 16"/>
                                    <a:gd name="T29" fmla="*/ 21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21">
                                      <a:moveTo>
                                        <a:pt x="13" y="21"/>
                                      </a:moveTo>
                                      <a:cubicBezTo>
                                        <a:pt x="15" y="21"/>
                                        <a:pt x="16" y="20"/>
                                        <a:pt x="16" y="18"/>
                                      </a:cubicBezTo>
                                      <a:cubicBezTo>
                                        <a:pt x="16" y="3"/>
                                        <a:pt x="16" y="3"/>
                                        <a:pt x="16" y="3"/>
                                      </a:cubicBezTo>
                                      <a:cubicBezTo>
                                        <a:pt x="16" y="1"/>
                                        <a:pt x="15" y="0"/>
                                        <a:pt x="13" y="0"/>
                                      </a:cubicBezTo>
                                      <a:cubicBezTo>
                                        <a:pt x="3" y="0"/>
                                        <a:pt x="3" y="0"/>
                                        <a:pt x="3" y="0"/>
                                      </a:cubicBezTo>
                                      <a:cubicBezTo>
                                        <a:pt x="2" y="0"/>
                                        <a:pt x="0" y="1"/>
                                        <a:pt x="0" y="3"/>
                                      </a:cubicBezTo>
                                      <a:cubicBezTo>
                                        <a:pt x="0" y="8"/>
                                        <a:pt x="0" y="8"/>
                                        <a:pt x="0" y="8"/>
                                      </a:cubicBezTo>
                                      <a:cubicBezTo>
                                        <a:pt x="0" y="9"/>
                                        <a:pt x="2" y="11"/>
                                        <a:pt x="3" y="11"/>
                                      </a:cubicBezTo>
                                      <a:cubicBezTo>
                                        <a:pt x="4" y="11"/>
                                        <a:pt x="6" y="9"/>
                                        <a:pt x="6" y="8"/>
                                      </a:cubicBezTo>
                                      <a:cubicBezTo>
                                        <a:pt x="6" y="5"/>
                                        <a:pt x="6" y="5"/>
                                        <a:pt x="6" y="5"/>
                                      </a:cubicBezTo>
                                      <a:cubicBezTo>
                                        <a:pt x="11" y="5"/>
                                        <a:pt x="11" y="5"/>
                                        <a:pt x="11" y="5"/>
                                      </a:cubicBezTo>
                                      <a:cubicBezTo>
                                        <a:pt x="11" y="18"/>
                                        <a:pt x="11" y="18"/>
                                        <a:pt x="11" y="18"/>
                                      </a:cubicBezTo>
                                      <a:cubicBezTo>
                                        <a:pt x="11" y="20"/>
                                        <a:pt x="12" y="21"/>
                                        <a:pt x="13" y="21"/>
                                      </a:cubicBezTo>
                                      <a:close/>
                                      <a:moveTo>
                                        <a:pt x="13" y="21"/>
                                      </a:moveTo>
                                      <a:cubicBezTo>
                                        <a:pt x="13" y="21"/>
                                        <a:pt x="13" y="21"/>
                                        <a:pt x="13" y="2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4" name="Freeform 12"/>
                              <wps:cNvSpPr>
                                <a:spLocks noEditPoints="1"/>
                              </wps:cNvSpPr>
                              <wps:spPr bwMode="auto">
                                <a:xfrm>
                                  <a:off x="133894" y="140425"/>
                                  <a:ext cx="16510" cy="328930"/>
                                </a:xfrm>
                                <a:custGeom>
                                  <a:avLst/>
                                  <a:gdLst>
                                    <a:gd name="T0" fmla="*/ 5 w 5"/>
                                    <a:gd name="T1" fmla="*/ 97 h 99"/>
                                    <a:gd name="T2" fmla="*/ 5 w 5"/>
                                    <a:gd name="T3" fmla="*/ 3 h 99"/>
                                    <a:gd name="T4" fmla="*/ 2 w 5"/>
                                    <a:gd name="T5" fmla="*/ 0 h 99"/>
                                    <a:gd name="T6" fmla="*/ 0 w 5"/>
                                    <a:gd name="T7" fmla="*/ 3 h 99"/>
                                    <a:gd name="T8" fmla="*/ 0 w 5"/>
                                    <a:gd name="T9" fmla="*/ 97 h 99"/>
                                    <a:gd name="T10" fmla="*/ 2 w 5"/>
                                    <a:gd name="T11" fmla="*/ 99 h 99"/>
                                    <a:gd name="T12" fmla="*/ 5 w 5"/>
                                    <a:gd name="T13" fmla="*/ 97 h 99"/>
                                    <a:gd name="T14" fmla="*/ 5 w 5"/>
                                    <a:gd name="T15" fmla="*/ 97 h 99"/>
                                    <a:gd name="T16" fmla="*/ 5 w 5"/>
                                    <a:gd name="T17" fmla="*/ 97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99">
                                      <a:moveTo>
                                        <a:pt x="5" y="97"/>
                                      </a:moveTo>
                                      <a:cubicBezTo>
                                        <a:pt x="5" y="3"/>
                                        <a:pt x="5" y="3"/>
                                        <a:pt x="5" y="3"/>
                                      </a:cubicBezTo>
                                      <a:cubicBezTo>
                                        <a:pt x="5" y="1"/>
                                        <a:pt x="4" y="0"/>
                                        <a:pt x="2" y="0"/>
                                      </a:cubicBezTo>
                                      <a:cubicBezTo>
                                        <a:pt x="1" y="0"/>
                                        <a:pt x="0" y="1"/>
                                        <a:pt x="0" y="3"/>
                                      </a:cubicBezTo>
                                      <a:cubicBezTo>
                                        <a:pt x="0" y="97"/>
                                        <a:pt x="0" y="97"/>
                                        <a:pt x="0" y="97"/>
                                      </a:cubicBezTo>
                                      <a:cubicBezTo>
                                        <a:pt x="0" y="98"/>
                                        <a:pt x="1" y="99"/>
                                        <a:pt x="2" y="99"/>
                                      </a:cubicBezTo>
                                      <a:cubicBezTo>
                                        <a:pt x="4" y="99"/>
                                        <a:pt x="5" y="98"/>
                                        <a:pt x="5" y="97"/>
                                      </a:cubicBezTo>
                                      <a:close/>
                                      <a:moveTo>
                                        <a:pt x="5" y="97"/>
                                      </a:moveTo>
                                      <a:cubicBezTo>
                                        <a:pt x="5" y="97"/>
                                        <a:pt x="5" y="97"/>
                                        <a:pt x="5" y="9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5" name="Freeform 13"/>
                              <wps:cNvSpPr>
                                <a:spLocks noEditPoints="1"/>
                              </wps:cNvSpPr>
                              <wps:spPr bwMode="auto">
                                <a:xfrm>
                                  <a:off x="97972" y="355963"/>
                                  <a:ext cx="297180" cy="119380"/>
                                </a:xfrm>
                                <a:custGeom>
                                  <a:avLst/>
                                  <a:gdLst>
                                    <a:gd name="T0" fmla="*/ 2 w 91"/>
                                    <a:gd name="T1" fmla="*/ 36 h 36"/>
                                    <a:gd name="T2" fmla="*/ 89 w 91"/>
                                    <a:gd name="T3" fmla="*/ 36 h 36"/>
                                    <a:gd name="T4" fmla="*/ 91 w 91"/>
                                    <a:gd name="T5" fmla="*/ 33 h 36"/>
                                    <a:gd name="T6" fmla="*/ 89 w 91"/>
                                    <a:gd name="T7" fmla="*/ 30 h 36"/>
                                    <a:gd name="T8" fmla="*/ 66 w 91"/>
                                    <a:gd name="T9" fmla="*/ 30 h 36"/>
                                    <a:gd name="T10" fmla="*/ 66 w 91"/>
                                    <a:gd name="T11" fmla="*/ 5 h 36"/>
                                    <a:gd name="T12" fmla="*/ 68 w 91"/>
                                    <a:gd name="T13" fmla="*/ 5 h 36"/>
                                    <a:gd name="T14" fmla="*/ 71 w 91"/>
                                    <a:gd name="T15" fmla="*/ 2 h 36"/>
                                    <a:gd name="T16" fmla="*/ 68 w 91"/>
                                    <a:gd name="T17" fmla="*/ 0 h 36"/>
                                    <a:gd name="T18" fmla="*/ 23 w 91"/>
                                    <a:gd name="T19" fmla="*/ 0 h 36"/>
                                    <a:gd name="T20" fmla="*/ 20 w 91"/>
                                    <a:gd name="T21" fmla="*/ 2 h 36"/>
                                    <a:gd name="T22" fmla="*/ 23 w 91"/>
                                    <a:gd name="T23" fmla="*/ 5 h 36"/>
                                    <a:gd name="T24" fmla="*/ 25 w 91"/>
                                    <a:gd name="T25" fmla="*/ 5 h 36"/>
                                    <a:gd name="T26" fmla="*/ 25 w 91"/>
                                    <a:gd name="T27" fmla="*/ 30 h 36"/>
                                    <a:gd name="T28" fmla="*/ 2 w 91"/>
                                    <a:gd name="T29" fmla="*/ 30 h 36"/>
                                    <a:gd name="T30" fmla="*/ 0 w 91"/>
                                    <a:gd name="T31" fmla="*/ 33 h 36"/>
                                    <a:gd name="T32" fmla="*/ 2 w 91"/>
                                    <a:gd name="T33" fmla="*/ 36 h 36"/>
                                    <a:gd name="T34" fmla="*/ 48 w 91"/>
                                    <a:gd name="T35" fmla="*/ 20 h 36"/>
                                    <a:gd name="T36" fmla="*/ 51 w 91"/>
                                    <a:gd name="T37" fmla="*/ 18 h 36"/>
                                    <a:gd name="T38" fmla="*/ 48 w 91"/>
                                    <a:gd name="T39" fmla="*/ 15 h 36"/>
                                    <a:gd name="T40" fmla="*/ 48 w 91"/>
                                    <a:gd name="T41" fmla="*/ 5 h 36"/>
                                    <a:gd name="T42" fmla="*/ 61 w 91"/>
                                    <a:gd name="T43" fmla="*/ 5 h 36"/>
                                    <a:gd name="T44" fmla="*/ 61 w 91"/>
                                    <a:gd name="T45" fmla="*/ 30 h 36"/>
                                    <a:gd name="T46" fmla="*/ 48 w 91"/>
                                    <a:gd name="T47" fmla="*/ 30 h 36"/>
                                    <a:gd name="T48" fmla="*/ 48 w 91"/>
                                    <a:gd name="T49" fmla="*/ 20 h 36"/>
                                    <a:gd name="T50" fmla="*/ 30 w 91"/>
                                    <a:gd name="T51" fmla="*/ 5 h 36"/>
                                    <a:gd name="T52" fmla="*/ 43 w 91"/>
                                    <a:gd name="T53" fmla="*/ 5 h 36"/>
                                    <a:gd name="T54" fmla="*/ 43 w 91"/>
                                    <a:gd name="T55" fmla="*/ 15 h 36"/>
                                    <a:gd name="T56" fmla="*/ 40 w 91"/>
                                    <a:gd name="T57" fmla="*/ 18 h 36"/>
                                    <a:gd name="T58" fmla="*/ 43 w 91"/>
                                    <a:gd name="T59" fmla="*/ 20 h 36"/>
                                    <a:gd name="T60" fmla="*/ 43 w 91"/>
                                    <a:gd name="T61" fmla="*/ 30 h 36"/>
                                    <a:gd name="T62" fmla="*/ 30 w 91"/>
                                    <a:gd name="T63" fmla="*/ 30 h 36"/>
                                    <a:gd name="T64" fmla="*/ 30 w 91"/>
                                    <a:gd name="T65" fmla="*/ 5 h 36"/>
                                    <a:gd name="T66" fmla="*/ 30 w 91"/>
                                    <a:gd name="T67" fmla="*/ 5 h 36"/>
                                    <a:gd name="T68" fmla="*/ 30 w 91"/>
                                    <a:gd name="T69"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1" h="36">
                                      <a:moveTo>
                                        <a:pt x="2" y="36"/>
                                      </a:moveTo>
                                      <a:cubicBezTo>
                                        <a:pt x="89" y="36"/>
                                        <a:pt x="89" y="36"/>
                                        <a:pt x="89" y="36"/>
                                      </a:cubicBezTo>
                                      <a:cubicBezTo>
                                        <a:pt x="90" y="36"/>
                                        <a:pt x="91" y="34"/>
                                        <a:pt x="91" y="33"/>
                                      </a:cubicBezTo>
                                      <a:cubicBezTo>
                                        <a:pt x="91" y="32"/>
                                        <a:pt x="90" y="30"/>
                                        <a:pt x="89" y="30"/>
                                      </a:cubicBezTo>
                                      <a:cubicBezTo>
                                        <a:pt x="66" y="30"/>
                                        <a:pt x="66" y="30"/>
                                        <a:pt x="66" y="30"/>
                                      </a:cubicBezTo>
                                      <a:cubicBezTo>
                                        <a:pt x="66" y="5"/>
                                        <a:pt x="66" y="5"/>
                                        <a:pt x="66" y="5"/>
                                      </a:cubicBezTo>
                                      <a:cubicBezTo>
                                        <a:pt x="68" y="5"/>
                                        <a:pt x="68" y="5"/>
                                        <a:pt x="68" y="5"/>
                                      </a:cubicBezTo>
                                      <a:cubicBezTo>
                                        <a:pt x="70" y="5"/>
                                        <a:pt x="71" y="4"/>
                                        <a:pt x="71" y="2"/>
                                      </a:cubicBezTo>
                                      <a:cubicBezTo>
                                        <a:pt x="71" y="1"/>
                                        <a:pt x="70" y="0"/>
                                        <a:pt x="68" y="0"/>
                                      </a:cubicBezTo>
                                      <a:cubicBezTo>
                                        <a:pt x="23" y="0"/>
                                        <a:pt x="23" y="0"/>
                                        <a:pt x="23" y="0"/>
                                      </a:cubicBezTo>
                                      <a:cubicBezTo>
                                        <a:pt x="21" y="0"/>
                                        <a:pt x="20" y="1"/>
                                        <a:pt x="20" y="2"/>
                                      </a:cubicBezTo>
                                      <a:cubicBezTo>
                                        <a:pt x="20" y="4"/>
                                        <a:pt x="21" y="5"/>
                                        <a:pt x="23" y="5"/>
                                      </a:cubicBezTo>
                                      <a:cubicBezTo>
                                        <a:pt x="25" y="5"/>
                                        <a:pt x="25" y="5"/>
                                        <a:pt x="25" y="5"/>
                                      </a:cubicBezTo>
                                      <a:cubicBezTo>
                                        <a:pt x="25" y="30"/>
                                        <a:pt x="25" y="30"/>
                                        <a:pt x="25" y="30"/>
                                      </a:cubicBezTo>
                                      <a:cubicBezTo>
                                        <a:pt x="2" y="30"/>
                                        <a:pt x="2" y="30"/>
                                        <a:pt x="2" y="30"/>
                                      </a:cubicBezTo>
                                      <a:cubicBezTo>
                                        <a:pt x="1" y="30"/>
                                        <a:pt x="0" y="32"/>
                                        <a:pt x="0" y="33"/>
                                      </a:cubicBezTo>
                                      <a:cubicBezTo>
                                        <a:pt x="0" y="34"/>
                                        <a:pt x="1" y="36"/>
                                        <a:pt x="2" y="36"/>
                                      </a:cubicBezTo>
                                      <a:close/>
                                      <a:moveTo>
                                        <a:pt x="48" y="20"/>
                                      </a:moveTo>
                                      <a:cubicBezTo>
                                        <a:pt x="50" y="20"/>
                                        <a:pt x="51" y="19"/>
                                        <a:pt x="51" y="18"/>
                                      </a:cubicBezTo>
                                      <a:cubicBezTo>
                                        <a:pt x="51" y="16"/>
                                        <a:pt x="50" y="15"/>
                                        <a:pt x="48" y="15"/>
                                      </a:cubicBezTo>
                                      <a:cubicBezTo>
                                        <a:pt x="48" y="5"/>
                                        <a:pt x="48" y="5"/>
                                        <a:pt x="48" y="5"/>
                                      </a:cubicBezTo>
                                      <a:cubicBezTo>
                                        <a:pt x="61" y="5"/>
                                        <a:pt x="61" y="5"/>
                                        <a:pt x="61" y="5"/>
                                      </a:cubicBezTo>
                                      <a:cubicBezTo>
                                        <a:pt x="61" y="30"/>
                                        <a:pt x="61" y="30"/>
                                        <a:pt x="61" y="30"/>
                                      </a:cubicBezTo>
                                      <a:cubicBezTo>
                                        <a:pt x="48" y="30"/>
                                        <a:pt x="48" y="30"/>
                                        <a:pt x="48" y="30"/>
                                      </a:cubicBezTo>
                                      <a:lnTo>
                                        <a:pt x="48" y="20"/>
                                      </a:lnTo>
                                      <a:close/>
                                      <a:moveTo>
                                        <a:pt x="30" y="5"/>
                                      </a:moveTo>
                                      <a:cubicBezTo>
                                        <a:pt x="43" y="5"/>
                                        <a:pt x="43" y="5"/>
                                        <a:pt x="43" y="5"/>
                                      </a:cubicBezTo>
                                      <a:cubicBezTo>
                                        <a:pt x="43" y="15"/>
                                        <a:pt x="43" y="15"/>
                                        <a:pt x="43" y="15"/>
                                      </a:cubicBezTo>
                                      <a:cubicBezTo>
                                        <a:pt x="42" y="15"/>
                                        <a:pt x="40" y="16"/>
                                        <a:pt x="40" y="18"/>
                                      </a:cubicBezTo>
                                      <a:cubicBezTo>
                                        <a:pt x="40" y="19"/>
                                        <a:pt x="42" y="20"/>
                                        <a:pt x="43" y="20"/>
                                      </a:cubicBezTo>
                                      <a:cubicBezTo>
                                        <a:pt x="43" y="30"/>
                                        <a:pt x="43" y="30"/>
                                        <a:pt x="43" y="30"/>
                                      </a:cubicBezTo>
                                      <a:cubicBezTo>
                                        <a:pt x="30" y="30"/>
                                        <a:pt x="30" y="30"/>
                                        <a:pt x="30" y="30"/>
                                      </a:cubicBezTo>
                                      <a:lnTo>
                                        <a:pt x="30" y="5"/>
                                      </a:lnTo>
                                      <a:close/>
                                      <a:moveTo>
                                        <a:pt x="30" y="5"/>
                                      </a:moveTo>
                                      <a:cubicBezTo>
                                        <a:pt x="30" y="5"/>
                                        <a:pt x="30" y="5"/>
                                        <a:pt x="30"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6" name="Freeform 14"/>
                              <wps:cNvSpPr>
                                <a:spLocks noEditPoints="1"/>
                              </wps:cNvSpPr>
                              <wps:spPr bwMode="auto">
                                <a:xfrm>
                                  <a:off x="395152" y="362494"/>
                                  <a:ext cx="52705" cy="69215"/>
                                </a:xfrm>
                                <a:custGeom>
                                  <a:avLst/>
                                  <a:gdLst>
                                    <a:gd name="T0" fmla="*/ 13 w 16"/>
                                    <a:gd name="T1" fmla="*/ 0 h 21"/>
                                    <a:gd name="T2" fmla="*/ 3 w 16"/>
                                    <a:gd name="T3" fmla="*/ 0 h 21"/>
                                    <a:gd name="T4" fmla="*/ 0 w 16"/>
                                    <a:gd name="T5" fmla="*/ 3 h 21"/>
                                    <a:gd name="T6" fmla="*/ 0 w 16"/>
                                    <a:gd name="T7" fmla="*/ 18 h 21"/>
                                    <a:gd name="T8" fmla="*/ 3 w 16"/>
                                    <a:gd name="T9" fmla="*/ 21 h 21"/>
                                    <a:gd name="T10" fmla="*/ 13 w 16"/>
                                    <a:gd name="T11" fmla="*/ 21 h 21"/>
                                    <a:gd name="T12" fmla="*/ 16 w 16"/>
                                    <a:gd name="T13" fmla="*/ 18 h 21"/>
                                    <a:gd name="T14" fmla="*/ 16 w 16"/>
                                    <a:gd name="T15" fmla="*/ 3 h 21"/>
                                    <a:gd name="T16" fmla="*/ 13 w 16"/>
                                    <a:gd name="T17" fmla="*/ 0 h 21"/>
                                    <a:gd name="T18" fmla="*/ 11 w 16"/>
                                    <a:gd name="T19" fmla="*/ 16 h 21"/>
                                    <a:gd name="T20" fmla="*/ 5 w 16"/>
                                    <a:gd name="T21" fmla="*/ 16 h 21"/>
                                    <a:gd name="T22" fmla="*/ 5 w 16"/>
                                    <a:gd name="T23" fmla="*/ 6 h 21"/>
                                    <a:gd name="T24" fmla="*/ 11 w 16"/>
                                    <a:gd name="T25" fmla="*/ 6 h 21"/>
                                    <a:gd name="T26" fmla="*/ 11 w 16"/>
                                    <a:gd name="T27" fmla="*/ 16 h 21"/>
                                    <a:gd name="T28" fmla="*/ 11 w 16"/>
                                    <a:gd name="T29" fmla="*/ 16 h 21"/>
                                    <a:gd name="T30" fmla="*/ 11 w 16"/>
                                    <a:gd name="T31"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 h="21">
                                      <a:moveTo>
                                        <a:pt x="13" y="0"/>
                                      </a:moveTo>
                                      <a:cubicBezTo>
                                        <a:pt x="3" y="0"/>
                                        <a:pt x="3" y="0"/>
                                        <a:pt x="3" y="0"/>
                                      </a:cubicBezTo>
                                      <a:cubicBezTo>
                                        <a:pt x="2" y="0"/>
                                        <a:pt x="0" y="2"/>
                                        <a:pt x="0" y="3"/>
                                      </a:cubicBezTo>
                                      <a:cubicBezTo>
                                        <a:pt x="0" y="18"/>
                                        <a:pt x="0" y="18"/>
                                        <a:pt x="0" y="18"/>
                                      </a:cubicBezTo>
                                      <a:cubicBezTo>
                                        <a:pt x="0" y="20"/>
                                        <a:pt x="2" y="21"/>
                                        <a:pt x="3" y="21"/>
                                      </a:cubicBezTo>
                                      <a:cubicBezTo>
                                        <a:pt x="13" y="21"/>
                                        <a:pt x="13" y="21"/>
                                        <a:pt x="13" y="21"/>
                                      </a:cubicBezTo>
                                      <a:cubicBezTo>
                                        <a:pt x="15" y="21"/>
                                        <a:pt x="16" y="20"/>
                                        <a:pt x="16" y="18"/>
                                      </a:cubicBezTo>
                                      <a:cubicBezTo>
                                        <a:pt x="16" y="3"/>
                                        <a:pt x="16" y="3"/>
                                        <a:pt x="16" y="3"/>
                                      </a:cubicBezTo>
                                      <a:cubicBezTo>
                                        <a:pt x="16" y="2"/>
                                        <a:pt x="15" y="0"/>
                                        <a:pt x="13" y="0"/>
                                      </a:cubicBezTo>
                                      <a:close/>
                                      <a:moveTo>
                                        <a:pt x="11" y="16"/>
                                      </a:moveTo>
                                      <a:cubicBezTo>
                                        <a:pt x="5" y="16"/>
                                        <a:pt x="5" y="16"/>
                                        <a:pt x="5" y="16"/>
                                      </a:cubicBezTo>
                                      <a:cubicBezTo>
                                        <a:pt x="5" y="6"/>
                                        <a:pt x="5" y="6"/>
                                        <a:pt x="5" y="6"/>
                                      </a:cubicBezTo>
                                      <a:cubicBezTo>
                                        <a:pt x="11" y="6"/>
                                        <a:pt x="11" y="6"/>
                                        <a:pt x="11" y="6"/>
                                      </a:cubicBezTo>
                                      <a:lnTo>
                                        <a:pt x="11" y="16"/>
                                      </a:lnTo>
                                      <a:close/>
                                      <a:moveTo>
                                        <a:pt x="11" y="16"/>
                                      </a:moveTo>
                                      <a:cubicBezTo>
                                        <a:pt x="11" y="16"/>
                                        <a:pt x="11" y="16"/>
                                        <a:pt x="11" y="1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7" name="Freeform 15"/>
                              <wps:cNvSpPr>
                                <a:spLocks noEditPoints="1"/>
                              </wps:cNvSpPr>
                              <wps:spPr bwMode="auto">
                                <a:xfrm>
                                  <a:off x="395152" y="264523"/>
                                  <a:ext cx="52705" cy="66040"/>
                                </a:xfrm>
                                <a:custGeom>
                                  <a:avLst/>
                                  <a:gdLst>
                                    <a:gd name="T0" fmla="*/ 13 w 16"/>
                                    <a:gd name="T1" fmla="*/ 0 h 20"/>
                                    <a:gd name="T2" fmla="*/ 3 w 16"/>
                                    <a:gd name="T3" fmla="*/ 0 h 20"/>
                                    <a:gd name="T4" fmla="*/ 0 w 16"/>
                                    <a:gd name="T5" fmla="*/ 2 h 20"/>
                                    <a:gd name="T6" fmla="*/ 0 w 16"/>
                                    <a:gd name="T7" fmla="*/ 18 h 20"/>
                                    <a:gd name="T8" fmla="*/ 3 w 16"/>
                                    <a:gd name="T9" fmla="*/ 20 h 20"/>
                                    <a:gd name="T10" fmla="*/ 13 w 16"/>
                                    <a:gd name="T11" fmla="*/ 20 h 20"/>
                                    <a:gd name="T12" fmla="*/ 16 w 16"/>
                                    <a:gd name="T13" fmla="*/ 18 h 20"/>
                                    <a:gd name="T14" fmla="*/ 16 w 16"/>
                                    <a:gd name="T15" fmla="*/ 2 h 20"/>
                                    <a:gd name="T16" fmla="*/ 13 w 16"/>
                                    <a:gd name="T17" fmla="*/ 0 h 20"/>
                                    <a:gd name="T18" fmla="*/ 11 w 16"/>
                                    <a:gd name="T19" fmla="*/ 15 h 20"/>
                                    <a:gd name="T20" fmla="*/ 5 w 16"/>
                                    <a:gd name="T21" fmla="*/ 15 h 20"/>
                                    <a:gd name="T22" fmla="*/ 5 w 16"/>
                                    <a:gd name="T23" fmla="*/ 5 h 20"/>
                                    <a:gd name="T24" fmla="*/ 11 w 16"/>
                                    <a:gd name="T25" fmla="*/ 5 h 20"/>
                                    <a:gd name="T26" fmla="*/ 11 w 16"/>
                                    <a:gd name="T27" fmla="*/ 15 h 20"/>
                                    <a:gd name="T28" fmla="*/ 11 w 16"/>
                                    <a:gd name="T29" fmla="*/ 15 h 20"/>
                                    <a:gd name="T30" fmla="*/ 11 w 16"/>
                                    <a:gd name="T31" fmla="*/ 1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6" h="20">
                                      <a:moveTo>
                                        <a:pt x="13" y="0"/>
                                      </a:moveTo>
                                      <a:cubicBezTo>
                                        <a:pt x="3" y="0"/>
                                        <a:pt x="3" y="0"/>
                                        <a:pt x="3" y="0"/>
                                      </a:cubicBezTo>
                                      <a:cubicBezTo>
                                        <a:pt x="2" y="0"/>
                                        <a:pt x="0" y="1"/>
                                        <a:pt x="0" y="2"/>
                                      </a:cubicBezTo>
                                      <a:cubicBezTo>
                                        <a:pt x="0" y="18"/>
                                        <a:pt x="0" y="18"/>
                                        <a:pt x="0" y="18"/>
                                      </a:cubicBezTo>
                                      <a:cubicBezTo>
                                        <a:pt x="0" y="19"/>
                                        <a:pt x="2" y="20"/>
                                        <a:pt x="3" y="20"/>
                                      </a:cubicBezTo>
                                      <a:cubicBezTo>
                                        <a:pt x="13" y="20"/>
                                        <a:pt x="13" y="20"/>
                                        <a:pt x="13" y="20"/>
                                      </a:cubicBezTo>
                                      <a:cubicBezTo>
                                        <a:pt x="15" y="20"/>
                                        <a:pt x="16" y="19"/>
                                        <a:pt x="16" y="18"/>
                                      </a:cubicBezTo>
                                      <a:cubicBezTo>
                                        <a:pt x="16" y="2"/>
                                        <a:pt x="16" y="2"/>
                                        <a:pt x="16" y="2"/>
                                      </a:cubicBezTo>
                                      <a:cubicBezTo>
                                        <a:pt x="16" y="1"/>
                                        <a:pt x="15" y="0"/>
                                        <a:pt x="13" y="0"/>
                                      </a:cubicBezTo>
                                      <a:close/>
                                      <a:moveTo>
                                        <a:pt x="11" y="15"/>
                                      </a:moveTo>
                                      <a:cubicBezTo>
                                        <a:pt x="5" y="15"/>
                                        <a:pt x="5" y="15"/>
                                        <a:pt x="5" y="15"/>
                                      </a:cubicBezTo>
                                      <a:cubicBezTo>
                                        <a:pt x="5" y="5"/>
                                        <a:pt x="5" y="5"/>
                                        <a:pt x="5" y="5"/>
                                      </a:cubicBezTo>
                                      <a:cubicBezTo>
                                        <a:pt x="11" y="5"/>
                                        <a:pt x="11" y="5"/>
                                        <a:pt x="11" y="5"/>
                                      </a:cubicBezTo>
                                      <a:lnTo>
                                        <a:pt x="11" y="15"/>
                                      </a:lnTo>
                                      <a:close/>
                                      <a:moveTo>
                                        <a:pt x="11" y="15"/>
                                      </a:moveTo>
                                      <a:cubicBezTo>
                                        <a:pt x="11" y="15"/>
                                        <a:pt x="11" y="15"/>
                                        <a:pt x="11" y="1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8" name="Freeform 16"/>
                              <wps:cNvSpPr>
                                <a:spLocks noEditPoints="1"/>
                              </wps:cNvSpPr>
                              <wps:spPr bwMode="auto">
                                <a:xfrm>
                                  <a:off x="68580" y="493123"/>
                                  <a:ext cx="365760" cy="17145"/>
                                </a:xfrm>
                                <a:custGeom>
                                  <a:avLst/>
                                  <a:gdLst>
                                    <a:gd name="T0" fmla="*/ 109 w 112"/>
                                    <a:gd name="T1" fmla="*/ 0 h 5"/>
                                    <a:gd name="T2" fmla="*/ 2 w 112"/>
                                    <a:gd name="T3" fmla="*/ 0 h 5"/>
                                    <a:gd name="T4" fmla="*/ 0 w 112"/>
                                    <a:gd name="T5" fmla="*/ 2 h 5"/>
                                    <a:gd name="T6" fmla="*/ 2 w 112"/>
                                    <a:gd name="T7" fmla="*/ 5 h 5"/>
                                    <a:gd name="T8" fmla="*/ 109 w 112"/>
                                    <a:gd name="T9" fmla="*/ 5 h 5"/>
                                    <a:gd name="T10" fmla="*/ 112 w 112"/>
                                    <a:gd name="T11" fmla="*/ 2 h 5"/>
                                    <a:gd name="T12" fmla="*/ 109 w 112"/>
                                    <a:gd name="T13" fmla="*/ 0 h 5"/>
                                    <a:gd name="T14" fmla="*/ 109 w 112"/>
                                    <a:gd name="T15" fmla="*/ 0 h 5"/>
                                    <a:gd name="T16" fmla="*/ 109 w 112"/>
                                    <a:gd name="T17"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2" h="5">
                                      <a:moveTo>
                                        <a:pt x="109" y="0"/>
                                      </a:moveTo>
                                      <a:cubicBezTo>
                                        <a:pt x="2" y="0"/>
                                        <a:pt x="2" y="0"/>
                                        <a:pt x="2" y="0"/>
                                      </a:cubicBezTo>
                                      <a:cubicBezTo>
                                        <a:pt x="1" y="0"/>
                                        <a:pt x="0" y="1"/>
                                        <a:pt x="0" y="2"/>
                                      </a:cubicBezTo>
                                      <a:cubicBezTo>
                                        <a:pt x="0" y="4"/>
                                        <a:pt x="1" y="5"/>
                                        <a:pt x="2" y="5"/>
                                      </a:cubicBezTo>
                                      <a:cubicBezTo>
                                        <a:pt x="109" y="5"/>
                                        <a:pt x="109" y="5"/>
                                        <a:pt x="109" y="5"/>
                                      </a:cubicBezTo>
                                      <a:cubicBezTo>
                                        <a:pt x="110" y="5"/>
                                        <a:pt x="112" y="4"/>
                                        <a:pt x="112" y="2"/>
                                      </a:cubicBezTo>
                                      <a:cubicBezTo>
                                        <a:pt x="112" y="1"/>
                                        <a:pt x="110" y="0"/>
                                        <a:pt x="109" y="0"/>
                                      </a:cubicBezTo>
                                      <a:close/>
                                      <a:moveTo>
                                        <a:pt x="109" y="0"/>
                                      </a:moveTo>
                                      <a:cubicBezTo>
                                        <a:pt x="109" y="0"/>
                                        <a:pt x="109" y="0"/>
                                        <a:pt x="10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9" name="Freeform 17"/>
                              <wps:cNvSpPr>
                                <a:spLocks noEditPoints="1"/>
                              </wps:cNvSpPr>
                              <wps:spPr bwMode="auto">
                                <a:xfrm>
                                  <a:off x="359229" y="186145"/>
                                  <a:ext cx="140335" cy="322580"/>
                                </a:xfrm>
                                <a:custGeom>
                                  <a:avLst/>
                                  <a:gdLst>
                                    <a:gd name="T0" fmla="*/ 40 w 43"/>
                                    <a:gd name="T1" fmla="*/ 0 h 97"/>
                                    <a:gd name="T2" fmla="*/ 38 w 43"/>
                                    <a:gd name="T3" fmla="*/ 3 h 97"/>
                                    <a:gd name="T4" fmla="*/ 38 w 43"/>
                                    <a:gd name="T5" fmla="*/ 5 h 97"/>
                                    <a:gd name="T6" fmla="*/ 2 w 43"/>
                                    <a:gd name="T7" fmla="*/ 5 h 97"/>
                                    <a:gd name="T8" fmla="*/ 0 w 43"/>
                                    <a:gd name="T9" fmla="*/ 8 h 97"/>
                                    <a:gd name="T10" fmla="*/ 2 w 43"/>
                                    <a:gd name="T11" fmla="*/ 10 h 97"/>
                                    <a:gd name="T12" fmla="*/ 38 w 43"/>
                                    <a:gd name="T13" fmla="*/ 10 h 97"/>
                                    <a:gd name="T14" fmla="*/ 38 w 43"/>
                                    <a:gd name="T15" fmla="*/ 94 h 97"/>
                                    <a:gd name="T16" fmla="*/ 40 w 43"/>
                                    <a:gd name="T17" fmla="*/ 97 h 97"/>
                                    <a:gd name="T18" fmla="*/ 43 w 43"/>
                                    <a:gd name="T19" fmla="*/ 94 h 97"/>
                                    <a:gd name="T20" fmla="*/ 43 w 43"/>
                                    <a:gd name="T21" fmla="*/ 3 h 97"/>
                                    <a:gd name="T22" fmla="*/ 40 w 43"/>
                                    <a:gd name="T23" fmla="*/ 0 h 97"/>
                                    <a:gd name="T24" fmla="*/ 40 w 43"/>
                                    <a:gd name="T25" fmla="*/ 0 h 97"/>
                                    <a:gd name="T26" fmla="*/ 40 w 43"/>
                                    <a:gd name="T27" fmla="*/ 0 h 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97">
                                      <a:moveTo>
                                        <a:pt x="40" y="0"/>
                                      </a:moveTo>
                                      <a:cubicBezTo>
                                        <a:pt x="39" y="0"/>
                                        <a:pt x="38" y="1"/>
                                        <a:pt x="38" y="3"/>
                                      </a:cubicBezTo>
                                      <a:cubicBezTo>
                                        <a:pt x="38" y="5"/>
                                        <a:pt x="38" y="5"/>
                                        <a:pt x="38" y="5"/>
                                      </a:cubicBezTo>
                                      <a:cubicBezTo>
                                        <a:pt x="2" y="5"/>
                                        <a:pt x="2" y="5"/>
                                        <a:pt x="2" y="5"/>
                                      </a:cubicBezTo>
                                      <a:cubicBezTo>
                                        <a:pt x="1" y="5"/>
                                        <a:pt x="0" y="6"/>
                                        <a:pt x="0" y="8"/>
                                      </a:cubicBezTo>
                                      <a:cubicBezTo>
                                        <a:pt x="0" y="9"/>
                                        <a:pt x="1" y="10"/>
                                        <a:pt x="2" y="10"/>
                                      </a:cubicBezTo>
                                      <a:cubicBezTo>
                                        <a:pt x="38" y="10"/>
                                        <a:pt x="38" y="10"/>
                                        <a:pt x="38" y="10"/>
                                      </a:cubicBezTo>
                                      <a:cubicBezTo>
                                        <a:pt x="38" y="94"/>
                                        <a:pt x="38" y="94"/>
                                        <a:pt x="38" y="94"/>
                                      </a:cubicBezTo>
                                      <a:cubicBezTo>
                                        <a:pt x="38" y="96"/>
                                        <a:pt x="39" y="97"/>
                                        <a:pt x="40" y="97"/>
                                      </a:cubicBezTo>
                                      <a:cubicBezTo>
                                        <a:pt x="42" y="97"/>
                                        <a:pt x="43" y="96"/>
                                        <a:pt x="43" y="94"/>
                                      </a:cubicBezTo>
                                      <a:cubicBezTo>
                                        <a:pt x="43" y="3"/>
                                        <a:pt x="43" y="3"/>
                                        <a:pt x="43" y="3"/>
                                      </a:cubicBezTo>
                                      <a:cubicBezTo>
                                        <a:pt x="43" y="1"/>
                                        <a:pt x="42" y="0"/>
                                        <a:pt x="40" y="0"/>
                                      </a:cubicBezTo>
                                      <a:close/>
                                      <a:moveTo>
                                        <a:pt x="40" y="0"/>
                                      </a:moveTo>
                                      <a:cubicBezTo>
                                        <a:pt x="40" y="0"/>
                                        <a:pt x="40" y="0"/>
                                        <a:pt x="4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0" name="Freeform 18"/>
                              <wps:cNvSpPr>
                                <a:spLocks noEditPoints="1"/>
                              </wps:cNvSpPr>
                              <wps:spPr bwMode="auto">
                                <a:xfrm>
                                  <a:off x="267789" y="251460"/>
                                  <a:ext cx="48895" cy="69850"/>
                                </a:xfrm>
                                <a:custGeom>
                                  <a:avLst/>
                                  <a:gdLst>
                                    <a:gd name="T0" fmla="*/ 0 w 15"/>
                                    <a:gd name="T1" fmla="*/ 18 h 21"/>
                                    <a:gd name="T2" fmla="*/ 2 w 15"/>
                                    <a:gd name="T3" fmla="*/ 21 h 21"/>
                                    <a:gd name="T4" fmla="*/ 12 w 15"/>
                                    <a:gd name="T5" fmla="*/ 21 h 21"/>
                                    <a:gd name="T6" fmla="*/ 15 w 15"/>
                                    <a:gd name="T7" fmla="*/ 18 h 21"/>
                                    <a:gd name="T8" fmla="*/ 15 w 15"/>
                                    <a:gd name="T9" fmla="*/ 3 h 21"/>
                                    <a:gd name="T10" fmla="*/ 12 w 15"/>
                                    <a:gd name="T11" fmla="*/ 0 h 21"/>
                                    <a:gd name="T12" fmla="*/ 2 w 15"/>
                                    <a:gd name="T13" fmla="*/ 0 h 21"/>
                                    <a:gd name="T14" fmla="*/ 0 w 15"/>
                                    <a:gd name="T15" fmla="*/ 3 h 21"/>
                                    <a:gd name="T16" fmla="*/ 0 w 15"/>
                                    <a:gd name="T17" fmla="*/ 18 h 21"/>
                                    <a:gd name="T18" fmla="*/ 5 w 15"/>
                                    <a:gd name="T19" fmla="*/ 5 h 21"/>
                                    <a:gd name="T20" fmla="*/ 10 w 15"/>
                                    <a:gd name="T21" fmla="*/ 5 h 21"/>
                                    <a:gd name="T22" fmla="*/ 10 w 15"/>
                                    <a:gd name="T23" fmla="*/ 16 h 21"/>
                                    <a:gd name="T24" fmla="*/ 5 w 15"/>
                                    <a:gd name="T25" fmla="*/ 16 h 21"/>
                                    <a:gd name="T26" fmla="*/ 5 w 15"/>
                                    <a:gd name="T27" fmla="*/ 5 h 21"/>
                                    <a:gd name="T28" fmla="*/ 5 w 15"/>
                                    <a:gd name="T29" fmla="*/ 5 h 21"/>
                                    <a:gd name="T30" fmla="*/ 5 w 15"/>
                                    <a:gd name="T31" fmla="*/ 5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1">
                                      <a:moveTo>
                                        <a:pt x="0" y="18"/>
                                      </a:moveTo>
                                      <a:cubicBezTo>
                                        <a:pt x="0" y="20"/>
                                        <a:pt x="1" y="21"/>
                                        <a:pt x="2" y="21"/>
                                      </a:cubicBezTo>
                                      <a:cubicBezTo>
                                        <a:pt x="12" y="21"/>
                                        <a:pt x="12" y="21"/>
                                        <a:pt x="12" y="21"/>
                                      </a:cubicBezTo>
                                      <a:cubicBezTo>
                                        <a:pt x="14" y="21"/>
                                        <a:pt x="15" y="20"/>
                                        <a:pt x="15" y="18"/>
                                      </a:cubicBezTo>
                                      <a:cubicBezTo>
                                        <a:pt x="15" y="3"/>
                                        <a:pt x="15" y="3"/>
                                        <a:pt x="15" y="3"/>
                                      </a:cubicBezTo>
                                      <a:cubicBezTo>
                                        <a:pt x="15" y="1"/>
                                        <a:pt x="14" y="0"/>
                                        <a:pt x="12" y="0"/>
                                      </a:cubicBezTo>
                                      <a:cubicBezTo>
                                        <a:pt x="2" y="0"/>
                                        <a:pt x="2" y="0"/>
                                        <a:pt x="2" y="0"/>
                                      </a:cubicBezTo>
                                      <a:cubicBezTo>
                                        <a:pt x="1" y="0"/>
                                        <a:pt x="0" y="1"/>
                                        <a:pt x="0" y="3"/>
                                      </a:cubicBezTo>
                                      <a:lnTo>
                                        <a:pt x="0" y="18"/>
                                      </a:lnTo>
                                      <a:close/>
                                      <a:moveTo>
                                        <a:pt x="5" y="5"/>
                                      </a:moveTo>
                                      <a:cubicBezTo>
                                        <a:pt x="10" y="5"/>
                                        <a:pt x="10" y="5"/>
                                        <a:pt x="10" y="5"/>
                                      </a:cubicBezTo>
                                      <a:cubicBezTo>
                                        <a:pt x="10" y="16"/>
                                        <a:pt x="10" y="16"/>
                                        <a:pt x="10" y="16"/>
                                      </a:cubicBezTo>
                                      <a:cubicBezTo>
                                        <a:pt x="5" y="16"/>
                                        <a:pt x="5" y="16"/>
                                        <a:pt x="5" y="16"/>
                                      </a:cubicBezTo>
                                      <a:lnTo>
                                        <a:pt x="5" y="5"/>
                                      </a:lnTo>
                                      <a:close/>
                                      <a:moveTo>
                                        <a:pt x="5" y="5"/>
                                      </a:moveTo>
                                      <a:cubicBezTo>
                                        <a:pt x="5" y="5"/>
                                        <a:pt x="5" y="5"/>
                                        <a:pt x="5"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1" name="Freeform 19"/>
                              <wps:cNvSpPr>
                                <a:spLocks noEditPoints="1"/>
                              </wps:cNvSpPr>
                              <wps:spPr bwMode="auto">
                                <a:xfrm>
                                  <a:off x="0" y="306977"/>
                                  <a:ext cx="85090" cy="202565"/>
                                </a:xfrm>
                                <a:custGeom>
                                  <a:avLst/>
                                  <a:gdLst>
                                    <a:gd name="T0" fmla="*/ 26 w 26"/>
                                    <a:gd name="T1" fmla="*/ 33 h 61"/>
                                    <a:gd name="T2" fmla="*/ 13 w 26"/>
                                    <a:gd name="T3" fmla="*/ 0 h 61"/>
                                    <a:gd name="T4" fmla="*/ 0 w 26"/>
                                    <a:gd name="T5" fmla="*/ 33 h 61"/>
                                    <a:gd name="T6" fmla="*/ 10 w 26"/>
                                    <a:gd name="T7" fmla="*/ 45 h 61"/>
                                    <a:gd name="T8" fmla="*/ 10 w 26"/>
                                    <a:gd name="T9" fmla="*/ 58 h 61"/>
                                    <a:gd name="T10" fmla="*/ 13 w 26"/>
                                    <a:gd name="T11" fmla="*/ 61 h 61"/>
                                    <a:gd name="T12" fmla="*/ 15 w 26"/>
                                    <a:gd name="T13" fmla="*/ 58 h 61"/>
                                    <a:gd name="T14" fmla="*/ 15 w 26"/>
                                    <a:gd name="T15" fmla="*/ 45 h 61"/>
                                    <a:gd name="T16" fmla="*/ 26 w 26"/>
                                    <a:gd name="T17" fmla="*/ 33 h 61"/>
                                    <a:gd name="T18" fmla="*/ 13 w 26"/>
                                    <a:gd name="T19" fmla="*/ 40 h 61"/>
                                    <a:gd name="T20" fmla="*/ 5 w 26"/>
                                    <a:gd name="T21" fmla="*/ 33 h 61"/>
                                    <a:gd name="T22" fmla="*/ 13 w 26"/>
                                    <a:gd name="T23" fmla="*/ 5 h 61"/>
                                    <a:gd name="T24" fmla="*/ 21 w 26"/>
                                    <a:gd name="T25" fmla="*/ 33 h 61"/>
                                    <a:gd name="T26" fmla="*/ 13 w 26"/>
                                    <a:gd name="T27" fmla="*/ 40 h 61"/>
                                    <a:gd name="T28" fmla="*/ 13 w 26"/>
                                    <a:gd name="T29" fmla="*/ 40 h 61"/>
                                    <a:gd name="T30" fmla="*/ 13 w 26"/>
                                    <a:gd name="T31" fmla="*/ 4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 h="61">
                                      <a:moveTo>
                                        <a:pt x="26" y="33"/>
                                      </a:moveTo>
                                      <a:cubicBezTo>
                                        <a:pt x="26" y="32"/>
                                        <a:pt x="25" y="0"/>
                                        <a:pt x="13" y="0"/>
                                      </a:cubicBezTo>
                                      <a:cubicBezTo>
                                        <a:pt x="0" y="0"/>
                                        <a:pt x="0" y="32"/>
                                        <a:pt x="0" y="33"/>
                                      </a:cubicBezTo>
                                      <a:cubicBezTo>
                                        <a:pt x="0" y="39"/>
                                        <a:pt x="5" y="44"/>
                                        <a:pt x="10" y="45"/>
                                      </a:cubicBezTo>
                                      <a:cubicBezTo>
                                        <a:pt x="10" y="58"/>
                                        <a:pt x="10" y="58"/>
                                        <a:pt x="10" y="58"/>
                                      </a:cubicBezTo>
                                      <a:cubicBezTo>
                                        <a:pt x="10" y="60"/>
                                        <a:pt x="12" y="61"/>
                                        <a:pt x="13" y="61"/>
                                      </a:cubicBezTo>
                                      <a:cubicBezTo>
                                        <a:pt x="14" y="61"/>
                                        <a:pt x="15" y="60"/>
                                        <a:pt x="15" y="58"/>
                                      </a:cubicBezTo>
                                      <a:cubicBezTo>
                                        <a:pt x="15" y="45"/>
                                        <a:pt x="15" y="45"/>
                                        <a:pt x="15" y="45"/>
                                      </a:cubicBezTo>
                                      <a:cubicBezTo>
                                        <a:pt x="21" y="44"/>
                                        <a:pt x="26" y="39"/>
                                        <a:pt x="26" y="33"/>
                                      </a:cubicBezTo>
                                      <a:close/>
                                      <a:moveTo>
                                        <a:pt x="13" y="40"/>
                                      </a:moveTo>
                                      <a:cubicBezTo>
                                        <a:pt x="9" y="40"/>
                                        <a:pt x="5" y="37"/>
                                        <a:pt x="5" y="33"/>
                                      </a:cubicBezTo>
                                      <a:cubicBezTo>
                                        <a:pt x="5" y="20"/>
                                        <a:pt x="9" y="5"/>
                                        <a:pt x="13" y="5"/>
                                      </a:cubicBezTo>
                                      <a:cubicBezTo>
                                        <a:pt x="17" y="5"/>
                                        <a:pt x="21" y="20"/>
                                        <a:pt x="21" y="33"/>
                                      </a:cubicBezTo>
                                      <a:cubicBezTo>
                                        <a:pt x="21" y="37"/>
                                        <a:pt x="17" y="40"/>
                                        <a:pt x="13" y="40"/>
                                      </a:cubicBezTo>
                                      <a:close/>
                                      <a:moveTo>
                                        <a:pt x="13" y="40"/>
                                      </a:moveTo>
                                      <a:cubicBezTo>
                                        <a:pt x="13" y="40"/>
                                        <a:pt x="13" y="40"/>
                                        <a:pt x="13" y="4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2" name="Freeform 20"/>
                              <wps:cNvSpPr>
                                <a:spLocks noEditPoints="1"/>
                              </wps:cNvSpPr>
                              <wps:spPr bwMode="auto">
                                <a:xfrm>
                                  <a:off x="346166" y="140425"/>
                                  <a:ext cx="16510" cy="325755"/>
                                </a:xfrm>
                                <a:custGeom>
                                  <a:avLst/>
                                  <a:gdLst>
                                    <a:gd name="T0" fmla="*/ 5 w 5"/>
                                    <a:gd name="T1" fmla="*/ 95 h 98"/>
                                    <a:gd name="T2" fmla="*/ 5 w 5"/>
                                    <a:gd name="T3" fmla="*/ 3 h 98"/>
                                    <a:gd name="T4" fmla="*/ 3 w 5"/>
                                    <a:gd name="T5" fmla="*/ 0 h 98"/>
                                    <a:gd name="T6" fmla="*/ 0 w 5"/>
                                    <a:gd name="T7" fmla="*/ 3 h 98"/>
                                    <a:gd name="T8" fmla="*/ 0 w 5"/>
                                    <a:gd name="T9" fmla="*/ 95 h 98"/>
                                    <a:gd name="T10" fmla="*/ 3 w 5"/>
                                    <a:gd name="T11" fmla="*/ 98 h 98"/>
                                    <a:gd name="T12" fmla="*/ 5 w 5"/>
                                    <a:gd name="T13" fmla="*/ 95 h 98"/>
                                    <a:gd name="T14" fmla="*/ 5 w 5"/>
                                    <a:gd name="T15" fmla="*/ 95 h 98"/>
                                    <a:gd name="T16" fmla="*/ 5 w 5"/>
                                    <a:gd name="T17" fmla="*/ 95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98">
                                      <a:moveTo>
                                        <a:pt x="5" y="95"/>
                                      </a:moveTo>
                                      <a:cubicBezTo>
                                        <a:pt x="5" y="3"/>
                                        <a:pt x="5" y="3"/>
                                        <a:pt x="5" y="3"/>
                                      </a:cubicBezTo>
                                      <a:cubicBezTo>
                                        <a:pt x="5" y="1"/>
                                        <a:pt x="4" y="0"/>
                                        <a:pt x="3" y="0"/>
                                      </a:cubicBezTo>
                                      <a:cubicBezTo>
                                        <a:pt x="1" y="0"/>
                                        <a:pt x="0" y="1"/>
                                        <a:pt x="0" y="3"/>
                                      </a:cubicBezTo>
                                      <a:cubicBezTo>
                                        <a:pt x="0" y="95"/>
                                        <a:pt x="0" y="95"/>
                                        <a:pt x="0" y="95"/>
                                      </a:cubicBezTo>
                                      <a:cubicBezTo>
                                        <a:pt x="0" y="97"/>
                                        <a:pt x="1" y="98"/>
                                        <a:pt x="3" y="98"/>
                                      </a:cubicBezTo>
                                      <a:cubicBezTo>
                                        <a:pt x="4" y="98"/>
                                        <a:pt x="5" y="97"/>
                                        <a:pt x="5" y="95"/>
                                      </a:cubicBezTo>
                                      <a:close/>
                                      <a:moveTo>
                                        <a:pt x="5" y="95"/>
                                      </a:moveTo>
                                      <a:cubicBezTo>
                                        <a:pt x="5" y="95"/>
                                        <a:pt x="5" y="95"/>
                                        <a:pt x="5" y="9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3" name="Freeform 21"/>
                              <wps:cNvSpPr>
                                <a:spLocks noEditPoints="1"/>
                              </wps:cNvSpPr>
                              <wps:spPr bwMode="auto">
                                <a:xfrm>
                                  <a:off x="267789" y="153488"/>
                                  <a:ext cx="48895" cy="66675"/>
                                </a:xfrm>
                                <a:custGeom>
                                  <a:avLst/>
                                  <a:gdLst>
                                    <a:gd name="T0" fmla="*/ 2 w 15"/>
                                    <a:gd name="T1" fmla="*/ 20 h 20"/>
                                    <a:gd name="T2" fmla="*/ 12 w 15"/>
                                    <a:gd name="T3" fmla="*/ 20 h 20"/>
                                    <a:gd name="T4" fmla="*/ 15 w 15"/>
                                    <a:gd name="T5" fmla="*/ 18 h 20"/>
                                    <a:gd name="T6" fmla="*/ 15 w 15"/>
                                    <a:gd name="T7" fmla="*/ 2 h 20"/>
                                    <a:gd name="T8" fmla="*/ 12 w 15"/>
                                    <a:gd name="T9" fmla="*/ 0 h 20"/>
                                    <a:gd name="T10" fmla="*/ 2 w 15"/>
                                    <a:gd name="T11" fmla="*/ 0 h 20"/>
                                    <a:gd name="T12" fmla="*/ 0 w 15"/>
                                    <a:gd name="T13" fmla="*/ 2 h 20"/>
                                    <a:gd name="T14" fmla="*/ 0 w 15"/>
                                    <a:gd name="T15" fmla="*/ 18 h 20"/>
                                    <a:gd name="T16" fmla="*/ 2 w 15"/>
                                    <a:gd name="T17" fmla="*/ 20 h 20"/>
                                    <a:gd name="T18" fmla="*/ 5 w 15"/>
                                    <a:gd name="T19" fmla="*/ 5 h 20"/>
                                    <a:gd name="T20" fmla="*/ 10 w 15"/>
                                    <a:gd name="T21" fmla="*/ 5 h 20"/>
                                    <a:gd name="T22" fmla="*/ 10 w 15"/>
                                    <a:gd name="T23" fmla="*/ 15 h 20"/>
                                    <a:gd name="T24" fmla="*/ 5 w 15"/>
                                    <a:gd name="T25" fmla="*/ 15 h 20"/>
                                    <a:gd name="T26" fmla="*/ 5 w 15"/>
                                    <a:gd name="T27" fmla="*/ 5 h 20"/>
                                    <a:gd name="T28" fmla="*/ 5 w 15"/>
                                    <a:gd name="T29" fmla="*/ 5 h 20"/>
                                    <a:gd name="T30" fmla="*/ 5 w 15"/>
                                    <a:gd name="T31" fmla="*/ 5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0">
                                      <a:moveTo>
                                        <a:pt x="2" y="20"/>
                                      </a:moveTo>
                                      <a:cubicBezTo>
                                        <a:pt x="12" y="20"/>
                                        <a:pt x="12" y="20"/>
                                        <a:pt x="12" y="20"/>
                                      </a:cubicBezTo>
                                      <a:cubicBezTo>
                                        <a:pt x="14" y="20"/>
                                        <a:pt x="15" y="19"/>
                                        <a:pt x="15" y="18"/>
                                      </a:cubicBezTo>
                                      <a:cubicBezTo>
                                        <a:pt x="15" y="2"/>
                                        <a:pt x="15" y="2"/>
                                        <a:pt x="15" y="2"/>
                                      </a:cubicBezTo>
                                      <a:cubicBezTo>
                                        <a:pt x="15" y="1"/>
                                        <a:pt x="14" y="0"/>
                                        <a:pt x="12" y="0"/>
                                      </a:cubicBezTo>
                                      <a:cubicBezTo>
                                        <a:pt x="2" y="0"/>
                                        <a:pt x="2" y="0"/>
                                        <a:pt x="2" y="0"/>
                                      </a:cubicBezTo>
                                      <a:cubicBezTo>
                                        <a:pt x="1" y="0"/>
                                        <a:pt x="0" y="1"/>
                                        <a:pt x="0" y="2"/>
                                      </a:cubicBezTo>
                                      <a:cubicBezTo>
                                        <a:pt x="0" y="18"/>
                                        <a:pt x="0" y="18"/>
                                        <a:pt x="0" y="18"/>
                                      </a:cubicBezTo>
                                      <a:cubicBezTo>
                                        <a:pt x="0" y="19"/>
                                        <a:pt x="1" y="20"/>
                                        <a:pt x="2" y="20"/>
                                      </a:cubicBezTo>
                                      <a:close/>
                                      <a:moveTo>
                                        <a:pt x="5" y="5"/>
                                      </a:moveTo>
                                      <a:cubicBezTo>
                                        <a:pt x="10" y="5"/>
                                        <a:pt x="10" y="5"/>
                                        <a:pt x="10" y="5"/>
                                      </a:cubicBezTo>
                                      <a:cubicBezTo>
                                        <a:pt x="10" y="15"/>
                                        <a:pt x="10" y="15"/>
                                        <a:pt x="10" y="15"/>
                                      </a:cubicBezTo>
                                      <a:cubicBezTo>
                                        <a:pt x="5" y="15"/>
                                        <a:pt x="5" y="15"/>
                                        <a:pt x="5" y="15"/>
                                      </a:cubicBezTo>
                                      <a:lnTo>
                                        <a:pt x="5" y="5"/>
                                      </a:lnTo>
                                      <a:close/>
                                      <a:moveTo>
                                        <a:pt x="5" y="5"/>
                                      </a:moveTo>
                                      <a:cubicBezTo>
                                        <a:pt x="5" y="5"/>
                                        <a:pt x="5" y="5"/>
                                        <a:pt x="5"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4" name="Freeform 22"/>
                              <wps:cNvSpPr>
                                <a:spLocks/>
                              </wps:cNvSpPr>
                              <wps:spPr bwMode="auto">
                                <a:xfrm>
                                  <a:off x="0" y="186145"/>
                                  <a:ext cx="146685" cy="103505"/>
                                </a:xfrm>
                                <a:custGeom>
                                  <a:avLst/>
                                  <a:gdLst>
                                    <a:gd name="T0" fmla="*/ 5 w 45"/>
                                    <a:gd name="T1" fmla="*/ 31 h 31"/>
                                    <a:gd name="T2" fmla="*/ 5 w 45"/>
                                    <a:gd name="T3" fmla="*/ 10 h 31"/>
                                    <a:gd name="T4" fmla="*/ 42 w 45"/>
                                    <a:gd name="T5" fmla="*/ 10 h 31"/>
                                    <a:gd name="T6" fmla="*/ 45 w 45"/>
                                    <a:gd name="T7" fmla="*/ 8 h 31"/>
                                    <a:gd name="T8" fmla="*/ 42 w 45"/>
                                    <a:gd name="T9" fmla="*/ 5 h 31"/>
                                    <a:gd name="T10" fmla="*/ 5 w 45"/>
                                    <a:gd name="T11" fmla="*/ 5 h 31"/>
                                    <a:gd name="T12" fmla="*/ 5 w 45"/>
                                    <a:gd name="T13" fmla="*/ 3 h 31"/>
                                    <a:gd name="T14" fmla="*/ 3 w 45"/>
                                    <a:gd name="T15" fmla="*/ 0 h 31"/>
                                    <a:gd name="T16" fmla="*/ 0 w 45"/>
                                    <a:gd name="T17" fmla="*/ 3 h 31"/>
                                    <a:gd name="T18" fmla="*/ 0 w 45"/>
                                    <a:gd name="T19"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31">
                                      <a:moveTo>
                                        <a:pt x="5" y="31"/>
                                      </a:moveTo>
                                      <a:cubicBezTo>
                                        <a:pt x="5" y="10"/>
                                        <a:pt x="5" y="10"/>
                                        <a:pt x="5" y="10"/>
                                      </a:cubicBezTo>
                                      <a:cubicBezTo>
                                        <a:pt x="42" y="10"/>
                                        <a:pt x="42" y="10"/>
                                        <a:pt x="42" y="10"/>
                                      </a:cubicBezTo>
                                      <a:cubicBezTo>
                                        <a:pt x="44" y="10"/>
                                        <a:pt x="45" y="9"/>
                                        <a:pt x="45" y="8"/>
                                      </a:cubicBezTo>
                                      <a:cubicBezTo>
                                        <a:pt x="45" y="6"/>
                                        <a:pt x="44" y="5"/>
                                        <a:pt x="42" y="5"/>
                                      </a:cubicBezTo>
                                      <a:cubicBezTo>
                                        <a:pt x="5" y="5"/>
                                        <a:pt x="5" y="5"/>
                                        <a:pt x="5" y="5"/>
                                      </a:cubicBezTo>
                                      <a:cubicBezTo>
                                        <a:pt x="5" y="3"/>
                                        <a:pt x="5" y="3"/>
                                        <a:pt x="5" y="3"/>
                                      </a:cubicBezTo>
                                      <a:cubicBezTo>
                                        <a:pt x="5" y="1"/>
                                        <a:pt x="4" y="0"/>
                                        <a:pt x="3" y="0"/>
                                      </a:cubicBezTo>
                                      <a:cubicBezTo>
                                        <a:pt x="1" y="0"/>
                                        <a:pt x="0" y="1"/>
                                        <a:pt x="0" y="3"/>
                                      </a:cubicBezTo>
                                      <a:cubicBezTo>
                                        <a:pt x="0" y="31"/>
                                        <a:pt x="0" y="31"/>
                                        <a:pt x="0" y="3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23C22DA" id="Group 14699" o:spid="_x0000_s1026" style="position:absolute;margin-left:396.9pt;margin-top:10.15pt;width:39.35pt;height:40.2pt;z-index:251678720" coordsize="499564,510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">
                      <v:shape id="Freeform 8" o:spid="_x0000_s1027" style="position:absolute;left:182880;top:251460;width:48895;height:69850;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" path="m,18v,2,1,3,3,3c13,21,13,21,13,21v1,,2,-1,2,-3c15,3,15,3,15,3,15,1,14,,13,,3,,3,,3,,1,,,1,,3l,18xm5,5v5,,5,,5,c10,16,10,16,10,16v-5,,-5,,-5,l5,5xm5,5v,,,,,e" filled="f" stroked="f">
                        <v:path arrowok="t" o:connecttype="custom" o:connectlocs="0,59871;9779,69850;42376,69850;48895,59871;48895,9979;42376,0;9779,0;0,9979;0,59871;16298,16631;32597,16631;32597,53219;16298,53219;16298,16631;16298,16631;16298,16631" o:connectangles="0,0,0,0,0,0,0,0,0,0,0,0,0,0,0,0"/>
                        <o:lock v:ext="edit" verticies="t"/>
                      </v:shape>
                      <v:shape id="Freeform 9" o:spid="_x0000_s1028" style="position:absolute;left:182880;top:153488;width:48895;height:66675;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" path="m3,20v10,,10,,10,c14,20,15,19,15,18,15,2,15,2,15,2,15,1,14,,13,,3,,3,,3,,1,,,1,,2,,18,,18,,18v,1,1,2,3,2xm5,5v5,,5,,5,c10,15,10,15,10,15v-5,,-5,,-5,l5,5xm5,5v,,,,,e" filled="f" stroked="f">
                        <v:path arrowok="t" o:connecttype="custom" o:connectlocs="9779,66675;42376,66675;48895,60008;48895,6668;42376,0;9779,0;0,6668;0,60008;9779,66675;16298,16669;32597,16669;32597,50006;16298,50006;16298,16669;16298,16669;16298,16669" o:connectangles="0,0,0,0,0,0,0,0,0,0,0,0,0,0,0,0"/>
                        <o:lock v:ext="edit" verticies="t"/>
                      </v:shape>
                      <v:shape id="Freeform 10" o:spid="_x0000_s1029" style="position:absolute;left:114300;width:271145;height:162560;visibility:visible;mso-wrap-style:square;v-text-anchor:top" coordsize="8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" path="m5,48c42,26,42,26,42,26,78,48,78,48,78,48v1,,1,,2,c81,48,81,48,82,47v1,-1,,-3,-1,-3c44,21,44,21,44,21,44,5,44,5,44,5v13,,13,,13,c57,10,57,10,57,10v-14,,-14,,-14,c42,10,41,11,41,13v,1,1,2,2,2c59,15,59,15,59,15v2,,3,-1,3,-2c62,3,62,3,62,3,62,1,61,,59,,42,,42,,42,,40,,39,1,39,3v,18,,18,,18c2,44,2,44,2,44,1,44,,46,1,47v1,1,2,2,4,1xm5,48v,,,,,e" filled="f" stroked="f">
                        <v:path arrowok="t" o:connecttype="custom" o:connectlocs="16334,159242;137206,86256;254811,159242;261345,159242;267878,155925;264611,145972;143740,69669;143740,16588;186208,16588;186208,33176;140473,33176;133939,43128;140473,49763;192742,49763;202542,43128;202542,9953;192742,0;137206,0;127405,9953;127405,69669;6534,145972;3267,155925;16334,159242;16334,159242;16334,159242" o:connectangles="0,0,0,0,0,0,0,0,0,0,0,0,0,0,0,0,0,0,0,0,0,0,0,0,0"/>
                        <o:lock v:ext="edit" verticies="t"/>
                      </v:shape>
                      <v:shape id="Freeform 11" o:spid="_x0000_s1030" style="position:absolute;left:48986;top:251460;width:52070;height:69850;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" path="m13,21v2,,3,-1,3,-3c16,3,16,3,16,3,16,1,15,,13,,3,,3,,3,,2,,,1,,3,,8,,8,,8v,1,2,3,3,3c4,11,6,9,6,8,6,5,6,5,6,5v5,,5,,5,c11,18,11,18,11,18v,2,1,3,2,3xm13,21v,,,,,e" filled="f" stroked="f">
                        <v:path arrowok="t" o:connecttype="custom" o:connectlocs="42307,69850;52070,59871;52070,9979;42307,0;9763,0;0,9979;0,26610;9763,36588;19526,26610;19526,16631;35798,16631;35798,59871;42307,69850;42307,69850;42307,69850" o:connectangles="0,0,0,0,0,0,0,0,0,0,0,0,0,0,0"/>
                        <o:lock v:ext="edit" verticies="t"/>
                      </v:shape>
                      <v:shape id="Freeform 12" o:spid="_x0000_s1031" style="position:absolute;left:133894;top:140425;width:16510;height:328930;visibility:visible;mso-wrap-style:square;v-text-anchor:top" coordsize="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" path="m5,97c5,3,5,3,5,3,5,1,4,,2,,1,,,1,,3,,97,,97,,97v,1,1,2,2,2c4,99,5,98,5,97xm5,97v,,,,,e" filled="f" stroked="f">
                        <v:path arrowok="t" o:connecttype="custom" o:connectlocs="16510,322285;16510,9968;6604,0;0,9968;0,322285;6604,328930;16510,322285;16510,322285;16510,322285" o:connectangles="0,0,0,0,0,0,0,0,0"/>
                        <o:lock v:ext="edit" verticies="t"/>
                      </v:shape>
                      <v:shape id="Freeform 13" o:spid="_x0000_s1032" style="position:absolute;left:97972;top:355963;width:297180;height:119380;visibility:visible;mso-wrap-style:square;v-text-anchor:top" coordsize="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" path="m2,36v87,,87,,87,c90,36,91,34,91,33v,-1,-1,-3,-2,-3c66,30,66,30,66,30,66,5,66,5,66,5v2,,2,,2,c70,5,71,4,71,2,71,1,70,,68,,23,,23,,23,,21,,20,1,20,2v,2,1,3,3,3c25,5,25,5,25,5v,25,,25,,25c2,30,2,30,2,30,1,30,,32,,33v,1,1,3,2,3xm48,20v2,,3,-1,3,-2c51,16,50,15,48,15,48,5,48,5,48,5v13,,13,,13,c61,30,61,30,61,30v-13,,-13,,-13,l48,20xm30,5v13,,13,,13,c43,15,43,15,43,15v-1,,-3,1,-3,3c40,19,42,20,43,20v,10,,10,,10c30,30,30,30,30,30l30,5xm30,5v,,,,,e" filled="f" stroked="f">
                        <v:path arrowok="t" o:connecttype="custom" o:connectlocs="6531,119380;290649,119380;297180,109432;290649,99483;215537,99483;215537,16581;222069,16581;231866,6632;222069,0;75111,0;65314,6632;75111,16581;81643,16581;81643,99483;6531,99483;0,109432;6531,119380;156754,66322;166551,59690;156754,49742;156754,16581;199209,16581;199209,99483;156754,99483;156754,66322;97971,16581;140426,16581;140426,49742;130629,59690;140426,66322;140426,99483;97971,99483;97971,16581;97971,16581;97971,16581" o:connectangles="0,0,0,0,0,0,0,0,0,0,0,0,0,0,0,0,0,0,0,0,0,0,0,0,0,0,0,0,0,0,0,0,0,0,0"/>
                        <o:lock v:ext="edit" verticies="t"/>
                      </v:shape>
                      <v:shape id="Freeform 14" o:spid="_x0000_s1033" style="position:absolute;left:395152;top:362494;width:52705;height:69215;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" path="m13,c3,,3,,3,,2,,,2,,3,,18,,18,,18v,2,2,3,3,3c13,21,13,21,13,21v2,,3,-1,3,-3c16,3,16,3,16,3,16,2,15,,13,xm11,16v-6,,-6,,-6,c5,6,5,6,5,6v6,,6,,6,l11,16xm11,16v,,,,,e" filled="f" stroked="f">
                        <v:path arrowok="t" o:connecttype="custom" o:connectlocs="42823,0;9882,0;0,9888;0,59327;9882,69215;42823,69215;52705,59327;52705,9888;42823,0;36235,52735;16470,52735;16470,19776;36235,19776;36235,52735;36235,52735;36235,52735" o:connectangles="0,0,0,0,0,0,0,0,0,0,0,0,0,0,0,0"/>
                        <o:lock v:ext="edit" verticies="t"/>
                      </v:shape>
                      <v:shape id="Freeform 15" o:spid="_x0000_s1034" style="position:absolute;left:395152;top:264523;width:52705;height:66040;visibility:visible;mso-wrap-style:square;v-text-anchor:top" coordsize="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" path="m13,c3,,3,,3,,2,,,1,,2,,18,,18,,18v,1,2,2,3,2c13,20,13,20,13,20v2,,3,-1,3,-2c16,2,16,2,16,2,16,1,15,,13,xm11,15v-6,,-6,,-6,c5,5,5,5,5,5v6,,6,,6,l11,15xm11,15v,,,,,e" filled="f" stroked="f">
                        <v:path arrowok="t" o:connecttype="custom" o:connectlocs="42823,0;9882,0;0,6604;0,59436;9882,66040;42823,66040;52705,59436;52705,6604;42823,0;36235,49530;16470,49530;16470,16510;36235,16510;36235,49530;36235,49530;36235,49530" o:connectangles="0,0,0,0,0,0,0,0,0,0,0,0,0,0,0,0"/>
                        <o:lock v:ext="edit" verticies="t"/>
                      </v:shape>
                      <v:shape id="Freeform 16" o:spid="_x0000_s1035" style="position:absolute;left:68580;top:493123;width:365760;height:17145;visibility:visible;mso-wrap-style:square;v-text-anchor:top" coordsize="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" path="m109,c2,,2,,2,,1,,,1,,2,,4,1,5,2,5v107,,107,,107,c110,5,112,4,112,2,112,1,110,,109,xm109,v,,,,,e" filled="f" stroked="f">
                        <v:path arrowok="t" o:connecttype="custom" o:connectlocs="355963,0;6531,0;0,6858;6531,17145;355963,17145;365760,6858;355963,0;355963,0;355963,0" o:connectangles="0,0,0,0,0,0,0,0,0"/>
                        <o:lock v:ext="edit" verticies="t"/>
                      </v:shape>
                      <v:shape id="Freeform 17" o:spid="_x0000_s1036" style="position:absolute;left:359229;top:186145;width:140335;height:322580;visibility:visible;mso-wrap-style:square;v-text-anchor:top" coordsize="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" path="m40,c39,,38,1,38,3v,2,,2,,2c2,5,2,5,2,5,1,5,,6,,8v,1,1,2,2,2c38,10,38,10,38,10v,84,,84,,84c38,96,39,97,40,97v2,,3,-1,3,-3c43,3,43,3,43,3,43,1,42,,40,xm40,v,,,,,e" filled="f" stroked="f">
                        <v:path arrowok="t" o:connecttype="custom" o:connectlocs="130544,0;124017,9977;124017,16628;6527,16628;0,26605;6527,33256;124017,33256;124017,312603;130544,322580;140335,312603;140335,9977;130544,0;130544,0;130544,0" o:connectangles="0,0,0,0,0,0,0,0,0,0,0,0,0,0"/>
                        <o:lock v:ext="edit" verticies="t"/>
                      </v:shape>
                      <v:shape id="Freeform 18" o:spid="_x0000_s1037" style="position:absolute;left:267789;top:251460;width:48895;height:69850;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" path="m,18v,2,1,3,2,3c12,21,12,21,12,21v2,,3,-1,3,-3c15,3,15,3,15,3,15,1,14,,12,,2,,2,,2,,1,,,1,,3l,18xm5,5v5,,5,,5,c10,16,10,16,10,16v-5,,-5,,-5,l5,5xm5,5v,,,,,e" filled="f" stroked="f">
                        <v:path arrowok="t" o:connecttype="custom" o:connectlocs="0,59871;6519,69850;39116,69850;48895,59871;48895,9979;39116,0;6519,0;0,9979;0,59871;16298,16631;32597,16631;32597,53219;16298,53219;16298,16631;16298,16631;16298,16631" o:connectangles="0,0,0,0,0,0,0,0,0,0,0,0,0,0,0,0"/>
                        <o:lock v:ext="edit" verticies="t"/>
                      </v:shape>
                      <v:shape id="Freeform 19" o:spid="_x0000_s1038" style="position:absolute;top:306977;width:85090;height:202565;visibility:visible;mso-wrap-style:square;v-text-anchor:top" coordsize="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" path="m26,33c26,32,25,,13,,,,,32,,33v,6,5,11,10,12c10,58,10,58,10,58v,2,2,3,3,3c14,61,15,60,15,58v,-13,,-13,,-13c21,44,26,39,26,33xm13,40c9,40,5,37,5,33,5,20,9,5,13,5v4,,8,15,8,28c21,37,17,40,13,40xm13,40v,,,,,e" filled="f" stroked="f">
                        <v:path arrowok="t" o:connecttype="custom" o:connectlocs="85090,109584;42545,0;0,109584;32727,149433;32727,192603;42545,202565;49090,192603;49090,149433;85090,109584;42545,132830;16363,109584;42545,16604;68727,109584;42545,132830;42545,132830;42545,132830" o:connectangles="0,0,0,0,0,0,0,0,0,0,0,0,0,0,0,0"/>
                        <o:lock v:ext="edit" verticies="t"/>
                      </v:shape>
                      <v:shape id="Freeform 20" o:spid="_x0000_s1039" style="position:absolute;left:346166;top:140425;width:16510;height:325755;visibility:visible;mso-wrap-style:square;v-text-anchor:top" coordsize="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" path="m5,95c5,3,5,3,5,3,5,1,4,,3,,1,,,1,,3,,95,,95,,95v,2,1,3,3,3c4,98,5,97,5,95xm5,95v,,,,,e" filled="f" stroked="f">
                        <v:path arrowok="t" o:connecttype="custom" o:connectlocs="16510,315783;16510,9972;9906,0;0,9972;0,315783;9906,325755;16510,315783;16510,315783;16510,315783" o:connectangles="0,0,0,0,0,0,0,0,0"/>
                        <o:lock v:ext="edit" verticies="t"/>
                      </v:shape>
                      <v:shape id="Freeform 21" o:spid="_x0000_s1040" style="position:absolute;left:267789;top:153488;width:48895;height:66675;visibility:visible;mso-wrap-style:square;v-text-anchor:top" coordsize="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" path="m2,20v10,,10,,10,c14,20,15,19,15,18,15,2,15,2,15,2,15,1,14,,12,,2,,2,,2,,1,,,1,,2,,18,,18,,18v,1,1,2,2,2xm5,5v5,,5,,5,c10,15,10,15,10,15v-5,,-5,,-5,l5,5xm5,5v,,,,,e" filled="f" stroked="f">
                        <v:path arrowok="t" o:connecttype="custom" o:connectlocs="6519,66675;39116,66675;48895,60008;48895,6668;39116,0;6519,0;0,6668;0,60008;6519,66675;16298,16669;32597,16669;32597,50006;16298,50006;16298,16669;16298,16669;16298,16669" o:connectangles="0,0,0,0,0,0,0,0,0,0,0,0,0,0,0,0"/>
                        <o:lock v:ext="edit" verticies="t"/>
                      </v:shape>
                      <v:shape id="Freeform 22" o:spid="_x0000_s1041" style="position:absolute;top:186145;width:146685;height:103505;visibility:visible;mso-wrap-style:square;v-text-anchor:top" coordsize="4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" path="m5,31c5,10,5,10,5,10v37,,37,,37,c44,10,45,9,45,8,45,6,44,5,42,5,5,5,5,5,5,5,5,3,5,3,5,3,5,1,4,,3,,1,,,1,,3,,31,,31,,31e" filled="f" stroked="f">
                        <v:path arrowok="t" o:connecttype="custom" o:connectlocs="16298,103505;16298,33389;136906,33389;146685,26711;136906,16694;16298,16694;16298,10017;9779,0;0,10017;0,103505" o:connectangles="0,0,0,0,0,0,0,0,0,0"/>
                      </v:shape>
                      <w10:wrap type="square"/>
                    </v:group>
                  </w:pict>
                </mc:Fallback>
              </mc:AlternateContent>
            </w:r>
            <w:r w:rsidRPr="00A04E56">
              <w:rPr>
                <w:rFonts w:eastAsia="Times New Roman"/>
                <w:color w:val="243F60"/>
                <w:sz w:val="22"/>
                <w:szCs w:val="24"/>
              </w:rPr>
              <w:t>By investing in education and health</w:t>
            </w:r>
          </w:p>
          <w:p w14:paraId="04B7CBF0" w14:textId="77777777" w:rsidR="006D299D" w:rsidRPr="00A04E56" w:rsidRDefault="006D299D" w:rsidP="006D299D">
            <w:pPr>
              <w:numPr>
                <w:ilvl w:val="0"/>
                <w:numId w:val="80"/>
              </w:numPr>
              <w:spacing w:after="200" w:line="276" w:lineRule="auto"/>
              <w:rPr>
                <w:sz w:val="18"/>
              </w:rPr>
            </w:pPr>
            <w:r w:rsidRPr="00A04E56">
              <w:rPr>
                <w:sz w:val="18"/>
              </w:rPr>
              <w:t>Cohesion policy invests in social infrastructure:</w:t>
            </w:r>
          </w:p>
          <w:p w14:paraId="1A17749B" w14:textId="4E97A244" w:rsidR="006D299D" w:rsidRPr="00A04E56" w:rsidRDefault="006D299D" w:rsidP="00107DA0">
            <w:pPr>
              <w:numPr>
                <w:ilvl w:val="0"/>
                <w:numId w:val="93"/>
              </w:numPr>
              <w:spacing w:after="200" w:line="276" w:lineRule="auto"/>
              <w:rPr>
                <w:sz w:val="18"/>
              </w:rPr>
            </w:pPr>
            <w:r w:rsidRPr="00A04E56">
              <w:rPr>
                <w:sz w:val="18"/>
              </w:rPr>
              <w:t>1.8 million children benefit from new or modernised schools and childcare facilities</w:t>
            </w:r>
            <w:r w:rsidR="00CD0119">
              <w:rPr>
                <w:sz w:val="18"/>
              </w:rPr>
              <w:t>.</w:t>
            </w:r>
          </w:p>
          <w:p w14:paraId="10E11D8D" w14:textId="58CD2B67" w:rsidR="006D299D" w:rsidRPr="00A04E56" w:rsidRDefault="006D299D" w:rsidP="00107DA0">
            <w:pPr>
              <w:numPr>
                <w:ilvl w:val="0"/>
                <w:numId w:val="93"/>
              </w:numPr>
              <w:spacing w:after="200" w:line="276" w:lineRule="auto"/>
              <w:rPr>
                <w:sz w:val="18"/>
              </w:rPr>
            </w:pPr>
            <w:r w:rsidRPr="00A04E56">
              <w:rPr>
                <w:sz w:val="18"/>
              </w:rPr>
              <w:t>51 million people have access to improved health-care services</w:t>
            </w:r>
            <w:r w:rsidR="00CD0119">
              <w:rPr>
                <w:sz w:val="18"/>
              </w:rPr>
              <w:t>.</w:t>
            </w:r>
          </w:p>
          <w:p w14:paraId="27376964" w14:textId="77777777" w:rsidR="006D299D" w:rsidRPr="00A04E56" w:rsidRDefault="006D299D" w:rsidP="006D299D">
            <w:pPr>
              <w:ind w:left="1080"/>
              <w:rPr>
                <w:sz w:val="16"/>
              </w:rPr>
            </w:pPr>
          </w:p>
          <w:p w14:paraId="13D2D987" w14:textId="77777777" w:rsidR="006D299D" w:rsidRPr="00A04E56" w:rsidRDefault="006D299D" w:rsidP="006D299D">
            <w:pPr>
              <w:keepNext/>
              <w:keepLines/>
              <w:spacing w:before="40" w:line="276" w:lineRule="auto"/>
              <w:outlineLvl w:val="2"/>
              <w:rPr>
                <w:rFonts w:eastAsia="Times New Roman"/>
                <w:color w:val="243F60"/>
                <w:sz w:val="22"/>
                <w:szCs w:val="24"/>
              </w:rPr>
            </w:pPr>
            <w:r w:rsidRPr="00A04E56">
              <w:rPr>
                <w:rFonts w:eastAsia="Times New Roman"/>
                <w:color w:val="243F60"/>
                <w:sz w:val="22"/>
                <w:szCs w:val="24"/>
              </w:rPr>
              <w:t>By connecting territories and reducing distances</w:t>
            </w:r>
          </w:p>
          <w:p w14:paraId="1AEFCC5D" w14:textId="72E914FB" w:rsidR="006D299D" w:rsidRPr="00A04E56" w:rsidRDefault="006D299D" w:rsidP="006D299D">
            <w:pPr>
              <w:numPr>
                <w:ilvl w:val="0"/>
                <w:numId w:val="37"/>
              </w:numPr>
              <w:spacing w:after="200"/>
              <w:rPr>
                <w:sz w:val="18"/>
              </w:rPr>
            </w:pPr>
            <w:r w:rsidRPr="00A04E56">
              <w:rPr>
                <w:noProof/>
                <w:sz w:val="18"/>
                <w:lang w:val="fr-BE" w:eastAsia="fr-BE"/>
              </w:rPr>
              <mc:AlternateContent>
                <mc:Choice Requires="wpg">
                  <w:drawing>
                    <wp:anchor distT="0" distB="0" distL="114300" distR="114300" simplePos="0" relativeHeight="251545600" behindDoc="0" locked="0" layoutInCell="1" allowOverlap="1" wp14:anchorId="08B4871A" wp14:editId="7F4E943B">
                      <wp:simplePos x="0" y="0"/>
                      <wp:positionH relativeFrom="column">
                        <wp:posOffset>5127625</wp:posOffset>
                      </wp:positionH>
                      <wp:positionV relativeFrom="paragraph">
                        <wp:posOffset>21590</wp:posOffset>
                      </wp:positionV>
                      <wp:extent cx="300355" cy="417830"/>
                      <wp:effectExtent l="0" t="0" r="4445" b="1270"/>
                      <wp:wrapSquare wrapText="bothSides"/>
                      <wp:docPr id="14715" name="Group 14715"/>
                      <wp:cNvGraphicFramePr/>
                      <a:graphic xmlns:a="http://schemas.openxmlformats.org/drawingml/2006/main">
                        <a:graphicData uri="http://schemas.microsoft.com/office/word/2010/wordprocessingGroup">
                          <wpg:wgp>
                            <wpg:cNvGrpSpPr/>
                            <wpg:grpSpPr>
                              <a:xfrm>
                                <a:off x="0" y="0"/>
                                <a:ext cx="300355" cy="417830"/>
                                <a:chOff x="0" y="0"/>
                                <a:chExt cx="300355" cy="417830"/>
                              </a:xfrm>
                              <a:solidFill>
                                <a:srgbClr val="3FB296"/>
                              </a:solidFill>
                            </wpg:grpSpPr>
                            <wps:wsp>
                              <wps:cNvPr id="14721" name="Freeform 14721"/>
                              <wps:cNvSpPr>
                                <a:spLocks noEditPoints="1"/>
                              </wps:cNvSpPr>
                              <wps:spPr bwMode="auto">
                                <a:xfrm>
                                  <a:off x="0" y="0"/>
                                  <a:ext cx="300355" cy="417830"/>
                                </a:xfrm>
                                <a:custGeom>
                                  <a:avLst/>
                                  <a:gdLst>
                                    <a:gd name="T0" fmla="*/ 81 w 92"/>
                                    <a:gd name="T1" fmla="*/ 0 h 126"/>
                                    <a:gd name="T2" fmla="*/ 11 w 92"/>
                                    <a:gd name="T3" fmla="*/ 0 h 126"/>
                                    <a:gd name="T4" fmla="*/ 0 w 92"/>
                                    <a:gd name="T5" fmla="*/ 12 h 126"/>
                                    <a:gd name="T6" fmla="*/ 0 w 92"/>
                                    <a:gd name="T7" fmla="*/ 95 h 126"/>
                                    <a:gd name="T8" fmla="*/ 12 w 92"/>
                                    <a:gd name="T9" fmla="*/ 107 h 126"/>
                                    <a:gd name="T10" fmla="*/ 23 w 92"/>
                                    <a:gd name="T11" fmla="*/ 107 h 126"/>
                                    <a:gd name="T12" fmla="*/ 21 w 92"/>
                                    <a:gd name="T13" fmla="*/ 112 h 126"/>
                                    <a:gd name="T14" fmla="*/ 10 w 92"/>
                                    <a:gd name="T15" fmla="*/ 112 h 126"/>
                                    <a:gd name="T16" fmla="*/ 8 w 92"/>
                                    <a:gd name="T17" fmla="*/ 114 h 126"/>
                                    <a:gd name="T18" fmla="*/ 10 w 92"/>
                                    <a:gd name="T19" fmla="*/ 116 h 126"/>
                                    <a:gd name="T20" fmla="*/ 18 w 92"/>
                                    <a:gd name="T21" fmla="*/ 116 h 126"/>
                                    <a:gd name="T22" fmla="*/ 15 w 92"/>
                                    <a:gd name="T23" fmla="*/ 123 h 126"/>
                                    <a:gd name="T24" fmla="*/ 16 w 92"/>
                                    <a:gd name="T25" fmla="*/ 126 h 126"/>
                                    <a:gd name="T26" fmla="*/ 17 w 92"/>
                                    <a:gd name="T27" fmla="*/ 126 h 126"/>
                                    <a:gd name="T28" fmla="*/ 19 w 92"/>
                                    <a:gd name="T29" fmla="*/ 125 h 126"/>
                                    <a:gd name="T30" fmla="*/ 23 w 92"/>
                                    <a:gd name="T31" fmla="*/ 116 h 126"/>
                                    <a:gd name="T32" fmla="*/ 69 w 92"/>
                                    <a:gd name="T33" fmla="*/ 116 h 126"/>
                                    <a:gd name="T34" fmla="*/ 73 w 92"/>
                                    <a:gd name="T35" fmla="*/ 125 h 126"/>
                                    <a:gd name="T36" fmla="*/ 76 w 92"/>
                                    <a:gd name="T37" fmla="*/ 126 h 126"/>
                                    <a:gd name="T38" fmla="*/ 77 w 92"/>
                                    <a:gd name="T39" fmla="*/ 126 h 126"/>
                                    <a:gd name="T40" fmla="*/ 78 w 92"/>
                                    <a:gd name="T41" fmla="*/ 123 h 126"/>
                                    <a:gd name="T42" fmla="*/ 74 w 92"/>
                                    <a:gd name="T43" fmla="*/ 116 h 126"/>
                                    <a:gd name="T44" fmla="*/ 82 w 92"/>
                                    <a:gd name="T45" fmla="*/ 116 h 126"/>
                                    <a:gd name="T46" fmla="*/ 84 w 92"/>
                                    <a:gd name="T47" fmla="*/ 114 h 126"/>
                                    <a:gd name="T48" fmla="*/ 82 w 92"/>
                                    <a:gd name="T49" fmla="*/ 112 h 126"/>
                                    <a:gd name="T50" fmla="*/ 72 w 92"/>
                                    <a:gd name="T51" fmla="*/ 112 h 126"/>
                                    <a:gd name="T52" fmla="*/ 69 w 92"/>
                                    <a:gd name="T53" fmla="*/ 107 h 126"/>
                                    <a:gd name="T54" fmla="*/ 81 w 92"/>
                                    <a:gd name="T55" fmla="*/ 107 h 126"/>
                                    <a:gd name="T56" fmla="*/ 92 w 92"/>
                                    <a:gd name="T57" fmla="*/ 95 h 126"/>
                                    <a:gd name="T58" fmla="*/ 92 w 92"/>
                                    <a:gd name="T59" fmla="*/ 12 h 126"/>
                                    <a:gd name="T60" fmla="*/ 81 w 92"/>
                                    <a:gd name="T61" fmla="*/ 0 h 126"/>
                                    <a:gd name="T62" fmla="*/ 26 w 92"/>
                                    <a:gd name="T63" fmla="*/ 112 h 126"/>
                                    <a:gd name="T64" fmla="*/ 28 w 92"/>
                                    <a:gd name="T65" fmla="*/ 107 h 126"/>
                                    <a:gd name="T66" fmla="*/ 64 w 92"/>
                                    <a:gd name="T67" fmla="*/ 107 h 126"/>
                                    <a:gd name="T68" fmla="*/ 67 w 92"/>
                                    <a:gd name="T69" fmla="*/ 112 h 126"/>
                                    <a:gd name="T70" fmla="*/ 26 w 92"/>
                                    <a:gd name="T71" fmla="*/ 112 h 126"/>
                                    <a:gd name="T72" fmla="*/ 88 w 92"/>
                                    <a:gd name="T73" fmla="*/ 95 h 126"/>
                                    <a:gd name="T74" fmla="*/ 81 w 92"/>
                                    <a:gd name="T75" fmla="*/ 102 h 126"/>
                                    <a:gd name="T76" fmla="*/ 12 w 92"/>
                                    <a:gd name="T77" fmla="*/ 102 h 126"/>
                                    <a:gd name="T78" fmla="*/ 4 w 92"/>
                                    <a:gd name="T79" fmla="*/ 95 h 126"/>
                                    <a:gd name="T80" fmla="*/ 4 w 92"/>
                                    <a:gd name="T81" fmla="*/ 75 h 126"/>
                                    <a:gd name="T82" fmla="*/ 88 w 92"/>
                                    <a:gd name="T83" fmla="*/ 75 h 126"/>
                                    <a:gd name="T84" fmla="*/ 88 w 92"/>
                                    <a:gd name="T85" fmla="*/ 95 h 126"/>
                                    <a:gd name="T86" fmla="*/ 88 w 92"/>
                                    <a:gd name="T87" fmla="*/ 70 h 126"/>
                                    <a:gd name="T88" fmla="*/ 4 w 92"/>
                                    <a:gd name="T89" fmla="*/ 70 h 126"/>
                                    <a:gd name="T90" fmla="*/ 4 w 92"/>
                                    <a:gd name="T91" fmla="*/ 24 h 126"/>
                                    <a:gd name="T92" fmla="*/ 89 w 92"/>
                                    <a:gd name="T93" fmla="*/ 24 h 126"/>
                                    <a:gd name="T94" fmla="*/ 91 w 92"/>
                                    <a:gd name="T95" fmla="*/ 21 h 126"/>
                                    <a:gd name="T96" fmla="*/ 89 w 92"/>
                                    <a:gd name="T97" fmla="*/ 19 h 126"/>
                                    <a:gd name="T98" fmla="*/ 4 w 92"/>
                                    <a:gd name="T99" fmla="*/ 19 h 126"/>
                                    <a:gd name="T100" fmla="*/ 4 w 92"/>
                                    <a:gd name="T101" fmla="*/ 12 h 126"/>
                                    <a:gd name="T102" fmla="*/ 11 w 92"/>
                                    <a:gd name="T103" fmla="*/ 5 h 126"/>
                                    <a:gd name="T104" fmla="*/ 81 w 92"/>
                                    <a:gd name="T105" fmla="*/ 5 h 126"/>
                                    <a:gd name="T106" fmla="*/ 88 w 92"/>
                                    <a:gd name="T107" fmla="*/ 12 h 126"/>
                                    <a:gd name="T108" fmla="*/ 88 w 92"/>
                                    <a:gd name="T109" fmla="*/ 70 h 126"/>
                                    <a:gd name="T110" fmla="*/ 88 w 92"/>
                                    <a:gd name="T111" fmla="*/ 70 h 126"/>
                                    <a:gd name="T112" fmla="*/ 88 w 92"/>
                                    <a:gd name="T113" fmla="*/ 7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2" h="126">
                                      <a:moveTo>
                                        <a:pt x="81" y="0"/>
                                      </a:moveTo>
                                      <a:cubicBezTo>
                                        <a:pt x="11" y="0"/>
                                        <a:pt x="11" y="0"/>
                                        <a:pt x="11" y="0"/>
                                      </a:cubicBezTo>
                                      <a:cubicBezTo>
                                        <a:pt x="5" y="0"/>
                                        <a:pt x="0" y="6"/>
                                        <a:pt x="0" y="12"/>
                                      </a:cubicBezTo>
                                      <a:cubicBezTo>
                                        <a:pt x="0" y="95"/>
                                        <a:pt x="0" y="95"/>
                                        <a:pt x="0" y="95"/>
                                      </a:cubicBezTo>
                                      <a:cubicBezTo>
                                        <a:pt x="0" y="102"/>
                                        <a:pt x="6" y="107"/>
                                        <a:pt x="12" y="107"/>
                                      </a:cubicBezTo>
                                      <a:cubicBezTo>
                                        <a:pt x="23" y="107"/>
                                        <a:pt x="23" y="107"/>
                                        <a:pt x="23" y="107"/>
                                      </a:cubicBezTo>
                                      <a:cubicBezTo>
                                        <a:pt x="21" y="112"/>
                                        <a:pt x="21" y="112"/>
                                        <a:pt x="21" y="112"/>
                                      </a:cubicBezTo>
                                      <a:cubicBezTo>
                                        <a:pt x="10" y="112"/>
                                        <a:pt x="10" y="112"/>
                                        <a:pt x="10" y="112"/>
                                      </a:cubicBezTo>
                                      <a:cubicBezTo>
                                        <a:pt x="9" y="112"/>
                                        <a:pt x="8" y="113"/>
                                        <a:pt x="8" y="114"/>
                                      </a:cubicBezTo>
                                      <a:cubicBezTo>
                                        <a:pt x="8" y="115"/>
                                        <a:pt x="9" y="116"/>
                                        <a:pt x="10" y="116"/>
                                      </a:cubicBezTo>
                                      <a:cubicBezTo>
                                        <a:pt x="18" y="116"/>
                                        <a:pt x="18" y="116"/>
                                        <a:pt x="18" y="116"/>
                                      </a:cubicBezTo>
                                      <a:cubicBezTo>
                                        <a:pt x="15" y="123"/>
                                        <a:pt x="15" y="123"/>
                                        <a:pt x="15" y="123"/>
                                      </a:cubicBezTo>
                                      <a:cubicBezTo>
                                        <a:pt x="14" y="124"/>
                                        <a:pt x="15" y="126"/>
                                        <a:pt x="16" y="126"/>
                                      </a:cubicBezTo>
                                      <a:cubicBezTo>
                                        <a:pt x="16" y="126"/>
                                        <a:pt x="17" y="126"/>
                                        <a:pt x="17" y="126"/>
                                      </a:cubicBezTo>
                                      <a:cubicBezTo>
                                        <a:pt x="18" y="126"/>
                                        <a:pt x="18" y="126"/>
                                        <a:pt x="19" y="125"/>
                                      </a:cubicBezTo>
                                      <a:cubicBezTo>
                                        <a:pt x="23" y="116"/>
                                        <a:pt x="23" y="116"/>
                                        <a:pt x="23" y="116"/>
                                      </a:cubicBezTo>
                                      <a:cubicBezTo>
                                        <a:pt x="69" y="116"/>
                                        <a:pt x="69" y="116"/>
                                        <a:pt x="69" y="116"/>
                                      </a:cubicBezTo>
                                      <a:cubicBezTo>
                                        <a:pt x="73" y="125"/>
                                        <a:pt x="73" y="125"/>
                                        <a:pt x="73" y="125"/>
                                      </a:cubicBezTo>
                                      <a:cubicBezTo>
                                        <a:pt x="74" y="126"/>
                                        <a:pt x="75" y="126"/>
                                        <a:pt x="76" y="126"/>
                                      </a:cubicBezTo>
                                      <a:cubicBezTo>
                                        <a:pt x="76" y="126"/>
                                        <a:pt x="76" y="126"/>
                                        <a:pt x="77" y="126"/>
                                      </a:cubicBezTo>
                                      <a:cubicBezTo>
                                        <a:pt x="78" y="126"/>
                                        <a:pt x="78" y="124"/>
                                        <a:pt x="78" y="123"/>
                                      </a:cubicBezTo>
                                      <a:cubicBezTo>
                                        <a:pt x="74" y="116"/>
                                        <a:pt x="74" y="116"/>
                                        <a:pt x="74" y="116"/>
                                      </a:cubicBezTo>
                                      <a:cubicBezTo>
                                        <a:pt x="82" y="116"/>
                                        <a:pt x="82" y="116"/>
                                        <a:pt x="82" y="116"/>
                                      </a:cubicBezTo>
                                      <a:cubicBezTo>
                                        <a:pt x="83" y="116"/>
                                        <a:pt x="84" y="115"/>
                                        <a:pt x="84" y="114"/>
                                      </a:cubicBezTo>
                                      <a:cubicBezTo>
                                        <a:pt x="84" y="113"/>
                                        <a:pt x="83" y="112"/>
                                        <a:pt x="82" y="112"/>
                                      </a:cubicBezTo>
                                      <a:cubicBezTo>
                                        <a:pt x="72" y="112"/>
                                        <a:pt x="72" y="112"/>
                                        <a:pt x="72" y="112"/>
                                      </a:cubicBezTo>
                                      <a:cubicBezTo>
                                        <a:pt x="69" y="107"/>
                                        <a:pt x="69" y="107"/>
                                        <a:pt x="69" y="107"/>
                                      </a:cubicBezTo>
                                      <a:cubicBezTo>
                                        <a:pt x="81" y="107"/>
                                        <a:pt x="81" y="107"/>
                                        <a:pt x="81" y="107"/>
                                      </a:cubicBezTo>
                                      <a:cubicBezTo>
                                        <a:pt x="87" y="107"/>
                                        <a:pt x="92" y="102"/>
                                        <a:pt x="92" y="95"/>
                                      </a:cubicBezTo>
                                      <a:cubicBezTo>
                                        <a:pt x="92" y="12"/>
                                        <a:pt x="92" y="12"/>
                                        <a:pt x="92" y="12"/>
                                      </a:cubicBezTo>
                                      <a:cubicBezTo>
                                        <a:pt x="92" y="6"/>
                                        <a:pt x="87" y="0"/>
                                        <a:pt x="81" y="0"/>
                                      </a:cubicBezTo>
                                      <a:close/>
                                      <a:moveTo>
                                        <a:pt x="26" y="112"/>
                                      </a:moveTo>
                                      <a:cubicBezTo>
                                        <a:pt x="28" y="107"/>
                                        <a:pt x="28" y="107"/>
                                        <a:pt x="28" y="107"/>
                                      </a:cubicBezTo>
                                      <a:cubicBezTo>
                                        <a:pt x="64" y="107"/>
                                        <a:pt x="64" y="107"/>
                                        <a:pt x="64" y="107"/>
                                      </a:cubicBezTo>
                                      <a:cubicBezTo>
                                        <a:pt x="67" y="112"/>
                                        <a:pt x="67" y="112"/>
                                        <a:pt x="67" y="112"/>
                                      </a:cubicBezTo>
                                      <a:lnTo>
                                        <a:pt x="26" y="112"/>
                                      </a:lnTo>
                                      <a:close/>
                                      <a:moveTo>
                                        <a:pt x="88" y="95"/>
                                      </a:moveTo>
                                      <a:cubicBezTo>
                                        <a:pt x="88" y="99"/>
                                        <a:pt x="85" y="102"/>
                                        <a:pt x="81" y="102"/>
                                      </a:cubicBezTo>
                                      <a:cubicBezTo>
                                        <a:pt x="12" y="102"/>
                                        <a:pt x="12" y="102"/>
                                        <a:pt x="12" y="102"/>
                                      </a:cubicBezTo>
                                      <a:cubicBezTo>
                                        <a:pt x="9" y="102"/>
                                        <a:pt x="4" y="99"/>
                                        <a:pt x="4" y="95"/>
                                      </a:cubicBezTo>
                                      <a:cubicBezTo>
                                        <a:pt x="4" y="75"/>
                                        <a:pt x="4" y="75"/>
                                        <a:pt x="4" y="75"/>
                                      </a:cubicBezTo>
                                      <a:cubicBezTo>
                                        <a:pt x="88" y="75"/>
                                        <a:pt x="88" y="75"/>
                                        <a:pt x="88" y="75"/>
                                      </a:cubicBezTo>
                                      <a:lnTo>
                                        <a:pt x="88" y="95"/>
                                      </a:lnTo>
                                      <a:close/>
                                      <a:moveTo>
                                        <a:pt x="88" y="70"/>
                                      </a:moveTo>
                                      <a:cubicBezTo>
                                        <a:pt x="4" y="70"/>
                                        <a:pt x="4" y="70"/>
                                        <a:pt x="4" y="70"/>
                                      </a:cubicBezTo>
                                      <a:cubicBezTo>
                                        <a:pt x="4" y="24"/>
                                        <a:pt x="4" y="24"/>
                                        <a:pt x="4" y="24"/>
                                      </a:cubicBezTo>
                                      <a:cubicBezTo>
                                        <a:pt x="89" y="24"/>
                                        <a:pt x="89" y="24"/>
                                        <a:pt x="89" y="24"/>
                                      </a:cubicBezTo>
                                      <a:cubicBezTo>
                                        <a:pt x="90" y="24"/>
                                        <a:pt x="91" y="22"/>
                                        <a:pt x="91" y="21"/>
                                      </a:cubicBezTo>
                                      <a:cubicBezTo>
                                        <a:pt x="91" y="20"/>
                                        <a:pt x="90" y="19"/>
                                        <a:pt x="89" y="19"/>
                                      </a:cubicBezTo>
                                      <a:cubicBezTo>
                                        <a:pt x="4" y="19"/>
                                        <a:pt x="4" y="19"/>
                                        <a:pt x="4" y="19"/>
                                      </a:cubicBezTo>
                                      <a:cubicBezTo>
                                        <a:pt x="4" y="12"/>
                                        <a:pt x="4" y="12"/>
                                        <a:pt x="4" y="12"/>
                                      </a:cubicBezTo>
                                      <a:cubicBezTo>
                                        <a:pt x="4" y="8"/>
                                        <a:pt x="7" y="5"/>
                                        <a:pt x="11" y="5"/>
                                      </a:cubicBezTo>
                                      <a:cubicBezTo>
                                        <a:pt x="81" y="5"/>
                                        <a:pt x="81" y="5"/>
                                        <a:pt x="81" y="5"/>
                                      </a:cubicBezTo>
                                      <a:cubicBezTo>
                                        <a:pt x="85" y="5"/>
                                        <a:pt x="88" y="8"/>
                                        <a:pt x="88" y="12"/>
                                      </a:cubicBezTo>
                                      <a:lnTo>
                                        <a:pt x="88" y="70"/>
                                      </a:lnTo>
                                      <a:close/>
                                      <a:moveTo>
                                        <a:pt x="88" y="70"/>
                                      </a:moveTo>
                                      <a:cubicBezTo>
                                        <a:pt x="88" y="70"/>
                                        <a:pt x="88" y="70"/>
                                        <a:pt x="88" y="7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2" name="Freeform 14722"/>
                              <wps:cNvSpPr>
                                <a:spLocks noEditPoints="1"/>
                              </wps:cNvSpPr>
                              <wps:spPr bwMode="auto">
                                <a:xfrm>
                                  <a:off x="51318" y="256592"/>
                                  <a:ext cx="45720" cy="46355"/>
                                </a:xfrm>
                                <a:custGeom>
                                  <a:avLst/>
                                  <a:gdLst>
                                    <a:gd name="T0" fmla="*/ 7 w 14"/>
                                    <a:gd name="T1" fmla="*/ 14 h 14"/>
                                    <a:gd name="T2" fmla="*/ 14 w 14"/>
                                    <a:gd name="T3" fmla="*/ 7 h 14"/>
                                    <a:gd name="T4" fmla="*/ 7 w 14"/>
                                    <a:gd name="T5" fmla="*/ 0 h 14"/>
                                    <a:gd name="T6" fmla="*/ 0 w 14"/>
                                    <a:gd name="T7" fmla="*/ 7 h 14"/>
                                    <a:gd name="T8" fmla="*/ 7 w 14"/>
                                    <a:gd name="T9" fmla="*/ 14 h 14"/>
                                    <a:gd name="T10" fmla="*/ 7 w 14"/>
                                    <a:gd name="T11" fmla="*/ 5 h 14"/>
                                    <a:gd name="T12" fmla="*/ 9 w 14"/>
                                    <a:gd name="T13" fmla="*/ 7 h 14"/>
                                    <a:gd name="T14" fmla="*/ 7 w 14"/>
                                    <a:gd name="T15" fmla="*/ 9 h 14"/>
                                    <a:gd name="T16" fmla="*/ 4 w 14"/>
                                    <a:gd name="T17" fmla="*/ 7 h 14"/>
                                    <a:gd name="T18" fmla="*/ 7 w 14"/>
                                    <a:gd name="T19" fmla="*/ 5 h 14"/>
                                    <a:gd name="T20" fmla="*/ 7 w 14"/>
                                    <a:gd name="T21" fmla="*/ 5 h 14"/>
                                    <a:gd name="T22" fmla="*/ 7 w 14"/>
                                    <a:gd name="T23" fmla="*/ 5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4">
                                      <a:moveTo>
                                        <a:pt x="7" y="14"/>
                                      </a:moveTo>
                                      <a:cubicBezTo>
                                        <a:pt x="11" y="14"/>
                                        <a:pt x="14" y="11"/>
                                        <a:pt x="14" y="7"/>
                                      </a:cubicBezTo>
                                      <a:cubicBezTo>
                                        <a:pt x="14" y="3"/>
                                        <a:pt x="11" y="0"/>
                                        <a:pt x="7" y="0"/>
                                      </a:cubicBezTo>
                                      <a:cubicBezTo>
                                        <a:pt x="3" y="0"/>
                                        <a:pt x="0" y="3"/>
                                        <a:pt x="0" y="7"/>
                                      </a:cubicBezTo>
                                      <a:cubicBezTo>
                                        <a:pt x="0" y="11"/>
                                        <a:pt x="3" y="14"/>
                                        <a:pt x="7" y="14"/>
                                      </a:cubicBezTo>
                                      <a:close/>
                                      <a:moveTo>
                                        <a:pt x="7" y="5"/>
                                      </a:moveTo>
                                      <a:cubicBezTo>
                                        <a:pt x="8" y="5"/>
                                        <a:pt x="9" y="6"/>
                                        <a:pt x="9" y="7"/>
                                      </a:cubicBezTo>
                                      <a:cubicBezTo>
                                        <a:pt x="9" y="8"/>
                                        <a:pt x="8" y="9"/>
                                        <a:pt x="7" y="9"/>
                                      </a:cubicBezTo>
                                      <a:cubicBezTo>
                                        <a:pt x="6" y="9"/>
                                        <a:pt x="4" y="8"/>
                                        <a:pt x="4" y="7"/>
                                      </a:cubicBezTo>
                                      <a:cubicBezTo>
                                        <a:pt x="4" y="6"/>
                                        <a:pt x="6" y="5"/>
                                        <a:pt x="7" y="5"/>
                                      </a:cubicBezTo>
                                      <a:close/>
                                      <a:moveTo>
                                        <a:pt x="7" y="5"/>
                                      </a:moveTo>
                                      <a:cubicBezTo>
                                        <a:pt x="7" y="5"/>
                                        <a:pt x="7" y="5"/>
                                        <a:pt x="7"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3" name="Freeform 14723"/>
                              <wps:cNvSpPr>
                                <a:spLocks noEditPoints="1"/>
                              </wps:cNvSpPr>
                              <wps:spPr bwMode="auto">
                                <a:xfrm>
                                  <a:off x="200608" y="256592"/>
                                  <a:ext cx="45720" cy="46355"/>
                                </a:xfrm>
                                <a:custGeom>
                                  <a:avLst/>
                                  <a:gdLst>
                                    <a:gd name="T0" fmla="*/ 7 w 14"/>
                                    <a:gd name="T1" fmla="*/ 14 h 14"/>
                                    <a:gd name="T2" fmla="*/ 14 w 14"/>
                                    <a:gd name="T3" fmla="*/ 7 h 14"/>
                                    <a:gd name="T4" fmla="*/ 7 w 14"/>
                                    <a:gd name="T5" fmla="*/ 0 h 14"/>
                                    <a:gd name="T6" fmla="*/ 0 w 14"/>
                                    <a:gd name="T7" fmla="*/ 7 h 14"/>
                                    <a:gd name="T8" fmla="*/ 7 w 14"/>
                                    <a:gd name="T9" fmla="*/ 14 h 14"/>
                                    <a:gd name="T10" fmla="*/ 7 w 14"/>
                                    <a:gd name="T11" fmla="*/ 5 h 14"/>
                                    <a:gd name="T12" fmla="*/ 9 w 14"/>
                                    <a:gd name="T13" fmla="*/ 7 h 14"/>
                                    <a:gd name="T14" fmla="*/ 7 w 14"/>
                                    <a:gd name="T15" fmla="*/ 9 h 14"/>
                                    <a:gd name="T16" fmla="*/ 5 w 14"/>
                                    <a:gd name="T17" fmla="*/ 7 h 14"/>
                                    <a:gd name="T18" fmla="*/ 7 w 14"/>
                                    <a:gd name="T19" fmla="*/ 5 h 14"/>
                                    <a:gd name="T20" fmla="*/ 7 w 14"/>
                                    <a:gd name="T21" fmla="*/ 5 h 14"/>
                                    <a:gd name="T22" fmla="*/ 7 w 14"/>
                                    <a:gd name="T23" fmla="*/ 5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14">
                                      <a:moveTo>
                                        <a:pt x="7" y="14"/>
                                      </a:moveTo>
                                      <a:cubicBezTo>
                                        <a:pt x="11" y="14"/>
                                        <a:pt x="14" y="11"/>
                                        <a:pt x="14" y="7"/>
                                      </a:cubicBezTo>
                                      <a:cubicBezTo>
                                        <a:pt x="14" y="3"/>
                                        <a:pt x="11" y="0"/>
                                        <a:pt x="7" y="0"/>
                                      </a:cubicBezTo>
                                      <a:cubicBezTo>
                                        <a:pt x="3" y="0"/>
                                        <a:pt x="0" y="3"/>
                                        <a:pt x="0" y="7"/>
                                      </a:cubicBezTo>
                                      <a:cubicBezTo>
                                        <a:pt x="0" y="11"/>
                                        <a:pt x="3" y="14"/>
                                        <a:pt x="7" y="14"/>
                                      </a:cubicBezTo>
                                      <a:close/>
                                      <a:moveTo>
                                        <a:pt x="7" y="5"/>
                                      </a:moveTo>
                                      <a:cubicBezTo>
                                        <a:pt x="8" y="5"/>
                                        <a:pt x="9" y="6"/>
                                        <a:pt x="9" y="7"/>
                                      </a:cubicBezTo>
                                      <a:cubicBezTo>
                                        <a:pt x="9" y="8"/>
                                        <a:pt x="8" y="9"/>
                                        <a:pt x="7" y="9"/>
                                      </a:cubicBezTo>
                                      <a:cubicBezTo>
                                        <a:pt x="6" y="9"/>
                                        <a:pt x="5" y="8"/>
                                        <a:pt x="5" y="7"/>
                                      </a:cubicBezTo>
                                      <a:cubicBezTo>
                                        <a:pt x="5" y="6"/>
                                        <a:pt x="6" y="5"/>
                                        <a:pt x="7" y="5"/>
                                      </a:cubicBezTo>
                                      <a:close/>
                                      <a:moveTo>
                                        <a:pt x="7" y="5"/>
                                      </a:moveTo>
                                      <a:cubicBezTo>
                                        <a:pt x="7" y="5"/>
                                        <a:pt x="7" y="5"/>
                                        <a:pt x="7"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905C5DC" id="Group 14715" o:spid="_x0000_s1026" style="position:absolute;margin-left:403.75pt;margin-top:1.7pt;width:23.65pt;height:32.9pt;z-index:251545600" coordsize="300355,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">
                      <v:shape id="Freeform 14721" o:spid="_x0000_s1027" style="position:absolute;width:300355;height:417830;visibility:visible;mso-wrap-style:square;v-text-anchor:top" coordsize="9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" path="m81,c11,,11,,11,,5,,,6,,12,,95,,95,,95v,7,6,12,12,12c23,107,23,107,23,107v-2,5,-2,5,-2,5c10,112,10,112,10,112v-1,,-2,1,-2,2c8,115,9,116,10,116v8,,8,,8,c15,123,15,123,15,123v-1,1,,3,1,3c16,126,17,126,17,126v1,,1,,2,-1c23,116,23,116,23,116v46,,46,,46,c73,125,73,125,73,125v1,1,2,1,3,1c76,126,76,126,77,126v1,,1,-2,1,-3c74,116,74,116,74,116v8,,8,,8,c83,116,84,115,84,114v,-1,-1,-2,-2,-2c72,112,72,112,72,112v-3,-5,-3,-5,-3,-5c81,107,81,107,81,107v6,,11,-5,11,-12c92,12,92,12,92,12,92,6,87,,81,xm26,112v2,-5,2,-5,2,-5c64,107,64,107,64,107v3,5,3,5,3,5l26,112xm88,95v,4,-3,7,-7,7c12,102,12,102,12,102,9,102,4,99,4,95,4,75,4,75,4,75v84,,84,,84,l88,95xm88,70c4,70,4,70,4,70,4,24,4,24,4,24v85,,85,,85,c90,24,91,22,91,21v,-1,-1,-2,-2,-2c4,19,4,19,4,19v,-7,,-7,,-7c4,8,7,5,11,5v70,,70,,70,c85,5,88,8,88,12r,58xm88,70v,,,,,e" filled="f" stroked="f">
                        <v:path arrowok="t" o:connecttype="custom" o:connectlocs="264443,0;35912,0;0,39793;0,315031;39177,354824;75089,354824;68559,371404;32647,371404;26118,378037;32647,384669;58765,384669;48971,407882;52236,417830;55500,417830;62030,414514;75089,384669;225266,384669;238325,414514;248119,417830;251384,417830;254649,407882;241590,384669;267708,384669;274237,378037;267708,371404;235060,371404;225266,354824;264443,354824;300355,315031;300355,39793;264443,0;84883,371404;91412,354824;208943,354824;218737,371404;84883,371404;287296,315031;264443,338243;39177,338243;13059,315031;13059,248708;287296,248708;287296,315031;287296,232128;13059,232128;13059,79587;290561,79587;297090,69638;290561,63006;13059,63006;13059,39793;35912,16581;264443,16581;287296,39793;287296,232128;287296,232128;287296,232128" o:connectangles="0,0,0,0,0,0,0,0,0,0,0,0,0,0,0,0,0,0,0,0,0,0,0,0,0,0,0,0,0,0,0,0,0,0,0,0,0,0,0,0,0,0,0,0,0,0,0,0,0,0,0,0,0,0,0,0,0"/>
                        <o:lock v:ext="edit" verticies="t"/>
                      </v:shape>
                      <v:shape id="Freeform 14722" o:spid="_x0000_s1028" style="position:absolute;left:51318;top:256592;width:45720;height:46355;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" path="m7,14v4,,7,-3,7,-7c14,3,11,,7,,3,,,3,,7v,4,3,7,7,7xm7,5v1,,2,1,2,2c9,8,8,9,7,9,6,9,4,8,4,7,4,6,6,5,7,5xm7,5v,,,,,e" filled="f" stroked="f">
                        <v:path arrowok="t" o:connecttype="custom" o:connectlocs="22860,46355;45720,23178;22860,0;0,23178;22860,46355;22860,16555;29391,23178;22860,29800;13063,23178;22860,16555;22860,16555;22860,16555" o:connectangles="0,0,0,0,0,0,0,0,0,0,0,0"/>
                        <o:lock v:ext="edit" verticies="t"/>
                      </v:shape>
                      <v:shape id="Freeform 14723" o:spid="_x0000_s1029" style="position:absolute;left:200608;top:256592;width:45720;height:46355;visibility:visible;mso-wrap-style:square;v-text-anchor:top" coordsize="1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" path="m7,14v4,,7,-3,7,-7c14,3,11,,7,,3,,,3,,7v,4,3,7,7,7xm7,5v1,,2,1,2,2c9,8,8,9,7,9,6,9,5,8,5,7,5,6,6,5,7,5xm7,5v,,,,,e" filled="f" stroked="f">
                        <v:path arrowok="t" o:connecttype="custom" o:connectlocs="22860,46355;45720,23178;22860,0;0,23178;22860,46355;22860,16555;29391,23178;22860,29800;16329,23178;22860,16555;22860,16555;22860,16555" o:connectangles="0,0,0,0,0,0,0,0,0,0,0,0"/>
                        <o:lock v:ext="edit" verticies="t"/>
                      </v:shape>
                      <w10:wrap type="square"/>
                    </v:group>
                  </w:pict>
                </mc:Fallback>
              </mc:AlternateContent>
            </w:r>
            <w:r w:rsidRPr="00A04E56">
              <w:rPr>
                <w:sz w:val="18"/>
              </w:rPr>
              <w:t>More than 2</w:t>
            </w:r>
            <w:r w:rsidRPr="00A04E56">
              <w:rPr>
                <w:rFonts w:ascii="Calibri" w:hAnsi="Calibri" w:cs="Calibri"/>
                <w:sz w:val="18"/>
              </w:rPr>
              <w:t> </w:t>
            </w:r>
            <w:r w:rsidRPr="00A04E56">
              <w:rPr>
                <w:sz w:val="18"/>
              </w:rPr>
              <w:t>700</w:t>
            </w:r>
            <w:r w:rsidRPr="00A04E56">
              <w:rPr>
                <w:rFonts w:ascii="Calibri" w:hAnsi="Calibri" w:cs="Calibri"/>
                <w:sz w:val="18"/>
              </w:rPr>
              <w:t> </w:t>
            </w:r>
            <w:r w:rsidRPr="00A04E56">
              <w:rPr>
                <w:sz w:val="18"/>
              </w:rPr>
              <w:t>km of reconstructed railway lines and close to 7</w:t>
            </w:r>
            <w:r w:rsidRPr="00A04E56">
              <w:rPr>
                <w:rFonts w:ascii="Calibri" w:hAnsi="Calibri" w:cs="Calibri"/>
                <w:sz w:val="18"/>
              </w:rPr>
              <w:t> </w:t>
            </w:r>
            <w:r w:rsidRPr="00A04E56">
              <w:rPr>
                <w:sz w:val="18"/>
              </w:rPr>
              <w:t>500</w:t>
            </w:r>
            <w:r w:rsidRPr="00A04E56">
              <w:rPr>
                <w:rFonts w:ascii="Calibri" w:hAnsi="Calibri" w:cs="Calibri"/>
                <w:sz w:val="18"/>
              </w:rPr>
              <w:t> </w:t>
            </w:r>
            <w:r w:rsidRPr="00A04E56">
              <w:rPr>
                <w:sz w:val="18"/>
              </w:rPr>
              <w:t>km of reconstructed roads, as well as 3</w:t>
            </w:r>
            <w:r w:rsidRPr="00A04E56">
              <w:rPr>
                <w:rFonts w:ascii="Calibri" w:hAnsi="Calibri" w:cs="Calibri"/>
                <w:sz w:val="18"/>
              </w:rPr>
              <w:t> </w:t>
            </w:r>
            <w:r w:rsidRPr="00A04E56">
              <w:rPr>
                <w:sz w:val="18"/>
              </w:rPr>
              <w:t>100</w:t>
            </w:r>
            <w:r w:rsidRPr="00A04E56">
              <w:rPr>
                <w:rFonts w:ascii="Calibri" w:hAnsi="Calibri" w:cs="Calibri"/>
                <w:sz w:val="18"/>
              </w:rPr>
              <w:t> </w:t>
            </w:r>
            <w:r w:rsidRPr="00A04E56">
              <w:rPr>
                <w:sz w:val="18"/>
              </w:rPr>
              <w:t>km of new roads</w:t>
            </w:r>
            <w:r w:rsidR="00CD0119">
              <w:rPr>
                <w:sz w:val="18"/>
              </w:rPr>
              <w:t>.</w:t>
            </w:r>
          </w:p>
          <w:p w14:paraId="7C7FC7B9" w14:textId="16ED1D1A" w:rsidR="006D299D" w:rsidRPr="00A04E56" w:rsidRDefault="006D299D" w:rsidP="006D299D">
            <w:pPr>
              <w:numPr>
                <w:ilvl w:val="0"/>
                <w:numId w:val="37"/>
              </w:numPr>
              <w:spacing w:after="200"/>
              <w:rPr>
                <w:sz w:val="18"/>
              </w:rPr>
            </w:pPr>
            <w:r w:rsidRPr="00A04E56">
              <w:rPr>
                <w:sz w:val="18"/>
              </w:rPr>
              <w:t>Cities such as Warsaw, Sofia and Bucharest will have modern metro systems thanks to cohesion policy investments</w:t>
            </w:r>
            <w:r w:rsidR="00CD0119">
              <w:rPr>
                <w:sz w:val="18"/>
              </w:rPr>
              <w:t>.</w:t>
            </w:r>
          </w:p>
          <w:p w14:paraId="4D1E1066" w14:textId="77777777" w:rsidR="006D299D" w:rsidRPr="00A04E56" w:rsidRDefault="006D299D" w:rsidP="006D299D">
            <w:pPr>
              <w:spacing w:after="200" w:line="276" w:lineRule="auto"/>
              <w:rPr>
                <w:sz w:val="18"/>
              </w:rPr>
            </w:pPr>
          </w:p>
          <w:p w14:paraId="1567ED34" w14:textId="77777777" w:rsidR="006D299D" w:rsidRPr="00A04E56" w:rsidRDefault="006D299D" w:rsidP="006D299D">
            <w:pPr>
              <w:keepNext/>
              <w:keepLines/>
              <w:spacing w:before="40" w:line="276" w:lineRule="auto"/>
              <w:outlineLvl w:val="2"/>
              <w:rPr>
                <w:rFonts w:eastAsia="Times New Roman"/>
                <w:color w:val="243F60"/>
                <w:sz w:val="22"/>
                <w:szCs w:val="24"/>
              </w:rPr>
            </w:pPr>
            <w:r w:rsidRPr="00A04E56">
              <w:rPr>
                <w:rFonts w:eastAsia="Times New Roman"/>
                <w:color w:val="243F60"/>
                <w:sz w:val="22"/>
                <w:szCs w:val="24"/>
              </w:rPr>
              <w:t>By protecting their environment and using resources wisely</w:t>
            </w:r>
          </w:p>
          <w:p w14:paraId="4F0396B1" w14:textId="1659409A" w:rsidR="006D299D" w:rsidRPr="00A04E56" w:rsidRDefault="006D299D" w:rsidP="006D299D">
            <w:pPr>
              <w:numPr>
                <w:ilvl w:val="0"/>
                <w:numId w:val="38"/>
              </w:numPr>
              <w:spacing w:line="276" w:lineRule="auto"/>
              <w:rPr>
                <w:sz w:val="18"/>
              </w:rPr>
            </w:pPr>
            <w:r w:rsidRPr="00A04E56">
              <w:rPr>
                <w:sz w:val="18"/>
              </w:rPr>
              <w:t>More than 36 million people in Europe are covered by flood protection measures.</w:t>
            </w:r>
          </w:p>
          <w:p w14:paraId="57B8E3FC" w14:textId="3CB66BD4" w:rsidR="006D299D" w:rsidRPr="00A04E56" w:rsidRDefault="006D299D" w:rsidP="006D299D">
            <w:pPr>
              <w:numPr>
                <w:ilvl w:val="0"/>
                <w:numId w:val="38"/>
              </w:numPr>
              <w:spacing w:line="276" w:lineRule="auto"/>
              <w:rPr>
                <w:sz w:val="18"/>
              </w:rPr>
            </w:pPr>
            <w:r w:rsidRPr="00A04E56">
              <w:rPr>
                <w:noProof/>
                <w:sz w:val="22"/>
                <w:lang w:val="fr-BE" w:eastAsia="fr-BE"/>
              </w:rPr>
              <mc:AlternateContent>
                <mc:Choice Requires="wps">
                  <w:drawing>
                    <wp:anchor distT="0" distB="0" distL="114300" distR="114300" simplePos="0" relativeHeight="251674624" behindDoc="0" locked="0" layoutInCell="1" allowOverlap="1" wp14:anchorId="3E867704" wp14:editId="049994F9">
                      <wp:simplePos x="0" y="0"/>
                      <wp:positionH relativeFrom="column">
                        <wp:posOffset>5090160</wp:posOffset>
                      </wp:positionH>
                      <wp:positionV relativeFrom="paragraph">
                        <wp:posOffset>38100</wp:posOffset>
                      </wp:positionV>
                      <wp:extent cx="414655" cy="421640"/>
                      <wp:effectExtent l="0" t="0" r="4445" b="0"/>
                      <wp:wrapSquare wrapText="bothSides"/>
                      <wp:docPr id="14724" name="Freeform 147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4655" cy="421640"/>
                              </a:xfrm>
                              <a:custGeom>
                                <a:avLst/>
                                <a:gdLst>
                                  <a:gd name="T0" fmla="*/ 76 w 127"/>
                                  <a:gd name="T1" fmla="*/ 61 h 127"/>
                                  <a:gd name="T2" fmla="*/ 62 w 127"/>
                                  <a:gd name="T3" fmla="*/ 75 h 127"/>
                                  <a:gd name="T4" fmla="*/ 54 w 127"/>
                                  <a:gd name="T5" fmla="*/ 126 h 127"/>
                                  <a:gd name="T6" fmla="*/ 67 w 127"/>
                                  <a:gd name="T7" fmla="*/ 117 h 127"/>
                                  <a:gd name="T8" fmla="*/ 106 w 127"/>
                                  <a:gd name="T9" fmla="*/ 117 h 127"/>
                                  <a:gd name="T10" fmla="*/ 127 w 127"/>
                                  <a:gd name="T11" fmla="*/ 56 h 127"/>
                                  <a:gd name="T12" fmla="*/ 103 w 127"/>
                                  <a:gd name="T13" fmla="*/ 112 h 127"/>
                                  <a:gd name="T14" fmla="*/ 95 w 127"/>
                                  <a:gd name="T15" fmla="*/ 103 h 127"/>
                                  <a:gd name="T16" fmla="*/ 86 w 127"/>
                                  <a:gd name="T17" fmla="*/ 97 h 127"/>
                                  <a:gd name="T18" fmla="*/ 107 w 127"/>
                                  <a:gd name="T19" fmla="*/ 87 h 127"/>
                                  <a:gd name="T20" fmla="*/ 109 w 127"/>
                                  <a:gd name="T21" fmla="*/ 75 h 127"/>
                                  <a:gd name="T22" fmla="*/ 95 w 127"/>
                                  <a:gd name="T23" fmla="*/ 80 h 127"/>
                                  <a:gd name="T24" fmla="*/ 90 w 127"/>
                                  <a:gd name="T25" fmla="*/ 76 h 127"/>
                                  <a:gd name="T26" fmla="*/ 83 w 127"/>
                                  <a:gd name="T27" fmla="*/ 85 h 127"/>
                                  <a:gd name="T28" fmla="*/ 76 w 127"/>
                                  <a:gd name="T29" fmla="*/ 99 h 127"/>
                                  <a:gd name="T30" fmla="*/ 77 w 127"/>
                                  <a:gd name="T31" fmla="*/ 67 h 127"/>
                                  <a:gd name="T32" fmla="*/ 37 w 127"/>
                                  <a:gd name="T33" fmla="*/ 103 h 127"/>
                                  <a:gd name="T34" fmla="*/ 47 w 127"/>
                                  <a:gd name="T35" fmla="*/ 111 h 127"/>
                                  <a:gd name="T36" fmla="*/ 11 w 127"/>
                                  <a:gd name="T37" fmla="*/ 67 h 127"/>
                                  <a:gd name="T38" fmla="*/ 3 w 127"/>
                                  <a:gd name="T39" fmla="*/ 61 h 127"/>
                                  <a:gd name="T40" fmla="*/ 6 w 127"/>
                                  <a:gd name="T41" fmla="*/ 43 h 127"/>
                                  <a:gd name="T42" fmla="*/ 16 w 127"/>
                                  <a:gd name="T43" fmla="*/ 40 h 127"/>
                                  <a:gd name="T44" fmla="*/ 19 w 127"/>
                                  <a:gd name="T45" fmla="*/ 19 h 127"/>
                                  <a:gd name="T46" fmla="*/ 41 w 127"/>
                                  <a:gd name="T47" fmla="*/ 16 h 127"/>
                                  <a:gd name="T48" fmla="*/ 43 w 127"/>
                                  <a:gd name="T49" fmla="*/ 6 h 127"/>
                                  <a:gd name="T50" fmla="*/ 61 w 127"/>
                                  <a:gd name="T51" fmla="*/ 3 h 127"/>
                                  <a:gd name="T52" fmla="*/ 66 w 127"/>
                                  <a:gd name="T53" fmla="*/ 11 h 127"/>
                                  <a:gd name="T54" fmla="*/ 88 w 127"/>
                                  <a:gd name="T55" fmla="*/ 5 h 127"/>
                                  <a:gd name="T56" fmla="*/ 94 w 127"/>
                                  <a:gd name="T57" fmla="*/ 20 h 127"/>
                                  <a:gd name="T58" fmla="*/ 109 w 127"/>
                                  <a:gd name="T59" fmla="*/ 19 h 127"/>
                                  <a:gd name="T60" fmla="*/ 112 w 127"/>
                                  <a:gd name="T61" fmla="*/ 41 h 127"/>
                                  <a:gd name="T62" fmla="*/ 121 w 127"/>
                                  <a:gd name="T63" fmla="*/ 44 h 127"/>
                                  <a:gd name="T64" fmla="*/ 82 w 127"/>
                                  <a:gd name="T65" fmla="*/ 20 h 127"/>
                                  <a:gd name="T66" fmla="*/ 16 w 127"/>
                                  <a:gd name="T67" fmla="*/ 62 h 127"/>
                                  <a:gd name="T68" fmla="*/ 27 w 127"/>
                                  <a:gd name="T69" fmla="*/ 56 h 127"/>
                                  <a:gd name="T70" fmla="*/ 42 w 127"/>
                                  <a:gd name="T71" fmla="*/ 58 h 127"/>
                                  <a:gd name="T72" fmla="*/ 51 w 127"/>
                                  <a:gd name="T73" fmla="*/ 61 h 127"/>
                                  <a:gd name="T74" fmla="*/ 60 w 127"/>
                                  <a:gd name="T75" fmla="*/ 67 h 127"/>
                                  <a:gd name="T76" fmla="*/ 36 w 127"/>
                                  <a:gd name="T77" fmla="*/ 68 h 127"/>
                                  <a:gd name="T78" fmla="*/ 16 w 127"/>
                                  <a:gd name="T79" fmla="*/ 68 h 127"/>
                                  <a:gd name="T80" fmla="*/ 24 w 127"/>
                                  <a:gd name="T81" fmla="*/ 79 h 127"/>
                                  <a:gd name="T82" fmla="*/ 34 w 127"/>
                                  <a:gd name="T83" fmla="*/ 76 h 127"/>
                                  <a:gd name="T84" fmla="*/ 49 w 127"/>
                                  <a:gd name="T85" fmla="*/ 74 h 127"/>
                                  <a:gd name="T86" fmla="*/ 56 w 127"/>
                                  <a:gd name="T87" fmla="*/ 83 h 127"/>
                                  <a:gd name="T88" fmla="*/ 40 w 127"/>
                                  <a:gd name="T89" fmla="*/ 86 h 127"/>
                                  <a:gd name="T90" fmla="*/ 21 w 127"/>
                                  <a:gd name="T91" fmla="*/ 85 h 127"/>
                                  <a:gd name="T92" fmla="*/ 36 w 127"/>
                                  <a:gd name="T93" fmla="*/ 98 h 127"/>
                                  <a:gd name="T94" fmla="*/ 46 w 127"/>
                                  <a:gd name="T95" fmla="*/ 94 h 127"/>
                                  <a:gd name="T96" fmla="*/ 53 w 127"/>
                                  <a:gd name="T97" fmla="*/ 103 h 127"/>
                                  <a:gd name="T98" fmla="*/ 37 w 127"/>
                                  <a:gd name="T99" fmla="*/ 103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7" h="127">
                                    <a:moveTo>
                                      <a:pt x="126" y="53"/>
                                    </a:moveTo>
                                    <a:cubicBezTo>
                                      <a:pt x="126" y="53"/>
                                      <a:pt x="125" y="52"/>
                                      <a:pt x="124" y="52"/>
                                    </a:cubicBezTo>
                                    <a:cubicBezTo>
                                      <a:pt x="76" y="61"/>
                                      <a:pt x="76" y="61"/>
                                      <a:pt x="76" y="61"/>
                                    </a:cubicBezTo>
                                    <a:cubicBezTo>
                                      <a:pt x="75" y="62"/>
                                      <a:pt x="74" y="62"/>
                                      <a:pt x="74" y="62"/>
                                    </a:cubicBezTo>
                                    <a:cubicBezTo>
                                      <a:pt x="63" y="73"/>
                                      <a:pt x="63" y="73"/>
                                      <a:pt x="63" y="73"/>
                                    </a:cubicBezTo>
                                    <a:cubicBezTo>
                                      <a:pt x="63" y="74"/>
                                      <a:pt x="62" y="75"/>
                                      <a:pt x="62" y="75"/>
                                    </a:cubicBezTo>
                                    <a:cubicBezTo>
                                      <a:pt x="63" y="113"/>
                                      <a:pt x="63" y="113"/>
                                      <a:pt x="63" y="113"/>
                                    </a:cubicBezTo>
                                    <a:cubicBezTo>
                                      <a:pt x="54" y="122"/>
                                      <a:pt x="54" y="122"/>
                                      <a:pt x="54" y="122"/>
                                    </a:cubicBezTo>
                                    <a:cubicBezTo>
                                      <a:pt x="52" y="123"/>
                                      <a:pt x="52" y="125"/>
                                      <a:pt x="54" y="126"/>
                                    </a:cubicBezTo>
                                    <a:cubicBezTo>
                                      <a:pt x="54" y="127"/>
                                      <a:pt x="55" y="127"/>
                                      <a:pt x="56" y="127"/>
                                    </a:cubicBezTo>
                                    <a:cubicBezTo>
                                      <a:pt x="56" y="127"/>
                                      <a:pt x="57" y="127"/>
                                      <a:pt x="58" y="126"/>
                                    </a:cubicBezTo>
                                    <a:cubicBezTo>
                                      <a:pt x="67" y="117"/>
                                      <a:pt x="67" y="117"/>
                                      <a:pt x="67" y="117"/>
                                    </a:cubicBezTo>
                                    <a:cubicBezTo>
                                      <a:pt x="104" y="117"/>
                                      <a:pt x="104" y="117"/>
                                      <a:pt x="104" y="117"/>
                                    </a:cubicBezTo>
                                    <a:cubicBezTo>
                                      <a:pt x="104" y="117"/>
                                      <a:pt x="104" y="117"/>
                                      <a:pt x="104" y="117"/>
                                    </a:cubicBezTo>
                                    <a:cubicBezTo>
                                      <a:pt x="105" y="117"/>
                                      <a:pt x="106" y="117"/>
                                      <a:pt x="106" y="117"/>
                                    </a:cubicBezTo>
                                    <a:cubicBezTo>
                                      <a:pt x="117" y="106"/>
                                      <a:pt x="117" y="106"/>
                                      <a:pt x="117" y="106"/>
                                    </a:cubicBezTo>
                                    <a:cubicBezTo>
                                      <a:pt x="118" y="105"/>
                                      <a:pt x="118" y="105"/>
                                      <a:pt x="118" y="104"/>
                                    </a:cubicBezTo>
                                    <a:cubicBezTo>
                                      <a:pt x="127" y="56"/>
                                      <a:pt x="127" y="56"/>
                                      <a:pt x="127" y="56"/>
                                    </a:cubicBezTo>
                                    <a:cubicBezTo>
                                      <a:pt x="127" y="55"/>
                                      <a:pt x="127" y="54"/>
                                      <a:pt x="126" y="53"/>
                                    </a:cubicBezTo>
                                    <a:close/>
                                    <a:moveTo>
                                      <a:pt x="113" y="102"/>
                                    </a:moveTo>
                                    <a:cubicBezTo>
                                      <a:pt x="103" y="112"/>
                                      <a:pt x="103" y="112"/>
                                      <a:pt x="103" y="112"/>
                                    </a:cubicBezTo>
                                    <a:cubicBezTo>
                                      <a:pt x="72" y="111"/>
                                      <a:pt x="72" y="111"/>
                                      <a:pt x="72" y="111"/>
                                    </a:cubicBezTo>
                                    <a:cubicBezTo>
                                      <a:pt x="80" y="103"/>
                                      <a:pt x="80" y="103"/>
                                      <a:pt x="80" y="103"/>
                                    </a:cubicBezTo>
                                    <a:cubicBezTo>
                                      <a:pt x="95" y="103"/>
                                      <a:pt x="95" y="103"/>
                                      <a:pt x="95" y="103"/>
                                    </a:cubicBezTo>
                                    <a:cubicBezTo>
                                      <a:pt x="96" y="103"/>
                                      <a:pt x="97" y="101"/>
                                      <a:pt x="97" y="100"/>
                                    </a:cubicBezTo>
                                    <a:cubicBezTo>
                                      <a:pt x="97" y="98"/>
                                      <a:pt x="96" y="97"/>
                                      <a:pt x="94" y="97"/>
                                    </a:cubicBezTo>
                                    <a:cubicBezTo>
                                      <a:pt x="86" y="97"/>
                                      <a:pt x="86" y="97"/>
                                      <a:pt x="86" y="97"/>
                                    </a:cubicBezTo>
                                    <a:cubicBezTo>
                                      <a:pt x="93" y="90"/>
                                      <a:pt x="93" y="90"/>
                                      <a:pt x="93" y="90"/>
                                    </a:cubicBezTo>
                                    <a:cubicBezTo>
                                      <a:pt x="104" y="90"/>
                                      <a:pt x="104" y="90"/>
                                      <a:pt x="104" y="90"/>
                                    </a:cubicBezTo>
                                    <a:cubicBezTo>
                                      <a:pt x="105" y="90"/>
                                      <a:pt x="107" y="88"/>
                                      <a:pt x="107" y="87"/>
                                    </a:cubicBezTo>
                                    <a:cubicBezTo>
                                      <a:pt x="107" y="85"/>
                                      <a:pt x="105" y="84"/>
                                      <a:pt x="104" y="84"/>
                                    </a:cubicBezTo>
                                    <a:cubicBezTo>
                                      <a:pt x="100" y="84"/>
                                      <a:pt x="100" y="84"/>
                                      <a:pt x="100" y="84"/>
                                    </a:cubicBezTo>
                                    <a:cubicBezTo>
                                      <a:pt x="109" y="75"/>
                                      <a:pt x="109" y="75"/>
                                      <a:pt x="109" y="75"/>
                                    </a:cubicBezTo>
                                    <a:cubicBezTo>
                                      <a:pt x="110" y="73"/>
                                      <a:pt x="110" y="72"/>
                                      <a:pt x="109" y="70"/>
                                    </a:cubicBezTo>
                                    <a:cubicBezTo>
                                      <a:pt x="108" y="69"/>
                                      <a:pt x="106" y="69"/>
                                      <a:pt x="105" y="70"/>
                                    </a:cubicBezTo>
                                    <a:cubicBezTo>
                                      <a:pt x="95" y="80"/>
                                      <a:pt x="95" y="80"/>
                                      <a:pt x="95" y="80"/>
                                    </a:cubicBezTo>
                                    <a:cubicBezTo>
                                      <a:pt x="96" y="76"/>
                                      <a:pt x="96" y="76"/>
                                      <a:pt x="96" y="76"/>
                                    </a:cubicBezTo>
                                    <a:cubicBezTo>
                                      <a:pt x="96" y="75"/>
                                      <a:pt x="95" y="73"/>
                                      <a:pt x="93" y="73"/>
                                    </a:cubicBezTo>
                                    <a:cubicBezTo>
                                      <a:pt x="91" y="73"/>
                                      <a:pt x="90" y="74"/>
                                      <a:pt x="90" y="76"/>
                                    </a:cubicBezTo>
                                    <a:cubicBezTo>
                                      <a:pt x="89" y="86"/>
                                      <a:pt x="89" y="86"/>
                                      <a:pt x="89" y="86"/>
                                    </a:cubicBezTo>
                                    <a:cubicBezTo>
                                      <a:pt x="82" y="93"/>
                                      <a:pt x="82" y="93"/>
                                      <a:pt x="82" y="93"/>
                                    </a:cubicBezTo>
                                    <a:cubicBezTo>
                                      <a:pt x="83" y="85"/>
                                      <a:pt x="83" y="85"/>
                                      <a:pt x="83" y="85"/>
                                    </a:cubicBezTo>
                                    <a:cubicBezTo>
                                      <a:pt x="83" y="84"/>
                                      <a:pt x="82" y="82"/>
                                      <a:pt x="80" y="82"/>
                                    </a:cubicBezTo>
                                    <a:cubicBezTo>
                                      <a:pt x="79" y="82"/>
                                      <a:pt x="77" y="83"/>
                                      <a:pt x="77" y="85"/>
                                    </a:cubicBezTo>
                                    <a:cubicBezTo>
                                      <a:pt x="76" y="99"/>
                                      <a:pt x="76" y="99"/>
                                      <a:pt x="76" y="99"/>
                                    </a:cubicBezTo>
                                    <a:cubicBezTo>
                                      <a:pt x="68" y="107"/>
                                      <a:pt x="68" y="107"/>
                                      <a:pt x="68" y="107"/>
                                    </a:cubicBezTo>
                                    <a:cubicBezTo>
                                      <a:pt x="68" y="76"/>
                                      <a:pt x="68" y="76"/>
                                      <a:pt x="68" y="76"/>
                                    </a:cubicBezTo>
                                    <a:cubicBezTo>
                                      <a:pt x="77" y="67"/>
                                      <a:pt x="77" y="67"/>
                                      <a:pt x="77" y="67"/>
                                    </a:cubicBezTo>
                                    <a:cubicBezTo>
                                      <a:pt x="121" y="59"/>
                                      <a:pt x="121" y="59"/>
                                      <a:pt x="121" y="59"/>
                                    </a:cubicBezTo>
                                    <a:lnTo>
                                      <a:pt x="113" y="102"/>
                                    </a:lnTo>
                                    <a:close/>
                                    <a:moveTo>
                                      <a:pt x="37" y="103"/>
                                    </a:moveTo>
                                    <a:cubicBezTo>
                                      <a:pt x="37" y="103"/>
                                      <a:pt x="37" y="103"/>
                                      <a:pt x="37" y="103"/>
                                    </a:cubicBezTo>
                                    <a:cubicBezTo>
                                      <a:pt x="40" y="105"/>
                                      <a:pt x="43" y="106"/>
                                      <a:pt x="45" y="107"/>
                                    </a:cubicBezTo>
                                    <a:cubicBezTo>
                                      <a:pt x="47" y="108"/>
                                      <a:pt x="47" y="110"/>
                                      <a:pt x="47" y="111"/>
                                    </a:cubicBezTo>
                                    <a:cubicBezTo>
                                      <a:pt x="46" y="112"/>
                                      <a:pt x="45" y="113"/>
                                      <a:pt x="44" y="113"/>
                                    </a:cubicBezTo>
                                    <a:cubicBezTo>
                                      <a:pt x="44" y="113"/>
                                      <a:pt x="43" y="113"/>
                                      <a:pt x="43" y="113"/>
                                    </a:cubicBezTo>
                                    <a:cubicBezTo>
                                      <a:pt x="24" y="105"/>
                                      <a:pt x="12" y="87"/>
                                      <a:pt x="11" y="67"/>
                                    </a:cubicBezTo>
                                    <a:cubicBezTo>
                                      <a:pt x="3" y="67"/>
                                      <a:pt x="3" y="67"/>
                                      <a:pt x="3" y="67"/>
                                    </a:cubicBezTo>
                                    <a:cubicBezTo>
                                      <a:pt x="1" y="67"/>
                                      <a:pt x="0" y="65"/>
                                      <a:pt x="0" y="64"/>
                                    </a:cubicBezTo>
                                    <a:cubicBezTo>
                                      <a:pt x="0" y="62"/>
                                      <a:pt x="1" y="61"/>
                                      <a:pt x="3" y="61"/>
                                    </a:cubicBezTo>
                                    <a:cubicBezTo>
                                      <a:pt x="11" y="61"/>
                                      <a:pt x="11" y="61"/>
                                      <a:pt x="11" y="61"/>
                                    </a:cubicBezTo>
                                    <a:cubicBezTo>
                                      <a:pt x="11" y="56"/>
                                      <a:pt x="12" y="51"/>
                                      <a:pt x="14" y="46"/>
                                    </a:cubicBezTo>
                                    <a:cubicBezTo>
                                      <a:pt x="6" y="43"/>
                                      <a:pt x="6" y="43"/>
                                      <a:pt x="6" y="43"/>
                                    </a:cubicBezTo>
                                    <a:cubicBezTo>
                                      <a:pt x="5" y="42"/>
                                      <a:pt x="4" y="40"/>
                                      <a:pt x="5" y="39"/>
                                    </a:cubicBezTo>
                                    <a:cubicBezTo>
                                      <a:pt x="6" y="37"/>
                                      <a:pt x="7" y="37"/>
                                      <a:pt x="9" y="37"/>
                                    </a:cubicBezTo>
                                    <a:cubicBezTo>
                                      <a:pt x="16" y="40"/>
                                      <a:pt x="16" y="40"/>
                                      <a:pt x="16" y="40"/>
                                    </a:cubicBezTo>
                                    <a:cubicBezTo>
                                      <a:pt x="18" y="36"/>
                                      <a:pt x="21" y="32"/>
                                      <a:pt x="24" y="28"/>
                                    </a:cubicBezTo>
                                    <a:cubicBezTo>
                                      <a:pt x="19" y="23"/>
                                      <a:pt x="19" y="23"/>
                                      <a:pt x="19" y="23"/>
                                    </a:cubicBezTo>
                                    <a:cubicBezTo>
                                      <a:pt x="17" y="22"/>
                                      <a:pt x="17" y="20"/>
                                      <a:pt x="19" y="19"/>
                                    </a:cubicBezTo>
                                    <a:cubicBezTo>
                                      <a:pt x="20" y="18"/>
                                      <a:pt x="22" y="18"/>
                                      <a:pt x="23" y="19"/>
                                    </a:cubicBezTo>
                                    <a:cubicBezTo>
                                      <a:pt x="28" y="24"/>
                                      <a:pt x="28" y="24"/>
                                      <a:pt x="28" y="24"/>
                                    </a:cubicBezTo>
                                    <a:cubicBezTo>
                                      <a:pt x="32" y="21"/>
                                      <a:pt x="36" y="18"/>
                                      <a:pt x="41" y="16"/>
                                    </a:cubicBezTo>
                                    <a:cubicBezTo>
                                      <a:pt x="38" y="9"/>
                                      <a:pt x="38" y="9"/>
                                      <a:pt x="38" y="9"/>
                                    </a:cubicBezTo>
                                    <a:cubicBezTo>
                                      <a:pt x="38" y="7"/>
                                      <a:pt x="38" y="5"/>
                                      <a:pt x="40" y="5"/>
                                    </a:cubicBezTo>
                                    <a:cubicBezTo>
                                      <a:pt x="41" y="4"/>
                                      <a:pt x="43" y="5"/>
                                      <a:pt x="43" y="6"/>
                                    </a:cubicBezTo>
                                    <a:cubicBezTo>
                                      <a:pt x="46" y="14"/>
                                      <a:pt x="46" y="14"/>
                                      <a:pt x="46" y="14"/>
                                    </a:cubicBezTo>
                                    <a:cubicBezTo>
                                      <a:pt x="51" y="12"/>
                                      <a:pt x="56" y="11"/>
                                      <a:pt x="61" y="11"/>
                                    </a:cubicBezTo>
                                    <a:cubicBezTo>
                                      <a:pt x="61" y="3"/>
                                      <a:pt x="61" y="3"/>
                                      <a:pt x="61" y="3"/>
                                    </a:cubicBezTo>
                                    <a:cubicBezTo>
                                      <a:pt x="61" y="1"/>
                                      <a:pt x="62" y="0"/>
                                      <a:pt x="64" y="0"/>
                                    </a:cubicBezTo>
                                    <a:cubicBezTo>
                                      <a:pt x="65" y="0"/>
                                      <a:pt x="66" y="1"/>
                                      <a:pt x="66" y="3"/>
                                    </a:cubicBezTo>
                                    <a:cubicBezTo>
                                      <a:pt x="66" y="11"/>
                                      <a:pt x="66" y="11"/>
                                      <a:pt x="66" y="11"/>
                                    </a:cubicBezTo>
                                    <a:cubicBezTo>
                                      <a:pt x="72" y="11"/>
                                      <a:pt x="77" y="12"/>
                                      <a:pt x="82" y="14"/>
                                    </a:cubicBezTo>
                                    <a:cubicBezTo>
                                      <a:pt x="85" y="7"/>
                                      <a:pt x="85" y="7"/>
                                      <a:pt x="85" y="7"/>
                                    </a:cubicBezTo>
                                    <a:cubicBezTo>
                                      <a:pt x="85" y="5"/>
                                      <a:pt x="87" y="5"/>
                                      <a:pt x="88" y="5"/>
                                    </a:cubicBezTo>
                                    <a:cubicBezTo>
                                      <a:pt x="90" y="6"/>
                                      <a:pt x="91" y="8"/>
                                      <a:pt x="90" y="9"/>
                                    </a:cubicBezTo>
                                    <a:cubicBezTo>
                                      <a:pt x="87" y="16"/>
                                      <a:pt x="87" y="16"/>
                                      <a:pt x="87" y="16"/>
                                    </a:cubicBezTo>
                                    <a:cubicBezTo>
                                      <a:pt x="89" y="17"/>
                                      <a:pt x="91" y="19"/>
                                      <a:pt x="94" y="20"/>
                                    </a:cubicBezTo>
                                    <a:cubicBezTo>
                                      <a:pt x="95" y="21"/>
                                      <a:pt x="97" y="23"/>
                                      <a:pt x="99" y="24"/>
                                    </a:cubicBezTo>
                                    <a:cubicBezTo>
                                      <a:pt x="105" y="19"/>
                                      <a:pt x="105" y="19"/>
                                      <a:pt x="105" y="19"/>
                                    </a:cubicBezTo>
                                    <a:cubicBezTo>
                                      <a:pt x="106" y="18"/>
                                      <a:pt x="107" y="18"/>
                                      <a:pt x="109" y="19"/>
                                    </a:cubicBezTo>
                                    <a:cubicBezTo>
                                      <a:pt x="110" y="20"/>
                                      <a:pt x="110" y="22"/>
                                      <a:pt x="109" y="23"/>
                                    </a:cubicBezTo>
                                    <a:cubicBezTo>
                                      <a:pt x="103" y="28"/>
                                      <a:pt x="103" y="28"/>
                                      <a:pt x="103" y="28"/>
                                    </a:cubicBezTo>
                                    <a:cubicBezTo>
                                      <a:pt x="106" y="32"/>
                                      <a:pt x="109" y="37"/>
                                      <a:pt x="112" y="41"/>
                                    </a:cubicBezTo>
                                    <a:cubicBezTo>
                                      <a:pt x="119" y="38"/>
                                      <a:pt x="119" y="38"/>
                                      <a:pt x="119" y="38"/>
                                    </a:cubicBezTo>
                                    <a:cubicBezTo>
                                      <a:pt x="120" y="38"/>
                                      <a:pt x="122" y="39"/>
                                      <a:pt x="123" y="40"/>
                                    </a:cubicBezTo>
                                    <a:cubicBezTo>
                                      <a:pt x="123" y="41"/>
                                      <a:pt x="123" y="43"/>
                                      <a:pt x="121" y="44"/>
                                    </a:cubicBezTo>
                                    <a:cubicBezTo>
                                      <a:pt x="111" y="48"/>
                                      <a:pt x="111" y="48"/>
                                      <a:pt x="111" y="48"/>
                                    </a:cubicBezTo>
                                    <a:cubicBezTo>
                                      <a:pt x="110" y="48"/>
                                      <a:pt x="108" y="48"/>
                                      <a:pt x="107" y="46"/>
                                    </a:cubicBezTo>
                                    <a:cubicBezTo>
                                      <a:pt x="103" y="34"/>
                                      <a:pt x="93" y="25"/>
                                      <a:pt x="82" y="20"/>
                                    </a:cubicBezTo>
                                    <a:cubicBezTo>
                                      <a:pt x="82" y="20"/>
                                      <a:pt x="82" y="20"/>
                                      <a:pt x="82" y="20"/>
                                    </a:cubicBezTo>
                                    <a:cubicBezTo>
                                      <a:pt x="76" y="18"/>
                                      <a:pt x="70" y="17"/>
                                      <a:pt x="64" y="17"/>
                                    </a:cubicBezTo>
                                    <a:cubicBezTo>
                                      <a:pt x="38" y="17"/>
                                      <a:pt x="17" y="37"/>
                                      <a:pt x="16" y="62"/>
                                    </a:cubicBezTo>
                                    <a:cubicBezTo>
                                      <a:pt x="18" y="62"/>
                                      <a:pt x="20" y="62"/>
                                      <a:pt x="22" y="61"/>
                                    </a:cubicBezTo>
                                    <a:cubicBezTo>
                                      <a:pt x="23" y="60"/>
                                      <a:pt x="24" y="59"/>
                                      <a:pt x="24" y="58"/>
                                    </a:cubicBezTo>
                                    <a:cubicBezTo>
                                      <a:pt x="24" y="57"/>
                                      <a:pt x="26" y="56"/>
                                      <a:pt x="27" y="56"/>
                                    </a:cubicBezTo>
                                    <a:cubicBezTo>
                                      <a:pt x="28" y="56"/>
                                      <a:pt x="29" y="57"/>
                                      <a:pt x="30" y="58"/>
                                    </a:cubicBezTo>
                                    <a:cubicBezTo>
                                      <a:pt x="30" y="61"/>
                                      <a:pt x="34" y="62"/>
                                      <a:pt x="36" y="62"/>
                                    </a:cubicBezTo>
                                    <a:cubicBezTo>
                                      <a:pt x="38" y="62"/>
                                      <a:pt x="42" y="61"/>
                                      <a:pt x="42" y="58"/>
                                    </a:cubicBezTo>
                                    <a:cubicBezTo>
                                      <a:pt x="43" y="57"/>
                                      <a:pt x="44" y="56"/>
                                      <a:pt x="45" y="56"/>
                                    </a:cubicBezTo>
                                    <a:cubicBezTo>
                                      <a:pt x="46" y="56"/>
                                      <a:pt x="48" y="57"/>
                                      <a:pt x="48" y="58"/>
                                    </a:cubicBezTo>
                                    <a:cubicBezTo>
                                      <a:pt x="48" y="60"/>
                                      <a:pt x="50" y="61"/>
                                      <a:pt x="51" y="61"/>
                                    </a:cubicBezTo>
                                    <a:cubicBezTo>
                                      <a:pt x="53" y="62"/>
                                      <a:pt x="56" y="62"/>
                                      <a:pt x="58" y="61"/>
                                    </a:cubicBezTo>
                                    <a:cubicBezTo>
                                      <a:pt x="59" y="61"/>
                                      <a:pt x="61" y="61"/>
                                      <a:pt x="62" y="63"/>
                                    </a:cubicBezTo>
                                    <a:cubicBezTo>
                                      <a:pt x="62" y="64"/>
                                      <a:pt x="62" y="66"/>
                                      <a:pt x="60" y="67"/>
                                    </a:cubicBezTo>
                                    <a:cubicBezTo>
                                      <a:pt x="57" y="68"/>
                                      <a:pt x="52" y="68"/>
                                      <a:pt x="49" y="67"/>
                                    </a:cubicBezTo>
                                    <a:cubicBezTo>
                                      <a:pt x="47" y="66"/>
                                      <a:pt x="46" y="65"/>
                                      <a:pt x="45" y="64"/>
                                    </a:cubicBezTo>
                                    <a:cubicBezTo>
                                      <a:pt x="43" y="67"/>
                                      <a:pt x="40" y="68"/>
                                      <a:pt x="36" y="68"/>
                                    </a:cubicBezTo>
                                    <a:cubicBezTo>
                                      <a:pt x="32" y="68"/>
                                      <a:pt x="29" y="67"/>
                                      <a:pt x="27" y="64"/>
                                    </a:cubicBezTo>
                                    <a:cubicBezTo>
                                      <a:pt x="26" y="65"/>
                                      <a:pt x="25" y="66"/>
                                      <a:pt x="24" y="66"/>
                                    </a:cubicBezTo>
                                    <a:cubicBezTo>
                                      <a:pt x="22" y="67"/>
                                      <a:pt x="19" y="68"/>
                                      <a:pt x="16" y="68"/>
                                    </a:cubicBezTo>
                                    <a:cubicBezTo>
                                      <a:pt x="17" y="71"/>
                                      <a:pt x="18" y="75"/>
                                      <a:pt x="19" y="79"/>
                                    </a:cubicBezTo>
                                    <a:cubicBezTo>
                                      <a:pt x="19" y="79"/>
                                      <a:pt x="19" y="79"/>
                                      <a:pt x="19" y="79"/>
                                    </a:cubicBezTo>
                                    <a:cubicBezTo>
                                      <a:pt x="19" y="79"/>
                                      <a:pt x="21" y="80"/>
                                      <a:pt x="24" y="79"/>
                                    </a:cubicBezTo>
                                    <a:cubicBezTo>
                                      <a:pt x="26" y="79"/>
                                      <a:pt x="28" y="78"/>
                                      <a:pt x="28" y="76"/>
                                    </a:cubicBezTo>
                                    <a:cubicBezTo>
                                      <a:pt x="28" y="75"/>
                                      <a:pt x="30" y="74"/>
                                      <a:pt x="31" y="74"/>
                                    </a:cubicBezTo>
                                    <a:cubicBezTo>
                                      <a:pt x="32" y="74"/>
                                      <a:pt x="33" y="75"/>
                                      <a:pt x="34" y="76"/>
                                    </a:cubicBezTo>
                                    <a:cubicBezTo>
                                      <a:pt x="34" y="79"/>
                                      <a:pt x="38" y="80"/>
                                      <a:pt x="40" y="80"/>
                                    </a:cubicBezTo>
                                    <a:cubicBezTo>
                                      <a:pt x="42" y="80"/>
                                      <a:pt x="46" y="79"/>
                                      <a:pt x="46" y="76"/>
                                    </a:cubicBezTo>
                                    <a:cubicBezTo>
                                      <a:pt x="47" y="75"/>
                                      <a:pt x="48" y="74"/>
                                      <a:pt x="49" y="74"/>
                                    </a:cubicBezTo>
                                    <a:cubicBezTo>
                                      <a:pt x="50" y="74"/>
                                      <a:pt x="52" y="75"/>
                                      <a:pt x="52" y="76"/>
                                    </a:cubicBezTo>
                                    <a:cubicBezTo>
                                      <a:pt x="52" y="78"/>
                                      <a:pt x="54" y="79"/>
                                      <a:pt x="55" y="80"/>
                                    </a:cubicBezTo>
                                    <a:cubicBezTo>
                                      <a:pt x="56" y="80"/>
                                      <a:pt x="57" y="82"/>
                                      <a:pt x="56" y="83"/>
                                    </a:cubicBezTo>
                                    <a:cubicBezTo>
                                      <a:pt x="56" y="85"/>
                                      <a:pt x="54" y="86"/>
                                      <a:pt x="52" y="85"/>
                                    </a:cubicBezTo>
                                    <a:cubicBezTo>
                                      <a:pt x="51" y="84"/>
                                      <a:pt x="50" y="83"/>
                                      <a:pt x="49" y="83"/>
                                    </a:cubicBezTo>
                                    <a:cubicBezTo>
                                      <a:pt x="47" y="85"/>
                                      <a:pt x="44" y="86"/>
                                      <a:pt x="40" y="86"/>
                                    </a:cubicBezTo>
                                    <a:cubicBezTo>
                                      <a:pt x="36" y="86"/>
                                      <a:pt x="33" y="85"/>
                                      <a:pt x="31" y="82"/>
                                    </a:cubicBezTo>
                                    <a:cubicBezTo>
                                      <a:pt x="28" y="84"/>
                                      <a:pt x="25" y="85"/>
                                      <a:pt x="22" y="85"/>
                                    </a:cubicBezTo>
                                    <a:cubicBezTo>
                                      <a:pt x="22" y="85"/>
                                      <a:pt x="22" y="85"/>
                                      <a:pt x="21" y="85"/>
                                    </a:cubicBezTo>
                                    <a:cubicBezTo>
                                      <a:pt x="23" y="89"/>
                                      <a:pt x="26" y="93"/>
                                      <a:pt x="29" y="96"/>
                                    </a:cubicBezTo>
                                    <a:cubicBezTo>
                                      <a:pt x="29" y="96"/>
                                      <a:pt x="29" y="97"/>
                                      <a:pt x="30" y="97"/>
                                    </a:cubicBezTo>
                                    <a:cubicBezTo>
                                      <a:pt x="31" y="98"/>
                                      <a:pt x="33" y="98"/>
                                      <a:pt x="36" y="98"/>
                                    </a:cubicBezTo>
                                    <a:cubicBezTo>
                                      <a:pt x="38" y="97"/>
                                      <a:pt x="40" y="96"/>
                                      <a:pt x="40" y="94"/>
                                    </a:cubicBezTo>
                                    <a:cubicBezTo>
                                      <a:pt x="41" y="93"/>
                                      <a:pt x="42" y="92"/>
                                      <a:pt x="43" y="92"/>
                                    </a:cubicBezTo>
                                    <a:cubicBezTo>
                                      <a:pt x="44" y="92"/>
                                      <a:pt x="46" y="93"/>
                                      <a:pt x="46" y="94"/>
                                    </a:cubicBezTo>
                                    <a:cubicBezTo>
                                      <a:pt x="47" y="97"/>
                                      <a:pt x="50" y="98"/>
                                      <a:pt x="53" y="98"/>
                                    </a:cubicBezTo>
                                    <a:cubicBezTo>
                                      <a:pt x="54" y="98"/>
                                      <a:pt x="56" y="99"/>
                                      <a:pt x="56" y="100"/>
                                    </a:cubicBezTo>
                                    <a:cubicBezTo>
                                      <a:pt x="56" y="102"/>
                                      <a:pt x="55" y="103"/>
                                      <a:pt x="53" y="103"/>
                                    </a:cubicBezTo>
                                    <a:cubicBezTo>
                                      <a:pt x="49" y="104"/>
                                      <a:pt x="46" y="102"/>
                                      <a:pt x="43" y="100"/>
                                    </a:cubicBezTo>
                                    <a:cubicBezTo>
                                      <a:pt x="42" y="101"/>
                                      <a:pt x="40" y="103"/>
                                      <a:pt x="37" y="103"/>
                                    </a:cubicBezTo>
                                    <a:close/>
                                    <a:moveTo>
                                      <a:pt x="37" y="103"/>
                                    </a:moveTo>
                                    <a:cubicBezTo>
                                      <a:pt x="37" y="103"/>
                                      <a:pt x="37" y="103"/>
                                      <a:pt x="37" y="103"/>
                                    </a:cubicBezTo>
                                  </a:path>
                                </a:pathLst>
                              </a:custGeom>
                              <a:solidFill>
                                <a:srgbClr val="3FB296"/>
                              </a:solidFill>
                              <a:ln>
                                <a:noFill/>
                              </a:ln>
                              <a:extLst/>
                            </wps:spPr>
                            <wps:bodyPr rot="0" vert="horz" wrap="square" lIns="91440" tIns="45720" rIns="91440" bIns="45720" anchor="t" anchorCtr="0" upright="1">
                              <a:noAutofit/>
                            </wps:bodyPr>
                          </wps:wsp>
                        </a:graphicData>
                      </a:graphic>
                    </wp:anchor>
                  </w:drawing>
                </mc:Choice>
                <mc:Fallback>
                  <w:pict>
                    <v:shape w14:anchorId="26D39CAF" id="Freeform 14724" o:spid="_x0000_s1026" style="position:absolute;margin-left:400.8pt;margin-top:3pt;width:32.65pt;height:33.2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127,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" path="m126,53v,,-1,-1,-2,-1c76,61,76,61,76,61v-1,1,-2,1,-2,1c63,73,63,73,63,73v,1,-1,2,-1,2c63,113,63,113,63,113v-9,9,-9,9,-9,9c52,123,52,125,54,126v,1,1,1,2,1c56,127,57,127,58,126v9,-9,9,-9,9,-9c104,117,104,117,104,117v,,,,,c105,117,106,117,106,117v11,-11,11,-11,11,-11c118,105,118,105,118,104v9,-48,9,-48,9,-48c127,55,127,54,126,53xm113,102v-10,10,-10,10,-10,10c72,111,72,111,72,111v8,-8,8,-8,8,-8c95,103,95,103,95,103v1,,2,-2,2,-3c97,98,96,97,94,97v-8,,-8,,-8,c93,90,93,90,93,90v11,,11,,11,c105,90,107,88,107,87v,-2,-2,-3,-3,-3c100,84,100,84,100,84v9,-9,9,-9,9,-9c110,73,110,72,109,70v-1,-1,-3,-1,-4,c95,80,95,80,95,80v1,-4,1,-4,1,-4c96,75,95,73,93,73v-2,,-3,1,-3,3c89,86,89,86,89,86v-7,7,-7,7,-7,7c83,85,83,85,83,85v,-1,-1,-3,-3,-3c79,82,77,83,77,85,76,99,76,99,76,99v-8,8,-8,8,-8,8c68,76,68,76,68,76v9,-9,9,-9,9,-9c121,59,121,59,121,59r-8,43xm37,103v,,,,,c40,105,43,106,45,107v2,1,2,3,2,4c46,112,45,113,44,113v,,-1,,-1,c24,105,12,87,11,67v-8,,-8,,-8,c1,67,,65,,64,,62,1,61,3,61v8,,8,,8,c11,56,12,51,14,46,6,43,6,43,6,43,5,42,4,40,5,39,6,37,7,37,9,37v7,3,7,3,7,3c18,36,21,32,24,28,19,23,19,23,19,23v-2,-1,-2,-3,,-4c20,18,22,18,23,19v5,5,5,5,5,5c32,21,36,18,41,16,38,9,38,9,38,9v,-2,,-4,2,-4c41,4,43,5,43,6v3,8,3,8,3,8c51,12,56,11,61,11v,-8,,-8,,-8c61,1,62,,64,v1,,2,1,2,3c66,11,66,11,66,11v6,,11,1,16,3c85,7,85,7,85,7v,-2,2,-2,3,-2c90,6,91,8,90,9v-3,7,-3,7,-3,7c89,17,91,19,94,20v1,1,3,3,5,4c105,19,105,19,105,19v1,-1,2,-1,4,c110,20,110,22,109,23v-6,5,-6,5,-6,5c106,32,109,37,112,41v7,-3,7,-3,7,-3c120,38,122,39,123,40v,1,,3,-2,4c111,48,111,48,111,48v-1,,-3,,-4,-2c103,34,93,25,82,20v,,,,,c76,18,70,17,64,17,38,17,17,37,16,62v2,,4,,6,-1c23,60,24,59,24,58v,-1,2,-2,3,-2c28,56,29,57,30,58v,3,4,4,6,4c38,62,42,61,42,58v1,-1,2,-2,3,-2c46,56,48,57,48,58v,2,2,3,3,3c53,62,56,62,58,61v1,,3,,4,2c62,64,62,66,60,67v-3,1,-8,1,-11,c47,66,46,65,45,64v-2,3,-5,4,-9,4c32,68,29,67,27,64v-1,1,-2,2,-3,2c22,67,19,68,16,68v1,3,2,7,3,11c19,79,19,79,19,79v,,2,1,5,c26,79,28,78,28,76v,-1,2,-2,3,-2c32,74,33,75,34,76v,3,4,4,6,4c42,80,46,79,46,76v1,-1,2,-2,3,-2c50,74,52,75,52,76v,2,2,3,3,4c56,80,57,82,56,83v,2,-2,3,-4,2c51,84,50,83,49,83v-2,2,-5,3,-9,3c36,86,33,85,31,82v-3,2,-6,3,-9,3c22,85,22,85,21,85v2,4,5,8,8,11c29,96,29,97,30,97v1,1,3,1,6,1c38,97,40,96,40,94v1,-1,2,-2,3,-2c44,92,46,93,46,94v1,3,4,4,7,4c54,98,56,99,56,100v,2,-1,3,-3,3c49,104,46,102,43,100v-1,1,-3,3,-6,3xm37,103v,,,,,e" fillcolor="#3fb296" stroked="f">
                      <v:path arrowok="t" o:connecttype="custom" o:connectlocs="248140,202520;202430,249000;176310,418320;218755,388440;346090,388440;414655,185920;336295,371840;310175,341960;280790,322040;349355,288840;355885,249000;310175,265600;293850,252320;270995,282200;248140,328680;251405,222440;120805,341960;153455,368520;35915,222440;9795,202520;19590,142760;52240,132800;62035,63080;133865,53120;140395,19920;199165,9960;215490,36520;287320,16600;306910,66400;355885,63080;365680,136120;395065,146080;267730,66400;52240,205840;88155,185920;137130,192560;166515,202520;195900,222440;117540,225760;52240,225760;78360,262280;111010,252320;159985,245680;182840,275560;130600,285520;68565,282200;117540,325360;150190,312080;173045,341960;120805,341960" o:connectangles="0,0,0,0,0,0,0,0,0,0,0,0,0,0,0,0,0,0,0,0,0,0,0,0,0,0,0,0,0,0,0,0,0,0,0,0,0,0,0,0,0,0,0,0,0,0,0,0,0,0"/>
                      <o:lock v:ext="edit" verticies="t"/>
                      <w10:wrap type="square"/>
                    </v:shape>
                  </w:pict>
                </mc:Fallback>
              </mc:AlternateContent>
            </w:r>
            <w:r w:rsidRPr="00A04E56">
              <w:rPr>
                <w:sz w:val="18"/>
              </w:rPr>
              <w:t>18 million people in Europe by forest fire protection measures.</w:t>
            </w:r>
          </w:p>
          <w:p w14:paraId="6B0F12A9" w14:textId="77777777" w:rsidR="006D299D" w:rsidRPr="00A04E56" w:rsidRDefault="006D299D" w:rsidP="006D299D">
            <w:pPr>
              <w:numPr>
                <w:ilvl w:val="0"/>
                <w:numId w:val="38"/>
              </w:numPr>
              <w:spacing w:line="276" w:lineRule="auto"/>
              <w:rPr>
                <w:sz w:val="18"/>
              </w:rPr>
            </w:pPr>
            <w:r w:rsidRPr="00A04E56">
              <w:rPr>
                <w:sz w:val="18"/>
              </w:rPr>
              <w:t>7 million hectares of habitat</w:t>
            </w:r>
            <w:r w:rsidRPr="00A04E56">
              <w:rPr>
                <w:sz w:val="18"/>
                <w:vertAlign w:val="superscript"/>
              </w:rPr>
              <w:t xml:space="preserve"> </w:t>
            </w:r>
            <w:r w:rsidRPr="00A04E56">
              <w:rPr>
                <w:sz w:val="18"/>
              </w:rPr>
              <w:t>benefit from conservation measures.</w:t>
            </w:r>
          </w:p>
          <w:p w14:paraId="3C4BCE9D" w14:textId="4825412E" w:rsidR="006D299D" w:rsidRPr="00A04E56" w:rsidRDefault="006D299D" w:rsidP="006D299D">
            <w:pPr>
              <w:numPr>
                <w:ilvl w:val="0"/>
                <w:numId w:val="38"/>
              </w:numPr>
              <w:spacing w:line="276" w:lineRule="auto"/>
              <w:rPr>
                <w:sz w:val="18"/>
              </w:rPr>
            </w:pPr>
            <w:r w:rsidRPr="00A04E56">
              <w:rPr>
                <w:sz w:val="18"/>
              </w:rPr>
              <w:t xml:space="preserve">8.5 million </w:t>
            </w:r>
            <w:r w:rsidR="008D5E69" w:rsidRPr="00A04E56">
              <w:rPr>
                <w:sz w:val="18"/>
              </w:rPr>
              <w:t xml:space="preserve">people in Europe </w:t>
            </w:r>
            <w:r w:rsidRPr="00A04E56">
              <w:rPr>
                <w:sz w:val="18"/>
              </w:rPr>
              <w:t>benefit from an improved drinking water supply.</w:t>
            </w:r>
          </w:p>
          <w:p w14:paraId="43422232" w14:textId="01361C50" w:rsidR="006D299D" w:rsidRPr="00A04E56" w:rsidRDefault="006D299D" w:rsidP="006D299D">
            <w:pPr>
              <w:numPr>
                <w:ilvl w:val="0"/>
                <w:numId w:val="38"/>
              </w:numPr>
              <w:spacing w:line="276" w:lineRule="auto"/>
              <w:rPr>
                <w:sz w:val="18"/>
              </w:rPr>
            </w:pPr>
            <w:r w:rsidRPr="00A04E56">
              <w:rPr>
                <w:sz w:val="18"/>
              </w:rPr>
              <w:t xml:space="preserve">More than 14.5 million </w:t>
            </w:r>
            <w:r w:rsidR="008D5E69" w:rsidRPr="00A04E56">
              <w:rPr>
                <w:sz w:val="18"/>
              </w:rPr>
              <w:t xml:space="preserve">people in Europe </w:t>
            </w:r>
            <w:r w:rsidRPr="00A04E56">
              <w:rPr>
                <w:sz w:val="18"/>
              </w:rPr>
              <w:t>have access to improved wastewater treatment.</w:t>
            </w:r>
          </w:p>
          <w:p w14:paraId="5B26A4BD" w14:textId="77777777" w:rsidR="006D299D" w:rsidRPr="00A04E56" w:rsidRDefault="006D299D" w:rsidP="006D299D">
            <w:pPr>
              <w:numPr>
                <w:ilvl w:val="0"/>
                <w:numId w:val="38"/>
              </w:numPr>
              <w:spacing w:line="276" w:lineRule="auto"/>
              <w:rPr>
                <w:sz w:val="18"/>
              </w:rPr>
            </w:pPr>
            <w:r w:rsidRPr="00A04E56">
              <w:rPr>
                <w:sz w:val="18"/>
              </w:rPr>
              <w:t>Actions financed by the Cohesion Fund deliver an estimated annual decrease in greenhouse emissions of 9.7 million tonnes of CO</w:t>
            </w:r>
            <w:r w:rsidRPr="00A04E56">
              <w:rPr>
                <w:sz w:val="18"/>
                <w:vertAlign w:val="subscript"/>
              </w:rPr>
              <w:t>2</w:t>
            </w:r>
            <w:r w:rsidRPr="00A04E56">
              <w:rPr>
                <w:sz w:val="18"/>
              </w:rPr>
              <w:t xml:space="preserve"> equivalent and an improved energy consumption classification for 330 000 households.</w:t>
            </w:r>
          </w:p>
          <w:p w14:paraId="0CF3F55C" w14:textId="77777777" w:rsidR="006D299D" w:rsidRPr="00A04E56" w:rsidRDefault="006D299D" w:rsidP="00C257BF">
            <w:pPr>
              <w:pStyle w:val="AMPRText"/>
              <w:spacing w:after="240" w:line="240" w:lineRule="auto"/>
              <w:rPr>
                <w:rFonts w:ascii="EC Square Sans Cond Pro" w:hAnsi="EC Square Sans Cond Pro" w:cstheme="minorBidi"/>
                <w:color w:val="65BBC8"/>
                <w:kern w:val="24"/>
                <w:sz w:val="48"/>
                <w:szCs w:val="48"/>
              </w:rPr>
            </w:pPr>
          </w:p>
        </w:tc>
      </w:tr>
    </w:tbl>
    <w:p w14:paraId="15AB9354" w14:textId="5E9D8330" w:rsidR="006D299D" w:rsidRPr="00A04E56" w:rsidRDefault="00CD0119" w:rsidP="00C466E2">
      <w:pPr>
        <w:pStyle w:val="Source-Table-Chart-PhotoCaption"/>
        <w:ind w:left="510" w:hanging="510"/>
      </w:pPr>
      <w:r w:rsidRPr="0005798F">
        <w:rPr>
          <w:i/>
          <w:sz w:val="20"/>
          <w:szCs w:val="20"/>
        </w:rPr>
        <w:t>Note:</w:t>
      </w:r>
      <w:r w:rsidRPr="00277538">
        <w:rPr>
          <w:sz w:val="20"/>
          <w:szCs w:val="20"/>
        </w:rPr>
        <w:t xml:space="preserve"> </w:t>
      </w:r>
      <w:r w:rsidR="00DD7CC6" w:rsidRPr="00277538">
        <w:rPr>
          <w:sz w:val="20"/>
          <w:szCs w:val="20"/>
        </w:rPr>
        <w:t>Figures</w:t>
      </w:r>
      <w:r w:rsidR="00485ED0">
        <w:rPr>
          <w:sz w:val="20"/>
          <w:szCs w:val="20"/>
        </w:rPr>
        <w:t xml:space="preserve">, except </w:t>
      </w:r>
      <w:r w:rsidR="00485ED0" w:rsidRPr="00A04E56">
        <w:rPr>
          <w:sz w:val="18"/>
        </w:rPr>
        <w:t>(</w:t>
      </w:r>
      <w:r w:rsidR="00485ED0" w:rsidRPr="00A04E56">
        <w:rPr>
          <w:sz w:val="18"/>
          <w:vertAlign w:val="superscript"/>
        </w:rPr>
        <w:t>a</w:t>
      </w:r>
      <w:r w:rsidR="00485ED0" w:rsidRPr="00A04E56">
        <w:rPr>
          <w:sz w:val="18"/>
        </w:rPr>
        <w:t>)</w:t>
      </w:r>
      <w:r w:rsidR="00DD7CC6" w:rsidRPr="00277538">
        <w:rPr>
          <w:sz w:val="20"/>
          <w:szCs w:val="20"/>
        </w:rPr>
        <w:t xml:space="preserve"> represent the expected impact from the 2014-2020 Cohesion Policy projects that started to receive support before 31</w:t>
      </w:r>
      <w:r w:rsidR="00DA20EC" w:rsidRPr="00277538">
        <w:rPr>
          <w:rFonts w:ascii="Calibri" w:hAnsi="Calibri" w:cs="Calibri"/>
          <w:sz w:val="20"/>
          <w:szCs w:val="20"/>
        </w:rPr>
        <w:t> </w:t>
      </w:r>
      <w:r w:rsidR="00DA20EC" w:rsidRPr="00277538">
        <w:rPr>
          <w:sz w:val="20"/>
          <w:szCs w:val="20"/>
        </w:rPr>
        <w:t>December</w:t>
      </w:r>
      <w:r w:rsidR="00DA20EC" w:rsidRPr="00277538">
        <w:rPr>
          <w:rFonts w:ascii="Calibri" w:hAnsi="Calibri" w:cs="Calibri"/>
          <w:sz w:val="20"/>
          <w:szCs w:val="20"/>
        </w:rPr>
        <w:t> </w:t>
      </w:r>
      <w:r w:rsidR="00DA20EC" w:rsidRPr="00277538">
        <w:rPr>
          <w:sz w:val="20"/>
          <w:szCs w:val="20"/>
        </w:rPr>
        <w:t>2018</w:t>
      </w:r>
      <w:r w:rsidR="00DD7CC6" w:rsidRPr="00277538">
        <w:rPr>
          <w:sz w:val="20"/>
          <w:szCs w:val="20"/>
        </w:rPr>
        <w:t>.</w:t>
      </w:r>
      <w:r w:rsidR="00DD7CC6" w:rsidRPr="00A04E56">
        <w:t xml:space="preserve"> </w:t>
      </w:r>
    </w:p>
    <w:p w14:paraId="488A72F5" w14:textId="5EFF59DC" w:rsidR="00DD7CC6" w:rsidRPr="00A04E56" w:rsidRDefault="00DD7CC6" w:rsidP="00791B04">
      <w:pPr>
        <w:pStyle w:val="Source-Table-Chart-PhotoCaption"/>
      </w:pPr>
      <w:r w:rsidRPr="00A04E56">
        <w:rPr>
          <w:rStyle w:val="italics"/>
        </w:rPr>
        <w:t>Sources:</w:t>
      </w:r>
      <w:r w:rsidRPr="00A04E56">
        <w:t xml:space="preserve"> </w:t>
      </w:r>
      <w:r w:rsidR="006D299D" w:rsidRPr="00A04E56">
        <w:t xml:space="preserve">Opendata platform on European Structural </w:t>
      </w:r>
      <w:r w:rsidR="00CD0119">
        <w:t xml:space="preserve">and </w:t>
      </w:r>
      <w:r w:rsidR="006D299D" w:rsidRPr="00A04E56">
        <w:t>Investment Funds (</w:t>
      </w:r>
      <w:hyperlink r:id="rId140" w:history="1">
        <w:r w:rsidR="006D299D" w:rsidRPr="00A04E56">
          <w:rPr>
            <w:rStyle w:val="Hyperlink"/>
          </w:rPr>
          <w:t>https://cohesiondata.ec.europa.eu/</w:t>
        </w:r>
      </w:hyperlink>
      <w:r w:rsidR="006D299D" w:rsidRPr="00A04E56">
        <w:t xml:space="preserve"> );</w:t>
      </w:r>
      <w:r w:rsidRPr="00A04E56">
        <w:t xml:space="preserve"> 2018 Annual Activity Report of the </w:t>
      </w:r>
      <w:r w:rsidR="0032451D" w:rsidRPr="00A04E56">
        <w:t>D</w:t>
      </w:r>
      <w:r w:rsidR="0032451D">
        <w:t>irectorate-</w:t>
      </w:r>
      <w:r w:rsidR="0032451D" w:rsidRPr="00A04E56">
        <w:t>G</w:t>
      </w:r>
      <w:r w:rsidR="0032451D">
        <w:t>eneral</w:t>
      </w:r>
      <w:r w:rsidRPr="00A04E56">
        <w:t xml:space="preserve"> </w:t>
      </w:r>
      <w:r w:rsidR="005205C2" w:rsidRPr="00A04E56">
        <w:t>for</w:t>
      </w:r>
      <w:r w:rsidRPr="00A04E56">
        <w:t xml:space="preserve"> Regional and Urban Policy; 7th Report on economic, social and territorial cohesion; common indicator and annual implementation reports.</w:t>
      </w:r>
      <w:r w:rsidRPr="00A04E56">
        <w:br w:type="page"/>
      </w:r>
    </w:p>
    <w:p w14:paraId="718BA9F6" w14:textId="2D4C8DF1" w:rsidR="008331F6" w:rsidRPr="00A04E56" w:rsidRDefault="008331F6" w:rsidP="008331F6">
      <w:pPr>
        <w:pStyle w:val="Title2Report"/>
      </w:pPr>
      <w:bookmarkStart w:id="104" w:name="_Toc12021012"/>
      <w:r w:rsidRPr="00A04E56">
        <w:t>European Regional Development Fund and Cohesion Fund</w:t>
      </w:r>
      <w:bookmarkEnd w:id="104"/>
    </w:p>
    <w:p w14:paraId="160444BF" w14:textId="062E95F5" w:rsidR="008331F6" w:rsidRPr="00A04E56" w:rsidRDefault="008331F6" w:rsidP="00AA0340">
      <w:pPr>
        <w:pStyle w:val="Title3NumberedReport"/>
      </w:pPr>
      <w:r w:rsidRPr="00A04E56">
        <w:t xml:space="preserve">Programme objectives </w:t>
      </w:r>
    </w:p>
    <w:p w14:paraId="762E35D3" w14:textId="62B9C8BD" w:rsidR="00AF7862" w:rsidRPr="00A04E56" w:rsidRDefault="008331F6" w:rsidP="00AF7862">
      <w:pPr>
        <w:pStyle w:val="BodyText1spaceafter"/>
      </w:pPr>
      <w:r w:rsidRPr="00A04E56">
        <w:t xml:space="preserve">The European Regional Development Fund and the Cohesion Fund are two of the </w:t>
      </w:r>
      <w:r w:rsidRPr="00A04E56">
        <w:rPr>
          <w:rStyle w:val="BOLDLIGHTBLUEReport"/>
          <w:rFonts w:eastAsia="Calibri"/>
        </w:rPr>
        <w:t xml:space="preserve">EU’s main investment instruments, </w:t>
      </w:r>
      <w:r w:rsidRPr="00A04E56">
        <w:t xml:space="preserve">delivering a critical mass of investment in EU priority areas. They provide strong support for the implementation of the country-specific recommendations issued to Member States in the context of the European Semester for economic policy coordination. </w:t>
      </w:r>
      <w:r w:rsidR="00AF7862" w:rsidRPr="00A04E56">
        <w:t xml:space="preserve">The 2014-2020 programmes were the first programmes to be explicitly linked to the European </w:t>
      </w:r>
      <w:r w:rsidR="00AE4B2D" w:rsidRPr="00A04E56">
        <w:t>Semester</w:t>
      </w:r>
      <w:r w:rsidR="00AF7862" w:rsidRPr="00A04E56">
        <w:t xml:space="preserve"> annual</w:t>
      </w:r>
      <w:r w:rsidR="003D0082" w:rsidRPr="00A04E56">
        <w:t>. Relevant country-specific recommendations (CSRs) were notably a focal point for effective programming</w:t>
      </w:r>
      <w:r w:rsidR="00AF7862" w:rsidRPr="00A04E56">
        <w:t xml:space="preserve"> </w:t>
      </w:r>
      <w:r w:rsidR="00AF7862" w:rsidRPr="00A04E56">
        <w:rPr>
          <w:szCs w:val="20"/>
        </w:rPr>
        <w:t xml:space="preserve">and </w:t>
      </w:r>
      <w:r w:rsidR="003D0082" w:rsidRPr="00A04E56">
        <w:t xml:space="preserve">are reflected in the adopted </w:t>
      </w:r>
      <w:r w:rsidR="00835302" w:rsidRPr="00A04E56">
        <w:t>partnership agreements</w:t>
      </w:r>
      <w:r w:rsidR="003D0082" w:rsidRPr="00A04E56">
        <w:t xml:space="preserve"> and ongoing programmes, which </w:t>
      </w:r>
      <w:r w:rsidR="009B51A7" w:rsidRPr="00A04E56">
        <w:t>cu</w:t>
      </w:r>
      <w:r w:rsidR="009B51A7">
        <w:t>r</w:t>
      </w:r>
      <w:r w:rsidR="009B51A7" w:rsidRPr="00A04E56">
        <w:t>rently</w:t>
      </w:r>
      <w:r w:rsidR="009B51A7" w:rsidRPr="00A04E56">
        <w:rPr>
          <w:szCs w:val="20"/>
        </w:rPr>
        <w:t xml:space="preserve"> </w:t>
      </w:r>
      <w:r w:rsidR="00AF7862" w:rsidRPr="00A04E56">
        <w:rPr>
          <w:szCs w:val="20"/>
        </w:rPr>
        <w:t xml:space="preserve">provide </w:t>
      </w:r>
      <w:r w:rsidR="003D0082" w:rsidRPr="00A04E56">
        <w:t>an</w:t>
      </w:r>
      <w:r w:rsidR="00AF7862" w:rsidRPr="00A04E56">
        <w:rPr>
          <w:szCs w:val="20"/>
        </w:rPr>
        <w:t xml:space="preserve"> impetus for Member States to implement structural changes and policy reforms through investment targeting structural weaknesses and growth bottlenecks.</w:t>
      </w:r>
      <w:r w:rsidR="00AF7862" w:rsidRPr="00A04E56">
        <w:t xml:space="preserve"> </w:t>
      </w:r>
      <w:r w:rsidRPr="00A04E56">
        <w:t xml:space="preserve">The funds played an important role in countering the immediate effects of the economic and financial crisis, as well as strengthening the structural potential of Europe’s regions for the longer term. The investment priorities for 2014-2020 are the following.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8331F6" w:rsidRPr="00A04E56" w14:paraId="42906C2B" w14:textId="77777777" w:rsidTr="00D01B0A">
        <w:trPr>
          <w:cantSplit/>
          <w:trHeight w:val="107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4AAFF281" w14:textId="0BFA673C" w:rsidR="008331F6" w:rsidRPr="00A04E56" w:rsidRDefault="008331F6" w:rsidP="00D01B0A">
            <w:pPr>
              <w:keepNext/>
              <w:keepLines/>
              <w:spacing w:line="276" w:lineRule="auto"/>
              <w:jc w:val="center"/>
              <w:rPr>
                <w:rFonts w:cstheme="minorHAnsi"/>
                <w:szCs w:val="20"/>
              </w:rPr>
            </w:pPr>
            <w:r w:rsidRPr="00A04E56">
              <w:rPr>
                <w:noProof/>
                <w:lang w:val="fr-BE" w:eastAsia="fr-BE"/>
              </w:rPr>
              <w:drawing>
                <wp:inline distT="0" distB="0" distL="0" distR="0" wp14:anchorId="16F1F742" wp14:editId="12F4D07A">
                  <wp:extent cx="468000" cy="468000"/>
                  <wp:effectExtent l="0" t="0" r="8255" b="8255"/>
                  <wp:docPr id="60" name="Picture 60" descr="G:\Production\B2 prepresse\Raimonds\2019.1745 AMPR\50 - work on images\AMPR Icons\AMPR Icons_Send1\AMPR Icons_Send1\Icon_11510_ERD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Production\B2 prepresse\Raimonds\2019.1745 AMPR\50 - work on images\AMPR Icons\AMPR Icons_Send1\AMPR Icons_Send1\Icon_11510_ERDF_01.emf"/>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5AF714A8" w14:textId="77777777" w:rsidR="008331F6" w:rsidRPr="00A04E56" w:rsidRDefault="008331F6" w:rsidP="00277538">
            <w:pPr>
              <w:keepNext/>
              <w:keepLines/>
              <w:spacing w:line="276" w:lineRule="auto"/>
              <w:rPr>
                <w:rFonts w:cstheme="minorHAnsi"/>
                <w:szCs w:val="20"/>
              </w:rPr>
            </w:pPr>
            <w:r w:rsidRPr="00A04E56">
              <w:rPr>
                <w:rFonts w:cstheme="minorHAnsi"/>
                <w:szCs w:val="20"/>
              </w:rPr>
              <w:t>Strengthening research, technological development and innovation</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3E04A0C" w14:textId="77777777" w:rsidR="008331F6" w:rsidRPr="00A04E56" w:rsidRDefault="008331F6" w:rsidP="00D01B0A">
            <w:pPr>
              <w:keepNext/>
              <w:keepLines/>
              <w:spacing w:line="276" w:lineRule="auto"/>
              <w:jc w:val="center"/>
              <w:rPr>
                <w:rFonts w:cstheme="minorHAnsi"/>
                <w:szCs w:val="20"/>
                <w:lang w:eastAsia="hu-HU"/>
              </w:rPr>
            </w:pPr>
            <w:r w:rsidRPr="00A04E56">
              <w:rPr>
                <w:noProof/>
                <w:lang w:val="fr-BE" w:eastAsia="fr-BE"/>
              </w:rPr>
              <w:drawing>
                <wp:inline distT="0" distB="0" distL="0" distR="0" wp14:anchorId="3F466477" wp14:editId="54EE9EC1">
                  <wp:extent cx="468000" cy="468000"/>
                  <wp:effectExtent l="0" t="0" r="8255" b="8255"/>
                  <wp:docPr id="69" name="Picture 69" descr="G:\Production\B2 prepresse\Raimonds\2019.1745 AMPR\50 - work on images\AMPR Icons\AMPR Icons_Send1\AMPR Icons_Send1\Icon_11510_ERD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Production\B2 prepresse\Raimonds\2019.1745 AMPR\50 - work on images\AMPR Icons\AMPR Icons_Send1\AMPR Icons_Send1\Icon_11510_ERDF_02.emf"/>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E85801B" w14:textId="77777777" w:rsidR="008331F6" w:rsidRPr="00A04E56" w:rsidRDefault="008331F6" w:rsidP="00277538">
            <w:pPr>
              <w:keepNext/>
              <w:keepLines/>
              <w:spacing w:line="276" w:lineRule="auto"/>
              <w:rPr>
                <w:rFonts w:cstheme="minorHAnsi"/>
                <w:szCs w:val="20"/>
              </w:rPr>
            </w:pPr>
            <w:r w:rsidRPr="00A04E56">
              <w:rPr>
                <w:rFonts w:cstheme="minorHAnsi"/>
                <w:szCs w:val="20"/>
              </w:rPr>
              <w:t>Enhancing access to and use and quality of information and communications technology (ICT)</w:t>
            </w:r>
          </w:p>
        </w:tc>
      </w:tr>
      <w:tr w:rsidR="008331F6" w:rsidRPr="00A04E56" w14:paraId="5F44B48B" w14:textId="77777777" w:rsidTr="00D01B0A">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99277BA" w14:textId="77777777" w:rsidR="008331F6" w:rsidRPr="00A04E56" w:rsidRDefault="008331F6" w:rsidP="00D01B0A">
            <w:pPr>
              <w:keepNext/>
              <w:keepLines/>
              <w:spacing w:line="276" w:lineRule="auto"/>
              <w:jc w:val="center"/>
              <w:rPr>
                <w:rFonts w:cstheme="minorHAnsi"/>
                <w:szCs w:val="20"/>
                <w:lang w:eastAsia="hu-HU"/>
              </w:rPr>
            </w:pPr>
            <w:r w:rsidRPr="00A04E56">
              <w:rPr>
                <w:noProof/>
                <w:lang w:val="fr-BE" w:eastAsia="fr-BE"/>
              </w:rPr>
              <w:drawing>
                <wp:inline distT="0" distB="0" distL="0" distR="0" wp14:anchorId="44E5DF9C" wp14:editId="614D220F">
                  <wp:extent cx="468000" cy="468000"/>
                  <wp:effectExtent l="0" t="0" r="8255" b="8255"/>
                  <wp:docPr id="64" name="Picture 64" descr="G:\Production\B2 prepresse\Raimonds\2019.1745 AMPR\50 - work on images\AMPR Icons\AMPR Icons_Send1\AMPR Icons_Send1\Icon_11510_ERD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Production\B2 prepresse\Raimonds\2019.1745 AMPR\50 - work on images\AMPR Icons\AMPR Icons_Send1\AMPR Icons_Send1\Icon_11510_ERDF_03.emf"/>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4307E6B3" w14:textId="7A0D49FE" w:rsidR="008331F6" w:rsidRPr="00A04E56" w:rsidRDefault="008331F6" w:rsidP="00277538">
            <w:pPr>
              <w:keepNext/>
              <w:keepLines/>
              <w:spacing w:line="276" w:lineRule="auto"/>
              <w:rPr>
                <w:rFonts w:cstheme="minorHAnsi"/>
                <w:szCs w:val="20"/>
              </w:rPr>
            </w:pPr>
            <w:r w:rsidRPr="00A04E56">
              <w:rPr>
                <w:rFonts w:cstheme="minorHAnsi"/>
                <w:szCs w:val="20"/>
              </w:rPr>
              <w:t xml:space="preserve">Enhancing the competitiveness of small and medium-sized enterprises </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212A297C" w14:textId="77777777" w:rsidR="008331F6" w:rsidRPr="00A04E56" w:rsidRDefault="008331F6" w:rsidP="00D01B0A">
            <w:pPr>
              <w:keepNext/>
              <w:keepLines/>
              <w:spacing w:line="276" w:lineRule="auto"/>
              <w:jc w:val="center"/>
              <w:rPr>
                <w:lang w:eastAsia="hu-HU"/>
              </w:rPr>
            </w:pPr>
            <w:r w:rsidRPr="00A04E56">
              <w:rPr>
                <w:noProof/>
                <w:lang w:val="fr-BE" w:eastAsia="fr-BE"/>
              </w:rPr>
              <w:drawing>
                <wp:inline distT="0" distB="0" distL="0" distR="0" wp14:anchorId="04F3B410" wp14:editId="67209262">
                  <wp:extent cx="468000" cy="468000"/>
                  <wp:effectExtent l="0" t="0" r="8255" b="8255"/>
                  <wp:docPr id="70" name="Picture 70" descr="G:\Production\B2 prepresse\Raimonds\2019.1745 AMPR\50 - work on images\AMPR Icons\AMPR Icons_Send1\AMPR Icons_Send1\Icon_11510_ERD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Production\B2 prepresse\Raimonds\2019.1745 AMPR\50 - work on images\AMPR Icons\AMPR Icons_Send1\AMPR Icons_Send1\Icon_11510_ERDF_04.emf"/>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9864652" w14:textId="77777777" w:rsidR="008331F6" w:rsidRPr="00A04E56" w:rsidRDefault="008331F6" w:rsidP="00277538">
            <w:pPr>
              <w:keepNext/>
              <w:keepLines/>
              <w:spacing w:line="276" w:lineRule="auto"/>
              <w:rPr>
                <w:rFonts w:cstheme="minorHAnsi"/>
                <w:szCs w:val="20"/>
              </w:rPr>
            </w:pPr>
            <w:r w:rsidRPr="00A04E56">
              <w:rPr>
                <w:rFonts w:cstheme="minorHAnsi"/>
                <w:szCs w:val="20"/>
              </w:rPr>
              <w:t>Supporting the shift towards a low-carbon economy in all sectors</w:t>
            </w:r>
          </w:p>
        </w:tc>
      </w:tr>
      <w:tr w:rsidR="008331F6" w:rsidRPr="00A04E56" w14:paraId="115CCD76" w14:textId="77777777" w:rsidTr="00072D44">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9CF22E4" w14:textId="77777777" w:rsidR="008331F6" w:rsidRPr="00A04E56" w:rsidRDefault="008331F6" w:rsidP="00D01B0A">
            <w:pPr>
              <w:keepNext/>
              <w:keepLines/>
              <w:spacing w:line="276" w:lineRule="auto"/>
              <w:jc w:val="center"/>
              <w:rPr>
                <w:rFonts w:cstheme="minorHAnsi"/>
                <w:szCs w:val="20"/>
                <w:lang w:eastAsia="fr-BE"/>
              </w:rPr>
            </w:pPr>
            <w:r w:rsidRPr="00A04E56">
              <w:rPr>
                <w:noProof/>
                <w:lang w:val="fr-BE" w:eastAsia="fr-BE"/>
              </w:rPr>
              <w:drawing>
                <wp:inline distT="0" distB="0" distL="0" distR="0" wp14:anchorId="471C21D9" wp14:editId="679C99E2">
                  <wp:extent cx="468000" cy="468000"/>
                  <wp:effectExtent l="0" t="0" r="8255" b="8255"/>
                  <wp:docPr id="65" name="Picture 65" descr="G:\Production\B2 prepresse\Raimonds\2019.1745 AMPR\50 - work on images\AMPR Icons\AMPR Icons_Send1\AMPR Icons_Send1\Icon_11510_ERDF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Production\B2 prepresse\Raimonds\2019.1745 AMPR\50 - work on images\AMPR Icons\AMPR Icons_Send1\AMPR Icons_Send1\Icon_11510_ERDF_05.emf"/>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4A7A8255" w14:textId="530F689D" w:rsidR="008331F6" w:rsidRPr="00A04E56" w:rsidRDefault="008331F6" w:rsidP="00277538">
            <w:pPr>
              <w:keepNext/>
              <w:keepLines/>
              <w:spacing w:line="276" w:lineRule="auto"/>
              <w:rPr>
                <w:rFonts w:cstheme="minorHAnsi"/>
                <w:szCs w:val="20"/>
              </w:rPr>
            </w:pPr>
            <w:r w:rsidRPr="00A04E56">
              <w:rPr>
                <w:rFonts w:cstheme="minorHAnsi"/>
                <w:szCs w:val="20"/>
              </w:rPr>
              <w:t>Promoting climate</w:t>
            </w:r>
            <w:r w:rsidR="00C6111C" w:rsidRPr="00A04E56">
              <w:rPr>
                <w:rFonts w:cstheme="minorHAnsi"/>
                <w:szCs w:val="20"/>
              </w:rPr>
              <w:t>-</w:t>
            </w:r>
            <w:r w:rsidRPr="00A04E56">
              <w:rPr>
                <w:rFonts w:cstheme="minorHAnsi"/>
                <w:szCs w:val="20"/>
              </w:rPr>
              <w:t>change adaptation, risk prevention and management</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8E6DA3C" w14:textId="77777777" w:rsidR="008331F6" w:rsidRPr="00A04E56" w:rsidRDefault="008331F6" w:rsidP="00D01B0A">
            <w:pPr>
              <w:keepNext/>
              <w:keepLines/>
              <w:spacing w:line="276" w:lineRule="auto"/>
              <w:jc w:val="center"/>
              <w:rPr>
                <w:lang w:eastAsia="fr-BE"/>
              </w:rPr>
            </w:pPr>
            <w:r w:rsidRPr="00A04E56">
              <w:rPr>
                <w:noProof/>
                <w:lang w:val="fr-BE" w:eastAsia="fr-BE"/>
              </w:rPr>
              <w:drawing>
                <wp:inline distT="0" distB="0" distL="0" distR="0" wp14:anchorId="720B047F" wp14:editId="7DC85C99">
                  <wp:extent cx="468000" cy="468000"/>
                  <wp:effectExtent l="0" t="0" r="8255" b="8255"/>
                  <wp:docPr id="71" name="Picture 71" descr="G:\Production\B2 prepresse\Raimonds\2019.1745 AMPR\50 - work on images\AMPR Icons\AMPR Icons_Send1\AMPR Icons_Send1\Icon_11510_ERDF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Production\B2 prepresse\Raimonds\2019.1745 AMPR\50 - work on images\AMPR Icons\AMPR Icons_Send1\AMPR Icons_Send1\Icon_11510_ERDF_06.emf"/>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2B4F0418" w14:textId="77777777" w:rsidR="008331F6" w:rsidRPr="00A04E56" w:rsidRDefault="008331F6" w:rsidP="00277538">
            <w:pPr>
              <w:keepNext/>
              <w:keepLines/>
              <w:spacing w:line="276" w:lineRule="auto"/>
              <w:rPr>
                <w:rFonts w:cstheme="minorHAnsi"/>
                <w:szCs w:val="20"/>
              </w:rPr>
            </w:pPr>
            <w:r w:rsidRPr="00A04E56">
              <w:rPr>
                <w:rFonts w:cstheme="minorHAnsi"/>
                <w:szCs w:val="20"/>
              </w:rPr>
              <w:t>Preserving and protecting the environment and promoting resource efficiency</w:t>
            </w:r>
          </w:p>
        </w:tc>
      </w:tr>
      <w:tr w:rsidR="008331F6" w:rsidRPr="00A04E56" w14:paraId="700EDDBB" w14:textId="77777777" w:rsidTr="00072D44">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042D8F2" w14:textId="77777777" w:rsidR="008331F6" w:rsidRPr="00A04E56" w:rsidRDefault="008331F6" w:rsidP="00D01B0A">
            <w:pPr>
              <w:keepNext/>
              <w:keepLines/>
              <w:spacing w:line="276" w:lineRule="auto"/>
              <w:jc w:val="center"/>
              <w:rPr>
                <w:rFonts w:cstheme="minorHAnsi"/>
                <w:noProof/>
                <w:szCs w:val="20"/>
                <w:lang w:eastAsia="fr-BE"/>
              </w:rPr>
            </w:pPr>
            <w:r w:rsidRPr="00A04E56">
              <w:rPr>
                <w:noProof/>
                <w:lang w:val="fr-BE" w:eastAsia="fr-BE"/>
              </w:rPr>
              <w:drawing>
                <wp:inline distT="0" distB="0" distL="0" distR="0" wp14:anchorId="5AEC5C60" wp14:editId="0A955032">
                  <wp:extent cx="468000" cy="468000"/>
                  <wp:effectExtent l="0" t="0" r="8255" b="8255"/>
                  <wp:docPr id="66" name="Picture 66" descr="G:\Production\B2 prepresse\Raimonds\2019.1745 AMPR\50 - work on images\AMPR Icons\AMPR Icons_Send1\AMPR Icons_Send1\Icon_11510_ERDF_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Production\B2 prepresse\Raimonds\2019.1745 AMPR\50 - work on images\AMPR Icons\AMPR Icons_Send1\AMPR Icons_Send1\Icon_11510_ERDF_07.emf"/>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0F8994C8" w14:textId="77777777" w:rsidR="008331F6" w:rsidRPr="00A04E56" w:rsidRDefault="008331F6" w:rsidP="00277538">
            <w:pPr>
              <w:keepNext/>
              <w:keepLines/>
              <w:spacing w:line="276" w:lineRule="auto"/>
              <w:rPr>
                <w:rFonts w:cstheme="minorHAnsi"/>
                <w:szCs w:val="20"/>
              </w:rPr>
            </w:pPr>
            <w:r w:rsidRPr="00A04E56">
              <w:rPr>
                <w:rFonts w:cstheme="minorHAnsi"/>
                <w:szCs w:val="20"/>
              </w:rPr>
              <w:t>Promoting sustainable transport and removing bottlenecks in key network infrastructures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2C1D8078" w14:textId="77777777" w:rsidR="008331F6" w:rsidRPr="00A04E56" w:rsidRDefault="008331F6" w:rsidP="00D01B0A">
            <w:pPr>
              <w:keepNext/>
              <w:keepLines/>
              <w:spacing w:line="276" w:lineRule="auto"/>
              <w:jc w:val="center"/>
              <w:rPr>
                <w:noProof/>
                <w:lang w:eastAsia="fr-BE"/>
              </w:rPr>
            </w:pPr>
            <w:r w:rsidRPr="00A04E56">
              <w:rPr>
                <w:noProof/>
                <w:lang w:val="fr-BE" w:eastAsia="fr-BE"/>
              </w:rPr>
              <w:drawing>
                <wp:inline distT="0" distB="0" distL="0" distR="0" wp14:anchorId="07AE980F" wp14:editId="1D325653">
                  <wp:extent cx="468000" cy="468000"/>
                  <wp:effectExtent l="0" t="0" r="8255" b="8255"/>
                  <wp:docPr id="72" name="Picture 72" descr="G:\Production\B2 prepresse\Raimonds\2019.1745 AMPR\50 - work on images\AMPR Icons\AMPR Icons_Send1\AMPR Icons_Send1\Icon_11510_ERDF_0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Production\B2 prepresse\Raimonds\2019.1745 AMPR\50 - work on images\AMPR Icons\AMPR Icons_Send1\AMPR Icons_Send1\Icon_11510_ERDF_08.emf"/>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02D63DD6" w14:textId="77777777" w:rsidR="008331F6" w:rsidRPr="00A04E56" w:rsidRDefault="008331F6" w:rsidP="00277538">
            <w:pPr>
              <w:keepNext/>
              <w:keepLines/>
              <w:spacing w:line="276" w:lineRule="auto"/>
              <w:rPr>
                <w:rFonts w:cstheme="minorHAnsi"/>
                <w:szCs w:val="20"/>
              </w:rPr>
            </w:pPr>
            <w:r w:rsidRPr="00A04E56">
              <w:rPr>
                <w:rFonts w:cstheme="minorHAnsi"/>
                <w:szCs w:val="20"/>
              </w:rPr>
              <w:t>Promoting sustainable and quality employment and supporting labour mobility</w:t>
            </w:r>
          </w:p>
        </w:tc>
      </w:tr>
      <w:tr w:rsidR="008331F6" w:rsidRPr="00A04E56" w14:paraId="741E9DE1" w14:textId="77777777" w:rsidTr="00D01B0A">
        <w:trPr>
          <w:cantSplit/>
          <w:trHeight w:val="107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055D4879" w14:textId="77777777" w:rsidR="008331F6" w:rsidRPr="00A04E56" w:rsidRDefault="008331F6" w:rsidP="00D01B0A">
            <w:pPr>
              <w:keepNext/>
              <w:keepLines/>
              <w:spacing w:line="276" w:lineRule="auto"/>
              <w:jc w:val="center"/>
              <w:rPr>
                <w:rFonts w:cstheme="minorHAnsi"/>
                <w:noProof/>
                <w:szCs w:val="20"/>
                <w:lang w:eastAsia="fr-BE"/>
              </w:rPr>
            </w:pPr>
            <w:r w:rsidRPr="00A04E56">
              <w:rPr>
                <w:noProof/>
                <w:lang w:val="fr-BE" w:eastAsia="fr-BE"/>
              </w:rPr>
              <w:drawing>
                <wp:inline distT="0" distB="0" distL="0" distR="0" wp14:anchorId="7F72A546" wp14:editId="2F265E8F">
                  <wp:extent cx="468000" cy="468000"/>
                  <wp:effectExtent l="0" t="0" r="8255" b="8255"/>
                  <wp:docPr id="67" name="Picture 67" descr="G:\Production\B2 prepresse\Raimonds\2019.1745 AMPR\50 - work on images\AMPR Icons\AMPR Icons_Send1\AMPR Icons_Send1\Icon_11510_ERDF_09.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G:\Production\B2 prepresse\Raimonds\2019.1745 AMPR\50 - work on images\AMPR Icons\AMPR Icons_Send1\AMPR Icons_Send1\Icon_11510_ERDF_09.emf"/>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66B205F9" w14:textId="77777777" w:rsidR="008331F6" w:rsidRPr="00A04E56" w:rsidRDefault="008331F6" w:rsidP="00277538">
            <w:pPr>
              <w:keepNext/>
              <w:keepLines/>
              <w:spacing w:line="276" w:lineRule="auto"/>
              <w:rPr>
                <w:rFonts w:cstheme="minorHAnsi"/>
                <w:szCs w:val="20"/>
              </w:rPr>
            </w:pPr>
            <w:r w:rsidRPr="00A04E56">
              <w:rPr>
                <w:rFonts w:cstheme="minorHAnsi"/>
                <w:szCs w:val="20"/>
              </w:rPr>
              <w:t>Promoting social inclusion, combating poverty and any discrimination</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69C0E40" w14:textId="77777777" w:rsidR="008331F6" w:rsidRPr="00A04E56" w:rsidRDefault="008331F6" w:rsidP="00D01B0A">
            <w:pPr>
              <w:keepNext/>
              <w:keepLines/>
              <w:spacing w:line="276" w:lineRule="auto"/>
              <w:jc w:val="center"/>
              <w:rPr>
                <w:noProof/>
                <w:lang w:eastAsia="fr-BE"/>
              </w:rPr>
            </w:pPr>
            <w:r w:rsidRPr="00A04E56">
              <w:rPr>
                <w:noProof/>
                <w:lang w:val="fr-BE" w:eastAsia="fr-BE"/>
              </w:rPr>
              <w:drawing>
                <wp:inline distT="0" distB="0" distL="0" distR="0" wp14:anchorId="3CEB073A" wp14:editId="6E065476">
                  <wp:extent cx="468000" cy="468000"/>
                  <wp:effectExtent l="0" t="0" r="8255" b="8255"/>
                  <wp:docPr id="74" name="Picture 74" descr="G:\Production\B2 prepresse\Raimonds\2019.1745 AMPR\50 - work on images\AMPR Icons\AMPR Icons_Send1\AMPR Icons_Send1\Icon_11510_ERDF_10.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Production\B2 prepresse\Raimonds\2019.1745 AMPR\50 - work on images\AMPR Icons\AMPR Icons_Send1\AMPR Icons_Send1\Icon_11510_ERDF_10.emf"/>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BDBA390" w14:textId="77777777" w:rsidR="008331F6" w:rsidRPr="00A04E56" w:rsidRDefault="008331F6" w:rsidP="00277538">
            <w:pPr>
              <w:keepNext/>
              <w:keepLines/>
              <w:spacing w:line="276" w:lineRule="auto"/>
              <w:rPr>
                <w:rFonts w:cstheme="minorHAnsi"/>
                <w:szCs w:val="20"/>
              </w:rPr>
            </w:pPr>
            <w:r w:rsidRPr="00A04E56">
              <w:rPr>
                <w:rFonts w:cstheme="minorHAnsi"/>
                <w:szCs w:val="20"/>
              </w:rPr>
              <w:t>Investing in education, training and vocational training for skills and lifelong learning</w:t>
            </w:r>
          </w:p>
        </w:tc>
      </w:tr>
      <w:tr w:rsidR="008331F6" w:rsidRPr="00A04E56" w14:paraId="3F0A6991" w14:textId="77777777" w:rsidTr="00D01B0A">
        <w:trPr>
          <w:gridAfter w:val="2"/>
          <w:wAfter w:w="4536" w:type="dxa"/>
          <w:cantSplit/>
          <w:trHeight w:val="1077"/>
          <w:jc w:val="center"/>
        </w:trPr>
        <w:tc>
          <w:tcPr>
            <w:tcW w:w="1361" w:type="dxa"/>
            <w:tcBorders>
              <w:top w:val="single" w:sz="8" w:space="0" w:color="FFFFFF" w:themeColor="background1"/>
              <w:left w:val="single" w:sz="8" w:space="0" w:color="E5F6FA" w:themeColor="accent2" w:themeTint="33"/>
              <w:bottom w:val="single" w:sz="8" w:space="0" w:color="E5F6FA" w:themeColor="accent2" w:themeTint="33"/>
              <w:right w:val="single" w:sz="8" w:space="0" w:color="E5F6FA" w:themeColor="accent2" w:themeTint="33"/>
            </w:tcBorders>
            <w:shd w:val="clear" w:color="auto" w:fill="E5F6FA" w:themeFill="accent2" w:themeFillTint="33"/>
            <w:vAlign w:val="center"/>
          </w:tcPr>
          <w:p w14:paraId="559BC762" w14:textId="77777777" w:rsidR="008331F6" w:rsidRPr="00A04E56" w:rsidRDefault="008331F6" w:rsidP="00D01B0A">
            <w:pPr>
              <w:spacing w:line="276" w:lineRule="auto"/>
              <w:jc w:val="center"/>
              <w:rPr>
                <w:rFonts w:cstheme="minorHAnsi"/>
                <w:noProof/>
                <w:szCs w:val="20"/>
                <w:lang w:eastAsia="fr-BE"/>
              </w:rPr>
            </w:pPr>
            <w:r w:rsidRPr="00A04E56">
              <w:rPr>
                <w:noProof/>
                <w:lang w:val="fr-BE" w:eastAsia="fr-BE"/>
              </w:rPr>
              <w:drawing>
                <wp:inline distT="0" distB="0" distL="0" distR="0" wp14:anchorId="335DFDE8" wp14:editId="03E31BC5">
                  <wp:extent cx="468000" cy="468000"/>
                  <wp:effectExtent l="0" t="0" r="8255" b="8255"/>
                  <wp:docPr id="68" name="Picture 68" descr="G:\Production\B2 prepresse\Raimonds\2019.1745 AMPR\50 - work on images\AMPR Icons\AMPR Icons_Send1\AMPR Icons_Send1\Icon_11510_ERDF_1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Production\B2 prepresse\Raimonds\2019.1745 AMPR\50 - work on images\AMPR Icons\AMPR Icons_Send1\AMPR Icons_Send1\Icon_11510_ERDF_11.emf"/>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E5F6FA" w:themeColor="accent2" w:themeTint="33"/>
              <w:right w:val="single" w:sz="8" w:space="0" w:color="FFFFFF" w:themeColor="background1"/>
            </w:tcBorders>
            <w:shd w:val="clear" w:color="auto" w:fill="E5F6FA" w:themeFill="accent2" w:themeFillTint="33"/>
            <w:vAlign w:val="center"/>
          </w:tcPr>
          <w:p w14:paraId="543CE42D" w14:textId="77777777" w:rsidR="008331F6" w:rsidRPr="00A04E56" w:rsidRDefault="008331F6" w:rsidP="00277538">
            <w:pPr>
              <w:spacing w:line="276" w:lineRule="auto"/>
              <w:rPr>
                <w:rFonts w:cstheme="minorHAnsi"/>
                <w:szCs w:val="20"/>
              </w:rPr>
            </w:pPr>
            <w:r w:rsidRPr="00A04E56">
              <w:rPr>
                <w:rFonts w:cstheme="minorHAnsi"/>
                <w:szCs w:val="20"/>
              </w:rPr>
              <w:t>Enhancing institutional capacity of public authorities and stakeholders and efficient public administration</w:t>
            </w:r>
          </w:p>
        </w:tc>
      </w:tr>
    </w:tbl>
    <w:p w14:paraId="0D80A3A4" w14:textId="77777777" w:rsidR="008331F6" w:rsidRPr="00A04E56" w:rsidRDefault="008331F6" w:rsidP="008331F6">
      <w:pPr>
        <w:pStyle w:val="BodyText1"/>
        <w:rPr>
          <w:lang w:val="en-GB"/>
        </w:rPr>
      </w:pPr>
    </w:p>
    <w:p w14:paraId="341A37B8" w14:textId="31AFFB81" w:rsidR="008331F6" w:rsidRPr="00A04E56" w:rsidRDefault="00D60064" w:rsidP="00AA0340">
      <w:pPr>
        <w:pStyle w:val="Title3NumberedReport"/>
      </w:pPr>
      <w:r w:rsidRPr="00A04E56">
        <w:t xml:space="preserve">Implementation and latest </w:t>
      </w:r>
      <w:r w:rsidR="00B625A6" w:rsidRPr="00A04E56">
        <w:t>achievements</w:t>
      </w:r>
    </w:p>
    <w:p w14:paraId="6CD85399" w14:textId="231EDB86" w:rsidR="008331F6" w:rsidRPr="00A04E56" w:rsidRDefault="008331F6" w:rsidP="008331F6">
      <w:pPr>
        <w:pStyle w:val="BodyText1spaceafter"/>
      </w:pPr>
      <w:r w:rsidRPr="00A04E56">
        <w:t xml:space="preserve">Cohesion policy, representing almost a third of the total EU budget, has been a major source of public investment in many Member States during and after the crisis providing, for example, </w:t>
      </w:r>
      <w:r w:rsidR="002D6D6F" w:rsidRPr="00A04E56">
        <w:t xml:space="preserve">almost 9% of general government capital expenditure on average in the EU-28 and </w:t>
      </w:r>
      <w:r w:rsidRPr="00A04E56">
        <w:t>41</w:t>
      </w:r>
      <w:r w:rsidR="002171F6" w:rsidRPr="00A04E56">
        <w:t>%</w:t>
      </w:r>
      <w:r w:rsidR="002171F6" w:rsidRPr="00A04E56">
        <w:rPr>
          <w:rFonts w:ascii="Calibri" w:hAnsi="Calibri" w:cs="Calibri"/>
        </w:rPr>
        <w:t> </w:t>
      </w:r>
      <w:r w:rsidR="001424B7" w:rsidRPr="00A04E56">
        <w:rPr>
          <w:rStyle w:val="fnRef"/>
        </w:rPr>
        <w:t>(</w:t>
      </w:r>
      <w:r w:rsidR="001424B7" w:rsidRPr="00277538">
        <w:rPr>
          <w:rStyle w:val="fnRefNo"/>
        </w:rPr>
        <w:footnoteReference w:id="126"/>
      </w:r>
      <w:r w:rsidR="001424B7" w:rsidRPr="00A04E56">
        <w:rPr>
          <w:rStyle w:val="fnRef"/>
        </w:rPr>
        <w:t>)</w:t>
      </w:r>
      <w:r w:rsidR="001424B7" w:rsidRPr="00A04E56">
        <w:t xml:space="preserve"> </w:t>
      </w:r>
      <w:r w:rsidR="002D6D6F" w:rsidRPr="00A04E56">
        <w:t xml:space="preserve">in </w:t>
      </w:r>
      <w:r w:rsidRPr="00A04E56">
        <w:t>the EU-13</w:t>
      </w:r>
      <w:r w:rsidRPr="00A04E56">
        <w:rPr>
          <w:rFonts w:ascii="Calibri" w:hAnsi="Calibri" w:cs="Calibri"/>
        </w:rPr>
        <w:t> </w:t>
      </w:r>
      <w:r w:rsidR="002D6D6F" w:rsidRPr="00A04E56">
        <w:t>Member States</w:t>
      </w:r>
      <w:r w:rsidR="002D6D6F" w:rsidRPr="00A04E56">
        <w:rPr>
          <w:rFonts w:ascii="Arial" w:hAnsi="Arial" w:cs="Arial"/>
        </w:rPr>
        <w:t xml:space="preserve"> </w:t>
      </w:r>
      <w:r w:rsidRPr="00A04E56">
        <w:t>in 2015-</w:t>
      </w:r>
      <w:r w:rsidR="002171F6" w:rsidRPr="00A04E56">
        <w:t>2017</w:t>
      </w:r>
      <w:r w:rsidR="002171F6" w:rsidRPr="00A04E56">
        <w:rPr>
          <w:rStyle w:val="fnRef"/>
          <w:rFonts w:ascii="Calibri" w:hAnsi="Calibri" w:cs="Calibri"/>
        </w:rPr>
        <w:t> </w:t>
      </w:r>
      <w:r w:rsidRPr="00A04E56">
        <w:rPr>
          <w:rStyle w:val="fnRef"/>
        </w:rPr>
        <w:t>(</w:t>
      </w:r>
      <w:r w:rsidRPr="00A04E56">
        <w:rPr>
          <w:rStyle w:val="fnRefNo"/>
        </w:rPr>
        <w:footnoteReference w:id="127"/>
      </w:r>
      <w:r w:rsidRPr="00A04E56">
        <w:t xml:space="preserve">). Cohesion policy also plays a key role in supporting the achievement of the Juncker Commission's priorities and contributing to solidarity and unity in Europe. Investments in one country create positive spillovers in </w:t>
      </w:r>
      <w:r w:rsidR="002D6D6F" w:rsidRPr="00A04E56">
        <w:t>(around 0.12% of GDP</w:t>
      </w:r>
      <w:r w:rsidR="00353923" w:rsidRPr="00A04E56">
        <w:rPr>
          <w:rStyle w:val="fnRef"/>
          <w:rFonts w:ascii="Calibri" w:hAnsi="Calibri"/>
        </w:rPr>
        <w:t> </w:t>
      </w:r>
      <w:r w:rsidR="002D6D6F" w:rsidRPr="00A04E56">
        <w:rPr>
          <w:rStyle w:val="fnRef"/>
        </w:rPr>
        <w:t>(</w:t>
      </w:r>
      <w:r w:rsidR="002D6D6F" w:rsidRPr="00A04E56">
        <w:rPr>
          <w:rStyle w:val="fnRefNo"/>
        </w:rPr>
        <w:footnoteReference w:id="128"/>
      </w:r>
      <w:r w:rsidR="002D6D6F" w:rsidRPr="00A04E56">
        <w:t>) in non-cohesion countries</w:t>
      </w:r>
      <w:r w:rsidRPr="00A04E56">
        <w:t xml:space="preserve">. </w:t>
      </w:r>
    </w:p>
    <w:p w14:paraId="6BF6C968" w14:textId="284D54E3" w:rsidR="008A3FFE" w:rsidRPr="00A04E56" w:rsidRDefault="008A3FFE" w:rsidP="00277538">
      <w:pPr>
        <w:pStyle w:val="BodyText1spaceafter"/>
        <w:spacing w:after="360"/>
      </w:pPr>
      <w:r w:rsidRPr="00A04E56">
        <w:t>Cohesion policy will be responsible for nearly EUR 1 trillion of additional GDP by 2023. The policy has benefit</w:t>
      </w:r>
      <w:r w:rsidR="00756904" w:rsidRPr="00A04E56">
        <w:t>ed</w:t>
      </w:r>
      <w:r w:rsidRPr="00A04E56">
        <w:t xml:space="preserve"> the economies of all EU Member States and supported them during difficult economic times.</w:t>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FD4DD"/>
        <w:tblCellMar>
          <w:top w:w="113" w:type="dxa"/>
          <w:bottom w:w="113" w:type="dxa"/>
        </w:tblCellMar>
        <w:tblLook w:val="04A0" w:firstRow="1" w:lastRow="0" w:firstColumn="1" w:lastColumn="0" w:noHBand="0" w:noVBand="1"/>
      </w:tblPr>
      <w:tblGrid>
        <w:gridCol w:w="2766"/>
        <w:gridCol w:w="707"/>
        <w:gridCol w:w="5599"/>
      </w:tblGrid>
      <w:tr w:rsidR="008A3FFE" w:rsidRPr="00A04E56" w14:paraId="032252C1" w14:textId="77777777" w:rsidTr="00277538">
        <w:trPr>
          <w:jc w:val="center"/>
        </w:trPr>
        <w:tc>
          <w:tcPr>
            <w:tcW w:w="2802" w:type="dxa"/>
            <w:shd w:val="clear" w:color="auto" w:fill="9FD4DD"/>
            <w:vAlign w:val="center"/>
          </w:tcPr>
          <w:p w14:paraId="75998121" w14:textId="77777777" w:rsidR="008A3FFE" w:rsidRPr="00A04E56" w:rsidRDefault="008A3FFE" w:rsidP="00384147">
            <w:pPr>
              <w:jc w:val="right"/>
              <w:rPr>
                <w:b/>
                <w:color w:val="3B98A7"/>
                <w:sz w:val="28"/>
                <w:szCs w:val="30"/>
              </w:rPr>
            </w:pPr>
            <w:r w:rsidRPr="00A04E56">
              <w:rPr>
                <w:b/>
                <w:color w:val="3B98A7"/>
                <w:sz w:val="28"/>
                <w:szCs w:val="30"/>
              </w:rPr>
              <w:t>EUR 346.5 BILLION</w:t>
            </w:r>
          </w:p>
          <w:p w14:paraId="1CFBD3FD" w14:textId="77777777" w:rsidR="008A3FFE" w:rsidRPr="00A04E56" w:rsidRDefault="008A3FFE" w:rsidP="00384147">
            <w:pPr>
              <w:jc w:val="right"/>
              <w:rPr>
                <w:color w:val="FFFFFF" w:themeColor="background1"/>
              </w:rPr>
            </w:pPr>
            <w:r w:rsidRPr="00A04E56">
              <w:rPr>
                <w:color w:val="FFFFFF" w:themeColor="background1"/>
              </w:rPr>
              <w:t>Invested in 2007-2013</w:t>
            </w:r>
          </w:p>
        </w:tc>
        <w:tc>
          <w:tcPr>
            <w:tcW w:w="708" w:type="dxa"/>
            <w:shd w:val="clear" w:color="auto" w:fill="9FD4DD"/>
            <w:vAlign w:val="center"/>
          </w:tcPr>
          <w:p w14:paraId="04005446" w14:textId="77777777" w:rsidR="008A3FFE" w:rsidRPr="00A04E56" w:rsidRDefault="008A3FFE" w:rsidP="00384147">
            <w:pPr>
              <w:jc w:val="center"/>
              <w:rPr>
                <w:rFonts w:ascii="EC Square Sans Cond Pro" w:hAnsi="EC Square Sans Cond Pro"/>
                <w:color w:val="FFFFFF" w:themeColor="background1"/>
              </w:rPr>
            </w:pPr>
            <w:r w:rsidRPr="00A04E56">
              <w:rPr>
                <w:rFonts w:ascii="EC Square Sans Cond Pro" w:hAnsi="EC Square Sans Cond Pro"/>
                <w:color w:val="3B98A7"/>
                <w:sz w:val="96"/>
              </w:rPr>
              <w:t>&gt;</w:t>
            </w:r>
          </w:p>
        </w:tc>
        <w:tc>
          <w:tcPr>
            <w:tcW w:w="5702" w:type="dxa"/>
            <w:shd w:val="clear" w:color="auto" w:fill="9FD4DD"/>
            <w:vAlign w:val="center"/>
          </w:tcPr>
          <w:p w14:paraId="1BADC039" w14:textId="5FD7910E" w:rsidR="008A3FFE" w:rsidRPr="00A04E56" w:rsidRDefault="008A3FFE" w:rsidP="00384147">
            <w:pPr>
              <w:rPr>
                <w:color w:val="FFFFFF" w:themeColor="background1"/>
              </w:rPr>
            </w:pPr>
            <w:r w:rsidRPr="00A04E56">
              <w:rPr>
                <w:color w:val="FFFFFF" w:themeColor="background1"/>
              </w:rPr>
              <w:t xml:space="preserve">Estimated return of nearly </w:t>
            </w:r>
            <w:r w:rsidRPr="00A04E56">
              <w:rPr>
                <w:b/>
                <w:color w:val="3B98A7"/>
                <w:sz w:val="24"/>
              </w:rPr>
              <w:t>EUR 1 trillion</w:t>
            </w:r>
            <w:r w:rsidRPr="00A04E56">
              <w:rPr>
                <w:color w:val="3B98A7"/>
                <w:sz w:val="24"/>
              </w:rPr>
              <w:t xml:space="preserve"> </w:t>
            </w:r>
            <w:r w:rsidRPr="00A04E56">
              <w:rPr>
                <w:color w:val="FFFFFF" w:themeColor="background1"/>
              </w:rPr>
              <w:t xml:space="preserve">of </w:t>
            </w:r>
            <w:r w:rsidRPr="00A04E56">
              <w:rPr>
                <w:color w:val="FFFFFF" w:themeColor="background1"/>
              </w:rPr>
              <w:br/>
              <w:t xml:space="preserve">additional </w:t>
            </w:r>
            <w:r w:rsidR="00CA36C2" w:rsidRPr="00A04E56">
              <w:rPr>
                <w:color w:val="FFFFFF" w:themeColor="background1"/>
              </w:rPr>
              <w:t>gross domestic product</w:t>
            </w:r>
            <w:r w:rsidRPr="00A04E56">
              <w:rPr>
                <w:color w:val="FFFFFF" w:themeColor="background1"/>
              </w:rPr>
              <w:t xml:space="preserve"> by 2023</w:t>
            </w:r>
          </w:p>
          <w:p w14:paraId="73B4066C" w14:textId="77777777" w:rsidR="008A3FFE" w:rsidRPr="00A04E56" w:rsidRDefault="008A3FFE" w:rsidP="00384147">
            <w:pPr>
              <w:rPr>
                <w:color w:val="FFFFFF" w:themeColor="background1"/>
              </w:rPr>
            </w:pPr>
          </w:p>
          <w:p w14:paraId="5C675485" w14:textId="561BDEEA" w:rsidR="008A3FFE" w:rsidRPr="00A04E56" w:rsidRDefault="008A3FFE" w:rsidP="00BA2926">
            <w:pPr>
              <w:rPr>
                <w:color w:val="FFFFFF" w:themeColor="background1"/>
              </w:rPr>
            </w:pPr>
            <w:r w:rsidRPr="00A04E56">
              <w:rPr>
                <w:color w:val="FFFFFF" w:themeColor="background1"/>
              </w:rPr>
              <w:t xml:space="preserve">Lasting impact in all </w:t>
            </w:r>
            <w:r w:rsidR="00835302" w:rsidRPr="00A04E56">
              <w:rPr>
                <w:color w:val="FFFFFF" w:themeColor="background1"/>
              </w:rPr>
              <w:t>Member States</w:t>
            </w:r>
            <w:r w:rsidRPr="00A04E56">
              <w:rPr>
                <w:color w:val="FFFFFF" w:themeColor="background1"/>
              </w:rPr>
              <w:t xml:space="preserve">: </w:t>
            </w:r>
            <w:r w:rsidRPr="00A04E56">
              <w:rPr>
                <w:b/>
                <w:color w:val="3B98A7"/>
                <w:sz w:val="24"/>
              </w:rPr>
              <w:t>over 4%</w:t>
            </w:r>
            <w:r w:rsidRPr="00A04E56">
              <w:rPr>
                <w:color w:val="3B98A7"/>
                <w:sz w:val="24"/>
              </w:rPr>
              <w:t xml:space="preserve"> </w:t>
            </w:r>
            <w:r w:rsidRPr="00A04E56">
              <w:rPr>
                <w:color w:val="FFFFFF" w:themeColor="background1"/>
              </w:rPr>
              <w:t>in Bulgaria, Cyprus, Czech</w:t>
            </w:r>
            <w:r w:rsidR="00BA2926" w:rsidRPr="00A04E56">
              <w:rPr>
                <w:color w:val="FFFFFF" w:themeColor="background1"/>
              </w:rPr>
              <w:t xml:space="preserve">ia, </w:t>
            </w:r>
            <w:r w:rsidRPr="00A04E56">
              <w:rPr>
                <w:color w:val="FFFFFF" w:themeColor="background1"/>
              </w:rPr>
              <w:t>Estonia, Hungary, Latvia, Lithuania, Malta, Poland, Romania, Slovakia and Slovenia</w:t>
            </w:r>
            <w:r w:rsidR="00BA2926" w:rsidRPr="00A04E56">
              <w:rPr>
                <w:rFonts w:ascii="Calibri" w:hAnsi="Calibri" w:cs="Calibri"/>
                <w:color w:val="FFFFFF" w:themeColor="background1"/>
              </w:rPr>
              <w:t> (</w:t>
            </w:r>
            <w:r w:rsidR="000250C5" w:rsidRPr="007C73DD">
              <w:rPr>
                <w:rStyle w:val="fnRefNo"/>
                <w:color w:val="FFFFFF" w:themeColor="background1"/>
              </w:rPr>
              <w:footnoteReference w:id="129"/>
            </w:r>
            <w:r w:rsidR="00BA2926" w:rsidRPr="00A04E56">
              <w:rPr>
                <w:rFonts w:ascii="Calibri" w:hAnsi="Calibri" w:cs="Calibri"/>
                <w:color w:val="FFFFFF" w:themeColor="background1"/>
              </w:rPr>
              <w:t>)</w:t>
            </w:r>
            <w:r w:rsidRPr="00A04E56">
              <w:rPr>
                <w:color w:val="FFFFFF" w:themeColor="background1"/>
              </w:rPr>
              <w:t xml:space="preserve">. </w:t>
            </w:r>
          </w:p>
        </w:tc>
      </w:tr>
    </w:tbl>
    <w:p w14:paraId="57C3B28C" w14:textId="4BA3E7E2" w:rsidR="008331F6" w:rsidRDefault="008331F6" w:rsidP="003A2B05">
      <w:pPr>
        <w:pStyle w:val="BodyText1spacebeforeandafter"/>
      </w:pPr>
      <w:r w:rsidRPr="00A04E56">
        <w:t xml:space="preserve">Five years into the 2014-2020 funding period, the implementation of </w:t>
      </w:r>
      <w:r w:rsidR="00F504A4" w:rsidRPr="00A04E56">
        <w:t>c</w:t>
      </w:r>
      <w:r w:rsidRPr="00A04E56">
        <w:t xml:space="preserve">ohesion policy programmes continues at full speed, with EUR 270 billion already allocated to projects in Member States by December 2018, which is almost 77% of the </w:t>
      </w:r>
      <w:r w:rsidR="00AE4B2D" w:rsidRPr="00A04E56">
        <w:t>f</w:t>
      </w:r>
      <w:r w:rsidRPr="00A04E56">
        <w:t xml:space="preserve">unds’ total </w:t>
      </w:r>
      <w:r w:rsidR="00183EE7" w:rsidRPr="00A04E56">
        <w:t>financial allocation</w:t>
      </w:r>
      <w:r w:rsidRPr="00A04E56">
        <w:t>. This represents more than 290 thousand pr</w:t>
      </w:r>
      <w:r w:rsidR="00AC3F2B">
        <w:t>ojects. EUR</w:t>
      </w:r>
      <w:r w:rsidR="00AC3F2B">
        <w:rPr>
          <w:rFonts w:ascii="Calibri" w:hAnsi="Calibri" w:cs="Calibri"/>
        </w:rPr>
        <w:t> </w:t>
      </w:r>
      <w:r w:rsidRPr="00A04E56">
        <w:t>80</w:t>
      </w:r>
      <w:r w:rsidR="00CA36C2" w:rsidRPr="00A04E56">
        <w:rPr>
          <w:rFonts w:ascii="Calibri" w:hAnsi="Calibri" w:cs="Calibri"/>
        </w:rPr>
        <w:t> </w:t>
      </w:r>
      <w:r w:rsidRPr="00A04E56">
        <w:t>billion remains to be allocated to projects, with full completion of investment by 2023 when the funding period will close. This represents further acceleration compared to the results registered at the end of 2017, which stood at 55% of total funding allocated to projects. More importantly, this trend slightly exceeds the one of the last programming period</w:t>
      </w:r>
      <w:r w:rsidR="00AC3F2B">
        <w:t xml:space="preserve"> (dotted line in the following chart)</w:t>
      </w:r>
      <w:r w:rsidRPr="00A04E56">
        <w:t xml:space="preserve"> and anticipates a sustained pace of implementation in the second half of the programming period.</w:t>
      </w:r>
    </w:p>
    <w:p w14:paraId="6A03A1BD" w14:textId="03B9A2D4" w:rsidR="003C0461" w:rsidRPr="00A04E56" w:rsidRDefault="00064C43" w:rsidP="003A2B05">
      <w:pPr>
        <w:pStyle w:val="BodyText1spacebeforeandafter"/>
      </w:pPr>
      <w:r w:rsidRPr="00064C43">
        <w:rPr>
          <w:lang w:val="fr-BE"/>
        </w:rPr>
        <w:drawing>
          <wp:inline distT="0" distB="0" distL="0" distR="0" wp14:anchorId="5F4D3747" wp14:editId="57661ED5">
            <wp:extent cx="5753100" cy="3750945"/>
            <wp:effectExtent l="0" t="0" r="0" b="190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5753100" cy="3750945"/>
                    </a:xfrm>
                    <a:prstGeom prst="rect">
                      <a:avLst/>
                    </a:prstGeom>
                    <a:noFill/>
                    <a:ln>
                      <a:noFill/>
                    </a:ln>
                  </pic:spPr>
                </pic:pic>
              </a:graphicData>
            </a:graphic>
          </wp:inline>
        </w:drawing>
      </w:r>
    </w:p>
    <w:p w14:paraId="6BE36038" w14:textId="1329A138" w:rsidR="00A5264C" w:rsidRDefault="00C62301">
      <w:pPr>
        <w:rPr>
          <w:rStyle w:val="italics"/>
          <w:rFonts w:eastAsia="Calibri"/>
          <w:iCs/>
          <w:noProof/>
          <w:color w:val="000000" w:themeColor="text1"/>
          <w:lang w:eastAsia="fr-BE"/>
        </w:rPr>
      </w:pPr>
      <w:r w:rsidRPr="00C62301">
        <w:rPr>
          <w:rStyle w:val="italics"/>
          <w:rFonts w:eastAsia="Calibri"/>
          <w:iCs/>
          <w:sz w:val="16"/>
          <w:szCs w:val="16"/>
          <w:lang w:eastAsia="fr-BE"/>
        </w:rPr>
        <w:t>Chart</w:t>
      </w:r>
      <w:r>
        <w:rPr>
          <w:rStyle w:val="italics"/>
        </w:rPr>
        <w:t xml:space="preserve">: </w:t>
      </w:r>
      <w:r w:rsidR="00AC5C92" w:rsidRPr="00C62301">
        <w:rPr>
          <w:rFonts w:eastAsia="Calibri"/>
          <w:i/>
          <w:iCs/>
          <w:sz w:val="16"/>
          <w:szCs w:val="16"/>
          <w:lang w:eastAsia="fr-BE"/>
        </w:rPr>
        <w:t>Project selection: comparison period 2007-20</w:t>
      </w:r>
      <w:r w:rsidR="003D6477">
        <w:rPr>
          <w:rFonts w:eastAsia="Calibri"/>
          <w:i/>
          <w:iCs/>
          <w:sz w:val="16"/>
          <w:szCs w:val="16"/>
          <w:lang w:eastAsia="fr-BE"/>
        </w:rPr>
        <w:t xml:space="preserve">13 </w:t>
      </w:r>
      <w:r w:rsidR="00AC5C92" w:rsidRPr="00C62301">
        <w:rPr>
          <w:rFonts w:eastAsia="Calibri"/>
          <w:i/>
          <w:iCs/>
          <w:sz w:val="16"/>
          <w:szCs w:val="16"/>
          <w:lang w:eastAsia="fr-BE"/>
        </w:rPr>
        <w:t xml:space="preserve">with the current period. Calculation based on total (EU plus national) cost of selected projects. </w:t>
      </w:r>
      <w:r w:rsidR="00B270CA" w:rsidRPr="00C62301">
        <w:rPr>
          <w:rFonts w:eastAsia="Calibri"/>
          <w:i/>
          <w:iCs/>
          <w:sz w:val="16"/>
          <w:szCs w:val="16"/>
          <w:lang w:eastAsia="fr-BE"/>
        </w:rPr>
        <w:t>Year N represents 2007 for the 2007-201</w:t>
      </w:r>
      <w:r w:rsidR="003D6477">
        <w:rPr>
          <w:rFonts w:eastAsia="Calibri"/>
          <w:i/>
          <w:iCs/>
          <w:sz w:val="16"/>
          <w:szCs w:val="16"/>
          <w:lang w:eastAsia="fr-BE"/>
        </w:rPr>
        <w:t>3</w:t>
      </w:r>
      <w:r w:rsidR="00B270CA" w:rsidRPr="00C62301">
        <w:rPr>
          <w:rFonts w:eastAsia="Calibri"/>
          <w:i/>
          <w:iCs/>
          <w:sz w:val="16"/>
          <w:szCs w:val="16"/>
          <w:lang w:eastAsia="fr-BE"/>
        </w:rPr>
        <w:t xml:space="preserve"> programmes and 2014 </w:t>
      </w:r>
      <w:r w:rsidR="00BC3E8A" w:rsidRPr="00C62301">
        <w:rPr>
          <w:rFonts w:eastAsia="Calibri"/>
          <w:i/>
          <w:iCs/>
          <w:sz w:val="16"/>
          <w:szCs w:val="16"/>
          <w:lang w:eastAsia="fr-BE"/>
        </w:rPr>
        <w:t xml:space="preserve">for </w:t>
      </w:r>
      <w:r w:rsidR="00B270CA" w:rsidRPr="00C62301">
        <w:rPr>
          <w:rFonts w:eastAsia="Calibri"/>
          <w:i/>
          <w:iCs/>
          <w:sz w:val="16"/>
          <w:szCs w:val="16"/>
          <w:lang w:eastAsia="fr-BE"/>
        </w:rPr>
        <w:t>the 2014-2020 programmes.</w:t>
      </w:r>
      <w:r w:rsidR="00AC5C92" w:rsidRPr="00C62301">
        <w:rPr>
          <w:rFonts w:eastAsia="Calibri"/>
          <w:i/>
          <w:iCs/>
          <w:sz w:val="16"/>
          <w:szCs w:val="16"/>
          <w:lang w:eastAsia="fr-BE"/>
        </w:rPr>
        <w:t xml:space="preserve"> </w:t>
      </w:r>
    </w:p>
    <w:p w14:paraId="2BD0CA58" w14:textId="22CEA02B" w:rsidR="00AB63C7" w:rsidRPr="00A04E56" w:rsidRDefault="00AB63C7" w:rsidP="00C97CEF">
      <w:pPr>
        <w:pStyle w:val="Source-Table-Chart-PhotoCaption"/>
      </w:pPr>
      <w:r w:rsidRPr="00A04E56">
        <w:rPr>
          <w:rStyle w:val="italics"/>
        </w:rPr>
        <w:t>Source:</w:t>
      </w:r>
      <w:r w:rsidRPr="00A04E56">
        <w:t xml:space="preserve"> European Commission.</w:t>
      </w:r>
    </w:p>
    <w:p w14:paraId="2C3F931B" w14:textId="40AE0C91" w:rsidR="008331F6" w:rsidRPr="00A04E56" w:rsidRDefault="008331F6" w:rsidP="00C97CEF">
      <w:pPr>
        <w:pStyle w:val="BodyText1spacebeforeandafter"/>
      </w:pPr>
      <w:r w:rsidRPr="00A04E56">
        <w:t xml:space="preserve">Investments in </w:t>
      </w:r>
      <w:r w:rsidRPr="00A04E56">
        <w:rPr>
          <w:rStyle w:val="BOLDLIGHTBLUEReport"/>
          <w:rFonts w:eastAsia="Calibri"/>
        </w:rPr>
        <w:t>research and innovation</w:t>
      </w:r>
      <w:r w:rsidRPr="00A04E56">
        <w:t xml:space="preserve"> have continued to progress at a significant pace </w:t>
      </w:r>
      <w:r w:rsidR="008C1D39" w:rsidRPr="00A04E56">
        <w:rPr>
          <w:i/>
          <w:u w:val="single"/>
        </w:rPr>
        <w:t>in 2018</w:t>
      </w:r>
      <w:r w:rsidRPr="00A04E56">
        <w:t xml:space="preserve">, showing good performance across most Member States. At the end of 2018, over 50 000 specific research and innovation projects have been selected, representing 73% of the total amount planned. Since 2014, more than </w:t>
      </w:r>
      <w:r w:rsidR="002D6D6F" w:rsidRPr="00A04E56">
        <w:t xml:space="preserve">15 200 </w:t>
      </w:r>
      <w:r w:rsidRPr="00A04E56">
        <w:t>researchers have benefited from improved research infrastructure and 7</w:t>
      </w:r>
      <w:r w:rsidRPr="00A04E56">
        <w:rPr>
          <w:rFonts w:ascii="Calibri" w:hAnsi="Calibri" w:cs="Calibri"/>
        </w:rPr>
        <w:t> </w:t>
      </w:r>
      <w:r w:rsidRPr="00A04E56">
        <w:t>000 enterprises are cooperating with research centres across the EU. As a result of projects implemented so far, more than 3</w:t>
      </w:r>
      <w:r w:rsidRPr="00A04E56">
        <w:rPr>
          <w:rFonts w:ascii="Calibri" w:hAnsi="Calibri" w:cs="Calibri"/>
        </w:rPr>
        <w:t> </w:t>
      </w:r>
      <w:r w:rsidRPr="00A04E56">
        <w:t>200 new products have been introduced onto the market by businesses that have benefited from the funding.</w:t>
      </w:r>
    </w:p>
    <w:p w14:paraId="1DFB4B87" w14:textId="3B172BDD" w:rsidR="008331F6" w:rsidRPr="00A04E56" w:rsidRDefault="002D6D6F" w:rsidP="008331F6">
      <w:pPr>
        <w:pStyle w:val="BodyText1spaceafter"/>
      </w:pPr>
      <w:r w:rsidRPr="00A04E56">
        <w:t>The European Regional Development Fund and the Cohesion Fund</w:t>
      </w:r>
      <w:r w:rsidR="008331F6" w:rsidRPr="00A04E56">
        <w:t xml:space="preserve"> help businesses to increase their competitiveness, develop new products, find new markets and create new jobs, with particular emphasis on innovation and high growth firms and programmes aimed at supporting the innovative capacity of </w:t>
      </w:r>
      <w:r w:rsidR="008331F6" w:rsidRPr="00A04E56">
        <w:rPr>
          <w:rStyle w:val="BOLDLIGHTBLUEReport"/>
          <w:rFonts w:eastAsia="Calibri"/>
        </w:rPr>
        <w:t>small and medium-sized enterprises</w:t>
      </w:r>
      <w:r w:rsidR="008331F6" w:rsidRPr="00A04E56">
        <w:t xml:space="preserve">. The wide range of support on offer to </w:t>
      </w:r>
      <w:r w:rsidR="00950EB2" w:rsidRPr="00A04E56">
        <w:t>small and medium-sized enterprises</w:t>
      </w:r>
      <w:r w:rsidR="008331F6" w:rsidRPr="00A04E56">
        <w:t xml:space="preserve"> is also crucial to achieving a deeper and fairer internal market with a solid industrial base. </w:t>
      </w:r>
      <w:r w:rsidR="008331F6" w:rsidRPr="00A04E56">
        <w:rPr>
          <w:i/>
          <w:u w:val="single"/>
        </w:rPr>
        <w:t>By the end of 2018</w:t>
      </w:r>
      <w:r w:rsidR="008331F6" w:rsidRPr="00A04E56">
        <w:t>, an estimated 88% of the total amount has been allocated to over 95</w:t>
      </w:r>
      <w:r w:rsidR="008331F6" w:rsidRPr="00A04E56">
        <w:rPr>
          <w:rFonts w:ascii="Calibri" w:hAnsi="Calibri" w:cs="Calibri"/>
        </w:rPr>
        <w:t> 000</w:t>
      </w:r>
      <w:r w:rsidR="008331F6" w:rsidRPr="00A04E56">
        <w:t xml:space="preserve"> projects to improve the competiveness of </w:t>
      </w:r>
      <w:r w:rsidR="00950EB2" w:rsidRPr="00A04E56">
        <w:t>small and medium-sized enterprises</w:t>
      </w:r>
      <w:r w:rsidR="008331F6" w:rsidRPr="00A04E56">
        <w:t>.</w:t>
      </w:r>
      <w:r w:rsidR="008331F6" w:rsidRPr="00A04E56">
        <w:rPr>
          <w:rFonts w:ascii="Verdana" w:hAnsi="Verdana"/>
        </w:rPr>
        <w:t xml:space="preserve"> </w:t>
      </w:r>
    </w:p>
    <w:p w14:paraId="4C8D2FEA" w14:textId="77777777" w:rsidR="008331F6" w:rsidRPr="00A04E56" w:rsidRDefault="008331F6" w:rsidP="008331F6">
      <w:pPr>
        <w:pStyle w:val="BodyText1spaceafter"/>
      </w:pPr>
      <w:r w:rsidRPr="00A04E56">
        <w:t xml:space="preserve">Cohesion policy is the largest EU financing source for modernising the European </w:t>
      </w:r>
      <w:r w:rsidRPr="00A04E56">
        <w:rPr>
          <w:rStyle w:val="BOLDLIGHTBLUEReport"/>
          <w:rFonts w:eastAsia="Calibri"/>
        </w:rPr>
        <w:t>transport</w:t>
      </w:r>
      <w:r w:rsidRPr="00A04E56">
        <w:t xml:space="preserve"> system and adapting it to new challenges. Support for the TEN-T rail and road network plays a prominent role, as well as investments in sustainable urban mobility, which will make the daily commute cleaner, faster and safer for Europe’s citizens. </w:t>
      </w:r>
      <w:r w:rsidRPr="00A04E56">
        <w:rPr>
          <w:i/>
          <w:u w:val="single"/>
        </w:rPr>
        <w:t>By the end of 2018</w:t>
      </w:r>
      <w:r w:rsidRPr="00A04E56">
        <w:t>, around 2 500 projects allocated to network infrastructure projects were supported.</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23" w:type="dxa"/>
          <w:left w:w="136" w:type="dxa"/>
          <w:bottom w:w="23" w:type="dxa"/>
          <w:right w:w="136" w:type="dxa"/>
        </w:tblCellMar>
        <w:tblLook w:val="04A0" w:firstRow="1" w:lastRow="0" w:firstColumn="1" w:lastColumn="0" w:noHBand="0" w:noVBand="1"/>
      </w:tblPr>
      <w:tblGrid>
        <w:gridCol w:w="3400"/>
        <w:gridCol w:w="5942"/>
      </w:tblGrid>
      <w:tr w:rsidR="00752F3C" w:rsidRPr="00A04E56" w14:paraId="4F666FC2" w14:textId="77777777" w:rsidTr="00320F0E">
        <w:tc>
          <w:tcPr>
            <w:tcW w:w="4644" w:type="dxa"/>
          </w:tcPr>
          <w:p w14:paraId="73AC91B4" w14:textId="77777777" w:rsidR="00752F3C" w:rsidRPr="00A04E56" w:rsidRDefault="00752F3C" w:rsidP="00320F0E">
            <w:pPr>
              <w:pStyle w:val="BOX3Blue"/>
              <w:keepNext/>
              <w:keepLines/>
              <w:pBdr>
                <w:top w:val="none" w:sz="0" w:space="0" w:color="auto"/>
                <w:left w:val="none" w:sz="0" w:space="0" w:color="auto"/>
                <w:bottom w:val="none" w:sz="0" w:space="0" w:color="auto"/>
                <w:right w:val="none" w:sz="0" w:space="0" w:color="auto"/>
              </w:pBdr>
              <w:rPr>
                <w:rStyle w:val="CommentReference"/>
              </w:rPr>
            </w:pPr>
            <w:r w:rsidRPr="0097554F">
              <w:rPr>
                <w:rFonts w:eastAsiaTheme="minorHAnsi"/>
                <w:b w:val="0"/>
              </w:rPr>
              <w:t xml:space="preserve">With the support of the European Regional Development Fund, a major stretch of the ‘cycle highway’ between Antwerp and Brussels was finalised </w:t>
            </w:r>
            <w:r w:rsidRPr="0097554F">
              <w:rPr>
                <w:rFonts w:eastAsiaTheme="minorHAnsi"/>
                <w:b w:val="0"/>
                <w:i/>
                <w:u w:val="single"/>
              </w:rPr>
              <w:t>in 2018</w:t>
            </w:r>
            <w:r w:rsidRPr="0097554F">
              <w:rPr>
                <w:rFonts w:eastAsiaTheme="minorHAnsi"/>
                <w:b w:val="0"/>
              </w:rPr>
              <w:t>. The cycle highway offers a safe and convenient alternative for commuters. It is a sustainable response to congestion challenges contributing to the decarbonisation of transport.</w:t>
            </w:r>
          </w:p>
        </w:tc>
        <w:tc>
          <w:tcPr>
            <w:tcW w:w="4644" w:type="dxa"/>
          </w:tcPr>
          <w:p w14:paraId="3E5EA180" w14:textId="697FFA5E" w:rsidR="00752F3C" w:rsidRPr="00A04E56" w:rsidRDefault="00752F3C" w:rsidP="006737D2">
            <w:pPr>
              <w:pStyle w:val="Source-Table-Chart-PhotoCaption"/>
            </w:pPr>
            <w:r>
              <w:rPr>
                <w:i/>
                <w:noProof/>
                <w:lang w:val="fr-BE"/>
              </w:rPr>
              <w:drawing>
                <wp:inline distT="0" distB="0" distL="0" distR="0" wp14:anchorId="27DA5186" wp14:editId="1CCF4C03">
                  <wp:extent cx="3599688" cy="2023872"/>
                  <wp:effectExtent l="0" t="0" r="127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uropean_regional_dev_fund -  scaled down.jpg"/>
                          <pic:cNvPicPr/>
                        </pic:nvPicPr>
                        <pic:blipFill>
                          <a:blip r:embed="rId153" cstate="email">
                            <a:extLst>
                              <a:ext uri="{28A0092B-C50C-407E-A947-70E740481C1C}">
                                <a14:useLocalDpi xmlns:a14="http://schemas.microsoft.com/office/drawing/2010/main"/>
                              </a:ext>
                            </a:extLst>
                          </a:blip>
                          <a:stretch>
                            <a:fillRect/>
                          </a:stretch>
                        </pic:blipFill>
                        <pic:spPr>
                          <a:xfrm>
                            <a:off x="0" y="0"/>
                            <a:ext cx="3599688" cy="2023872"/>
                          </a:xfrm>
                          <a:prstGeom prst="rect">
                            <a:avLst/>
                          </a:prstGeom>
                        </pic:spPr>
                      </pic:pic>
                    </a:graphicData>
                  </a:graphic>
                </wp:inline>
              </w:drawing>
            </w:r>
            <w:r w:rsidRPr="00277538">
              <w:rPr>
                <w:rStyle w:val="italics"/>
              </w:rPr>
              <w:t>Photo:</w:t>
            </w:r>
            <w:r w:rsidRPr="00A04E56">
              <w:t xml:space="preserve"> © European </w:t>
            </w:r>
            <w:r w:rsidR="006737D2">
              <w:t>Union</w:t>
            </w:r>
          </w:p>
        </w:tc>
      </w:tr>
    </w:tbl>
    <w:p w14:paraId="1A0FBA61" w14:textId="77777777" w:rsidR="00752F3C" w:rsidRDefault="00752F3C" w:rsidP="00590CC6">
      <w:pPr>
        <w:pStyle w:val="BodyText1spaceafter"/>
      </w:pPr>
    </w:p>
    <w:p w14:paraId="5F7414D9" w14:textId="76F11717" w:rsidR="008331F6" w:rsidRPr="00A04E56" w:rsidRDefault="008331F6" w:rsidP="00590CC6">
      <w:pPr>
        <w:pStyle w:val="BodyText1spaceafter"/>
      </w:pPr>
      <w:r w:rsidRPr="00A04E56">
        <w:t xml:space="preserve">A substantial share of funding is devoted to </w:t>
      </w:r>
      <w:r w:rsidRPr="00A04E56">
        <w:rPr>
          <w:rStyle w:val="BOLDLIGHTBLUEReport"/>
          <w:rFonts w:eastAsia="Calibri"/>
        </w:rPr>
        <w:t>improving the business environment</w:t>
      </w:r>
      <w:r w:rsidRPr="00A04E56">
        <w:t xml:space="preserve"> and</w:t>
      </w:r>
      <w:r w:rsidRPr="00A04E56">
        <w:rPr>
          <w:rStyle w:val="BOLDLIGHTBLUEReport"/>
          <w:rFonts w:eastAsia="Calibri"/>
        </w:rPr>
        <w:t xml:space="preserve"> supporting entrepreneurship. </w:t>
      </w:r>
      <w:r w:rsidRPr="00A04E56">
        <w:t>For instance, more than</w:t>
      </w:r>
      <w:r w:rsidR="00A261CE">
        <w:t xml:space="preserve"> </w:t>
      </w:r>
      <w:r w:rsidR="002D6D6F" w:rsidRPr="00A04E56">
        <w:t>90</w:t>
      </w:r>
      <w:r w:rsidRPr="00A04E56">
        <w:rPr>
          <w:rFonts w:ascii="Calibri" w:hAnsi="Calibri" w:cs="Calibri"/>
        </w:rPr>
        <w:t> </w:t>
      </w:r>
      <w:r w:rsidRPr="00A04E56">
        <w:t xml:space="preserve">000 start-ups </w:t>
      </w:r>
      <w:r w:rsidR="002D6D6F" w:rsidRPr="00A04E56">
        <w:t xml:space="preserve">are </w:t>
      </w:r>
      <w:r w:rsidRPr="00A04E56">
        <w:t>supported. An important aspect is to facilitate access to finance; since the beginning of the programming period, EUR</w:t>
      </w:r>
      <w:r w:rsidRPr="00A04E56">
        <w:rPr>
          <w:rFonts w:ascii="Calibri" w:hAnsi="Calibri" w:cs="Calibri"/>
        </w:rPr>
        <w:t> </w:t>
      </w:r>
      <w:r w:rsidRPr="00A04E56">
        <w:t>2.7</w:t>
      </w:r>
      <w:r w:rsidRPr="00A04E56">
        <w:rPr>
          <w:rFonts w:ascii="Calibri" w:hAnsi="Calibri" w:cs="Calibri"/>
        </w:rPr>
        <w:t> </w:t>
      </w:r>
      <w:r w:rsidRPr="00A04E56">
        <w:t>billion has been invested using the leverage effect of financial instruments.</w:t>
      </w:r>
    </w:p>
    <w:p w14:paraId="23896C23" w14:textId="64F14435" w:rsidR="009930C2" w:rsidRPr="00A04E56" w:rsidRDefault="009930C2" w:rsidP="008046C5">
      <w:pPr>
        <w:pStyle w:val="BOX3Blue"/>
        <w:keepNext/>
        <w:keepLines/>
      </w:pPr>
      <w:r w:rsidRPr="00A04E56">
        <w:t>Croatia</w:t>
      </w:r>
      <w:r w:rsidR="00CB6A77" w:rsidRPr="00A04E56">
        <w:t xml:space="preserve"> — </w:t>
      </w:r>
      <w:r w:rsidRPr="00A04E56">
        <w:t>ESIF Venture Capital Fund to support innovative start-ups</w:t>
      </w:r>
    </w:p>
    <w:p w14:paraId="0CF57F25" w14:textId="565C22E7" w:rsidR="009930C2" w:rsidRPr="00A04E56" w:rsidRDefault="009930C2" w:rsidP="008046C5">
      <w:pPr>
        <w:pStyle w:val="BOX3Blue"/>
        <w:keepNext/>
        <w:keepLines/>
        <w:rPr>
          <w:b w:val="0"/>
        </w:rPr>
      </w:pPr>
      <w:r w:rsidRPr="00A04E56">
        <w:rPr>
          <w:b w:val="0"/>
        </w:rPr>
        <w:t xml:space="preserve">Croatia set up the </w:t>
      </w:r>
      <w:r w:rsidR="006A535A" w:rsidRPr="00A04E56">
        <w:rPr>
          <w:b w:val="0"/>
        </w:rPr>
        <w:t>‘</w:t>
      </w:r>
      <w:r w:rsidRPr="00A04E56">
        <w:rPr>
          <w:b w:val="0"/>
        </w:rPr>
        <w:t>ESIF Venture Capital Fund</w:t>
      </w:r>
      <w:r w:rsidR="006A535A" w:rsidRPr="00A04E56">
        <w:rPr>
          <w:b w:val="0"/>
        </w:rPr>
        <w:t>’</w:t>
      </w:r>
      <w:r w:rsidRPr="00A04E56">
        <w:rPr>
          <w:b w:val="0"/>
        </w:rPr>
        <w:t xml:space="preserve"> in June 2018</w:t>
      </w:r>
      <w:r w:rsidR="00CB6A77" w:rsidRPr="00A04E56">
        <w:rPr>
          <w:b w:val="0"/>
        </w:rPr>
        <w:t xml:space="preserve"> — </w:t>
      </w:r>
      <w:r w:rsidRPr="00A04E56">
        <w:rPr>
          <w:b w:val="0"/>
        </w:rPr>
        <w:t xml:space="preserve">the first </w:t>
      </w:r>
      <w:r w:rsidR="004D4F6A">
        <w:rPr>
          <w:b w:val="0"/>
        </w:rPr>
        <w:t>Venture Capital</w:t>
      </w:r>
      <w:r w:rsidRPr="00A04E56">
        <w:rPr>
          <w:b w:val="0"/>
        </w:rPr>
        <w:t xml:space="preserve"> instrument supported by </w:t>
      </w:r>
      <w:r w:rsidR="004D4F6A" w:rsidRPr="004D4F6A">
        <w:rPr>
          <w:b w:val="0"/>
        </w:rPr>
        <w:t>European Regional Development Fund</w:t>
      </w:r>
      <w:r w:rsidRPr="00A04E56">
        <w:rPr>
          <w:b w:val="0"/>
        </w:rPr>
        <w:t xml:space="preserve">. Thanks to EUR 35 million from the Operational Programme Competitiveness and </w:t>
      </w:r>
      <w:r w:rsidR="00F504A4" w:rsidRPr="00A04E56">
        <w:rPr>
          <w:b w:val="0"/>
        </w:rPr>
        <w:t>cohesion</w:t>
      </w:r>
      <w:r w:rsidRPr="00A04E56">
        <w:rPr>
          <w:b w:val="0"/>
        </w:rPr>
        <w:t xml:space="preserve"> 2014-2020, the fund will invest into risk capital funds targeting local </w:t>
      </w:r>
      <w:r w:rsidR="00950EB2" w:rsidRPr="00A04E56">
        <w:rPr>
          <w:b w:val="0"/>
        </w:rPr>
        <w:t>small and medium-sized enterprises</w:t>
      </w:r>
      <w:r w:rsidR="00950EB2" w:rsidRPr="00A04E56">
        <w:t xml:space="preserve"> </w:t>
      </w:r>
      <w:r w:rsidRPr="00A04E56">
        <w:rPr>
          <w:b w:val="0"/>
        </w:rPr>
        <w:t xml:space="preserve">with high growth potential, allowing them to scale up and compete globally. The ESIF Venture Capital Fund will target in particular earlier stage investments and will offer a fully-fledged acceleration programme. It adds a new element to the successful portfolio of debt instruments supported by the </w:t>
      </w:r>
      <w:r w:rsidR="004D4F6A" w:rsidRPr="004D4F6A">
        <w:rPr>
          <w:b w:val="0"/>
        </w:rPr>
        <w:t>European Regional Development Fund</w:t>
      </w:r>
      <w:r w:rsidRPr="00A04E56">
        <w:rPr>
          <w:b w:val="0"/>
        </w:rPr>
        <w:t xml:space="preserve"> and will contribute to developing a sound and dynamic start-up ecosystem in the country. </w:t>
      </w:r>
    </w:p>
    <w:p w14:paraId="411B6703" w14:textId="27B3DEB9" w:rsidR="009930C2" w:rsidRPr="00A04E56" w:rsidRDefault="009930C2" w:rsidP="008046C5">
      <w:pPr>
        <w:pStyle w:val="BOX3Blue"/>
        <w:keepLines/>
        <w:rPr>
          <w:b w:val="0"/>
        </w:rPr>
      </w:pPr>
      <w:r w:rsidRPr="00A04E56">
        <w:rPr>
          <w:b w:val="0"/>
        </w:rPr>
        <w:t xml:space="preserve">This is a good example of how cohesion policy invests in jobs and growth, in line with the </w:t>
      </w:r>
      <w:r w:rsidR="00AE4B2D" w:rsidRPr="00A04E56">
        <w:rPr>
          <w:b w:val="0"/>
        </w:rPr>
        <w:t>investment plan for Europe</w:t>
      </w:r>
      <w:r w:rsidRPr="00A04E56">
        <w:rPr>
          <w:b w:val="0"/>
        </w:rPr>
        <w:t xml:space="preserve">. At least 50 seed stage and 15 start-up stage companies will receive vital support. The instrument is also expected to have strong spill-over effects in terms of business angels, entrepreneurial workshops and corporates and a strong pipeline leading to a much more pronounced interest of regional </w:t>
      </w:r>
      <w:r w:rsidR="00752F3C">
        <w:rPr>
          <w:b w:val="0"/>
        </w:rPr>
        <w:t>venture capital</w:t>
      </w:r>
      <w:r w:rsidR="00752F3C" w:rsidRPr="00A04E56">
        <w:rPr>
          <w:b w:val="0"/>
        </w:rPr>
        <w:t xml:space="preserve"> </w:t>
      </w:r>
      <w:r w:rsidRPr="00A04E56">
        <w:rPr>
          <w:b w:val="0"/>
        </w:rPr>
        <w:t>funds to invest in Croatia.</w:t>
      </w:r>
    </w:p>
    <w:p w14:paraId="62778E49" w14:textId="05BA9ECE" w:rsidR="008331F6" w:rsidRDefault="008331F6" w:rsidP="00107DA0">
      <w:pPr>
        <w:pStyle w:val="BodyText1spacebeforeandafter"/>
      </w:pPr>
      <w:r w:rsidRPr="00A04E56">
        <w:t>Significant</w:t>
      </w:r>
      <w:r w:rsidRPr="00A04E56" w:rsidDel="0000559C">
        <w:t xml:space="preserve"> </w:t>
      </w:r>
      <w:r w:rsidRPr="00A04E56">
        <w:t>progress has also</w:t>
      </w:r>
      <w:r w:rsidRPr="00A04E56" w:rsidDel="008F39C4">
        <w:t xml:space="preserve"> </w:t>
      </w:r>
      <w:r w:rsidRPr="00A04E56">
        <w:t xml:space="preserve">been made in the area of </w:t>
      </w:r>
      <w:r w:rsidRPr="00A04E56">
        <w:rPr>
          <w:rStyle w:val="BOLDLIGHTBLUEReport"/>
          <w:rFonts w:eastAsia="Calibri"/>
        </w:rPr>
        <w:t xml:space="preserve">environmental protection and promotion of resource efficiency, </w:t>
      </w:r>
      <w:r w:rsidRPr="00A04E56">
        <w:t>where 12</w:t>
      </w:r>
      <w:r w:rsidRPr="00A04E56">
        <w:rPr>
          <w:rFonts w:ascii="Arial" w:hAnsi="Arial" w:cs="Arial"/>
        </w:rPr>
        <w:t> </w:t>
      </w:r>
      <w:r w:rsidRPr="00A04E56">
        <w:t xml:space="preserve">500 projects were supported by the end of 2018. Even though such investments have a long lifecycle, many results have already been achieved. Millions of citizens are now protected against natural disasters such as floods and fires. </w:t>
      </w:r>
      <w:r w:rsidR="009930C2" w:rsidRPr="00A04E56">
        <w:t>Hundrends of t</w:t>
      </w:r>
      <w:r w:rsidRPr="00A04E56">
        <w:t xml:space="preserve">housands of citizens benefit from facilities that improve water supply and water treatment. Implementation varies across and within Member States. </w:t>
      </w:r>
      <w:r w:rsidR="009930C2" w:rsidRPr="00A04E56">
        <w:t>P</w:t>
      </w:r>
      <w:r w:rsidRPr="00A04E56">
        <w:t xml:space="preserve">rogress remains </w:t>
      </w:r>
      <w:r w:rsidR="009930C2" w:rsidRPr="00A04E56">
        <w:t xml:space="preserve">a bit </w:t>
      </w:r>
      <w:r w:rsidRPr="00A04E56">
        <w:t>slow</w:t>
      </w:r>
      <w:r w:rsidR="009930C2" w:rsidRPr="00A04E56">
        <w:t>er</w:t>
      </w:r>
      <w:r w:rsidRPr="00A04E56">
        <w:t xml:space="preserve"> as regards the objectives linked to the increase of waste-recycling capacity and rehabilitation of land, as projects selected so far cover only a modest fraction of the expected target. This is notably due to the lengthy planning procedures for such projects</w:t>
      </w:r>
      <w:r w:rsidRPr="00A04E56" w:rsidDel="00D843B1">
        <w:t>.</w:t>
      </w:r>
      <w:r w:rsidRPr="00A04E56">
        <w:t xml:space="preserve"> </w:t>
      </w:r>
    </w:p>
    <w:p w14:paraId="5BD5431E" w14:textId="77777777" w:rsidR="00E33F52" w:rsidRPr="00A04E56" w:rsidRDefault="00E33F52" w:rsidP="0005798F">
      <w:pPr>
        <w:pStyle w:val="BodyText1spacebeforeandafter"/>
      </w:pPr>
      <w:r w:rsidRPr="00A04E56">
        <w:t xml:space="preserve">The European Regional Development Fund is the main investment tool for the </w:t>
      </w:r>
      <w:r w:rsidRPr="00AE5EB7">
        <w:rPr>
          <w:rStyle w:val="BOLDLIGHTBLUEReport"/>
          <w:rFonts w:eastAsia="Calibri"/>
        </w:rPr>
        <w:t>digitalisation</w:t>
      </w:r>
      <w:r w:rsidRPr="0005798F">
        <w:rPr>
          <w:rStyle w:val="BOLDLIGHTBLUEReport"/>
          <w:rFonts w:eastAsia="Calibri"/>
        </w:rPr>
        <w:t xml:space="preserve"> of the public sector and of small and medium-sized enterprises</w:t>
      </w:r>
      <w:r w:rsidRPr="00A04E56">
        <w:t xml:space="preserve"> and for the </w:t>
      </w:r>
      <w:r w:rsidRPr="0005798F">
        <w:rPr>
          <w:rStyle w:val="BOLDLIGHTBLUEReport"/>
          <w:rFonts w:eastAsia="Calibri"/>
        </w:rPr>
        <w:t>roll-out of broadband</w:t>
      </w:r>
      <w:r w:rsidRPr="00A04E56">
        <w:t>. Its aim is to achieve efficiency gains thanks to e-government solutions, smart energy and transport solutions by delivering tailored support on the ground and matching local needs and opportunities. By the end of 2018, some 7</w:t>
      </w:r>
      <w:r w:rsidRPr="00AE5EB7">
        <w:rPr>
          <w:rFonts w:ascii="Calibri" w:hAnsi="Calibri" w:cs="Calibri"/>
        </w:rPr>
        <w:t> </w:t>
      </w:r>
      <w:r w:rsidRPr="00A04E56">
        <w:t xml:space="preserve">800 projects were selected on the ground to support the achievement of a connected digital single market, representing 63% of the total planned. While notable progress has been registered across several Member States </w:t>
      </w:r>
      <w:r w:rsidRPr="0005798F">
        <w:t>in 2018</w:t>
      </w:r>
      <w:r w:rsidRPr="00A04E56">
        <w:t xml:space="preserve">, some difficulties have slowed down the implementation of broadband projects in the early stages of implementation in certain countries (such as difficulties in mapping of intervention areas and selection of beneficiaries, state aid issues). In response to these difficulties, targeted actions aimed at improving the administrative capacity of programme authorities in this area continue to be implemented. </w:t>
      </w:r>
    </w:p>
    <w:p w14:paraId="7AEDE4C0" w14:textId="77777777" w:rsidR="00752F3C" w:rsidRPr="00A04E56" w:rsidRDefault="00752F3C" w:rsidP="0005798F">
      <w:pPr>
        <w:pStyle w:val="BodyText1spacebeforeandafter"/>
      </w:pPr>
      <w:r w:rsidRPr="00A04E56">
        <w:t>Appropriate follow-up to the action plan on rural broadband</w:t>
      </w:r>
      <w:r w:rsidRPr="00AE5EB7">
        <w:rPr>
          <w:rFonts w:ascii="Calibri" w:hAnsi="Calibri" w:cs="Calibri"/>
        </w:rPr>
        <w:t> </w:t>
      </w:r>
      <w:r w:rsidRPr="00A04E56">
        <w:t>(</w:t>
      </w:r>
      <w:r w:rsidRPr="00035E18">
        <w:rPr>
          <w:rStyle w:val="fnRefNo"/>
        </w:rPr>
        <w:footnoteReference w:id="130"/>
      </w:r>
      <w:r w:rsidRPr="00A04E56">
        <w:t xml:space="preserve">) was ensured, with country visits (Bulgaria, Croatia, Czechia, Romania, Slovakia) for which also requests for reprogramming were examined and bottleneck in implementation discussed. Among other initiatives, the work of the network of Broadband Competence Offices across Member States, supported by a Brussels-based facility, has started to bring positive outcomes. Through single points of contact within the Member States, this network provides information and/or advice to any public authority wishing to roll-out high-speed broadband, as well as any potential broadband project promoter enquiring about the EU/national/regional funding available for broadband. All these actions are expected to help improve the digital performance of regions and Member States, thus positively contributing to the attainment of the target set for the impact indicator capturing digital competitiveness of Member States. </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34" w:type="dxa"/>
          <w:left w:w="136" w:type="dxa"/>
          <w:bottom w:w="34" w:type="dxa"/>
          <w:right w:w="136" w:type="dxa"/>
        </w:tblCellMar>
        <w:tblLook w:val="04A0" w:firstRow="1" w:lastRow="0" w:firstColumn="1" w:lastColumn="0" w:noHBand="0" w:noVBand="1"/>
      </w:tblPr>
      <w:tblGrid>
        <w:gridCol w:w="9288"/>
      </w:tblGrid>
      <w:tr w:rsidR="008331F6" w:rsidRPr="00A04E56" w14:paraId="7F9BB281" w14:textId="77777777" w:rsidTr="00F94AC6">
        <w:trPr>
          <w:cantSplit/>
        </w:trPr>
        <w:tc>
          <w:tcPr>
            <w:tcW w:w="9288" w:type="dxa"/>
          </w:tcPr>
          <w:p w14:paraId="2914CC1D" w14:textId="4E081778" w:rsidR="00752F3C" w:rsidRPr="0005798F" w:rsidRDefault="00752F3C" w:rsidP="00DB3264">
            <w:pPr>
              <w:pStyle w:val="BOX3Blue"/>
              <w:keepNext/>
              <w:keepLines/>
              <w:pBdr>
                <w:top w:val="none" w:sz="0" w:space="0" w:color="auto"/>
                <w:left w:val="none" w:sz="0" w:space="0" w:color="auto"/>
                <w:bottom w:val="none" w:sz="0" w:space="0" w:color="auto"/>
                <w:right w:val="none" w:sz="0" w:space="0" w:color="auto"/>
              </w:pBdr>
              <w:rPr>
                <w:rFonts w:eastAsiaTheme="minorHAnsi"/>
              </w:rPr>
            </w:pPr>
            <w:r>
              <w:rPr>
                <w:rFonts w:eastAsiaTheme="minorHAnsi"/>
              </w:rPr>
              <w:t>S</w:t>
            </w:r>
            <w:r w:rsidR="009930C2" w:rsidRPr="00DB3264">
              <w:rPr>
                <w:rFonts w:eastAsiaTheme="minorHAnsi"/>
              </w:rPr>
              <w:t xml:space="preserve">trengthening </w:t>
            </w:r>
            <w:r w:rsidR="009930C2" w:rsidRPr="00752F3C">
              <w:t>of digital strategic governance in Member States in</w:t>
            </w:r>
            <w:r w:rsidR="008331F6" w:rsidRPr="00752F3C">
              <w:t xml:space="preserve"> Italy</w:t>
            </w:r>
          </w:p>
          <w:p w14:paraId="11799026" w14:textId="7462F26D" w:rsidR="008331F6" w:rsidRPr="00A04E56" w:rsidRDefault="008331F6" w:rsidP="00AE5EB7">
            <w:pPr>
              <w:pStyle w:val="BOX3builtastableBluedashedborderBluetext"/>
            </w:pPr>
            <w:r w:rsidRPr="00A04E56">
              <w:t>A ‘digital divide’, or uneven distribution, in the access to and use of information technologies</w:t>
            </w:r>
            <w:r w:rsidRPr="00A04E56" w:rsidDel="00C80B17">
              <w:t xml:space="preserve"> </w:t>
            </w:r>
            <w:r w:rsidRPr="00A04E56">
              <w:t>exists</w:t>
            </w:r>
            <w:r w:rsidRPr="00A04E56" w:rsidDel="00C80B17">
              <w:t xml:space="preserve"> </w:t>
            </w:r>
            <w:r w:rsidRPr="00A04E56">
              <w:t xml:space="preserve">between </w:t>
            </w:r>
            <w:r w:rsidRPr="00A04E56" w:rsidDel="00684BC2">
              <w:t xml:space="preserve">the </w:t>
            </w:r>
            <w:r w:rsidRPr="00A04E56">
              <w:t>Italian regions (especially in southern Italy) and the rest of Europe. Italy has adopted a strategy for digital growth, which intends to: guarantee broadband internet coverage (of at least 30</w:t>
            </w:r>
            <w:r w:rsidRPr="00A04E56">
              <w:rPr>
                <w:rFonts w:ascii="Calibri" w:hAnsi="Calibri" w:cs="Calibri"/>
              </w:rPr>
              <w:t> </w:t>
            </w:r>
            <w:r w:rsidRPr="00A04E56">
              <w:t>Mbps) to the entire Italian population; provide offices, public buildings and 85% of private households with a very high connection (of at least 100</w:t>
            </w:r>
            <w:r w:rsidRPr="00A04E56">
              <w:rPr>
                <w:rFonts w:ascii="Calibri" w:hAnsi="Calibri" w:cs="Calibri"/>
              </w:rPr>
              <w:t> </w:t>
            </w:r>
            <w:r w:rsidRPr="00A04E56">
              <w:t>Mbps) and bring high-speed broadband to the industrial areas.</w:t>
            </w:r>
            <w:r w:rsidR="00752F3C" w:rsidRPr="00A04E56">
              <w:t xml:space="preserve"> EUR</w:t>
            </w:r>
            <w:r w:rsidR="00752F3C" w:rsidRPr="00A04E56">
              <w:rPr>
                <w:rFonts w:ascii="Calibri" w:hAnsi="Calibri" w:cs="Calibri"/>
              </w:rPr>
              <w:t> </w:t>
            </w:r>
            <w:r w:rsidR="00752F3C" w:rsidRPr="00A04E56">
              <w:t>2.6</w:t>
            </w:r>
            <w:r w:rsidR="00752F3C" w:rsidRPr="00A04E56">
              <w:rPr>
                <w:rFonts w:ascii="Calibri" w:hAnsi="Calibri" w:cs="Calibri"/>
              </w:rPr>
              <w:t> </w:t>
            </w:r>
            <w:r w:rsidR="00752F3C" w:rsidRPr="00A04E56">
              <w:t>billion in investments are committed to projects supporting digital growth in 2014-2020.</w:t>
            </w:r>
          </w:p>
        </w:tc>
      </w:tr>
    </w:tbl>
    <w:p w14:paraId="33A23B18" w14:textId="1161E180" w:rsidR="00E33F52" w:rsidRDefault="008331F6" w:rsidP="00C257BF">
      <w:pPr>
        <w:pStyle w:val="BodyText1spacebeforeandafter"/>
      </w:pPr>
      <w:r w:rsidRPr="00A04E56">
        <w:t xml:space="preserve">Achieving an </w:t>
      </w:r>
      <w:r w:rsidRPr="00A04E56">
        <w:rPr>
          <w:rStyle w:val="BOLDLIGHTBLUEReport"/>
          <w:rFonts w:eastAsia="Calibri"/>
        </w:rPr>
        <w:t>energy union</w:t>
      </w:r>
      <w:r w:rsidRPr="00A04E56">
        <w:t xml:space="preserve"> will ensure security, affordability and sustainability of energy supply in Europe, while also making the </w:t>
      </w:r>
      <w:r w:rsidR="00C6157D" w:rsidRPr="00A04E56">
        <w:t>E</w:t>
      </w:r>
      <w:r w:rsidRPr="00A04E56">
        <w:t xml:space="preserve">U less dependent on the international market and external sources of energy raw materials. Cohesion policy is the biggest EU investment source in making the energy union happen on the ground and supporting EU’s regions and cities in their path for reaching the EU 2020 and 2030 climate and energy targets and achieving a socially fair transition. </w:t>
      </w:r>
    </w:p>
    <w:p w14:paraId="6FF87707" w14:textId="38E69391" w:rsidR="00E33F52" w:rsidRPr="00A04E56" w:rsidRDefault="00E33F52" w:rsidP="00E33F52">
      <w:pPr>
        <w:pStyle w:val="BOX3Blue"/>
        <w:keepNext/>
        <w:keepLines/>
      </w:pPr>
      <w:r>
        <w:t>Hungary – Support for Hungary’s largest power plant</w:t>
      </w:r>
    </w:p>
    <w:p w14:paraId="43859D00" w14:textId="12FB3FE1" w:rsidR="00E33F52" w:rsidRDefault="00E33F52" w:rsidP="0005798F">
      <w:pPr>
        <w:pStyle w:val="BOX3Blue"/>
        <w:keepNext/>
        <w:keepLines/>
      </w:pPr>
      <w:r w:rsidRPr="0005798F">
        <w:rPr>
          <w:b w:val="0"/>
        </w:rPr>
        <w:t xml:space="preserve">The first solar power plant under the 2018-2019 photovoltaic project of the MVM Group has been built in the vicinity of Felsőzsolca and Onga on nearly 45 hectares, thanks to a total investment of around EUR 28 million, provided by European Regional Development Fund and the national budget. It has started generating electricity as the unit with the largest installed capacity in Hungary </w:t>
      </w:r>
      <w:r w:rsidR="00320F0E">
        <w:rPr>
          <w:b w:val="0"/>
        </w:rPr>
        <w:t>–</w:t>
      </w:r>
      <w:r w:rsidRPr="0005798F">
        <w:rPr>
          <w:b w:val="0"/>
        </w:rPr>
        <w:t xml:space="preserve"> 20 megawatts. The Felsőzsolca Solar Power Plant is the first to start electricity generation among 110 solar units planned.</w:t>
      </w:r>
    </w:p>
    <w:p w14:paraId="43CA6D4B" w14:textId="77777777" w:rsidR="00752F3C" w:rsidRPr="00AE5EB7" w:rsidRDefault="00752F3C" w:rsidP="0005798F">
      <w:pPr>
        <w:pStyle w:val="BodyText1spacebeforeandafter"/>
        <w:spacing w:before="120" w:after="120"/>
      </w:pPr>
    </w:p>
    <w:p w14:paraId="10069F83" w14:textId="77777777" w:rsidR="00752F3C" w:rsidRDefault="00752F3C" w:rsidP="0005798F">
      <w:pPr>
        <w:pStyle w:val="BOX3Blue"/>
        <w:keepNext/>
        <w:keepLines/>
      </w:pPr>
      <w:r w:rsidRPr="00752F3C">
        <w:t xml:space="preserve">Netherlands - Upscaling of Solar Photovoltaic Power for rental tenants. </w:t>
      </w:r>
    </w:p>
    <w:p w14:paraId="2F3D5C2B" w14:textId="53DAE817" w:rsidR="00752F3C" w:rsidRPr="00E57141" w:rsidRDefault="00752F3C" w:rsidP="0005798F">
      <w:pPr>
        <w:pStyle w:val="BOX3Blue"/>
        <w:keepNext/>
        <w:keepLines/>
      </w:pPr>
      <w:r w:rsidRPr="0005798F">
        <w:rPr>
          <w:b w:val="0"/>
        </w:rPr>
        <w:t>This project facilitates the large-scale installation of solar photovoltaic systems on rented accommodation. The consortium of market parties aims at removing existing bottlenecks while ensuring that the huge demand for solar panels among rental tenants can be met. The integrated cooperation between experienced and expert market parties supplemented by external specialists, facilitates the large-scale rollout of solar photovoltaic power for rental tenants. The installation of the solar photovoltaic systems, initially in 8 500 homes, rising to 30 000 homes over the next few years, will create many employment opportunities. Furthermore, businesses responsible for the fitting and installation of the phtovoltaic power panels, converters and cable work will also grow.</w:t>
      </w:r>
    </w:p>
    <w:p w14:paraId="3476BC87" w14:textId="5EEC6DCE" w:rsidR="008331F6" w:rsidRPr="00A04E56" w:rsidRDefault="008331F6" w:rsidP="00E33F52">
      <w:pPr>
        <w:pStyle w:val="BodyText1spacebeforeandafter"/>
      </w:pPr>
      <w:r w:rsidRPr="00A04E56">
        <w:t xml:space="preserve">Cohesion policy is also the main EU funding source on </w:t>
      </w:r>
      <w:r w:rsidRPr="00A04E56">
        <w:rPr>
          <w:rStyle w:val="BOLDLIGHTBLUEReport"/>
          <w:rFonts w:eastAsia="Calibri"/>
        </w:rPr>
        <w:t>disaster</w:t>
      </w:r>
      <w:r w:rsidR="00C6111C" w:rsidRPr="00A04E56">
        <w:rPr>
          <w:rStyle w:val="BOLDLIGHTBLUEReport"/>
          <w:rFonts w:eastAsia="Calibri"/>
        </w:rPr>
        <w:t>-risk</w:t>
      </w:r>
      <w:r w:rsidRPr="00A04E56">
        <w:rPr>
          <w:rStyle w:val="BOLDLIGHTBLUEReport"/>
          <w:rFonts w:eastAsia="Calibri"/>
        </w:rPr>
        <w:t xml:space="preserve"> management</w:t>
      </w:r>
      <w:r w:rsidRPr="00A04E56">
        <w:t>. Over 25 000 projects in the area of low</w:t>
      </w:r>
      <w:r w:rsidR="002B5F47" w:rsidRPr="00A04E56">
        <w:t>-carbon</w:t>
      </w:r>
      <w:r w:rsidRPr="00A04E56">
        <w:t xml:space="preserve"> economy have been selected and either will be or are already being implemented on the ground. For investments targeting climate-related goals, nearly 2 500 projects have been selected.</w:t>
      </w:r>
    </w:p>
    <w:p w14:paraId="4A2B4E60" w14:textId="36E673B2" w:rsidR="008331F6" w:rsidRPr="00A04E56" w:rsidRDefault="008331F6" w:rsidP="008331F6">
      <w:pPr>
        <w:pStyle w:val="BodyText1spaceafter"/>
      </w:pPr>
      <w:r w:rsidRPr="00A04E56">
        <w:t xml:space="preserve">Measures supported by the European Regional Development Fund are addressing the needs created by the exceptional flow of </w:t>
      </w:r>
      <w:r w:rsidRPr="00A04E56">
        <w:rPr>
          <w:rStyle w:val="BOLDLIGHTBLUEReport"/>
          <w:rFonts w:eastAsia="Calibri"/>
        </w:rPr>
        <w:t>migrants</w:t>
      </w:r>
      <w:r w:rsidRPr="00A04E56">
        <w:t xml:space="preserve"> to Europe by focusing on support for reception and the effective integration of legal migrants and asylum seekers in the field of employment, social inclusion and education. A significant contribution towards these objectives results from </w:t>
      </w:r>
      <w:r w:rsidR="00950EB2" w:rsidRPr="00A04E56">
        <w:t>support for small and medium-sized enterprises</w:t>
      </w:r>
      <w:r w:rsidRPr="00A04E56">
        <w:t>, through which business support services reach all potential entrepreneurs, including those from more vulnerable groups such as migrants, with the aim to make the EU in its entirety stronger and more cohesive. Project selection rate in the area of social inclusion exceeds 60% at the end of 2018, with close to 8 000 projects already selected and being implemented.</w:t>
      </w:r>
    </w:p>
    <w:p w14:paraId="65184D53" w14:textId="0479AFD1" w:rsidR="008331F6" w:rsidRPr="00A04E56" w:rsidRDefault="005151F8" w:rsidP="00AA0340">
      <w:pPr>
        <w:pStyle w:val="Title3NumberedReport"/>
      </w:pPr>
      <w:r w:rsidRPr="00A04E56">
        <w:t>Assessment and evaluation</w:t>
      </w:r>
    </w:p>
    <w:p w14:paraId="705B4E14" w14:textId="77777777" w:rsidR="008331F6" w:rsidRPr="00A04E56" w:rsidRDefault="008331F6" w:rsidP="008331F6">
      <w:pPr>
        <w:pStyle w:val="BodyText1spaceafter"/>
      </w:pPr>
      <w:r w:rsidRPr="00A04E56">
        <w:t>The evaluation of the predecessor programmes</w:t>
      </w:r>
      <w:r w:rsidRPr="00A04E56">
        <w:rPr>
          <w:rStyle w:val="fnRef"/>
          <w:rFonts w:ascii="Arial" w:hAnsi="Arial" w:cs="Arial"/>
        </w:rPr>
        <w:t> </w:t>
      </w:r>
      <w:r w:rsidRPr="00A04E56">
        <w:rPr>
          <w:rStyle w:val="fnRef"/>
        </w:rPr>
        <w:t>(</w:t>
      </w:r>
      <w:r w:rsidRPr="00A04E56">
        <w:rPr>
          <w:rStyle w:val="fnRefNo"/>
        </w:rPr>
        <w:footnoteReference w:id="131"/>
      </w:r>
      <w:r w:rsidRPr="00A04E56">
        <w:rPr>
          <w:rStyle w:val="fnRef"/>
        </w:rPr>
        <w:t>)</w:t>
      </w:r>
      <w:r w:rsidRPr="00A04E56">
        <w:t xml:space="preserve"> found that regions and countries in the EU benefit from the cohesion funds owing both to direct effects (via the investment) and indirect effects (via increased trade). </w:t>
      </w:r>
    </w:p>
    <w:p w14:paraId="79CF48CD" w14:textId="3E04A72E" w:rsidR="008331F6" w:rsidRPr="00A04E56" w:rsidRDefault="008331F6" w:rsidP="008331F6">
      <w:pPr>
        <w:pStyle w:val="BodyText1spaceafter"/>
      </w:pPr>
      <w:r w:rsidRPr="00A04E56">
        <w:t>The evaluation found that support to small and medium enterprises has high potential impact, provided it focuses more on helping dynamic firms to grow, on smart specialisation strategies and on facilitating regions to move up the economic chain, rather than trying to maintain the ‘old’ economy of the past. Additionally, high value added contributions are evidenced in themes such as the low</w:t>
      </w:r>
      <w:r w:rsidR="002B5F47" w:rsidRPr="00A04E56">
        <w:t>-</w:t>
      </w:r>
      <w:r w:rsidRPr="00A04E56">
        <w:t>carbon economy, sustainable urban development and regional co</w:t>
      </w:r>
      <w:r w:rsidR="00B625A6" w:rsidRPr="00A04E56">
        <w:t>operation</w:t>
      </w:r>
      <w:r w:rsidRPr="00A04E56">
        <w:t>. This feedback has been taken on board in the Commission proposal</w:t>
      </w:r>
      <w:r w:rsidRPr="00A04E56">
        <w:rPr>
          <w:rStyle w:val="fnRef"/>
          <w:rFonts w:ascii="Arial" w:hAnsi="Arial" w:cs="Arial"/>
        </w:rPr>
        <w:t> </w:t>
      </w:r>
      <w:r w:rsidRPr="00A04E56">
        <w:rPr>
          <w:rStyle w:val="fnRef"/>
        </w:rPr>
        <w:t>(</w:t>
      </w:r>
      <w:r w:rsidRPr="00A04E56">
        <w:rPr>
          <w:rStyle w:val="fnRefNo"/>
        </w:rPr>
        <w:footnoteReference w:id="132"/>
      </w:r>
      <w:r w:rsidRPr="00A04E56">
        <w:rPr>
          <w:rStyle w:val="fnRef"/>
        </w:rPr>
        <w:t>)</w:t>
      </w:r>
      <w:r w:rsidRPr="00A04E56">
        <w:t xml:space="preserve"> for the next multiannual financial framework, which maintains thematic concentration with priorities to support innovation, the digital economy and small businesses, as well as the low</w:t>
      </w:r>
      <w:r w:rsidR="002B5F47" w:rsidRPr="00A04E56">
        <w:t>-</w:t>
      </w:r>
      <w:r w:rsidRPr="00A04E56">
        <w:t>carbon and circular economy.</w:t>
      </w:r>
    </w:p>
    <w:p w14:paraId="2028E446" w14:textId="160FFEF4" w:rsidR="008331F6" w:rsidRPr="00A04E56" w:rsidRDefault="008331F6" w:rsidP="008331F6">
      <w:pPr>
        <w:pStyle w:val="BodyText1spaceafter"/>
      </w:pPr>
      <w:r w:rsidRPr="00A04E56">
        <w:t>The evaluation also concluded that the most effective strategy to attract large enterprises is not through financial incentives but by improving local conditions such as the local business environment. Airport investments have tended to perform poorly, except in the outermost regions where there is a benefit. The proposal for the next multiannual financial framework, contains a list of excluded activities such as direct support to large enterprises, airport infrastructure and some waste</w:t>
      </w:r>
      <w:r w:rsidR="00C010D2" w:rsidRPr="00A04E56">
        <w:t>-</w:t>
      </w:r>
      <w:r w:rsidRPr="00A04E56">
        <w:t xml:space="preserve">management operations such as landfills. </w:t>
      </w:r>
    </w:p>
    <w:p w14:paraId="5BCA1863" w14:textId="02722487" w:rsidR="008331F6" w:rsidRPr="00A04E56" w:rsidRDefault="008331F6" w:rsidP="008331F6">
      <w:pPr>
        <w:pStyle w:val="BodyText1spaceafter"/>
      </w:pPr>
      <w:r w:rsidRPr="00A04E56">
        <w:t xml:space="preserve">It was also found that financial instruments have the potential to be a more efficient means of funding investment in some policy areas, but there were delays in implementation and obstacles to their widespread use. These issues were addressed in the Commission proposal for a </w:t>
      </w:r>
      <w:r w:rsidR="00835302" w:rsidRPr="00A04E56">
        <w:t>common provisions regulation</w:t>
      </w:r>
      <w:r w:rsidR="00835302" w:rsidRPr="00A04E56">
        <w:rPr>
          <w:rStyle w:val="fnRef"/>
          <w:rFonts w:ascii="Arial" w:hAnsi="Arial" w:cs="Arial"/>
        </w:rPr>
        <w:t> </w:t>
      </w:r>
      <w:r w:rsidRPr="00A04E56">
        <w:rPr>
          <w:rStyle w:val="fnRef"/>
        </w:rPr>
        <w:t>(</w:t>
      </w:r>
      <w:r w:rsidRPr="00A04E56">
        <w:rPr>
          <w:rStyle w:val="fnRefNo"/>
        </w:rPr>
        <w:footnoteReference w:id="133"/>
      </w:r>
      <w:r w:rsidRPr="00A04E56">
        <w:rPr>
          <w:rStyle w:val="fnRef"/>
        </w:rPr>
        <w:t>)</w:t>
      </w:r>
      <w:r w:rsidRPr="00A04E56">
        <w:t xml:space="preserve"> for the post-2020 period</w:t>
      </w:r>
      <w:r w:rsidR="000250C5" w:rsidRPr="00A04E56">
        <w:t xml:space="preserve"> as it provides for </w:t>
      </w:r>
      <w:r w:rsidR="000250C5" w:rsidRPr="00A04E56">
        <w:rPr>
          <w:rStyle w:val="BOLDLIGHTBLUEReport"/>
          <w:rFonts w:eastAsia="Calibri"/>
        </w:rPr>
        <w:t>flexibility and responsiveness to future needs</w:t>
      </w:r>
      <w:r w:rsidR="000250C5" w:rsidRPr="00A04E56">
        <w:rPr>
          <w:rStyle w:val="BodyText1Char"/>
          <w:lang w:val="en-GB"/>
        </w:rPr>
        <w:t>,</w:t>
      </w:r>
      <w:r w:rsidR="000250C5" w:rsidRPr="00A04E56">
        <w:t xml:space="preserve"> for instance by enabling small transfers of resources without operational programme modification. Additionally, operational programme allocations are set out for the first 5</w:t>
      </w:r>
      <w:r w:rsidR="000250C5" w:rsidRPr="00A04E56">
        <w:rPr>
          <w:rFonts w:ascii="Calibri" w:hAnsi="Calibri" w:cs="Calibri"/>
        </w:rPr>
        <w:t> </w:t>
      </w:r>
      <w:r w:rsidR="000250C5" w:rsidRPr="00A04E56">
        <w:t>years and then for the last 2</w:t>
      </w:r>
      <w:r w:rsidR="000250C5" w:rsidRPr="00A04E56">
        <w:rPr>
          <w:rFonts w:ascii="Calibri" w:hAnsi="Calibri" w:cs="Calibri"/>
        </w:rPr>
        <w:t> </w:t>
      </w:r>
      <w:r w:rsidR="000250C5" w:rsidRPr="00A04E56">
        <w:t xml:space="preserve">years are allocated on the basis of a review. </w:t>
      </w:r>
      <w:r w:rsidRPr="00A04E56">
        <w:t>The implementation of financial instruments is simplified, aligning many of the relevant provisions with those of grants.</w:t>
      </w:r>
    </w:p>
    <w:p w14:paraId="73166853" w14:textId="5D9317A0" w:rsidR="008331F6" w:rsidRPr="00A04E56" w:rsidRDefault="008331F6" w:rsidP="008331F6">
      <w:pPr>
        <w:pStyle w:val="BodyText1spaceafter"/>
      </w:pPr>
      <w:r w:rsidRPr="00A04E56">
        <w:t>The evaluation found that management, control and audit systems were complex. This caused administrative uncertainty and delays in implementation. A recent study</w:t>
      </w:r>
      <w:r w:rsidRPr="00A04E56">
        <w:rPr>
          <w:rStyle w:val="fnRef"/>
          <w:rFonts w:ascii="Arial" w:hAnsi="Arial" w:cs="Arial"/>
        </w:rPr>
        <w:t> </w:t>
      </w:r>
      <w:r w:rsidRPr="00A04E56">
        <w:rPr>
          <w:rStyle w:val="fnRef"/>
        </w:rPr>
        <w:t>(</w:t>
      </w:r>
      <w:r w:rsidRPr="00A04E56">
        <w:rPr>
          <w:rStyle w:val="fnRefNo"/>
        </w:rPr>
        <w:footnoteReference w:id="134"/>
      </w:r>
      <w:r w:rsidRPr="00A04E56">
        <w:rPr>
          <w:rStyle w:val="fnRef"/>
        </w:rPr>
        <w:t>)</w:t>
      </w:r>
      <w:r w:rsidRPr="00A04E56">
        <w:t xml:space="preserve"> requested by the Commission identified substantial administrative costs</w:t>
      </w:r>
      <w:r w:rsidR="002C2A93" w:rsidRPr="00A04E56">
        <w:t xml:space="preserve"> which are</w:t>
      </w:r>
      <w:r w:rsidRPr="00A04E56">
        <w:t xml:space="preserve"> estimated at </w:t>
      </w:r>
      <w:r w:rsidR="002C2A93" w:rsidRPr="00A04E56">
        <w:t>2.2</w:t>
      </w:r>
      <w:r w:rsidRPr="00A04E56">
        <w:t xml:space="preserve">% of </w:t>
      </w:r>
      <w:r w:rsidR="002C2A93" w:rsidRPr="00A04E56">
        <w:t xml:space="preserve">total eliglible costs </w:t>
      </w:r>
      <w:r w:rsidRPr="00A04E56">
        <w:t xml:space="preserve">for the European Regional Development Fund and </w:t>
      </w:r>
      <w:r w:rsidR="002C2A93" w:rsidRPr="00A04E56">
        <w:t>1.8</w:t>
      </w:r>
      <w:r w:rsidRPr="00A04E56">
        <w:t>% for the Cohesion Fund</w:t>
      </w:r>
      <w:r w:rsidR="002C2A93" w:rsidRPr="00A04E56">
        <w:t xml:space="preserve"> (overall figure is 4% for the European Structural </w:t>
      </w:r>
      <w:r w:rsidR="009B51A7">
        <w:t xml:space="preserve">and </w:t>
      </w:r>
      <w:r w:rsidR="002C2A93" w:rsidRPr="00A04E56">
        <w:t>Investment Funds in general)</w:t>
      </w:r>
      <w:r w:rsidRPr="00A04E56">
        <w:t>. The Commission is learning from this and the proposal for the future programmes includes many measures to simplify and reduce administrative burden. Greater use of simplified cost options and payments based on conditions could substantially reduce total administrative costs. Certain rules for major projects and revenue generating investments are eliminated. Additionally, a more proportionate approach to control</w:t>
      </w:r>
      <w:r w:rsidR="00C6157D" w:rsidRPr="00A04E56">
        <w:t>s</w:t>
      </w:r>
      <w:r w:rsidRPr="00A04E56">
        <w:t xml:space="preserve"> and audits will bring a major reduction in the number of verifications and the audit burden for low</w:t>
      </w:r>
      <w:r w:rsidR="002B5F47" w:rsidRPr="00A04E56">
        <w:t>-</w:t>
      </w:r>
      <w:r w:rsidRPr="00A04E56">
        <w:t xml:space="preserve">risk operational programmes. </w:t>
      </w:r>
    </w:p>
    <w:p w14:paraId="0AF49127" w14:textId="77777777" w:rsidR="00E531C8" w:rsidRPr="00A04E56" w:rsidRDefault="004407A5" w:rsidP="009A646E">
      <w:pPr>
        <w:pStyle w:val="BodyText1spaceafter"/>
      </w:pPr>
      <w:r w:rsidRPr="00A04E56">
        <w:t xml:space="preserve">The </w:t>
      </w:r>
      <w:r w:rsidRPr="00A04E56">
        <w:rPr>
          <w:rStyle w:val="BOLDLIGHTBLUEReport"/>
          <w:rFonts w:eastAsia="Calibri"/>
        </w:rPr>
        <w:t>European Court of Auditors</w:t>
      </w:r>
      <w:r w:rsidRPr="00A04E56" w:rsidDel="00194B18">
        <w:t xml:space="preserve"> </w:t>
      </w:r>
      <w:r w:rsidRPr="00A04E56">
        <w:t>reported</w:t>
      </w:r>
      <w:r w:rsidRPr="00A04E56">
        <w:rPr>
          <w:rFonts w:ascii="Calibri" w:hAnsi="Calibri" w:cs="Calibri"/>
        </w:rPr>
        <w:t> </w:t>
      </w:r>
      <w:r w:rsidRPr="00A04E56">
        <w:rPr>
          <w:rStyle w:val="fnRef"/>
        </w:rPr>
        <w:t>(</w:t>
      </w:r>
      <w:r w:rsidRPr="00A04E56">
        <w:rPr>
          <w:rStyle w:val="fnRefNo"/>
        </w:rPr>
        <w:footnoteReference w:id="135"/>
      </w:r>
      <w:r w:rsidRPr="00A04E56">
        <w:rPr>
          <w:rStyle w:val="fnRef"/>
        </w:rPr>
        <w:t>)</w:t>
      </w:r>
      <w:r w:rsidRPr="00A04E56">
        <w:t xml:space="preserve"> that the Commission implemented various measures aimed at increasing the focus on results in the 2014-2020 period; it welcomed the improvements, but also highlighted weaknesses in the quality of monitoring the information related to spending on cohesion policy. The Court noted that monitoring information remains mostly output-oriented and recommended that the Commission set out common result indicators for the European Regional Development Fund. In response, the Commission proposal</w:t>
      </w:r>
      <w:r w:rsidRPr="00A04E56">
        <w:rPr>
          <w:rStyle w:val="fnRef"/>
          <w:rFonts w:ascii="Calibri" w:hAnsi="Calibri" w:cs="Calibri"/>
        </w:rPr>
        <w:t> </w:t>
      </w:r>
      <w:r w:rsidRPr="00A04E56">
        <w:rPr>
          <w:rStyle w:val="fnRef"/>
        </w:rPr>
        <w:t>(</w:t>
      </w:r>
      <w:r w:rsidRPr="00A04E56">
        <w:rPr>
          <w:rStyle w:val="fnRefNo"/>
        </w:rPr>
        <w:footnoteReference w:id="136"/>
      </w:r>
      <w:r w:rsidRPr="00A04E56">
        <w:rPr>
          <w:rStyle w:val="fnRef"/>
        </w:rPr>
        <w:t>)</w:t>
      </w:r>
      <w:r w:rsidRPr="00A04E56">
        <w:t xml:space="preserve"> for the funds for 2021-2027 maintains and refines the common set of output indicators, while adding for the first time a common set of result indicators, for the performance frameworks which are to be established by Member States for the monitoring, reporting and evaluation of programme performance. The proposal would enable results to be reported regularly updated on the Open Data Platform</w:t>
      </w:r>
      <w:r w:rsidRPr="00A04E56">
        <w:rPr>
          <w:rStyle w:val="fnRef"/>
          <w:rFonts w:ascii="Arial" w:hAnsi="Arial" w:cs="Arial"/>
        </w:rPr>
        <w:t> </w:t>
      </w:r>
      <w:r w:rsidRPr="00A04E56">
        <w:rPr>
          <w:rStyle w:val="fnRef"/>
        </w:rPr>
        <w:t>(</w:t>
      </w:r>
      <w:r w:rsidRPr="00A04E56">
        <w:rPr>
          <w:rStyle w:val="fnRefNo"/>
        </w:rPr>
        <w:footnoteReference w:id="137"/>
      </w:r>
      <w:r w:rsidRPr="00A04E56">
        <w:rPr>
          <w:rStyle w:val="fnRef"/>
        </w:rPr>
        <w:t>)</w:t>
      </w:r>
      <w:r w:rsidRPr="00A04E56">
        <w:t xml:space="preserve"> and comparison across programmes and Member States, which will feed into performance assessment and evaluations. </w:t>
      </w:r>
    </w:p>
    <w:p w14:paraId="4828E81D" w14:textId="63DBD75A" w:rsidR="004407A5" w:rsidRPr="00A04E56" w:rsidRDefault="00E531C8" w:rsidP="00C257BF">
      <w:pPr>
        <w:pStyle w:val="BodyText1"/>
        <w:rPr>
          <w:lang w:val="en-GB"/>
        </w:rPr>
      </w:pPr>
      <w:r w:rsidRPr="00A04E56">
        <w:rPr>
          <w:lang w:val="en-GB"/>
        </w:rPr>
        <w:t>T</w:t>
      </w:r>
      <w:r w:rsidR="00B336E0" w:rsidRPr="00A04E56">
        <w:rPr>
          <w:lang w:val="en-GB"/>
        </w:rPr>
        <w:t xml:space="preserve">he link of the programmes with the European Semester is strengthened </w:t>
      </w:r>
      <w:r w:rsidR="003D0082" w:rsidRPr="00A04E56">
        <w:rPr>
          <w:lang w:val="en-GB"/>
        </w:rPr>
        <w:t>for</w:t>
      </w:r>
      <w:r w:rsidR="00B336E0" w:rsidRPr="00A04E56">
        <w:rPr>
          <w:lang w:val="en-GB"/>
        </w:rPr>
        <w:t xml:space="preserve"> the period 2021-2027</w:t>
      </w:r>
      <w:r w:rsidRPr="00A04E56">
        <w:rPr>
          <w:lang w:val="en-GB"/>
        </w:rPr>
        <w:t xml:space="preserve">. </w:t>
      </w:r>
      <w:r w:rsidR="003D0082" w:rsidRPr="00A04E56">
        <w:rPr>
          <w:lang w:val="en-GB"/>
        </w:rPr>
        <w:t>As part of the 2019 European Semester cycle, t</w:t>
      </w:r>
      <w:r w:rsidRPr="00A04E56">
        <w:rPr>
          <w:lang w:val="en-GB"/>
        </w:rPr>
        <w:t xml:space="preserve">he Commission provided tailored country-specific analysis of </w:t>
      </w:r>
      <w:r w:rsidR="003D0082" w:rsidRPr="00A04E56">
        <w:rPr>
          <w:lang w:val="en-GB"/>
        </w:rPr>
        <w:t>investment needs</w:t>
      </w:r>
      <w:r w:rsidRPr="00A04E56">
        <w:rPr>
          <w:lang w:val="en-GB"/>
        </w:rPr>
        <w:t xml:space="preserve"> and bottlenecks to investments</w:t>
      </w:r>
      <w:r w:rsidR="003D0082" w:rsidRPr="00A04E56">
        <w:rPr>
          <w:lang w:val="en-GB"/>
        </w:rPr>
        <w:t xml:space="preserve">, taking into account </w:t>
      </w:r>
      <w:r w:rsidRPr="00A04E56">
        <w:rPr>
          <w:lang w:val="en-GB"/>
        </w:rPr>
        <w:t xml:space="preserve">relevant regional </w:t>
      </w:r>
      <w:r w:rsidR="003D0082" w:rsidRPr="00A04E56">
        <w:rPr>
          <w:lang w:val="en-GB"/>
        </w:rPr>
        <w:t xml:space="preserve">and territorial </w:t>
      </w:r>
      <w:r w:rsidRPr="00A04E56">
        <w:rPr>
          <w:lang w:val="en-GB"/>
        </w:rPr>
        <w:t xml:space="preserve">disparities. </w:t>
      </w:r>
      <w:r w:rsidRPr="00A04E56">
        <w:rPr>
          <w:szCs w:val="20"/>
          <w:lang w:val="en-GB"/>
        </w:rPr>
        <w:t xml:space="preserve">Based on these analytical elements and taking into account </w:t>
      </w:r>
      <w:r w:rsidR="00F504A4" w:rsidRPr="00A04E56">
        <w:rPr>
          <w:szCs w:val="20"/>
          <w:lang w:val="en-GB"/>
        </w:rPr>
        <w:t>cohesion</w:t>
      </w:r>
      <w:r w:rsidRPr="00A04E56">
        <w:rPr>
          <w:szCs w:val="20"/>
          <w:lang w:val="en-GB"/>
        </w:rPr>
        <w:t xml:space="preserve"> policy objectives, country-specific investment guidance were developed and summarised in </w:t>
      </w:r>
      <w:r w:rsidR="003D0082" w:rsidRPr="00A04E56">
        <w:rPr>
          <w:szCs w:val="20"/>
          <w:lang w:val="en-GB"/>
        </w:rPr>
        <w:t xml:space="preserve">an </w:t>
      </w:r>
      <w:r w:rsidRPr="00A04E56">
        <w:rPr>
          <w:szCs w:val="20"/>
          <w:lang w:val="en-GB"/>
        </w:rPr>
        <w:t>annex to the</w:t>
      </w:r>
      <w:r w:rsidR="00166CE9" w:rsidRPr="00A04E56">
        <w:rPr>
          <w:szCs w:val="20"/>
          <w:lang w:val="en-GB"/>
        </w:rPr>
        <w:t xml:space="preserve"> country reports </w:t>
      </w:r>
      <w:r w:rsidR="003D0082" w:rsidRPr="00A04E56">
        <w:rPr>
          <w:szCs w:val="20"/>
          <w:lang w:val="en-GB"/>
        </w:rPr>
        <w:t>(Annex D). This</w:t>
      </w:r>
      <w:r w:rsidRPr="00A04E56">
        <w:rPr>
          <w:szCs w:val="20"/>
          <w:lang w:val="en-GB"/>
        </w:rPr>
        <w:t xml:space="preserve"> annex provide</w:t>
      </w:r>
      <w:r w:rsidR="003D0082" w:rsidRPr="00A04E56">
        <w:rPr>
          <w:szCs w:val="20"/>
          <w:lang w:val="en-GB"/>
        </w:rPr>
        <w:t>s</w:t>
      </w:r>
      <w:r w:rsidRPr="00A04E56">
        <w:rPr>
          <w:szCs w:val="20"/>
          <w:lang w:val="en-GB"/>
        </w:rPr>
        <w:t xml:space="preserve"> the basis for the dialogue between Member States and the Commission services in view of the programming of the </w:t>
      </w:r>
      <w:r w:rsidR="00F504A4" w:rsidRPr="00A04E56">
        <w:rPr>
          <w:szCs w:val="20"/>
          <w:lang w:val="en-GB"/>
        </w:rPr>
        <w:t>cohesion</w:t>
      </w:r>
      <w:r w:rsidRPr="00A04E56">
        <w:rPr>
          <w:szCs w:val="20"/>
          <w:lang w:val="en-GB"/>
        </w:rPr>
        <w:t xml:space="preserve"> policy funds for 2021-2027.</w:t>
      </w:r>
    </w:p>
    <w:p w14:paraId="425C6DB6" w14:textId="74A9D339" w:rsidR="008331F6" w:rsidRPr="00A04E56" w:rsidRDefault="008331F6" w:rsidP="008331F6">
      <w:pPr>
        <w:pStyle w:val="Title2Report"/>
      </w:pPr>
      <w:bookmarkStart w:id="105" w:name="_Toc12021013"/>
      <w:r w:rsidRPr="00A04E56">
        <w:t>European Social Fund</w:t>
      </w:r>
      <w:bookmarkEnd w:id="105"/>
    </w:p>
    <w:p w14:paraId="6EE9BA3A" w14:textId="77777777" w:rsidR="008331F6" w:rsidRPr="00A04E56" w:rsidRDefault="008331F6" w:rsidP="00AA0340">
      <w:pPr>
        <w:pStyle w:val="Title3NumberedReport"/>
      </w:pPr>
      <w:r w:rsidRPr="00A04E56">
        <w:t>Programme objectives</w:t>
      </w:r>
    </w:p>
    <w:p w14:paraId="179A3E7B" w14:textId="77777777" w:rsidR="008331F6" w:rsidRPr="00A04E56" w:rsidRDefault="008331F6" w:rsidP="008331F6">
      <w:pPr>
        <w:pStyle w:val="BodyText1spaceafter"/>
        <w:rPr>
          <w:szCs w:val="20"/>
        </w:rPr>
      </w:pPr>
      <w:r w:rsidRPr="00A04E56">
        <w:t xml:space="preserve">Making Europe cohesive, resilient and competitive in the future means investing in its people now: in their education and training, skills and employability and in their potential to create businesses and to innovate, as well as in their health and their broader living conditions. Investing in people and building a fairer and more social EU have been among the main priorities of the current Commission from the very start. </w:t>
      </w:r>
    </w:p>
    <w:p w14:paraId="135BAE75" w14:textId="0F78A92C" w:rsidR="008331F6" w:rsidRPr="00A04E56" w:rsidRDefault="008331F6" w:rsidP="00D92F1E">
      <w:pPr>
        <w:pStyle w:val="BodyText1spaceafter"/>
        <w:spacing w:after="400"/>
      </w:pPr>
      <w:r w:rsidRPr="00A04E56">
        <w:t xml:space="preserve">The European Social Fund is the EU’s main instrument for supporting jobs, helping people to get better jobs, ensuring fairer job opportunities for all and supporting upskilling and reskilling. It has a direct link to the priorities and headline targets of the </w:t>
      </w:r>
      <w:r w:rsidR="009B51A7">
        <w:t>Europe</w:t>
      </w:r>
      <w:r w:rsidR="009B51A7" w:rsidRPr="00A04E56">
        <w:t xml:space="preserve"> </w:t>
      </w:r>
      <w:r w:rsidRPr="00A04E56">
        <w:t>2020 strategy in terms of employment, education and poverty</w:t>
      </w:r>
      <w:r w:rsidR="00AE5EB7">
        <w:t xml:space="preserve"> </w:t>
      </w:r>
      <w:r w:rsidR="00AE5EB7" w:rsidRPr="00AE5EB7">
        <w:t xml:space="preserve">and is a key tool to deliver on the principles and rights enshrined in the European </w:t>
      </w:r>
      <w:r w:rsidR="00AE5EB7">
        <w:t>pillar of s</w:t>
      </w:r>
      <w:r w:rsidR="00AE5EB7" w:rsidRPr="00AE5EB7">
        <w:t xml:space="preserve">ocial </w:t>
      </w:r>
      <w:r w:rsidR="00AE5EB7">
        <w:t>r</w:t>
      </w:r>
      <w:r w:rsidR="00AE5EB7" w:rsidRPr="00AE5EB7">
        <w:t>ights</w:t>
      </w:r>
      <w:r w:rsidRPr="00A04E56">
        <w:t xml:space="preserve">. The </w:t>
      </w:r>
      <w:r w:rsidR="00732FE5" w:rsidRPr="00A04E56">
        <w:t>thematic objectives</w:t>
      </w:r>
      <w:r w:rsidRPr="00A04E56">
        <w:t xml:space="preserve"> are the following.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4E63F1" w:rsidRPr="00A04E56" w14:paraId="0F20B32E" w14:textId="77777777" w:rsidTr="008B7D64">
        <w:trPr>
          <w:cantSplit/>
          <w:trHeight w:val="1304"/>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F4073B4" w14:textId="77777777" w:rsidR="008331F6" w:rsidRPr="00A04E56" w:rsidRDefault="008331F6" w:rsidP="00277538">
            <w:pPr>
              <w:keepNext/>
              <w:keepLines/>
              <w:spacing w:line="276" w:lineRule="auto"/>
              <w:jc w:val="center"/>
              <w:rPr>
                <w:rFonts w:cstheme="minorHAnsi"/>
                <w:szCs w:val="20"/>
              </w:rPr>
            </w:pPr>
            <w:r w:rsidRPr="00A04E56">
              <w:rPr>
                <w:noProof/>
                <w:lang w:val="fr-BE" w:eastAsia="fr-BE"/>
              </w:rPr>
              <w:drawing>
                <wp:inline distT="0" distB="0" distL="0" distR="0" wp14:anchorId="4D8C33FA" wp14:editId="57A3DBE4">
                  <wp:extent cx="468000" cy="468000"/>
                  <wp:effectExtent l="0" t="0" r="8255" b="8255"/>
                  <wp:docPr id="75" name="Picture 75" descr="G:\Production\B2 prepresse\Raimonds\2019.1745 AMPR\50 - work on images\AMPR Icons\AMPR Icons_Send1\AMPR Icons_Send1\Icon_11700_ES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Production\B2 prepresse\Raimonds\2019.1745 AMPR\50 - work on images\AMPR Icons\AMPR Icons_Send1\AMPR Icons_Send1\Icon_11700_ESF_01.emf"/>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26A398E2" w14:textId="77777777" w:rsidR="008331F6" w:rsidRPr="00A04E56" w:rsidRDefault="008331F6" w:rsidP="00277538">
            <w:pPr>
              <w:keepNext/>
              <w:keepLines/>
              <w:spacing w:line="276" w:lineRule="auto"/>
              <w:rPr>
                <w:rFonts w:cstheme="minorHAnsi"/>
                <w:szCs w:val="20"/>
              </w:rPr>
            </w:pPr>
            <w:r w:rsidRPr="00A04E56">
              <w:rPr>
                <w:rFonts w:cstheme="minorHAnsi"/>
                <w:szCs w:val="20"/>
              </w:rPr>
              <w:t>Promoting sustainable and quality employment and supporting labour mobility</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6D2CDD6E" w14:textId="77777777" w:rsidR="008331F6" w:rsidRPr="00A04E56" w:rsidRDefault="008331F6" w:rsidP="00277538">
            <w:pPr>
              <w:keepNext/>
              <w:keepLines/>
              <w:spacing w:line="276" w:lineRule="auto"/>
              <w:jc w:val="center"/>
              <w:rPr>
                <w:rFonts w:cstheme="minorHAnsi"/>
                <w:szCs w:val="20"/>
                <w:lang w:eastAsia="hu-HU"/>
              </w:rPr>
            </w:pPr>
            <w:r w:rsidRPr="00A04E56">
              <w:rPr>
                <w:noProof/>
                <w:lang w:val="fr-BE" w:eastAsia="fr-BE"/>
              </w:rPr>
              <w:drawing>
                <wp:inline distT="0" distB="0" distL="0" distR="0" wp14:anchorId="657E4646" wp14:editId="44379AA3">
                  <wp:extent cx="468000" cy="468000"/>
                  <wp:effectExtent l="0" t="0" r="8255" b="8255"/>
                  <wp:docPr id="78" name="Picture 78" descr="G:\Production\B2 prepresse\Raimonds\2019.1745 AMPR\50 - work on images\AMPR Icons\AMPR Icons_Send1\AMPR Icons_Send1\Icon_11700_ES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Production\B2 prepresse\Raimonds\2019.1745 AMPR\50 - work on images\AMPR Icons\AMPR Icons_Send1\AMPR Icons_Send1\Icon_11700_ESF_02.emf"/>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D37C22A" w14:textId="77777777" w:rsidR="008331F6" w:rsidRPr="00A04E56" w:rsidRDefault="008331F6" w:rsidP="00277538">
            <w:pPr>
              <w:keepNext/>
              <w:keepLines/>
              <w:spacing w:line="276" w:lineRule="auto"/>
              <w:rPr>
                <w:rFonts w:cstheme="minorHAnsi"/>
                <w:szCs w:val="20"/>
              </w:rPr>
            </w:pPr>
            <w:r w:rsidRPr="00A04E56">
              <w:rPr>
                <w:rFonts w:cstheme="minorHAnsi"/>
                <w:szCs w:val="20"/>
              </w:rPr>
              <w:t>Promoting social inclusion, combating poverty and any discrimination</w:t>
            </w:r>
          </w:p>
        </w:tc>
      </w:tr>
      <w:tr w:rsidR="004E63F1" w:rsidRPr="00A04E56" w14:paraId="7DA23118" w14:textId="77777777" w:rsidTr="008B7D64">
        <w:trPr>
          <w:cantSplit/>
          <w:trHeight w:val="130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7486B12B" w14:textId="77777777" w:rsidR="008331F6" w:rsidRPr="00A04E56" w:rsidRDefault="008331F6" w:rsidP="00277538">
            <w:pPr>
              <w:keepNext/>
              <w:keepLines/>
              <w:spacing w:line="276" w:lineRule="auto"/>
              <w:jc w:val="center"/>
              <w:rPr>
                <w:rFonts w:cstheme="minorHAnsi"/>
                <w:szCs w:val="20"/>
                <w:lang w:eastAsia="hu-HU"/>
              </w:rPr>
            </w:pPr>
            <w:r w:rsidRPr="00A04E56">
              <w:rPr>
                <w:noProof/>
                <w:lang w:val="fr-BE" w:eastAsia="fr-BE"/>
              </w:rPr>
              <w:drawing>
                <wp:inline distT="0" distB="0" distL="0" distR="0" wp14:anchorId="0E23702C" wp14:editId="24342CC5">
                  <wp:extent cx="468000" cy="468000"/>
                  <wp:effectExtent l="0" t="0" r="8255" b="8255"/>
                  <wp:docPr id="76" name="Picture 76" descr="G:\Production\B2 prepresse\Raimonds\2019.1745 AMPR\50 - work on images\AMPR Icons\AMPR Icons_Send1\AMPR Icons_Send1\Icon_11700_ES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Production\B2 prepresse\Raimonds\2019.1745 AMPR\50 - work on images\AMPR Icons\AMPR Icons_Send1\AMPR Icons_Send1\Icon_11700_ESF_03.emf"/>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6E47A712" w14:textId="77777777" w:rsidR="008331F6" w:rsidRPr="00A04E56" w:rsidRDefault="008331F6" w:rsidP="00277538">
            <w:pPr>
              <w:keepNext/>
              <w:keepLines/>
              <w:spacing w:line="276" w:lineRule="auto"/>
              <w:rPr>
                <w:rFonts w:cstheme="minorHAnsi"/>
                <w:szCs w:val="20"/>
              </w:rPr>
            </w:pPr>
            <w:r w:rsidRPr="00A04E56">
              <w:rPr>
                <w:rFonts w:cstheme="minorHAnsi"/>
                <w:szCs w:val="20"/>
              </w:rPr>
              <w:t>Investing in education, training and vocational training for skills and lifelong learning</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4DE13F78" w14:textId="77777777" w:rsidR="008331F6" w:rsidRPr="00A04E56" w:rsidRDefault="008331F6" w:rsidP="00277538">
            <w:pPr>
              <w:keepNext/>
              <w:keepLines/>
              <w:spacing w:line="276" w:lineRule="auto"/>
              <w:jc w:val="center"/>
              <w:rPr>
                <w:lang w:eastAsia="hu-HU"/>
              </w:rPr>
            </w:pPr>
            <w:r w:rsidRPr="00A04E56">
              <w:rPr>
                <w:noProof/>
                <w:lang w:val="fr-BE" w:eastAsia="fr-BE"/>
              </w:rPr>
              <w:drawing>
                <wp:inline distT="0" distB="0" distL="0" distR="0" wp14:anchorId="21FF2CF4" wp14:editId="00A634F9">
                  <wp:extent cx="468000" cy="468000"/>
                  <wp:effectExtent l="0" t="0" r="8255" b="8255"/>
                  <wp:docPr id="79" name="Picture 79" descr="G:\Production\B2 prepresse\Raimonds\2019.1745 AMPR\50 - work on images\AMPR Icons\AMPR Icons_Send1\AMPR Icons_Send1\Icon_11700_ES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G:\Production\B2 prepresse\Raimonds\2019.1745 AMPR\50 - work on images\AMPR Icons\AMPR Icons_Send1\AMPR Icons_Send1\Icon_11700_ESF_04.emf"/>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54CC804" w14:textId="77777777" w:rsidR="008331F6" w:rsidRPr="00A04E56" w:rsidRDefault="008331F6" w:rsidP="00277538">
            <w:pPr>
              <w:keepNext/>
              <w:keepLines/>
              <w:spacing w:line="276" w:lineRule="auto"/>
              <w:rPr>
                <w:rFonts w:cstheme="minorHAnsi"/>
                <w:szCs w:val="20"/>
              </w:rPr>
            </w:pPr>
            <w:r w:rsidRPr="00A04E56">
              <w:rPr>
                <w:rFonts w:cstheme="minorHAnsi"/>
                <w:szCs w:val="20"/>
              </w:rPr>
              <w:t>Enhancing institutional capacity of public authorities and stakeholders and efficient public administration</w:t>
            </w:r>
          </w:p>
        </w:tc>
      </w:tr>
      <w:tr w:rsidR="008331F6" w:rsidRPr="00A04E56" w14:paraId="323D66F1" w14:textId="77777777" w:rsidTr="008B7D64">
        <w:trPr>
          <w:gridAfter w:val="2"/>
          <w:wAfter w:w="4536" w:type="dxa"/>
          <w:cantSplit/>
          <w:trHeight w:val="130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2425849" w14:textId="77777777" w:rsidR="008331F6" w:rsidRPr="00A04E56" w:rsidRDefault="008331F6" w:rsidP="00277538">
            <w:pPr>
              <w:keepLines/>
              <w:spacing w:line="276" w:lineRule="auto"/>
              <w:jc w:val="center"/>
              <w:rPr>
                <w:rFonts w:cstheme="minorHAnsi"/>
                <w:noProof/>
                <w:szCs w:val="20"/>
                <w:lang w:eastAsia="fr-BE"/>
              </w:rPr>
            </w:pPr>
            <w:r w:rsidRPr="00A04E56">
              <w:rPr>
                <w:noProof/>
                <w:lang w:val="fr-BE" w:eastAsia="fr-BE"/>
              </w:rPr>
              <w:drawing>
                <wp:inline distT="0" distB="0" distL="0" distR="0" wp14:anchorId="39B8A476" wp14:editId="034AD8CD">
                  <wp:extent cx="468000" cy="468000"/>
                  <wp:effectExtent l="0" t="0" r="8255" b="8255"/>
                  <wp:docPr id="77" name="Picture 77" descr="G:\Production\B2 prepresse\Raimonds\2019.1745 AMPR\50 - work on images\AMPR Icons\AMPR Icons_Send1\AMPR Icons_Send1\Icon_11700_ESF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G:\Production\B2 prepresse\Raimonds\2019.1745 AMPR\50 - work on images\AMPR Icons\AMPR Icons_Send1\AMPR Icons_Send1\Icon_11700_ESF_05.emf"/>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5641B804" w14:textId="77777777" w:rsidR="008331F6" w:rsidRPr="00A04E56" w:rsidRDefault="008331F6" w:rsidP="00277538">
            <w:pPr>
              <w:keepLines/>
              <w:spacing w:line="276" w:lineRule="auto"/>
              <w:rPr>
                <w:rFonts w:cstheme="minorHAnsi"/>
                <w:szCs w:val="20"/>
              </w:rPr>
            </w:pPr>
            <w:r w:rsidRPr="00A04E56">
              <w:rPr>
                <w:rFonts w:cstheme="minorHAnsi"/>
                <w:szCs w:val="20"/>
              </w:rPr>
              <w:t>Target youth unemployment for persons under the age of 25 not in employment, education or training</w:t>
            </w:r>
          </w:p>
        </w:tc>
      </w:tr>
    </w:tbl>
    <w:p w14:paraId="1FFEAB6B" w14:textId="46A389CF" w:rsidR="008331F6" w:rsidRPr="00A04E56" w:rsidRDefault="008C1D39" w:rsidP="00D92F1E">
      <w:pPr>
        <w:pStyle w:val="Title3NumberedReport"/>
        <w:spacing w:before="440"/>
      </w:pPr>
      <w:r w:rsidRPr="00A04E56">
        <w:t>Implementation and latest achievements</w:t>
      </w:r>
      <w:r w:rsidR="00B942B8" w:rsidRPr="00A04E56">
        <w:rPr>
          <w:rFonts w:ascii="Calibri" w:hAnsi="Calibri" w:cs="Calibri"/>
        </w:rPr>
        <w:t> </w:t>
      </w:r>
      <w:r w:rsidR="008331F6" w:rsidRPr="00A04E56">
        <w:rPr>
          <w:rStyle w:val="fnRef"/>
          <w:b w:val="0"/>
        </w:rPr>
        <w:t>(</w:t>
      </w:r>
      <w:r w:rsidR="008331F6" w:rsidRPr="00A04E56">
        <w:rPr>
          <w:rStyle w:val="fnRefNo"/>
          <w:b w:val="0"/>
        </w:rPr>
        <w:footnoteReference w:id="138"/>
      </w:r>
      <w:r w:rsidR="008331F6" w:rsidRPr="00A04E56">
        <w:rPr>
          <w:rStyle w:val="fnRef"/>
          <w:b w:val="0"/>
        </w:rPr>
        <w:t>)</w:t>
      </w:r>
    </w:p>
    <w:p w14:paraId="0802E70A" w14:textId="2BB253C2" w:rsidR="008331F6" w:rsidRPr="00A04E56" w:rsidRDefault="008331F6" w:rsidP="008331F6">
      <w:pPr>
        <w:pStyle w:val="BodyText1spaceafter"/>
      </w:pPr>
      <w:r w:rsidRPr="00A04E56">
        <w:t xml:space="preserve">By end 2017, the European Social Fund and the </w:t>
      </w:r>
      <w:r w:rsidR="00AE4B2D" w:rsidRPr="00A04E56">
        <w:t>youth employment initiative</w:t>
      </w:r>
      <w:r w:rsidR="00732FE5" w:rsidRPr="00A04E56">
        <w:t xml:space="preserve"> </w:t>
      </w:r>
      <w:r w:rsidRPr="00A04E56">
        <w:t xml:space="preserve">had supported </w:t>
      </w:r>
      <w:r w:rsidRPr="00A04E56">
        <w:rPr>
          <w:rStyle w:val="BOLDLIGHTBLUEReport"/>
          <w:rFonts w:eastAsia="Calibri"/>
        </w:rPr>
        <w:t>15.3</w:t>
      </w:r>
      <w:r w:rsidRPr="00A04E56">
        <w:rPr>
          <w:rStyle w:val="BodyText1Char"/>
          <w:rFonts w:ascii="Calibri" w:hAnsi="Calibri" w:cs="Calibri"/>
          <w:b/>
          <w:lang w:val="en-GB"/>
        </w:rPr>
        <w:t> </w:t>
      </w:r>
      <w:r w:rsidRPr="00A04E56">
        <w:rPr>
          <w:rStyle w:val="BOLDLIGHTBLUEReport"/>
          <w:rFonts w:eastAsia="Calibri"/>
        </w:rPr>
        <w:t>million people, of whom 7.9</w:t>
      </w:r>
      <w:r w:rsidRPr="00A04E56">
        <w:rPr>
          <w:rStyle w:val="BodyText1Char"/>
          <w:rFonts w:ascii="Calibri" w:hAnsi="Calibri" w:cs="Calibri"/>
          <w:b/>
          <w:lang w:val="en-GB"/>
        </w:rPr>
        <w:t> </w:t>
      </w:r>
      <w:r w:rsidRPr="00A04E56">
        <w:rPr>
          <w:rStyle w:val="BOLDLIGHTBLUEReport"/>
          <w:rFonts w:eastAsia="Calibri"/>
        </w:rPr>
        <w:t>million were unemployed and 4.9</w:t>
      </w:r>
      <w:r w:rsidRPr="00A04E56">
        <w:rPr>
          <w:rStyle w:val="BodyText1Char"/>
          <w:rFonts w:ascii="Calibri" w:hAnsi="Calibri" w:cs="Calibri"/>
          <w:b/>
          <w:lang w:val="en-GB"/>
        </w:rPr>
        <w:t> </w:t>
      </w:r>
      <w:r w:rsidRPr="00A04E56">
        <w:rPr>
          <w:rStyle w:val="BOLDLIGHTBLUEReport"/>
          <w:rFonts w:eastAsia="Calibri"/>
        </w:rPr>
        <w:t>million were inactive</w:t>
      </w:r>
      <w:r w:rsidRPr="00A04E56">
        <w:t xml:space="preserve">. By then, Member States had declared that </w:t>
      </w:r>
      <w:r w:rsidRPr="00A04E56">
        <w:rPr>
          <w:rStyle w:val="BOLDLIGHTBLUEReport"/>
          <w:rFonts w:eastAsia="Calibri"/>
        </w:rPr>
        <w:t>2.4</w:t>
      </w:r>
      <w:r w:rsidRPr="00A04E56">
        <w:rPr>
          <w:rStyle w:val="BodyText1Char"/>
          <w:rFonts w:ascii="Calibri" w:hAnsi="Calibri" w:cs="Calibri"/>
          <w:b/>
          <w:lang w:val="en-GB"/>
        </w:rPr>
        <w:t> </w:t>
      </w:r>
      <w:r w:rsidRPr="00A04E56">
        <w:rPr>
          <w:rStyle w:val="BOLDLIGHTBLUEReport"/>
          <w:rFonts w:eastAsia="Calibri"/>
        </w:rPr>
        <w:t>million young people had already benefited</w:t>
      </w:r>
      <w:r w:rsidRPr="00A04E56">
        <w:t xml:space="preserve"> from the </w:t>
      </w:r>
      <w:r w:rsidR="00835302" w:rsidRPr="00A04E56">
        <w:t>youth employment initiative</w:t>
      </w:r>
      <w:r w:rsidRPr="00A04E56">
        <w:t>. Amongst all participants, 1.4</w:t>
      </w:r>
      <w:r w:rsidRPr="00A04E56">
        <w:rPr>
          <w:rFonts w:ascii="Calibri" w:hAnsi="Calibri" w:cs="Calibri"/>
        </w:rPr>
        <w:t> </w:t>
      </w:r>
      <w:r w:rsidRPr="00A04E56">
        <w:t>million were in employment, 1.9</w:t>
      </w:r>
      <w:r w:rsidRPr="00A04E56">
        <w:rPr>
          <w:rFonts w:ascii="Calibri" w:hAnsi="Calibri" w:cs="Calibri"/>
        </w:rPr>
        <w:t> </w:t>
      </w:r>
      <w:r w:rsidRPr="00A04E56">
        <w:t>million have gained a qualification and 870</w:t>
      </w:r>
      <w:r w:rsidRPr="00A04E56">
        <w:rPr>
          <w:rFonts w:ascii="Calibri" w:hAnsi="Calibri" w:cs="Calibri"/>
        </w:rPr>
        <w:t> </w:t>
      </w:r>
      <w:r w:rsidRPr="00A04E56">
        <w:t xml:space="preserve">000 participants were in education or training thanks to </w:t>
      </w:r>
      <w:r w:rsidR="00732FE5" w:rsidRPr="00A04E56">
        <w:t xml:space="preserve">the </w:t>
      </w:r>
      <w:r w:rsidRPr="00A04E56">
        <w:t xml:space="preserve">European Social Fund or </w:t>
      </w:r>
      <w:r w:rsidR="00732FE5" w:rsidRPr="00A04E56">
        <w:t xml:space="preserve">the </w:t>
      </w:r>
      <w:r w:rsidR="00835302" w:rsidRPr="00A04E56">
        <w:t>youth employment initiative</w:t>
      </w:r>
      <w:r w:rsidR="00732FE5" w:rsidRPr="00A04E56">
        <w:t xml:space="preserve"> </w:t>
      </w:r>
      <w:r w:rsidRPr="00A04E56">
        <w:t>support.</w:t>
      </w:r>
    </w:p>
    <w:p w14:paraId="726622D4" w14:textId="2123B046" w:rsidR="008331F6" w:rsidRDefault="008331F6" w:rsidP="008331F6">
      <w:pPr>
        <w:pStyle w:val="BodyText1spaceafter"/>
      </w:pPr>
      <w:r w:rsidRPr="00A04E56">
        <w:t xml:space="preserve">Investments from the European Social Fund and the </w:t>
      </w:r>
      <w:r w:rsidR="00AE4B2D" w:rsidRPr="00A04E56">
        <w:t>youth employment initiative</w:t>
      </w:r>
      <w:r w:rsidRPr="00A04E56">
        <w:t xml:space="preserve"> are the main source of EU-level support to structural reforms in Member States, especially in areas related to the reform of public employment services, activation measures, the development of individualised integrated pathways for employment, the set-up and implementation of dual vocational education and training, apprenticeship measures or investment in (child)care aimed at increasing female participation in the labour market.</w:t>
      </w:r>
    </w:p>
    <w:p w14:paraId="16398C00" w14:textId="03FF9DC9" w:rsidR="00376534" w:rsidRDefault="00376534" w:rsidP="0005798F">
      <w:pPr>
        <w:pStyle w:val="BodyText"/>
      </w:pPr>
    </w:p>
    <w:p w14:paraId="03C6F9BF" w14:textId="77777777" w:rsidR="00D300BD" w:rsidRPr="005A6BA8" w:rsidRDefault="00D300BD" w:rsidP="0005798F">
      <w:pPr>
        <w:pStyle w:val="BodyText"/>
      </w:pPr>
    </w:p>
    <w:p w14:paraId="3274EC0C" w14:textId="77777777" w:rsidR="008331F6" w:rsidRPr="00AE5EB7" w:rsidRDefault="008331F6" w:rsidP="00C257BF">
      <w:pPr>
        <w:pStyle w:val="BOX3BluedashedborderBluetext-Bold"/>
        <w:rPr>
          <w:rStyle w:val="BOLDLIGHTBLUEReport"/>
          <w:rFonts w:eastAsiaTheme="minorHAnsi"/>
          <w:b/>
        </w:rPr>
      </w:pPr>
      <w:r w:rsidRPr="00E57141">
        <w:rPr>
          <w:rStyle w:val="BOLDLIGHTBLUEReport"/>
          <w:rFonts w:eastAsiaTheme="minorHAnsi"/>
          <w:b/>
        </w:rPr>
        <w:t>Making full use of the European Social Fund</w:t>
      </w:r>
      <w:r w:rsidRPr="00DB3264">
        <w:rPr>
          <w:rStyle w:val="fnRef"/>
          <w:rFonts w:ascii="Calibri" w:hAnsi="Calibri" w:cs="Calibri"/>
          <w:b w:val="0"/>
        </w:rPr>
        <w:t> </w:t>
      </w:r>
      <w:r w:rsidRPr="00DB3264">
        <w:rPr>
          <w:rStyle w:val="fnRef"/>
          <w:b w:val="0"/>
        </w:rPr>
        <w:t>(</w:t>
      </w:r>
      <w:r w:rsidRPr="00DB3264">
        <w:rPr>
          <w:rStyle w:val="fnRefNo"/>
          <w:b w:val="0"/>
        </w:rPr>
        <w:footnoteReference w:id="139"/>
      </w:r>
      <w:r w:rsidRPr="00DB3264">
        <w:rPr>
          <w:rStyle w:val="fnRef"/>
          <w:b w:val="0"/>
        </w:rPr>
        <w:t>)</w:t>
      </w:r>
    </w:p>
    <w:p w14:paraId="4A904ECB" w14:textId="19EE860E" w:rsidR="008331F6" w:rsidRDefault="008331F6" w:rsidP="00C257BF">
      <w:pPr>
        <w:pStyle w:val="BOX3BluedashedborderBluetext"/>
      </w:pPr>
      <w:r w:rsidRPr="00A04E56">
        <w:t>With a budget of EUR</w:t>
      </w:r>
      <w:r w:rsidRPr="00A04E56">
        <w:rPr>
          <w:rFonts w:ascii="Calibri" w:hAnsi="Calibri" w:cs="Calibri"/>
        </w:rPr>
        <w:t> </w:t>
      </w:r>
      <w:r w:rsidRPr="00A04E56">
        <w:t>86.4</w:t>
      </w:r>
      <w:r w:rsidRPr="00A04E56">
        <w:rPr>
          <w:rFonts w:ascii="Calibri" w:hAnsi="Calibri" w:cs="Calibri"/>
        </w:rPr>
        <w:t> </w:t>
      </w:r>
      <w:r w:rsidRPr="00A04E56">
        <w:t>billion for 2014-2020, the European Social Fund is one the key EU instruments to support the implementation of the country-specific recommendations. The operational programmes directly contribute to promoting sustainable and high-</w:t>
      </w:r>
      <w:r w:rsidRPr="00A04E56" w:rsidDel="00530763">
        <w:t xml:space="preserve">quality </w:t>
      </w:r>
      <w:r w:rsidRPr="00A04E56">
        <w:t>employment, social inclusion, investment in education and training and institutional capacity building.</w:t>
      </w:r>
      <w:r w:rsidR="00732FE5" w:rsidRPr="00A04E56">
        <w:t xml:space="preserve"> The </w:t>
      </w:r>
      <w:r w:rsidR="00835302" w:rsidRPr="00A04E56">
        <w:t>youth employment initiative</w:t>
      </w:r>
      <w:r w:rsidR="00732FE5" w:rsidRPr="00A04E56">
        <w:t xml:space="preserve"> is a dedicated instrument with a budget of EUR 8.8 billion, half of which comes from the </w:t>
      </w:r>
      <w:r w:rsidR="004D4F6A" w:rsidRPr="004D4F6A">
        <w:t>European Social Fund</w:t>
      </w:r>
      <w:r w:rsidR="00732FE5" w:rsidRPr="00A04E56">
        <w:t xml:space="preserve">. The </w:t>
      </w:r>
      <w:r w:rsidR="004D4F6A" w:rsidRPr="00A04E56">
        <w:t>youth employment initiative</w:t>
      </w:r>
      <w:r w:rsidR="00732FE5" w:rsidRPr="00A04E56">
        <w:t xml:space="preserve"> targets young people not in employment, education or training, in the EU regions having the highest youth unemployment rates in 2012, providing them with job and training opportunities</w:t>
      </w:r>
    </w:p>
    <w:p w14:paraId="2B812C3D" w14:textId="195304CC" w:rsidR="008331F6" w:rsidRPr="00A04E56" w:rsidRDefault="008331F6" w:rsidP="00D300BD">
      <w:pPr>
        <w:pStyle w:val="BOX3BluedashedborderBluetext"/>
        <w:pageBreakBefore/>
      </w:pPr>
      <w:r w:rsidRPr="00A04E56">
        <w:t>Between 2014 and 2017, over 15</w:t>
      </w:r>
      <w:r w:rsidRPr="00A04E56">
        <w:rPr>
          <w:rFonts w:ascii="Calibri" w:hAnsi="Calibri" w:cs="Calibri"/>
        </w:rPr>
        <w:t> </w:t>
      </w:r>
      <w:r w:rsidRPr="00A04E56">
        <w:t xml:space="preserve">million participants benefited from the European Social Fund and the </w:t>
      </w:r>
      <w:r w:rsidR="00AE4B2D" w:rsidRPr="00A04E56">
        <w:t>youth employment initiative</w:t>
      </w:r>
      <w:r w:rsidRPr="00A04E56" w:rsidDel="00467396">
        <w:t xml:space="preserve"> </w:t>
      </w:r>
      <w:r w:rsidRPr="00A04E56">
        <w:t>support, including almost 3</w:t>
      </w:r>
      <w:r w:rsidRPr="00A04E56">
        <w:rPr>
          <w:rFonts w:ascii="Calibri" w:hAnsi="Calibri" w:cs="Calibri"/>
        </w:rPr>
        <w:t> </w:t>
      </w:r>
      <w:r w:rsidRPr="00A04E56">
        <w:t>million long-term unemployed persons (17%). Young people below 25</w:t>
      </w:r>
      <w:r w:rsidRPr="00A04E56">
        <w:rPr>
          <w:rFonts w:ascii="Calibri" w:hAnsi="Calibri" w:cs="Calibri"/>
        </w:rPr>
        <w:t> </w:t>
      </w:r>
      <w:r w:rsidRPr="00A04E56">
        <w:t xml:space="preserve">years of age (42% of total participants) and low-skilled people with primary or lower secondary education (44% of total participants) are key target groups of these interventions. Implementation, which showed a sharp acceleration </w:t>
      </w:r>
      <w:r w:rsidR="008C1D39" w:rsidRPr="00277538">
        <w:t>in 2017</w:t>
      </w:r>
      <w:r w:rsidRPr="00A04E56">
        <w:t>, should continue steadily in the coming years.</w:t>
      </w:r>
    </w:p>
    <w:p w14:paraId="158ADA15" w14:textId="10C32A73" w:rsidR="008331F6" w:rsidRPr="000E6E5A" w:rsidRDefault="008331F6" w:rsidP="00C257BF">
      <w:pPr>
        <w:pStyle w:val="BOX3BluedashedborderBluetext"/>
        <w:rPr>
          <w:spacing w:val="-4"/>
        </w:rPr>
      </w:pPr>
      <w:r w:rsidRPr="000E6E5A">
        <w:rPr>
          <w:spacing w:val="-4"/>
        </w:rPr>
        <w:t>Over 2.4</w:t>
      </w:r>
      <w:r w:rsidRPr="000E6E5A">
        <w:rPr>
          <w:rFonts w:ascii="Calibri" w:hAnsi="Calibri" w:cs="Calibri"/>
          <w:spacing w:val="-4"/>
        </w:rPr>
        <w:t> </w:t>
      </w:r>
      <w:r w:rsidRPr="000E6E5A">
        <w:rPr>
          <w:spacing w:val="-4"/>
        </w:rPr>
        <w:t xml:space="preserve">million people were supported by the </w:t>
      </w:r>
      <w:r w:rsidR="00835302" w:rsidRPr="000E6E5A">
        <w:rPr>
          <w:spacing w:val="-4"/>
        </w:rPr>
        <w:t>youth employment initiative</w:t>
      </w:r>
      <w:r w:rsidR="00732FE5" w:rsidRPr="000E6E5A" w:rsidDel="00467396">
        <w:rPr>
          <w:spacing w:val="-4"/>
        </w:rPr>
        <w:t xml:space="preserve"> </w:t>
      </w:r>
      <w:r w:rsidRPr="000E6E5A">
        <w:rPr>
          <w:spacing w:val="-4"/>
        </w:rPr>
        <w:t>between 2014 and 2017, out of which:</w:t>
      </w:r>
    </w:p>
    <w:p w14:paraId="0ADD1AC5" w14:textId="77777777" w:rsidR="008331F6" w:rsidRPr="00A04E56" w:rsidRDefault="008331F6" w:rsidP="00C257BF">
      <w:pPr>
        <w:pStyle w:val="BOX3BluedashedborderBluebullets"/>
      </w:pPr>
      <w:r w:rsidRPr="00A04E56">
        <w:t>780</w:t>
      </w:r>
      <w:r w:rsidRPr="00A04E56">
        <w:rPr>
          <w:rFonts w:ascii="Calibri" w:hAnsi="Calibri" w:cs="Calibri"/>
        </w:rPr>
        <w:t> </w:t>
      </w:r>
      <w:r w:rsidRPr="00A04E56">
        <w:t>000 young people were in education/training and gaining a qualification or in employment, including self-employment, upon leaving;</w:t>
      </w:r>
    </w:p>
    <w:p w14:paraId="5F58A173" w14:textId="77777777" w:rsidR="008331F6" w:rsidRPr="00A04E56" w:rsidRDefault="008331F6" w:rsidP="00C257BF">
      <w:pPr>
        <w:pStyle w:val="BOX3BluedashedborderBluebullets"/>
      </w:pPr>
      <w:r w:rsidRPr="00A04E56">
        <w:t>550</w:t>
      </w:r>
      <w:r w:rsidRPr="00A04E56">
        <w:rPr>
          <w:rFonts w:ascii="Calibri" w:hAnsi="Calibri" w:cs="Calibri"/>
        </w:rPr>
        <w:t> </w:t>
      </w:r>
      <w:r w:rsidRPr="00A04E56">
        <w:t xml:space="preserve">000 young people received an offer of employment, continued education, apprenticeship or traineeship. </w:t>
      </w:r>
    </w:p>
    <w:p w14:paraId="04BED65F" w14:textId="69005DD0" w:rsidR="00AE5EB7" w:rsidRDefault="008331F6" w:rsidP="0005798F">
      <w:pPr>
        <w:pStyle w:val="BodyText1spacebeforeandafter"/>
      </w:pPr>
      <w:r w:rsidRPr="00A04E56">
        <w:t xml:space="preserve">The fact that the number of European Social Fund and </w:t>
      </w:r>
      <w:r w:rsidR="00835302" w:rsidRPr="00A04E56">
        <w:t>youth employment initiative</w:t>
      </w:r>
      <w:r w:rsidRPr="00A04E56">
        <w:t xml:space="preserve"> participants has doubled since end-2016 indicates a sharp acceleration in the implementation of projects on the ground.</w:t>
      </w:r>
      <w:r w:rsidR="00AE5EB7">
        <w:t xml:space="preserve"> </w:t>
      </w:r>
    </w:p>
    <w:p w14:paraId="73D10175" w14:textId="58CB27B3" w:rsidR="00732FE5" w:rsidRPr="0005798F" w:rsidRDefault="008331F6">
      <w:pPr>
        <w:pStyle w:val="BOX3BluedashedborderBluetext"/>
        <w:rPr>
          <w:b/>
        </w:rPr>
      </w:pPr>
      <w:r w:rsidRPr="0005798F">
        <w:rPr>
          <w:b/>
        </w:rPr>
        <w:t xml:space="preserve">Member States are stepping up their outreach efforts, making services more accessible to young people and ensuring a better identification of those in need. </w:t>
      </w:r>
    </w:p>
    <w:p w14:paraId="59BA0581" w14:textId="4753C59D" w:rsidR="008331F6" w:rsidRPr="0005798F" w:rsidRDefault="008331F6" w:rsidP="00C257BF">
      <w:pPr>
        <w:pStyle w:val="BOX3BluedashedborderBluetext"/>
      </w:pPr>
      <w:r w:rsidRPr="0005798F">
        <w:t>In Finland, the one-stop guidance centres for youth (Ohjaamo, originally operating under the European Social Fund) were made permanent and will receive extensive financial support, aiming to reach a total of 10</w:t>
      </w:r>
      <w:r w:rsidRPr="0005798F">
        <w:rPr>
          <w:rFonts w:cs="Calibri"/>
        </w:rPr>
        <w:t> </w:t>
      </w:r>
      <w:r w:rsidRPr="0005798F">
        <w:t>000 young people. Youth employment agencies are being rolled out across Germany. Cyprus has launched an outreach project supported by the Ministry of Education in cooperation with the Ministry of Labour and the Cyprus Youth Board, aiming to reach out to 4</w:t>
      </w:r>
      <w:r w:rsidRPr="0005798F">
        <w:rPr>
          <w:rFonts w:cs="Calibri"/>
        </w:rPr>
        <w:t> </w:t>
      </w:r>
      <w:r w:rsidRPr="0005798F">
        <w:t>000 inactive people who are not in employment, education or training</w:t>
      </w:r>
      <w:r w:rsidRPr="0005798F" w:rsidDel="00467396">
        <w:t xml:space="preserve"> </w:t>
      </w:r>
      <w:r w:rsidRPr="0005798F">
        <w:t>and to provide them with activation support through counselling and tailor-made training. In Croatia, a system for mapping eligible participants has been in place since November 2017, with the aim of identifying the non-registered ones and their characteristics to better target measures to this group.</w:t>
      </w:r>
    </w:p>
    <w:p w14:paraId="507210DC" w14:textId="77777777" w:rsidR="008331F6" w:rsidRPr="00A04E56" w:rsidRDefault="008331F6" w:rsidP="008331F6">
      <w:pPr>
        <w:pStyle w:val="BodyText1spaceafter"/>
      </w:pPr>
    </w:p>
    <w:p w14:paraId="1966EE2B" w14:textId="737AC174" w:rsidR="008331F6" w:rsidRPr="00A04E56" w:rsidRDefault="008331F6" w:rsidP="0005798F">
      <w:pPr>
        <w:pStyle w:val="BOX3BluedashedborderBluetext"/>
      </w:pPr>
      <w:r w:rsidRPr="00E57141">
        <w:rPr>
          <w:rStyle w:val="BOLDLIGHTBLUEReport"/>
          <w:rFonts w:eastAsiaTheme="minorHAnsi"/>
        </w:rPr>
        <w:t>In a number of Member States, the European So</w:t>
      </w:r>
      <w:r w:rsidRPr="00320F0E">
        <w:rPr>
          <w:rStyle w:val="BOLDLIGHTBLUEReport"/>
          <w:rFonts w:eastAsiaTheme="minorHAnsi"/>
        </w:rPr>
        <w:t>cial Fund supports capacity building and structural reforms</w:t>
      </w:r>
      <w:r w:rsidRPr="00DB3264">
        <w:rPr>
          <w:rStyle w:val="fnRef"/>
          <w:rFonts w:ascii="Calibri" w:hAnsi="Calibri" w:cs="Calibri"/>
        </w:rPr>
        <w:t> </w:t>
      </w:r>
      <w:r w:rsidRPr="00DB3264">
        <w:rPr>
          <w:rStyle w:val="fnRef"/>
        </w:rPr>
        <w:t>(</w:t>
      </w:r>
      <w:r w:rsidRPr="00DB3264">
        <w:rPr>
          <w:rStyle w:val="fnRefNo"/>
        </w:rPr>
        <w:footnoteReference w:id="140"/>
      </w:r>
      <w:r w:rsidRPr="00DB3264">
        <w:rPr>
          <w:rStyle w:val="fnRef"/>
        </w:rPr>
        <w:t>)</w:t>
      </w:r>
      <w:r w:rsidRPr="00E57141">
        <w:rPr>
          <w:rStyle w:val="BOLDLIGHTBLUEReport"/>
          <w:rFonts w:eastAsiaTheme="minorHAnsi"/>
        </w:rPr>
        <w:t xml:space="preserve">. </w:t>
      </w:r>
      <w:r w:rsidRPr="00A04E56">
        <w:rPr>
          <w:b/>
        </w:rPr>
        <w:t xml:space="preserve">For instance, </w:t>
      </w:r>
    </w:p>
    <w:p w14:paraId="1CCB988D" w14:textId="5BAF6674" w:rsidR="008331F6" w:rsidRPr="00A04E56" w:rsidRDefault="00732FE5" w:rsidP="00C257BF">
      <w:pPr>
        <w:pStyle w:val="BOX3BluedashedborderBluetext-Bold"/>
        <w:rPr>
          <w:b w:val="0"/>
        </w:rPr>
      </w:pPr>
      <w:r w:rsidRPr="00A04E56">
        <w:rPr>
          <w:b w:val="0"/>
        </w:rPr>
        <w:t>i</w:t>
      </w:r>
      <w:r w:rsidR="008331F6" w:rsidRPr="00A04E56">
        <w:rPr>
          <w:b w:val="0"/>
        </w:rPr>
        <w:t xml:space="preserve">n Latvia, the European Social Fund supports the strengthening of social dialogue. The goal is to develop a legal framework facilitating social dialogue in different sectors. </w:t>
      </w:r>
    </w:p>
    <w:p w14:paraId="49A82427" w14:textId="17B0356C" w:rsidR="008331F6" w:rsidRPr="00A04E56" w:rsidRDefault="008331F6" w:rsidP="00C257BF">
      <w:pPr>
        <w:pStyle w:val="BOX3BluedashedborderBluetext-Bold"/>
        <w:rPr>
          <w:b w:val="0"/>
        </w:rPr>
      </w:pPr>
      <w:r w:rsidRPr="00A04E56">
        <w:rPr>
          <w:b w:val="0"/>
        </w:rPr>
        <w:t>In Spain, the fund supported the strategy for integration into the labour market. Similarly, the European Social Fund is currently investing resources in the support of the ‘apprenticeship contract’ both in training programmes and in alleviating companies’ social</w:t>
      </w:r>
      <w:r w:rsidR="002B5F47" w:rsidRPr="00A04E56">
        <w:rPr>
          <w:b w:val="0"/>
        </w:rPr>
        <w:t>-security</w:t>
      </w:r>
      <w:r w:rsidRPr="00A04E56">
        <w:rPr>
          <w:b w:val="0"/>
        </w:rPr>
        <w:t xml:space="preserve"> contributions. The apprenticeship contract is also one of the offers under the Spanish </w:t>
      </w:r>
      <w:r w:rsidR="00732FE5" w:rsidRPr="00A04E56">
        <w:rPr>
          <w:b w:val="0"/>
        </w:rPr>
        <w:t>Youth Guarantee</w:t>
      </w:r>
      <w:r w:rsidRPr="00A04E56">
        <w:rPr>
          <w:b w:val="0"/>
        </w:rPr>
        <w:t xml:space="preserve">, especially aimed at young people without any previous qualification or with a very low overall qualification. </w:t>
      </w:r>
    </w:p>
    <w:p w14:paraId="527FB838" w14:textId="7C505065" w:rsidR="008331F6" w:rsidRPr="00A04E56" w:rsidRDefault="008331F6" w:rsidP="00C257BF">
      <w:pPr>
        <w:pStyle w:val="BOX3BluedashedborderBluetext-Bold"/>
        <w:rPr>
          <w:b w:val="0"/>
        </w:rPr>
      </w:pPr>
      <w:r w:rsidRPr="00A04E56">
        <w:rPr>
          <w:b w:val="0"/>
        </w:rPr>
        <w:t xml:space="preserve">In </w:t>
      </w:r>
      <w:r w:rsidR="00714FF2" w:rsidRPr="00A04E56">
        <w:rPr>
          <w:b w:val="0"/>
        </w:rPr>
        <w:t>Czech</w:t>
      </w:r>
      <w:r w:rsidR="00BA2926" w:rsidRPr="00A04E56">
        <w:rPr>
          <w:b w:val="0"/>
        </w:rPr>
        <w:t>ia</w:t>
      </w:r>
      <w:r w:rsidRPr="00A04E56">
        <w:rPr>
          <w:b w:val="0"/>
        </w:rPr>
        <w:t>, the European Social Fund and the European Regional Development Fund provided a considerable boost to the allocation for childcare facilities (approximately EUR</w:t>
      </w:r>
      <w:r w:rsidRPr="00A04E56">
        <w:rPr>
          <w:rFonts w:ascii="Calibri" w:hAnsi="Calibri" w:cs="Calibri"/>
          <w:b w:val="0"/>
        </w:rPr>
        <w:t> </w:t>
      </w:r>
      <w:r w:rsidRPr="00A04E56">
        <w:rPr>
          <w:b w:val="0"/>
        </w:rPr>
        <w:t>220</w:t>
      </w:r>
      <w:r w:rsidRPr="00A04E56">
        <w:rPr>
          <w:rFonts w:ascii="Calibri" w:hAnsi="Calibri" w:cs="Calibri"/>
          <w:b w:val="0"/>
        </w:rPr>
        <w:t> </w:t>
      </w:r>
      <w:r w:rsidRPr="00A04E56">
        <w:rPr>
          <w:b w:val="0"/>
        </w:rPr>
        <w:t>million across all Czech European Social Fund and European Regional Development Fund programmes, i.e. almost tripling). The demand for services on the ground has since been confirmed by a significant interest of applicants. Legislative changes were introduced to enlarge the requirements for opening a preschool education entity and enable employers to set up kindergartens. So far, more than 9</w:t>
      </w:r>
      <w:r w:rsidRPr="00A04E56">
        <w:rPr>
          <w:rFonts w:ascii="Calibri" w:hAnsi="Calibri" w:cs="Calibri"/>
          <w:b w:val="0"/>
        </w:rPr>
        <w:t> </w:t>
      </w:r>
      <w:r w:rsidRPr="00A04E56">
        <w:rPr>
          <w:b w:val="0"/>
        </w:rPr>
        <w:t>000 kindergarten places have been created.</w:t>
      </w:r>
    </w:p>
    <w:p w14:paraId="08CB2433" w14:textId="0F7BFE44" w:rsidR="008331F6" w:rsidRPr="00A04E56" w:rsidRDefault="00732FE5" w:rsidP="00C257BF">
      <w:pPr>
        <w:pStyle w:val="BOX3BluedashedborderBluetext-Bold"/>
        <w:rPr>
          <w:b w:val="0"/>
        </w:rPr>
      </w:pPr>
      <w:r w:rsidRPr="00A04E56">
        <w:rPr>
          <w:b w:val="0"/>
        </w:rPr>
        <w:t>In Portugal, the European Social Fund supports the institutional capacity building of social partners in view of their important role in the modernisation of active labour-market policies and vocational education and training.</w:t>
      </w:r>
    </w:p>
    <w:p w14:paraId="322A0455" w14:textId="75701782" w:rsidR="008331F6" w:rsidRPr="00A04E56" w:rsidRDefault="005151F8" w:rsidP="00AA0340">
      <w:pPr>
        <w:pStyle w:val="Title3NumberedReport"/>
      </w:pPr>
      <w:r w:rsidRPr="00A04E56">
        <w:t>Assessment and evaluation</w:t>
      </w:r>
      <w:r w:rsidR="008331F6" w:rsidRPr="00A04E56">
        <w:rPr>
          <w:rStyle w:val="fnRef"/>
          <w:rFonts w:ascii="Calibri" w:hAnsi="Calibri" w:cs="Calibri"/>
          <w:b w:val="0"/>
        </w:rPr>
        <w:t> </w:t>
      </w:r>
      <w:r w:rsidR="008331F6" w:rsidRPr="00A04E56">
        <w:rPr>
          <w:rStyle w:val="fnRef"/>
          <w:b w:val="0"/>
        </w:rPr>
        <w:t>(</w:t>
      </w:r>
      <w:r w:rsidR="008331F6" w:rsidRPr="00A04E56">
        <w:rPr>
          <w:rStyle w:val="fnRefNo"/>
          <w:b w:val="0"/>
        </w:rPr>
        <w:footnoteReference w:id="141"/>
      </w:r>
      <w:r w:rsidR="008331F6" w:rsidRPr="00A04E56">
        <w:rPr>
          <w:rStyle w:val="fnRef"/>
          <w:b w:val="0"/>
        </w:rPr>
        <w:t>)</w:t>
      </w:r>
    </w:p>
    <w:p w14:paraId="1DD06045" w14:textId="65320243" w:rsidR="00F3439C" w:rsidRPr="00A04E56" w:rsidRDefault="008331F6" w:rsidP="00672EEA">
      <w:pPr>
        <w:pStyle w:val="BodyText1spaceafter"/>
      </w:pPr>
      <w:r w:rsidRPr="00A04E56">
        <w:t>Member States completed 164 European Social Fund and multifund evaluations relat</w:t>
      </w:r>
      <w:r w:rsidR="00732FE5" w:rsidRPr="00A04E56">
        <w:t>ed</w:t>
      </w:r>
      <w:r w:rsidRPr="00A04E56">
        <w:t xml:space="preserve"> to the 2014-2020 period by mid-2018. These evaluations assess both the process and the implementation</w:t>
      </w:r>
      <w:r w:rsidR="00732FE5" w:rsidRPr="00A04E56">
        <w:t xml:space="preserve"> of the Fund</w:t>
      </w:r>
      <w:r w:rsidRPr="00A04E56">
        <w:t xml:space="preserve">. The Commission launched four thematic evaluations </w:t>
      </w:r>
      <w:r w:rsidR="008C1D39" w:rsidRPr="00A04E56">
        <w:rPr>
          <w:i/>
          <w:u w:val="single"/>
        </w:rPr>
        <w:t>in 2018</w:t>
      </w:r>
      <w:r w:rsidRPr="00A04E56">
        <w:t xml:space="preserve"> (on support to youth employment, on support to employment and mobility, on support to education and training and on support to social inclusion).</w:t>
      </w:r>
    </w:p>
    <w:p w14:paraId="20EBA613" w14:textId="4A8DBC60" w:rsidR="008331F6" w:rsidRPr="00A04E56" w:rsidRDefault="008C1D39" w:rsidP="009A646E">
      <w:pPr>
        <w:pStyle w:val="BodyText1spaceafter"/>
        <w:keepNext/>
      </w:pPr>
      <w:r w:rsidRPr="00A04E56">
        <w:rPr>
          <w:i/>
          <w:u w:val="single"/>
        </w:rPr>
        <w:t>In 2018</w:t>
      </w:r>
      <w:r w:rsidR="008331F6" w:rsidRPr="00A04E56">
        <w:t>, the Commission prepared the impact assessment and the proposal for the European Social Fund Plus 2021-2027 (ESF+). Some key areas identified for improvement were</w:t>
      </w:r>
      <w:r w:rsidR="008331F6" w:rsidRPr="00A04E56">
        <w:rPr>
          <w:rStyle w:val="fnRef"/>
          <w:rFonts w:ascii="Calibri" w:hAnsi="Calibri" w:cs="Calibri"/>
        </w:rPr>
        <w:t> </w:t>
      </w:r>
      <w:r w:rsidR="008331F6" w:rsidRPr="00A04E56">
        <w:rPr>
          <w:rStyle w:val="fnRef"/>
        </w:rPr>
        <w:t>(</w:t>
      </w:r>
      <w:r w:rsidR="008331F6" w:rsidRPr="00A04E56">
        <w:rPr>
          <w:rStyle w:val="fnRefNo"/>
        </w:rPr>
        <w:footnoteReference w:id="142"/>
      </w:r>
      <w:r w:rsidR="008331F6" w:rsidRPr="00A04E56">
        <w:rPr>
          <w:rStyle w:val="fnRef"/>
        </w:rPr>
        <w:t>)</w:t>
      </w:r>
      <w:r w:rsidR="008331F6" w:rsidRPr="00A04E56">
        <w:t xml:space="preserve"> as follows.</w:t>
      </w:r>
    </w:p>
    <w:p w14:paraId="0B4EE206" w14:textId="3A808844" w:rsidR="008331F6" w:rsidRPr="00A04E56" w:rsidRDefault="008331F6" w:rsidP="00107DA0">
      <w:pPr>
        <w:pStyle w:val="BulletsblueNew"/>
      </w:pPr>
      <w:r w:rsidRPr="00A04E56">
        <w:t xml:space="preserve">Better policy alignment with the EU-level policy priorities and economic governance in the context of the European </w:t>
      </w:r>
      <w:r w:rsidR="00AE4B2D" w:rsidRPr="00A04E56">
        <w:t>S</w:t>
      </w:r>
      <w:r w:rsidRPr="00A04E56">
        <w:t xml:space="preserve">emester. </w:t>
      </w:r>
    </w:p>
    <w:p w14:paraId="6C41BFB7" w14:textId="77777777" w:rsidR="008331F6" w:rsidRPr="00A04E56" w:rsidRDefault="008331F6" w:rsidP="00107DA0">
      <w:pPr>
        <w:pStyle w:val="BulletsblueNew"/>
      </w:pPr>
      <w:r w:rsidRPr="00A04E56">
        <w:t xml:space="preserve">The 2014-2020 result orientation was strengthened but has so far not proved to be a sufficient performance incentive for Member States. </w:t>
      </w:r>
    </w:p>
    <w:p w14:paraId="3164D0E2" w14:textId="77777777" w:rsidR="008331F6" w:rsidRPr="00A04E56" w:rsidRDefault="008331F6" w:rsidP="00107DA0">
      <w:pPr>
        <w:pStyle w:val="BulletsblueNew"/>
      </w:pPr>
      <w:r w:rsidRPr="00A04E56">
        <w:t xml:space="preserve">Despite some progress the management and delivery of the fund remains too complex and the shift from a logic based on inputs towards one based on results, while it has improved in 2014-2020, has not fully taken place. </w:t>
      </w:r>
    </w:p>
    <w:p w14:paraId="03AE3C41" w14:textId="504F9C80" w:rsidR="008331F6" w:rsidRPr="00A04E56" w:rsidRDefault="008331F6" w:rsidP="00107DA0">
      <w:pPr>
        <w:pStyle w:val="BulletsblueNew-Spaceafter"/>
      </w:pPr>
      <w:r w:rsidRPr="00A04E56">
        <w:t xml:space="preserve">The </w:t>
      </w:r>
      <w:r w:rsidR="00835302" w:rsidRPr="00A04E56">
        <w:t>youth employment initiative</w:t>
      </w:r>
      <w:r w:rsidRPr="00A04E56">
        <w:t xml:space="preserve">: its financial management procedures (being funded from two funding sources — the </w:t>
      </w:r>
      <w:r w:rsidR="00835302" w:rsidRPr="00A04E56">
        <w:t>youth employment initiative</w:t>
      </w:r>
      <w:r w:rsidR="00732FE5" w:rsidRPr="00A04E56" w:rsidDel="008C21BA">
        <w:t xml:space="preserve"> </w:t>
      </w:r>
      <w:r w:rsidRPr="00A04E56">
        <w:t xml:space="preserve">and European Social Fund allocations) as well as its additional reporting requirements (common indicators </w:t>
      </w:r>
      <w:r w:rsidR="00732FE5" w:rsidRPr="00A04E56">
        <w:t xml:space="preserve">of the </w:t>
      </w:r>
      <w:r w:rsidRPr="00A04E56">
        <w:t xml:space="preserve">European Social Fund and </w:t>
      </w:r>
      <w:r w:rsidR="00732FE5" w:rsidRPr="00A04E56">
        <w:t xml:space="preserve">the </w:t>
      </w:r>
      <w:r w:rsidR="00AE4B2D" w:rsidRPr="00A04E56">
        <w:t>youth employment initiative</w:t>
      </w:r>
      <w:r w:rsidRPr="00A04E56">
        <w:t xml:space="preserve"> result indicators) are perceived by beneficiaries and implementing authorities as increasing the administrative burden. Focus for further improvement should relate to </w:t>
      </w:r>
      <w:r w:rsidR="00732FE5" w:rsidRPr="00A04E56">
        <w:t xml:space="preserve">better </w:t>
      </w:r>
      <w:r w:rsidRPr="00A04E56">
        <w:t>involve more the young people who are furthest away from education, training and employment as well as to increase the overall quality of the job and training offers funded by the initiative</w:t>
      </w:r>
      <w:r w:rsidRPr="00A04E56" w:rsidDel="008C21BA">
        <w:t xml:space="preserve"> </w:t>
      </w:r>
      <w:r w:rsidRPr="00A04E56">
        <w:t xml:space="preserve">in the context of </w:t>
      </w:r>
      <w:r w:rsidR="00732FE5" w:rsidRPr="00A04E56">
        <w:t>Youth Guarantee</w:t>
      </w:r>
      <w:r w:rsidRPr="00A04E56">
        <w:t xml:space="preserve"> schemes.</w:t>
      </w:r>
    </w:p>
    <w:p w14:paraId="4E4A4E66" w14:textId="01100180" w:rsidR="008331F6" w:rsidRPr="00A04E56" w:rsidRDefault="008331F6" w:rsidP="00A96EDA">
      <w:pPr>
        <w:pStyle w:val="BodyText1spacebeforeandafter"/>
        <w:keepNext/>
      </w:pPr>
      <w:r w:rsidRPr="00A04E56">
        <w:t>On 30</w:t>
      </w:r>
      <w:r w:rsidRPr="00A04E56">
        <w:rPr>
          <w:rFonts w:ascii="Calibri" w:hAnsi="Calibri" w:cs="Calibri"/>
        </w:rPr>
        <w:t> </w:t>
      </w:r>
      <w:r w:rsidRPr="00A04E56">
        <w:t>May</w:t>
      </w:r>
      <w:r w:rsidRPr="00A04E56">
        <w:rPr>
          <w:rFonts w:ascii="Calibri" w:hAnsi="Calibri" w:cs="Calibri"/>
        </w:rPr>
        <w:t xml:space="preserve"> </w:t>
      </w:r>
      <w:r w:rsidRPr="00A04E56">
        <w:t>2018, the Commission adopted a proposal for the European Social Fund Plus</w:t>
      </w:r>
      <w:r w:rsidRPr="00A04E56">
        <w:rPr>
          <w:rStyle w:val="fnRef"/>
          <w:rFonts w:ascii="Calibri" w:hAnsi="Calibri" w:cs="Calibri"/>
        </w:rPr>
        <w:t> </w:t>
      </w:r>
      <w:r w:rsidRPr="00A04E56">
        <w:rPr>
          <w:rStyle w:val="fnRef"/>
        </w:rPr>
        <w:t>(</w:t>
      </w:r>
      <w:r w:rsidRPr="00A04E56">
        <w:rPr>
          <w:rStyle w:val="fnRefNo"/>
        </w:rPr>
        <w:footnoteReference w:id="143"/>
      </w:r>
      <w:r w:rsidRPr="00A04E56">
        <w:rPr>
          <w:rStyle w:val="fnRef"/>
        </w:rPr>
        <w:t>)</w:t>
      </w:r>
      <w:r w:rsidRPr="00A04E56">
        <w:t xml:space="preserve">. Within the broader framework of the European Structural and Investment Funds, this fund will </w:t>
      </w:r>
      <w:r w:rsidR="00EA5DBD" w:rsidRPr="00A04E56">
        <w:t>make it possible to</w:t>
      </w:r>
      <w:r w:rsidRPr="00A04E56">
        <w:t xml:space="preserve"> </w:t>
      </w:r>
      <w:r w:rsidR="00732FE5" w:rsidRPr="00A04E56">
        <w:t xml:space="preserve">better </w:t>
      </w:r>
      <w:r w:rsidRPr="00A04E56">
        <w:t xml:space="preserve">focus support on </w:t>
      </w:r>
      <w:r w:rsidR="00732FE5" w:rsidRPr="00A04E56">
        <w:t xml:space="preserve">the </w:t>
      </w:r>
      <w:r w:rsidRPr="00A04E56">
        <w:t xml:space="preserve">challenges identified in the European </w:t>
      </w:r>
      <w:r w:rsidR="00AE4B2D" w:rsidRPr="00A04E56">
        <w:t>S</w:t>
      </w:r>
      <w:r w:rsidRPr="00A04E56">
        <w:t>emester. In this context, European Social Fund Plus will merge the:</w:t>
      </w:r>
    </w:p>
    <w:p w14:paraId="13AE6F28" w14:textId="5F5611DA" w:rsidR="008331F6" w:rsidRPr="00A04E56" w:rsidRDefault="008331F6" w:rsidP="00107DA0">
      <w:pPr>
        <w:pStyle w:val="BulletsblueNew"/>
      </w:pPr>
      <w:r w:rsidRPr="00A04E56">
        <w:t xml:space="preserve">European Social Fund and the </w:t>
      </w:r>
      <w:r w:rsidR="00AE4B2D" w:rsidRPr="00A04E56">
        <w:t>youth employment initiative</w:t>
      </w:r>
    </w:p>
    <w:p w14:paraId="25EB0BAD" w14:textId="77777777" w:rsidR="008331F6" w:rsidRPr="00A04E56" w:rsidRDefault="008331F6" w:rsidP="00107DA0">
      <w:pPr>
        <w:pStyle w:val="BulletsblueNew"/>
      </w:pPr>
      <w:r w:rsidRPr="00A04E56">
        <w:t>Fund for European Aid to the Most Deprived</w:t>
      </w:r>
    </w:p>
    <w:p w14:paraId="452BC3E3" w14:textId="703C921C" w:rsidR="008331F6" w:rsidRPr="00A04E56" w:rsidRDefault="008331F6" w:rsidP="00107DA0">
      <w:pPr>
        <w:pStyle w:val="BulletsblueNew"/>
      </w:pPr>
      <w:r w:rsidRPr="00A04E56">
        <w:t xml:space="preserve">EU programme for </w:t>
      </w:r>
      <w:r w:rsidR="00732FE5" w:rsidRPr="00A04E56">
        <w:t xml:space="preserve">Employment </w:t>
      </w:r>
      <w:r w:rsidRPr="00A04E56">
        <w:t xml:space="preserve">and </w:t>
      </w:r>
      <w:r w:rsidR="00732FE5" w:rsidRPr="00A04E56">
        <w:t>Social Innovation</w:t>
      </w:r>
    </w:p>
    <w:p w14:paraId="3B06C5B7" w14:textId="5EBE30E9" w:rsidR="008331F6" w:rsidRPr="00A04E56" w:rsidRDefault="008331F6" w:rsidP="00107DA0">
      <w:pPr>
        <w:pStyle w:val="BulletsblueNew"/>
      </w:pPr>
      <w:r w:rsidRPr="00A04E56">
        <w:t xml:space="preserve">EU </w:t>
      </w:r>
      <w:r w:rsidR="00732FE5" w:rsidRPr="00A04E56">
        <w:t xml:space="preserve">Health </w:t>
      </w:r>
      <w:r w:rsidRPr="00A04E56">
        <w:t>programme.</w:t>
      </w:r>
    </w:p>
    <w:p w14:paraId="4362132C" w14:textId="61A72880" w:rsidR="008331F6" w:rsidRPr="00A04E56" w:rsidRDefault="008331F6" w:rsidP="008331F6">
      <w:pPr>
        <w:pStyle w:val="Title2Report"/>
      </w:pPr>
      <w:bookmarkStart w:id="106" w:name="_Toc12021014"/>
      <w:r w:rsidRPr="00A04E56">
        <w:t>Fund for European Aid to the Most Deprived</w:t>
      </w:r>
      <w:bookmarkEnd w:id="106"/>
      <w:r w:rsidRPr="00A04E56">
        <w:t xml:space="preserve"> </w:t>
      </w:r>
    </w:p>
    <w:p w14:paraId="24865288" w14:textId="77777777" w:rsidR="008331F6" w:rsidRPr="00A04E56" w:rsidRDefault="008331F6" w:rsidP="00AA0340">
      <w:pPr>
        <w:pStyle w:val="Title3NumberedReport"/>
      </w:pPr>
      <w:r w:rsidRPr="00A04E56">
        <w:t xml:space="preserve">Programme objectives </w:t>
      </w:r>
    </w:p>
    <w:p w14:paraId="5018F330" w14:textId="77777777" w:rsidR="008331F6" w:rsidRPr="00A04E56" w:rsidRDefault="008331F6" w:rsidP="008331F6">
      <w:pPr>
        <w:pStyle w:val="BodyText1spaceafter"/>
      </w:pPr>
      <w:r w:rsidRPr="00A04E56">
        <w:t xml:space="preserve">The Fund for European Aid to the Most Deprived supports EU Member States’ actions to provide assistance to the most deprived. This includes food, clothing and other essential items for personal use. </w:t>
      </w:r>
    </w:p>
    <w:p w14:paraId="683652B9" w14:textId="77777777" w:rsidR="008331F6" w:rsidRPr="00A04E56" w:rsidRDefault="008331F6" w:rsidP="008331F6">
      <w:pPr>
        <w:pStyle w:val="BodyText1spaceafter"/>
      </w:pPr>
      <w:r w:rsidRPr="00A04E56">
        <w:t>This fund aims to alleviate the worst forms of poverty in the EU such as food deprivation, homelessness and child poverty. It is implemented under shared management, with simplified rules and reduced administrative requirements as compared with the European Social Fund. The allocation for the Fund for European Aid to the Most Deprived for 2014-2020 amounts to almost EUR</w:t>
      </w:r>
      <w:r w:rsidRPr="00A04E56">
        <w:rPr>
          <w:rFonts w:ascii="Calibri" w:hAnsi="Calibri" w:cs="Calibri"/>
        </w:rPr>
        <w:t> </w:t>
      </w:r>
      <w:r w:rsidRPr="00A04E56">
        <w:t>3.8</w:t>
      </w:r>
      <w:r w:rsidRPr="00A04E56">
        <w:rPr>
          <w:rFonts w:ascii="Calibri" w:hAnsi="Calibri" w:cs="Calibri"/>
        </w:rPr>
        <w:t> </w:t>
      </w:r>
      <w:r w:rsidRPr="00A04E56">
        <w:t xml:space="preserve">billion. </w:t>
      </w:r>
    </w:p>
    <w:p w14:paraId="07107EB1" w14:textId="79340BEE" w:rsidR="008331F6" w:rsidRPr="00A04E56" w:rsidRDefault="008C1D39" w:rsidP="00AA0340">
      <w:pPr>
        <w:pStyle w:val="Title3NumberedReport"/>
      </w:pPr>
      <w:r w:rsidRPr="00A04E56">
        <w:t>Implementation and latest achievements</w:t>
      </w:r>
      <w:r w:rsidR="005151F8" w:rsidRPr="00A04E56">
        <w:t xml:space="preserve"> </w:t>
      </w:r>
      <w:r w:rsidR="008331F6" w:rsidRPr="00A04E56">
        <w:rPr>
          <w:rStyle w:val="fnRef"/>
          <w:b w:val="0"/>
        </w:rPr>
        <w:t>(</w:t>
      </w:r>
      <w:r w:rsidR="008331F6" w:rsidRPr="00A04E56">
        <w:rPr>
          <w:rStyle w:val="fnRefNo"/>
          <w:b w:val="0"/>
        </w:rPr>
        <w:footnoteReference w:id="144"/>
      </w:r>
      <w:r w:rsidR="008331F6" w:rsidRPr="00A04E56">
        <w:rPr>
          <w:rStyle w:val="fnRef"/>
          <w:b w:val="0"/>
        </w:rPr>
        <w:t>)</w:t>
      </w:r>
    </w:p>
    <w:p w14:paraId="24A75375" w14:textId="40606B52" w:rsidR="006D2349" w:rsidRPr="00A04E56" w:rsidRDefault="008C1D39" w:rsidP="009A646E">
      <w:pPr>
        <w:pStyle w:val="BOX3BluedashedborderBluebullets"/>
        <w:keepNext/>
      </w:pPr>
      <w:r w:rsidRPr="00A04E56">
        <w:rPr>
          <w:i/>
          <w:u w:val="single"/>
        </w:rPr>
        <w:t>In 2017</w:t>
      </w:r>
      <w:r w:rsidR="006D2349" w:rsidRPr="00A04E56">
        <w:t>, the Fund for European Aid to the Most Deprived supported 12.9</w:t>
      </w:r>
      <w:r w:rsidR="006D2349" w:rsidRPr="00A04E56">
        <w:rPr>
          <w:rFonts w:ascii="Calibri" w:hAnsi="Calibri" w:cs="Calibri"/>
        </w:rPr>
        <w:t> </w:t>
      </w:r>
      <w:r w:rsidR="006D2349" w:rsidRPr="00A04E56">
        <w:t xml:space="preserve">million people. </w:t>
      </w:r>
    </w:p>
    <w:p w14:paraId="42396C1F" w14:textId="77777777" w:rsidR="006D2349" w:rsidRPr="00A04E56" w:rsidRDefault="006D2349" w:rsidP="009A646E">
      <w:pPr>
        <w:pStyle w:val="BOX3BluedashedborderBluebullets"/>
        <w:keepNext/>
      </w:pPr>
      <w:r w:rsidRPr="00A04E56">
        <w:t xml:space="preserve">About half of the end recipients are estimated to be women, 30% are children aged 15 or below and about 10% are migrants, participants with a foreign background or persons belonging to a minority (including marginalised communities such as Roma). </w:t>
      </w:r>
    </w:p>
    <w:p w14:paraId="2FF5B914" w14:textId="4E0210DD" w:rsidR="006D2349" w:rsidRPr="00A04E56" w:rsidRDefault="006D2349" w:rsidP="009A646E">
      <w:pPr>
        <w:pStyle w:val="BOX3BluedashedborderBluebullets"/>
        <w:keepNext/>
      </w:pPr>
      <w:r w:rsidRPr="00A04E56">
        <w:t>Social</w:t>
      </w:r>
      <w:r w:rsidR="002B5F47" w:rsidRPr="00A04E56">
        <w:t>-inclusion</w:t>
      </w:r>
      <w:r w:rsidRPr="00A04E56">
        <w:t xml:space="preserve"> support reached more than 36</w:t>
      </w:r>
      <w:r w:rsidRPr="00A04E56">
        <w:rPr>
          <w:rFonts w:ascii="Calibri" w:hAnsi="Calibri" w:cs="Calibri"/>
        </w:rPr>
        <w:t> </w:t>
      </w:r>
      <w:r w:rsidRPr="00A04E56">
        <w:t>000 persons.</w:t>
      </w:r>
    </w:p>
    <w:p w14:paraId="00CA099D" w14:textId="404DD397" w:rsidR="006D2349" w:rsidRPr="00A04E56" w:rsidRDefault="006D2349" w:rsidP="006D2349">
      <w:pPr>
        <w:pStyle w:val="BOX3BluedashedborderBluebullets"/>
      </w:pPr>
      <w:r w:rsidRPr="00A04E56">
        <w:t>Over 1.3</w:t>
      </w:r>
      <w:r w:rsidRPr="00A04E56">
        <w:rPr>
          <w:rFonts w:ascii="Calibri" w:hAnsi="Calibri" w:cs="Calibri"/>
        </w:rPr>
        <w:t> </w:t>
      </w:r>
      <w:r w:rsidRPr="00A04E56">
        <w:t xml:space="preserve">million tonnes of food were distributed cumulatively </w:t>
      </w:r>
      <w:r w:rsidRPr="00A04E56">
        <w:rPr>
          <w:i/>
          <w:u w:val="single"/>
        </w:rPr>
        <w:t>during the period 2014-2017</w:t>
      </w:r>
      <w:r w:rsidRPr="00A04E56">
        <w:t>, and circa 370</w:t>
      </w:r>
      <w:r w:rsidRPr="00A04E56">
        <w:rPr>
          <w:rFonts w:ascii="Calibri" w:hAnsi="Calibri" w:cs="Calibri"/>
        </w:rPr>
        <w:t> </w:t>
      </w:r>
      <w:r w:rsidRPr="00A04E56">
        <w:t xml:space="preserve">000 tonnes alone (i.e. approximately 30%) </w:t>
      </w:r>
      <w:r w:rsidR="008C1D39" w:rsidRPr="00277538">
        <w:t>in 2017</w:t>
      </w:r>
      <w:r w:rsidRPr="00A04E56">
        <w:t>.</w:t>
      </w:r>
    </w:p>
    <w:p w14:paraId="6EF5BC7B" w14:textId="61DF7B3D" w:rsidR="006D2349" w:rsidRPr="00A04E56" w:rsidRDefault="006D2349" w:rsidP="00C257BF">
      <w:pPr>
        <w:pStyle w:val="BodyText1spacebeforeandafter"/>
      </w:pPr>
      <w:r w:rsidRPr="00A04E56">
        <w:t>The monetary value of material support distributed until 2017 reached EUR</w:t>
      </w:r>
      <w:r w:rsidRPr="00A04E56">
        <w:rPr>
          <w:rFonts w:ascii="Calibri" w:hAnsi="Calibri" w:cs="Calibri"/>
        </w:rPr>
        <w:t> </w:t>
      </w:r>
      <w:r w:rsidRPr="00A04E56">
        <w:t>19.5</w:t>
      </w:r>
      <w:r w:rsidRPr="00A04E56">
        <w:rPr>
          <w:rFonts w:ascii="Calibri" w:hAnsi="Calibri" w:cs="Calibri"/>
        </w:rPr>
        <w:t> </w:t>
      </w:r>
      <w:r w:rsidRPr="00A04E56">
        <w:t>million. Compared to 2016, the monetary value of basic material assistance increased by 25%.</w:t>
      </w:r>
    </w:p>
    <w:p w14:paraId="137CCDDE" w14:textId="179B9746" w:rsidR="008331F6" w:rsidRPr="00A04E56" w:rsidRDefault="005151F8" w:rsidP="00AA0340">
      <w:pPr>
        <w:pStyle w:val="Title3NumberedReport"/>
      </w:pPr>
      <w:r w:rsidRPr="00A04E56">
        <w:t>Assessment and evaluation</w:t>
      </w:r>
      <w:r w:rsidR="008331F6" w:rsidRPr="00A04E56">
        <w:rPr>
          <w:rStyle w:val="fnRef"/>
          <w:rFonts w:ascii="Calibri" w:hAnsi="Calibri" w:cs="Calibri"/>
          <w:b w:val="0"/>
        </w:rPr>
        <w:t> </w:t>
      </w:r>
    </w:p>
    <w:p w14:paraId="35F27446" w14:textId="20EBD580" w:rsidR="008331F6" w:rsidRPr="00A04E56" w:rsidRDefault="008331F6" w:rsidP="008331F6">
      <w:pPr>
        <w:pStyle w:val="BodyText1spaceafter"/>
      </w:pPr>
      <w:r w:rsidRPr="00A04E56">
        <w:t xml:space="preserve">The results of the 2018 midterm </w:t>
      </w:r>
      <w:r w:rsidR="00F27B9D" w:rsidRPr="00A04E56">
        <w:t>evaluation</w:t>
      </w:r>
      <w:r w:rsidR="00F27B9D">
        <w:rPr>
          <w:rFonts w:ascii="Calibri" w:hAnsi="Calibri" w:cs="Calibri"/>
        </w:rPr>
        <w:t> </w:t>
      </w:r>
      <w:r w:rsidRPr="00A04E56">
        <w:rPr>
          <w:rStyle w:val="fnRef"/>
        </w:rPr>
        <w:t>(</w:t>
      </w:r>
      <w:r w:rsidRPr="00A04E56">
        <w:rPr>
          <w:rStyle w:val="fnRef"/>
          <w:vertAlign w:val="superscript"/>
        </w:rPr>
        <w:footnoteReference w:id="145"/>
      </w:r>
      <w:r w:rsidRPr="00A04E56">
        <w:rPr>
          <w:rStyle w:val="fnRef"/>
        </w:rPr>
        <w:t xml:space="preserve">) </w:t>
      </w:r>
      <w:r w:rsidRPr="00A04E56">
        <w:t>show that the Fund for European Aid to the Most Deprived has a notable volume effect in nearly each Member State. The supported food, material aid and social</w:t>
      </w:r>
      <w:r w:rsidR="002B5F47" w:rsidRPr="00A04E56">
        <w:t>-</w:t>
      </w:r>
      <w:r w:rsidRPr="00A04E56">
        <w:t xml:space="preserve">inclusion measures make a difference to the most deprived, including those who may be otherwise left out by mainstream social assistance or who need immediate support. </w:t>
      </w:r>
    </w:p>
    <w:p w14:paraId="316364DE" w14:textId="77777777" w:rsidR="008331F6" w:rsidRPr="00A04E56" w:rsidRDefault="008331F6" w:rsidP="008331F6">
      <w:pPr>
        <w:pStyle w:val="BodyText1spaceafter"/>
      </w:pPr>
      <w:r w:rsidRPr="00A04E56">
        <w:t>Networking and knowledge sharing between</w:t>
      </w:r>
      <w:r w:rsidRPr="00A04E56" w:rsidDel="00D547BE">
        <w:t xml:space="preserve"> </w:t>
      </w:r>
      <w:r w:rsidRPr="00A04E56">
        <w:t xml:space="preserve">institutions, partner organisations and social services, as well as across different partner organisations played an important role </w:t>
      </w:r>
      <w:r w:rsidRPr="00A04E56" w:rsidDel="00D547BE">
        <w:t xml:space="preserve">in </w:t>
      </w:r>
      <w:r w:rsidRPr="00A04E56">
        <w:t>disseminating good practices. This was in particular the case for non-financial assistance to the most-deprived persons.</w:t>
      </w:r>
    </w:p>
    <w:p w14:paraId="4D215E68" w14:textId="77777777" w:rsidR="008331F6" w:rsidRPr="0005798F" w:rsidRDefault="008331F6" w:rsidP="008331F6">
      <w:pPr>
        <w:pStyle w:val="BodyText1spaceafter"/>
        <w:rPr>
          <w:spacing w:val="-2"/>
        </w:rPr>
      </w:pPr>
      <w:r w:rsidRPr="0005798F">
        <w:rPr>
          <w:spacing w:val="-2"/>
        </w:rPr>
        <w:t xml:space="preserve">The midterm evaluation identified a number of weaknesses in the implementation of the Fund for European Aid to the Most Deprived. Erroneous interpretations of the EU regulatory framework or of national requirements resulted sometimes in (a) delays in the start-up phase of the programme; (b) administrative obstacles mostly linked to national procurement policies and to additional requirements; (c) lengthy documentation procedures and instructions; and (d) excessive procedures for the certification of end recipients. </w:t>
      </w:r>
    </w:p>
    <w:p w14:paraId="142F99BF" w14:textId="77777777" w:rsidR="008331F6" w:rsidRPr="00A04E56" w:rsidRDefault="008331F6" w:rsidP="008331F6">
      <w:pPr>
        <w:pStyle w:val="BodyText1spaceafter"/>
      </w:pPr>
      <w:r w:rsidRPr="00A04E56">
        <w:t xml:space="preserve">Similarly, setting a narrow list of eligibility criteria for the end-beneficiaries has the disadvantage of excluding those who do not have access to the social system and does not permit promptly responding to emergencies. </w:t>
      </w:r>
    </w:p>
    <w:p w14:paraId="0129DF53" w14:textId="6F33B750" w:rsidR="008331F6" w:rsidRPr="00A04E56" w:rsidRDefault="008331F6" w:rsidP="008331F6">
      <w:pPr>
        <w:pStyle w:val="BodyText1spaceafter"/>
      </w:pPr>
      <w:r w:rsidRPr="00A04E56">
        <w:t>The Court of Auditors found</w:t>
      </w:r>
      <w:r w:rsidRPr="00A04E56">
        <w:rPr>
          <w:rStyle w:val="fnRef"/>
          <w:rFonts w:ascii="Calibri" w:hAnsi="Calibri" w:cs="Calibri"/>
        </w:rPr>
        <w:t> </w:t>
      </w:r>
      <w:r w:rsidRPr="00A04E56">
        <w:rPr>
          <w:rStyle w:val="fnRef"/>
        </w:rPr>
        <w:t>(</w:t>
      </w:r>
      <w:r w:rsidRPr="00A04E56">
        <w:rPr>
          <w:rStyle w:val="fnRefNo"/>
        </w:rPr>
        <w:footnoteReference w:id="146"/>
      </w:r>
      <w:r w:rsidRPr="00A04E56">
        <w:rPr>
          <w:rStyle w:val="fnRef"/>
        </w:rPr>
        <w:t>)</w:t>
      </w:r>
      <w:r w:rsidRPr="00A04E56">
        <w:t xml:space="preserve"> that the Fund for European </w:t>
      </w:r>
      <w:r w:rsidR="00AE4B2D" w:rsidRPr="00A04E56">
        <w:t xml:space="preserve">Aid to the Most Deprived </w:t>
      </w:r>
      <w:r w:rsidRPr="00A04E56">
        <w:t>contributes to Member States’ approaches to alleviating poverty and contains innovative social</w:t>
      </w:r>
      <w:r w:rsidR="002B5F47" w:rsidRPr="00A04E56">
        <w:t>-</w:t>
      </w:r>
      <w:r w:rsidRPr="00A04E56">
        <w:t>inclusion measures, but it could be better targeted to the most in need and there could be more focus on social inclusion instead of on basic food and material assistance.</w:t>
      </w:r>
    </w:p>
    <w:p w14:paraId="3E6929B3" w14:textId="381419C9" w:rsidR="008331F6" w:rsidRPr="00A04E56" w:rsidRDefault="00732FE5" w:rsidP="008331F6">
      <w:pPr>
        <w:pStyle w:val="BodyText1spaceafter"/>
      </w:pPr>
      <w:r w:rsidRPr="00A04E56">
        <w:t>On 30</w:t>
      </w:r>
      <w:r w:rsidR="00DA20EC" w:rsidRPr="00A04E56">
        <w:rPr>
          <w:rFonts w:ascii="Calibri" w:hAnsi="Calibri" w:cs="Calibri"/>
        </w:rPr>
        <w:t> </w:t>
      </w:r>
      <w:r w:rsidR="00DA20EC" w:rsidRPr="00A04E56">
        <w:t>May</w:t>
      </w:r>
      <w:r w:rsidR="00DA20EC" w:rsidRPr="00A04E56">
        <w:rPr>
          <w:rFonts w:ascii="Calibri" w:hAnsi="Calibri" w:cs="Calibri"/>
        </w:rPr>
        <w:t> </w:t>
      </w:r>
      <w:r w:rsidR="00DA20EC" w:rsidRPr="00A04E56">
        <w:t>2018</w:t>
      </w:r>
      <w:r w:rsidRPr="00A04E56">
        <w:t>, the Commission propo</w:t>
      </w:r>
      <w:r w:rsidR="003D48BB" w:rsidRPr="00A04E56">
        <w:t>sed</w:t>
      </w:r>
      <w:r w:rsidR="001E3335" w:rsidRPr="00A04E56">
        <w:t xml:space="preserve"> </w:t>
      </w:r>
      <w:r w:rsidR="003D48BB" w:rsidRPr="00A04E56">
        <w:t>a</w:t>
      </w:r>
      <w:r w:rsidRPr="00A04E56">
        <w:t xml:space="preserve"> European Social Fund Plus, in which the Fund for European Aid </w:t>
      </w:r>
      <w:r w:rsidR="00CF5E81" w:rsidRPr="00A04E56">
        <w:t>to the Most Deprived</w:t>
      </w:r>
      <w:r w:rsidRPr="00A04E56">
        <w:t xml:space="preserve"> will be merged with the E</w:t>
      </w:r>
      <w:r w:rsidR="00CF5E81" w:rsidRPr="00A04E56">
        <w:t>uropean Social Fund</w:t>
      </w:r>
      <w:r w:rsidRPr="00A04E56">
        <w:t xml:space="preserve">. </w:t>
      </w:r>
      <w:r w:rsidR="008331F6" w:rsidRPr="00A04E56">
        <w:t xml:space="preserve">This will allow for an easier combination of provisions of food/material assistance with support for social inclusion and active measures. </w:t>
      </w:r>
      <w:r w:rsidR="00CF5E81" w:rsidRPr="00A04E56">
        <w:t>It will help create synergies, thus further strengthening the social</w:t>
      </w:r>
      <w:r w:rsidR="00F40ABC" w:rsidRPr="00A04E56">
        <w:t>-</w:t>
      </w:r>
      <w:r w:rsidR="00CF5E81" w:rsidRPr="00A04E56">
        <w:t>inclusion dimension of the support and providing an integrated pathway out of poverty.</w:t>
      </w:r>
      <w:r w:rsidR="008331F6" w:rsidRPr="00A04E56">
        <w:t xml:space="preserve"> </w:t>
      </w:r>
      <w:r w:rsidR="00CF5E81" w:rsidRPr="00A04E56">
        <w:t>It will also</w:t>
      </w:r>
      <w:r w:rsidR="008331F6" w:rsidRPr="00A04E56">
        <w:t xml:space="preserve"> help ad</w:t>
      </w:r>
      <w:r w:rsidR="00BB0083" w:rsidRPr="00A04E56">
        <w:t>d</w:t>
      </w:r>
      <w:r w:rsidR="008331F6" w:rsidRPr="00A04E56">
        <w:t xml:space="preserve">ress the current shortfall identified in evaluations as the absence of a common strategic approach sometimes stands in the way of a seamless transition by vulnerable participants from </w:t>
      </w:r>
      <w:r w:rsidR="007C2188" w:rsidRPr="00A04E56">
        <w:t xml:space="preserve">projects fuded by </w:t>
      </w:r>
      <w:r w:rsidR="008331F6" w:rsidRPr="00A04E56">
        <w:t>th</w:t>
      </w:r>
      <w:r w:rsidR="007C2188" w:rsidRPr="00A04E56">
        <w:t>at</w:t>
      </w:r>
      <w:r w:rsidR="008331F6" w:rsidRPr="00A04E56">
        <w:t xml:space="preserve"> fund to European Social Fund projects.</w:t>
      </w:r>
    </w:p>
    <w:p w14:paraId="3D931BC2" w14:textId="77777777" w:rsidR="008331F6" w:rsidRPr="00A04E56" w:rsidRDefault="008331F6" w:rsidP="008331F6">
      <w:pPr>
        <w:pStyle w:val="TITLE1Report"/>
      </w:pPr>
      <w:bookmarkStart w:id="107" w:name="Sustainablegrowthnaturalresources"/>
      <w:bookmarkStart w:id="108" w:name="_Toc4603943"/>
      <w:bookmarkStart w:id="109" w:name="_Toc4603972"/>
      <w:bookmarkStart w:id="110" w:name="_Toc4680725"/>
      <w:bookmarkStart w:id="111" w:name="_Toc4682999"/>
      <w:bookmarkStart w:id="112" w:name="_Toc4683093"/>
      <w:r w:rsidRPr="00A04E56">
        <w:t>Sustainable growth: natural resources</w:t>
      </w:r>
      <w:bookmarkEnd w:id="107"/>
      <w:r w:rsidRPr="00A04E56">
        <w:t xml:space="preserve"> (budget heading 2)</w:t>
      </w:r>
      <w:bookmarkEnd w:id="108"/>
      <w:bookmarkEnd w:id="109"/>
      <w:bookmarkEnd w:id="110"/>
      <w:bookmarkEnd w:id="111"/>
      <w:bookmarkEnd w:id="112"/>
    </w:p>
    <w:p w14:paraId="4F9CB625" w14:textId="77777777" w:rsidR="008331F6" w:rsidRPr="00287356" w:rsidRDefault="008331F6" w:rsidP="008331F6">
      <w:pPr>
        <w:pStyle w:val="BodyText1spaceafter"/>
        <w:rPr>
          <w:spacing w:val="-2"/>
        </w:rPr>
      </w:pPr>
      <w:bookmarkStart w:id="113" w:name="_Toc3206057"/>
      <w:bookmarkStart w:id="114" w:name="_Toc4680726"/>
      <w:bookmarkStart w:id="115" w:name="_Toc4683000"/>
      <w:r w:rsidRPr="00287356">
        <w:rPr>
          <w:spacing w:val="-2"/>
        </w:rPr>
        <w:t xml:space="preserve">Through the common agricultural policy (specifically the European Agricultural Guarantee Fund and the European Agricultural Fund for Rural Development) and the maritime and fisheries policies (in particular through the European Maritime and Fisheries Fund), the EU budget supported </w:t>
      </w:r>
      <w:r w:rsidRPr="00287356">
        <w:rPr>
          <w:rStyle w:val="BOLDLIGHTBLUEReport"/>
          <w:rFonts w:eastAsia="Calibri"/>
          <w:spacing w:val="-2"/>
        </w:rPr>
        <w:t>viable food production, the sustainable management of natural resources, climate action and balanced territorial development.</w:t>
      </w:r>
      <w:r w:rsidRPr="00287356">
        <w:rPr>
          <w:spacing w:val="-2"/>
        </w:rPr>
        <w:t xml:space="preserve"> Viable food production helps boosting jobs, growth and investment, as a large number of jobs in agriculture, together with food processing, food retail and food services, depend on it. Promoting the sustainable management of natural resources and climate actions ensures that the basis for agricultural jobs remains sustainable. Fostering a balanced territorial development of rural areas also contributes to growth, jobs and investment. Closing the digital divide between urban and rural areas is an important enabler for businesses to remain competitive in rural areas. Viable food production with high food-safety standards also plays an active role in a balanced and progressive trade policy to harness globalisation. The EU also plays a leading role in tackling the growing ocean challenges, not only at European level but also on an international scale.</w:t>
      </w:r>
    </w:p>
    <w:p w14:paraId="3CF4F57C" w14:textId="5623A5ED" w:rsidR="00BE2DAF" w:rsidRPr="00413A87" w:rsidRDefault="00064C43" w:rsidP="00277538">
      <w:pPr>
        <w:pStyle w:val="BodyText1"/>
      </w:pPr>
      <w:r w:rsidRPr="00064C43">
        <w:rPr>
          <w:lang w:val="fr-BE"/>
        </w:rPr>
        <w:drawing>
          <wp:inline distT="0" distB="0" distL="0" distR="0" wp14:anchorId="3F5D9FC6" wp14:editId="67E84ECB">
            <wp:extent cx="5753100" cy="3599815"/>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a:extLst>
                        <a:ext uri="{28A0092B-C50C-407E-A947-70E740481C1C}">
                          <a14:useLocalDpi xmlns:a14="http://schemas.microsoft.com/office/drawing/2010/main"/>
                        </a:ext>
                      </a:extLst>
                    </a:blip>
                    <a:srcRect/>
                    <a:stretch>
                      <a:fillRect/>
                    </a:stretch>
                  </pic:blipFill>
                  <pic:spPr bwMode="auto">
                    <a:xfrm>
                      <a:off x="0" y="0"/>
                      <a:ext cx="5753100" cy="3599815"/>
                    </a:xfrm>
                    <a:prstGeom prst="rect">
                      <a:avLst/>
                    </a:prstGeom>
                    <a:noFill/>
                    <a:ln>
                      <a:noFill/>
                    </a:ln>
                  </pic:spPr>
                </pic:pic>
              </a:graphicData>
            </a:graphic>
          </wp:inline>
        </w:drawing>
      </w:r>
    </w:p>
    <w:p w14:paraId="0F6C8981" w14:textId="49CCEA79" w:rsidR="00281D05" w:rsidRPr="00A04E56" w:rsidRDefault="00281D05" w:rsidP="00E47F9A">
      <w:pPr>
        <w:pStyle w:val="Source-Table-Chart-PhotoCaption"/>
        <w:rPr>
          <w:rFonts w:eastAsiaTheme="minorHAnsi"/>
          <w:lang w:eastAsia="en-US"/>
        </w:rPr>
      </w:pPr>
      <w:r w:rsidRPr="00A04E56">
        <w:rPr>
          <w:rStyle w:val="italics"/>
        </w:rPr>
        <w:t>Chart:</w:t>
      </w:r>
      <w:r w:rsidRPr="00A04E56">
        <w:t xml:space="preserve"> Main programmes financed in 2018 under heading 2, Sustainable growth: natural resources. All amounts in EUR million. The category ‘other programmes’ includes among other </w:t>
      </w:r>
      <w:r w:rsidR="00AE4B2D" w:rsidRPr="00A04E56">
        <w:t>decentralised</w:t>
      </w:r>
      <w:r w:rsidR="0095613D" w:rsidRPr="00A04E56">
        <w:rPr>
          <w:rFonts w:eastAsiaTheme="minorHAnsi"/>
          <w:i/>
          <w:lang w:eastAsia="en-US"/>
        </w:rPr>
        <w:t xml:space="preserve"> agencies, </w:t>
      </w:r>
      <w:r w:rsidR="00CA3BB6" w:rsidRPr="00A04E56">
        <w:t>O</w:t>
      </w:r>
      <w:r w:rsidR="0095613D" w:rsidRPr="00A04E56">
        <w:rPr>
          <w:rFonts w:eastAsiaTheme="minorHAnsi"/>
          <w:i/>
          <w:lang w:eastAsia="en-US"/>
        </w:rPr>
        <w:t xml:space="preserve">ther actions and measures, </w:t>
      </w:r>
      <w:r w:rsidR="00CA3BB6" w:rsidRPr="00A04E56">
        <w:t>P</w:t>
      </w:r>
      <w:r w:rsidR="0095613D" w:rsidRPr="00A04E56">
        <w:rPr>
          <w:rFonts w:eastAsiaTheme="minorHAnsi"/>
          <w:i/>
          <w:lang w:eastAsia="en-US"/>
        </w:rPr>
        <w:t xml:space="preserve">ilot projects and preparatory actions, </w:t>
      </w:r>
      <w:r w:rsidR="00CA3BB6" w:rsidRPr="00A04E56">
        <w:t>A</w:t>
      </w:r>
      <w:r w:rsidR="0095613D" w:rsidRPr="00A04E56">
        <w:rPr>
          <w:rFonts w:eastAsiaTheme="minorHAnsi"/>
          <w:i/>
          <w:lang w:eastAsia="en-US"/>
        </w:rPr>
        <w:t>ctions financed under the prerogatives of the Commission and specific competences conferred to the Commission</w:t>
      </w:r>
    </w:p>
    <w:p w14:paraId="6949E71D" w14:textId="77777777" w:rsidR="00330E58" w:rsidRPr="00A04E56" w:rsidRDefault="00330E58" w:rsidP="00E47F9A">
      <w:pPr>
        <w:pStyle w:val="Source-Table-Chart-PhotoCaption"/>
      </w:pPr>
      <w:r w:rsidRPr="00A04E56">
        <w:rPr>
          <w:rStyle w:val="italics"/>
        </w:rPr>
        <w:t>Source:</w:t>
      </w:r>
      <w:r w:rsidRPr="00A04E56">
        <w:t xml:space="preserve"> European Commission.</w:t>
      </w:r>
    </w:p>
    <w:p w14:paraId="22C58E32" w14:textId="5EBCCA9B" w:rsidR="008331F6" w:rsidRPr="00A04E56" w:rsidRDefault="008331F6" w:rsidP="00287356">
      <w:pPr>
        <w:pStyle w:val="BodyText1spacebeforeandafter"/>
      </w:pPr>
      <w:r w:rsidRPr="00A04E56">
        <w:t>For 2018 EUR</w:t>
      </w:r>
      <w:r w:rsidRPr="00A04E56">
        <w:rPr>
          <w:rFonts w:ascii="Calibri" w:hAnsi="Calibri" w:cs="Calibri"/>
        </w:rPr>
        <w:t> </w:t>
      </w:r>
      <w:r w:rsidR="00065305">
        <w:t>58.</w:t>
      </w:r>
      <w:r w:rsidR="00011F5F">
        <w:t>8</w:t>
      </w:r>
      <w:r w:rsidRPr="00A04E56">
        <w:rPr>
          <w:rFonts w:ascii="Calibri" w:hAnsi="Calibri" w:cs="Calibri"/>
        </w:rPr>
        <w:t> </w:t>
      </w:r>
      <w:r w:rsidRPr="00A04E56">
        <w:t xml:space="preserve">billion has been allocated to heading 2, which represents </w:t>
      </w:r>
      <w:r w:rsidR="00011F5F" w:rsidRPr="00A04E56">
        <w:t>3</w:t>
      </w:r>
      <w:r w:rsidR="00011F5F">
        <w:t>7</w:t>
      </w:r>
      <w:r w:rsidRPr="00A04E56">
        <w:t>% of the total 2018 EU budget. Heading 2 covers the two pillars of the common agricultural policy: Pillar I consists of the market support measures and the direct payments financed by the European Agricultural Guarantee Fund; Pillar II comprises the rural development support financed by the European Agricultural Fund for Rural Development. The heading also covers the European Maritime and Fisheries Fund and the international dimension of the common fisheries policy, as well as activities in the fields of climate and environment through LIFE, the programme for the environment and climate action</w:t>
      </w:r>
      <w:r w:rsidR="00E07D25" w:rsidRPr="00A04E56">
        <w:rPr>
          <w:rFonts w:ascii="Calibri" w:hAnsi="Calibri" w:cs="Calibri"/>
        </w:rPr>
        <w:t> </w:t>
      </w:r>
      <w:r w:rsidR="00E07D25" w:rsidRPr="00A04E56">
        <w:t>(</w:t>
      </w:r>
      <w:r w:rsidR="00857B90" w:rsidRPr="00277538">
        <w:rPr>
          <w:rStyle w:val="fnRefNo"/>
        </w:rPr>
        <w:footnoteReference w:id="147"/>
      </w:r>
      <w:r w:rsidR="00E07D25" w:rsidRPr="00F46653">
        <w:rPr>
          <w:rStyle w:val="FootnoteReference"/>
          <w:sz w:val="20"/>
          <w:vertAlign w:val="baseline"/>
        </w:rPr>
        <w:t>)</w:t>
      </w:r>
      <w:r w:rsidR="00E07D25" w:rsidRPr="00A04E56">
        <w:rPr>
          <w:rStyle w:val="FootnoteReference"/>
          <w:vertAlign w:val="baseline"/>
        </w:rPr>
        <w:t>.</w:t>
      </w:r>
      <w:r w:rsidRPr="00A04E56">
        <w:t xml:space="preserve"> </w:t>
      </w:r>
      <w:bookmarkEnd w:id="113"/>
      <w:bookmarkEnd w:id="114"/>
      <w:bookmarkEnd w:id="115"/>
    </w:p>
    <w:p w14:paraId="0FECC65F" w14:textId="475FE9E5" w:rsidR="008331F6" w:rsidRPr="00A04E56" w:rsidRDefault="008331F6" w:rsidP="008331F6">
      <w:pPr>
        <w:pStyle w:val="Title2Report"/>
      </w:pPr>
      <w:bookmarkStart w:id="116" w:name="_Toc4603973"/>
      <w:bookmarkStart w:id="117" w:name="_Toc4680727"/>
      <w:bookmarkStart w:id="118" w:name="_Toc4683001"/>
      <w:bookmarkStart w:id="119" w:name="_Toc4683094"/>
      <w:bookmarkStart w:id="120" w:name="_Toc12021015"/>
      <w:r w:rsidRPr="00A04E56">
        <w:t>European Agricultural Guarantee Fund</w:t>
      </w:r>
      <w:bookmarkEnd w:id="116"/>
      <w:bookmarkEnd w:id="117"/>
      <w:bookmarkEnd w:id="118"/>
      <w:bookmarkEnd w:id="119"/>
      <w:bookmarkEnd w:id="120"/>
    </w:p>
    <w:p w14:paraId="0982D274" w14:textId="77777777" w:rsidR="008331F6" w:rsidRPr="00A04E56" w:rsidRDefault="008331F6" w:rsidP="00AA0340">
      <w:pPr>
        <w:pStyle w:val="Title3NumberedReport"/>
      </w:pPr>
      <w:r w:rsidRPr="00A04E56">
        <w:t>Programme objectives</w:t>
      </w:r>
    </w:p>
    <w:p w14:paraId="7AD0587F" w14:textId="77777777" w:rsidR="008331F6" w:rsidRPr="00A04E56" w:rsidRDefault="008331F6" w:rsidP="008331F6">
      <w:pPr>
        <w:pStyle w:val="BodyText1spaceafter"/>
      </w:pPr>
      <w:r w:rsidRPr="00A04E56">
        <w:t>The European Agricultural Guarantee Fund encourages smart, sustainable and inclusive growth, helping to achieve the common agricultural policy’s objectives of viable food production, sustainable management of natural resources (with climate action) and balanced territorial development. Direct payments provide a basic protection of farm income against the particular shocks to which agriculture is exposed (notably price and weather related).The fund’s main specific objectives are the following: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8331F6" w:rsidRPr="00A04E56" w14:paraId="66E0475E" w14:textId="77777777" w:rsidTr="00214877">
        <w:trPr>
          <w:trHeight w:val="141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1AC7FA65" w14:textId="77777777" w:rsidR="008331F6" w:rsidRPr="00A04E56" w:rsidRDefault="008331F6" w:rsidP="00277538">
            <w:pPr>
              <w:keepNext/>
              <w:spacing w:line="276" w:lineRule="auto"/>
              <w:jc w:val="center"/>
              <w:rPr>
                <w:rFonts w:cstheme="minorHAnsi"/>
                <w:szCs w:val="20"/>
              </w:rPr>
            </w:pPr>
            <w:r w:rsidRPr="00A04E56">
              <w:rPr>
                <w:noProof/>
                <w:lang w:val="fr-BE" w:eastAsia="fr-BE"/>
              </w:rPr>
              <w:drawing>
                <wp:inline distT="0" distB="0" distL="0" distR="0" wp14:anchorId="779F9588" wp14:editId="6BA1981C">
                  <wp:extent cx="468000" cy="468000"/>
                  <wp:effectExtent l="0" t="0" r="8255" b="8255"/>
                  <wp:docPr id="82" name="Picture 82" descr="G:\Production\B2 prepresse\Raimonds\2019.1745 AMPR\50 - work on images\AMPR Icons\AMPR Icons_Send1\AMPR Icons_Send1\Icon_21000_EAG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Production\B2 prepresse\Raimonds\2019.1745 AMPR\50 - work on images\AMPR Icons\AMPR Icons_Send1\AMPR Icons_Send1\Icon_21000_EAGF_01.emf"/>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04DDA64C" w14:textId="77777777" w:rsidR="008331F6" w:rsidRPr="00A04E56" w:rsidRDefault="008331F6" w:rsidP="00277538">
            <w:pPr>
              <w:keepNext/>
              <w:spacing w:line="276" w:lineRule="auto"/>
              <w:rPr>
                <w:rFonts w:cstheme="minorHAnsi"/>
                <w:szCs w:val="20"/>
              </w:rPr>
            </w:pPr>
            <w:r w:rsidRPr="00A04E56">
              <w:rPr>
                <w:rFonts w:cstheme="minorHAnsi"/>
                <w:szCs w:val="20"/>
              </w:rPr>
              <w:t>To improve the competitiveness of the agricultural sector and enhance its value share in the food chain</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46416E87" w14:textId="77777777" w:rsidR="008331F6" w:rsidRPr="00A04E56" w:rsidRDefault="008331F6" w:rsidP="00277538">
            <w:pPr>
              <w:keepNext/>
              <w:spacing w:line="276" w:lineRule="auto"/>
              <w:jc w:val="center"/>
              <w:rPr>
                <w:rFonts w:cstheme="minorHAnsi"/>
                <w:szCs w:val="20"/>
                <w:lang w:eastAsia="hu-HU"/>
              </w:rPr>
            </w:pPr>
            <w:r w:rsidRPr="00A04E56">
              <w:rPr>
                <w:noProof/>
                <w:lang w:val="fr-BE" w:eastAsia="fr-BE"/>
              </w:rPr>
              <w:drawing>
                <wp:inline distT="0" distB="0" distL="0" distR="0" wp14:anchorId="4F42D718" wp14:editId="3155577E">
                  <wp:extent cx="468000" cy="468000"/>
                  <wp:effectExtent l="0" t="0" r="8255" b="8255"/>
                  <wp:docPr id="85" name="Picture 85" descr="G:\Production\B2 prepresse\Raimonds\2019.1745 AMPR\50 - work on images\AMPR Icons\AMPR Icons_Send1\AMPR Icons_Send1\Icon_21000_EAG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Production\B2 prepresse\Raimonds\2019.1745 AMPR\50 - work on images\AMPR Icons\AMPR Icons_Send1\AMPR Icons_Send1\Icon_21000_EAGF_02.emf"/>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739FE5E" w14:textId="77777777" w:rsidR="008331F6" w:rsidRPr="00A04E56" w:rsidRDefault="008331F6" w:rsidP="00277538">
            <w:pPr>
              <w:keepNext/>
              <w:spacing w:line="276" w:lineRule="auto"/>
              <w:rPr>
                <w:rFonts w:cstheme="minorHAnsi"/>
                <w:szCs w:val="20"/>
              </w:rPr>
            </w:pPr>
            <w:r w:rsidRPr="00A04E56">
              <w:rPr>
                <w:rFonts w:cstheme="minorHAnsi"/>
                <w:szCs w:val="20"/>
              </w:rPr>
              <w:t>To foster market stability</w:t>
            </w:r>
          </w:p>
        </w:tc>
      </w:tr>
      <w:tr w:rsidR="008331F6" w:rsidRPr="00A04E56" w14:paraId="4E365E85" w14:textId="77777777" w:rsidTr="00214877">
        <w:trPr>
          <w:trHeight w:val="153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451EDE94" w14:textId="77777777" w:rsidR="008331F6" w:rsidRPr="00A04E56" w:rsidRDefault="008331F6" w:rsidP="00277538">
            <w:pPr>
              <w:keepNext/>
              <w:spacing w:line="276" w:lineRule="auto"/>
              <w:jc w:val="center"/>
              <w:rPr>
                <w:rFonts w:cstheme="minorHAnsi"/>
                <w:szCs w:val="20"/>
                <w:lang w:eastAsia="hu-HU"/>
              </w:rPr>
            </w:pPr>
            <w:r w:rsidRPr="00A04E56">
              <w:rPr>
                <w:noProof/>
                <w:lang w:val="fr-BE" w:eastAsia="fr-BE"/>
              </w:rPr>
              <w:drawing>
                <wp:inline distT="0" distB="0" distL="0" distR="0" wp14:anchorId="61CCAF9F" wp14:editId="320A5737">
                  <wp:extent cx="468000" cy="468000"/>
                  <wp:effectExtent l="0" t="0" r="8255" b="8255"/>
                  <wp:docPr id="83" name="Picture 83" descr="G:\Production\B2 prepresse\Raimonds\2019.1745 AMPR\50 - work on images\AMPR Icons\AMPR Icons_Send1\AMPR Icons_Send1\Icon_21000_EAG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Production\B2 prepresse\Raimonds\2019.1745 AMPR\50 - work on images\AMPR Icons\AMPR Icons_Send1\AMPR Icons_Send1\Icon_21000_EAGF_03.emf"/>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4C4DB027" w14:textId="77777777" w:rsidR="008331F6" w:rsidRPr="00A04E56" w:rsidRDefault="008331F6" w:rsidP="00277538">
            <w:pPr>
              <w:keepNext/>
              <w:spacing w:line="276" w:lineRule="auto"/>
              <w:rPr>
                <w:rFonts w:cstheme="minorHAnsi"/>
                <w:szCs w:val="20"/>
              </w:rPr>
            </w:pPr>
            <w:r w:rsidRPr="00A04E56">
              <w:rPr>
                <w:rFonts w:cstheme="minorHAnsi"/>
                <w:szCs w:val="20"/>
              </w:rPr>
              <w:t>To sustain farmers’ income stability by providing direct income support</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B6BA095" w14:textId="77777777" w:rsidR="008331F6" w:rsidRPr="00A04E56" w:rsidRDefault="008331F6" w:rsidP="00277538">
            <w:pPr>
              <w:keepNext/>
              <w:spacing w:line="276" w:lineRule="auto"/>
              <w:jc w:val="center"/>
              <w:rPr>
                <w:lang w:eastAsia="hu-HU"/>
              </w:rPr>
            </w:pPr>
            <w:r w:rsidRPr="00A04E56">
              <w:rPr>
                <w:noProof/>
                <w:lang w:val="fr-BE" w:eastAsia="fr-BE"/>
              </w:rPr>
              <w:drawing>
                <wp:inline distT="0" distB="0" distL="0" distR="0" wp14:anchorId="666E07AB" wp14:editId="51C095AC">
                  <wp:extent cx="468000" cy="468000"/>
                  <wp:effectExtent l="0" t="0" r="8255" b="8255"/>
                  <wp:docPr id="86" name="Picture 86" descr="G:\Production\B2 prepresse\Raimonds\2019.1745 AMPR\50 - work on images\AMPR Icons\AMPR Icons_Send1\AMPR Icons_Send1\Icon_21000_EAG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G:\Production\B2 prepresse\Raimonds\2019.1745 AMPR\50 - work on images\AMPR Icons\AMPR Icons_Send1\AMPR Icons_Send1\Icon_21000_EAGF_04.emf"/>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4AFC5ADB" w14:textId="77777777" w:rsidR="008331F6" w:rsidRPr="00A04E56" w:rsidRDefault="008331F6" w:rsidP="00277538">
            <w:pPr>
              <w:keepNext/>
              <w:spacing w:line="276" w:lineRule="auto"/>
              <w:rPr>
                <w:rFonts w:cstheme="minorHAnsi"/>
                <w:szCs w:val="20"/>
              </w:rPr>
            </w:pPr>
            <w:r w:rsidRPr="00A04E56">
              <w:rPr>
                <w:rFonts w:cstheme="minorHAnsi"/>
                <w:szCs w:val="20"/>
              </w:rPr>
              <w:t>To promote a more market- oriented agriculture, by ensuring a significant level of decoupled income support</w:t>
            </w:r>
          </w:p>
        </w:tc>
      </w:tr>
      <w:tr w:rsidR="008331F6" w:rsidRPr="00A04E56" w14:paraId="51994008" w14:textId="77777777" w:rsidTr="00214877">
        <w:trPr>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16D501CA" w14:textId="77777777" w:rsidR="008331F6" w:rsidRPr="00A04E56" w:rsidRDefault="008331F6" w:rsidP="00277538">
            <w:pPr>
              <w:spacing w:line="276" w:lineRule="auto"/>
              <w:jc w:val="center"/>
              <w:rPr>
                <w:rFonts w:cstheme="minorHAnsi"/>
                <w:szCs w:val="20"/>
                <w:lang w:eastAsia="fr-BE"/>
              </w:rPr>
            </w:pPr>
            <w:r w:rsidRPr="00A04E56">
              <w:rPr>
                <w:noProof/>
                <w:lang w:val="fr-BE" w:eastAsia="fr-BE"/>
              </w:rPr>
              <w:drawing>
                <wp:inline distT="0" distB="0" distL="0" distR="0" wp14:anchorId="11C0DFBC" wp14:editId="643AC644">
                  <wp:extent cx="468000" cy="468000"/>
                  <wp:effectExtent l="0" t="0" r="8255" b="8255"/>
                  <wp:docPr id="84" name="Picture 84" descr="G:\Production\B2 prepresse\Raimonds\2019.1745 AMPR\50 - work on images\AMPR Icons\AMPR Icons_Send1\AMPR Icons_Send1\Icon_21000_EAGF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Production\B2 prepresse\Raimonds\2019.1745 AMPR\50 - work on images\AMPR Icons\AMPR Icons_Send1\AMPR Icons_Send1\Icon_21000_EAGF_05.emf"/>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04B26453" w14:textId="77777777" w:rsidR="008331F6" w:rsidRPr="00A04E56" w:rsidRDefault="008331F6" w:rsidP="00277538">
            <w:pPr>
              <w:spacing w:line="276" w:lineRule="auto"/>
              <w:rPr>
                <w:rFonts w:cstheme="minorHAnsi"/>
                <w:szCs w:val="20"/>
              </w:rPr>
            </w:pPr>
            <w:r w:rsidRPr="00A04E56">
              <w:rPr>
                <w:rFonts w:cstheme="minorHAnsi"/>
                <w:szCs w:val="20"/>
              </w:rPr>
              <w:t xml:space="preserve">To contribute to the enhancement of the environmental performance of the common agricultural policy </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4ABF71A2" w14:textId="77777777" w:rsidR="008331F6" w:rsidRPr="00A04E56" w:rsidRDefault="008331F6" w:rsidP="00277538">
            <w:pPr>
              <w:spacing w:line="276" w:lineRule="auto"/>
              <w:jc w:val="center"/>
              <w:rPr>
                <w:lang w:eastAsia="fr-BE"/>
              </w:rPr>
            </w:pPr>
            <w:r w:rsidRPr="00A04E56">
              <w:rPr>
                <w:noProof/>
                <w:lang w:val="fr-BE" w:eastAsia="fr-BE"/>
              </w:rPr>
              <w:drawing>
                <wp:inline distT="0" distB="0" distL="0" distR="0" wp14:anchorId="43FE0BC3" wp14:editId="3DD5164A">
                  <wp:extent cx="468000" cy="468000"/>
                  <wp:effectExtent l="0" t="0" r="8255" b="8255"/>
                  <wp:docPr id="87" name="Picture 87" descr="G:\Production\B2 prepresse\Raimonds\2019.1745 AMPR\50 - work on images\AMPR Icons\AMPR Icons_Send1\AMPR Icons_Send1\Icon_21000_EAGF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Production\B2 prepresse\Raimonds\2019.1745 AMPR\50 - work on images\AMPR Icons\AMPR Icons_Send1\AMPR Icons_Send1\Icon_21000_EAGF_06.emf"/>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2D773782" w14:textId="71648021" w:rsidR="008331F6" w:rsidRPr="00A04E56" w:rsidRDefault="008331F6" w:rsidP="00277538">
            <w:pPr>
              <w:spacing w:line="276" w:lineRule="auto"/>
              <w:rPr>
                <w:rFonts w:cstheme="minorHAnsi"/>
                <w:szCs w:val="20"/>
              </w:rPr>
            </w:pPr>
            <w:r w:rsidRPr="00A04E56">
              <w:rPr>
                <w:rFonts w:cstheme="minorHAnsi"/>
                <w:szCs w:val="20"/>
              </w:rPr>
              <w:t>To promote local agricultural production and to ensure a fair level of prices for commodities for direct consumption and for processing by local industries in the outermost regions</w:t>
            </w:r>
          </w:p>
        </w:tc>
      </w:tr>
    </w:tbl>
    <w:p w14:paraId="7A23729E" w14:textId="2FBFCDE6" w:rsidR="008331F6" w:rsidRPr="00A04E56" w:rsidRDefault="008C1D39" w:rsidP="00AA0340">
      <w:pPr>
        <w:pStyle w:val="Title3NumberedReport"/>
      </w:pPr>
      <w:r w:rsidRPr="00A04E56">
        <w:t>Implementation and latest achievements</w:t>
      </w:r>
    </w:p>
    <w:p w14:paraId="3CF1089E" w14:textId="77777777" w:rsidR="008331F6" w:rsidRPr="00C50089" w:rsidRDefault="008331F6" w:rsidP="00C50089">
      <w:pPr>
        <w:pStyle w:val="SubtitleLightBlueReport11pt"/>
      </w:pPr>
      <w:r w:rsidRPr="00A04E56">
        <w:t>Direct payments</w:t>
      </w:r>
    </w:p>
    <w:p w14:paraId="05E45A90" w14:textId="0B4C217D" w:rsidR="008331F6" w:rsidRPr="00A04E56" w:rsidRDefault="008331F6" w:rsidP="008331F6">
      <w:pPr>
        <w:pStyle w:val="BodyText1spaceafter"/>
      </w:pPr>
      <w:r w:rsidRPr="00A04E56">
        <w:t>Around 6.5</w:t>
      </w:r>
      <w:r w:rsidRPr="00A04E56">
        <w:rPr>
          <w:rFonts w:ascii="Calibri" w:hAnsi="Calibri" w:cs="Calibri"/>
        </w:rPr>
        <w:t> </w:t>
      </w:r>
      <w:r w:rsidRPr="00A04E56">
        <w:t xml:space="preserve">million farms, covering 90% of farmed land, benefited from direct payments. </w:t>
      </w:r>
      <w:r w:rsidR="008C1D39" w:rsidRPr="00A04E56">
        <w:rPr>
          <w:i/>
          <w:u w:val="single"/>
        </w:rPr>
        <w:t>In 2017</w:t>
      </w:r>
      <w:r w:rsidRPr="00A04E56">
        <w:rPr>
          <w:rStyle w:val="fnRef"/>
          <w:rFonts w:ascii="Calibri" w:hAnsi="Calibri" w:cs="Calibri"/>
        </w:rPr>
        <w:t> </w:t>
      </w:r>
      <w:r w:rsidRPr="00A04E56">
        <w:rPr>
          <w:rStyle w:val="fnRef"/>
        </w:rPr>
        <w:t>(</w:t>
      </w:r>
      <w:r w:rsidRPr="00A04E56">
        <w:rPr>
          <w:rStyle w:val="fnRefNo"/>
        </w:rPr>
        <w:footnoteReference w:id="148"/>
      </w:r>
      <w:r w:rsidRPr="00A04E56">
        <w:rPr>
          <w:rStyle w:val="fnRef"/>
        </w:rPr>
        <w:t>)</w:t>
      </w:r>
      <w:r w:rsidRPr="00A04E56">
        <w:t>, this support constituted 38% of their farming income</w:t>
      </w:r>
      <w:r w:rsidRPr="00A04E56">
        <w:rPr>
          <w:rStyle w:val="fnRef"/>
          <w:rFonts w:ascii="Calibri" w:hAnsi="Calibri" w:cs="Calibri"/>
        </w:rPr>
        <w:t> </w:t>
      </w:r>
      <w:r w:rsidRPr="00A04E56">
        <w:rPr>
          <w:rStyle w:val="fnRef"/>
        </w:rPr>
        <w:t>(</w:t>
      </w:r>
      <w:r w:rsidRPr="00A04E56">
        <w:rPr>
          <w:rStyle w:val="fnRefNo"/>
        </w:rPr>
        <w:footnoteReference w:id="149"/>
      </w:r>
      <w:r w:rsidRPr="00A04E56">
        <w:rPr>
          <w:rStyle w:val="fnRef"/>
        </w:rPr>
        <w:t>)</w:t>
      </w:r>
      <w:r w:rsidRPr="00A04E56">
        <w:t xml:space="preserve">. Since the last common agricultural policy reform in 2015, direct payments have been </w:t>
      </w:r>
      <w:r w:rsidRPr="00A04E56">
        <w:rPr>
          <w:rStyle w:val="BOLDLIGHTBLUEReport"/>
          <w:rFonts w:eastAsia="Calibri"/>
        </w:rPr>
        <w:t>better targeted</w:t>
      </w:r>
      <w:r w:rsidRPr="00A04E56">
        <w:t xml:space="preserve"> thanks to different payment ‘layers’ addressing the particular needs of </w:t>
      </w:r>
      <w:r w:rsidRPr="00A04E56">
        <w:rPr>
          <w:rStyle w:val="BOLDLIGHTBLUEReport"/>
          <w:rFonts w:eastAsia="Calibri"/>
        </w:rPr>
        <w:t xml:space="preserve">young farmers, smaller farmers, specific sectors or regions in difficulties, </w:t>
      </w:r>
      <w:r w:rsidR="000E54BB" w:rsidRPr="00A04E56">
        <w:t>as well as</w:t>
      </w:r>
      <w:r w:rsidR="000E54BB" w:rsidRPr="00A04E56">
        <w:rPr>
          <w:rStyle w:val="BOLDLIGHTBLUEReport"/>
          <w:rFonts w:eastAsia="Calibri"/>
        </w:rPr>
        <w:t xml:space="preserve"> </w:t>
      </w:r>
      <w:r w:rsidRPr="00A04E56">
        <w:t xml:space="preserve">the </w:t>
      </w:r>
      <w:r w:rsidRPr="00A04E56">
        <w:rPr>
          <w:rStyle w:val="BOLDLIGHTBLUEReport"/>
          <w:rFonts w:eastAsia="Calibri"/>
        </w:rPr>
        <w:t>environment</w:t>
      </w:r>
      <w:r w:rsidR="000E54BB" w:rsidRPr="00A04E56">
        <w:rPr>
          <w:rStyle w:val="BOLDLIGHTBLUEReport"/>
          <w:rFonts w:eastAsia="Calibri"/>
        </w:rPr>
        <w:t xml:space="preserve"> and climate</w:t>
      </w:r>
      <w:r w:rsidRPr="00A04E56">
        <w:t xml:space="preserve">. These changes to the structure of the direct payments system — along with redistribution </w:t>
      </w:r>
      <w:r w:rsidR="000E54BB" w:rsidRPr="00A04E56">
        <w:t xml:space="preserve">and capping </w:t>
      </w:r>
      <w:r w:rsidRPr="00A04E56">
        <w:t>possibilities — have started to contribute to a more equitable payment distribution. The stabilising effect of direct payments is supplemented by market instruments, which now operate at a ‘safety net’ level instead of frequently steering the EU market as they once did.</w:t>
      </w:r>
    </w:p>
    <w:p w14:paraId="2472EC87" w14:textId="77777777" w:rsidR="008331F6" w:rsidRPr="00A04E56" w:rsidRDefault="008331F6" w:rsidP="008331F6">
      <w:pPr>
        <w:pStyle w:val="BodyText1spaceafter"/>
      </w:pPr>
      <w:r w:rsidRPr="00A04E56">
        <w:t>As direct payments are granted per hectare of eligible area, there is a strong correlation between the distribution of direct payments and the distribution of area between farmers. This results in larger farms concentrating the largest amounts of support</w:t>
      </w:r>
      <w:r w:rsidRPr="00A04E56">
        <w:rPr>
          <w:rStyle w:val="fnRef"/>
          <w:rFonts w:ascii="Calibri" w:hAnsi="Calibri" w:cs="Calibri"/>
        </w:rPr>
        <w:t> </w:t>
      </w:r>
      <w:r w:rsidRPr="00A04E56">
        <w:rPr>
          <w:rStyle w:val="fnRef"/>
        </w:rPr>
        <w:t>(</w:t>
      </w:r>
      <w:r w:rsidRPr="00A04E56">
        <w:rPr>
          <w:rStyle w:val="fnRefNo"/>
        </w:rPr>
        <w:footnoteReference w:id="150"/>
      </w:r>
      <w:r w:rsidRPr="00A04E56">
        <w:rPr>
          <w:rStyle w:val="fnRef"/>
        </w:rPr>
        <w:t>)</w:t>
      </w:r>
      <w:r w:rsidRPr="00A04E56">
        <w:t xml:space="preserve"> and in a high number of very small beneficiaries, reflecting the high fragmentation of the farm sector in the EU and the relative contribution of these farm groups to the economics of the sector. </w:t>
      </w:r>
      <w:r w:rsidRPr="00A04E56">
        <w:rPr>
          <w:i/>
          <w:u w:val="single"/>
        </w:rPr>
        <w:t>For the financial year 2017</w:t>
      </w:r>
      <w:r w:rsidRPr="00A04E56">
        <w:t>, nearly 50% of the beneficiaries of direct payments had less than 5</w:t>
      </w:r>
      <w:r w:rsidRPr="00A04E56">
        <w:rPr>
          <w:rFonts w:ascii="Calibri" w:hAnsi="Calibri" w:cs="Calibri"/>
        </w:rPr>
        <w:t> </w:t>
      </w:r>
      <w:r w:rsidRPr="00A04E56">
        <w:t xml:space="preserve">hectares and covered less than 5% of the total area supported. </w:t>
      </w:r>
    </w:p>
    <w:tbl>
      <w:tblPr>
        <w:tblStyle w:val="TableGrid"/>
        <w:tblW w:w="9072" w:type="dxa"/>
        <w:jc w:val="center"/>
        <w:tblBorders>
          <w:top w:val="single" w:sz="4" w:space="0" w:color="65BBC8"/>
          <w:left w:val="single" w:sz="4" w:space="0" w:color="65BBC8"/>
          <w:bottom w:val="single" w:sz="4" w:space="0" w:color="65BBC8"/>
          <w:right w:val="single" w:sz="4" w:space="0" w:color="65BBC8"/>
          <w:insideH w:val="none" w:sz="0" w:space="0" w:color="auto"/>
          <w:insideV w:val="none" w:sz="0" w:space="0" w:color="auto"/>
        </w:tblBorders>
        <w:tblCellMar>
          <w:left w:w="170" w:type="dxa"/>
          <w:right w:w="170" w:type="dxa"/>
        </w:tblCellMar>
        <w:tblLook w:val="04A0" w:firstRow="1" w:lastRow="0" w:firstColumn="1" w:lastColumn="0" w:noHBand="0" w:noVBand="1"/>
      </w:tblPr>
      <w:tblGrid>
        <w:gridCol w:w="2268"/>
        <w:gridCol w:w="2268"/>
        <w:gridCol w:w="2268"/>
        <w:gridCol w:w="2268"/>
      </w:tblGrid>
      <w:tr w:rsidR="0073126B" w:rsidRPr="00A04E56" w14:paraId="3B1A84E1" w14:textId="77777777" w:rsidTr="00A6722D">
        <w:trPr>
          <w:cantSplit/>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14:paraId="1B37E671" w14:textId="77777777" w:rsidR="008331F6" w:rsidRDefault="008331F6" w:rsidP="00A6722D">
            <w:pPr>
              <w:keepNext/>
              <w:jc w:val="center"/>
            </w:pPr>
          </w:p>
          <w:p w14:paraId="132AC790" w14:textId="77777777" w:rsidR="00A6722D" w:rsidRDefault="00A6722D" w:rsidP="00A6722D">
            <w:pPr>
              <w:keepNext/>
              <w:jc w:val="center"/>
            </w:pPr>
          </w:p>
          <w:p w14:paraId="4CB20D5D" w14:textId="77777777" w:rsidR="00A6722D" w:rsidRDefault="00A6722D" w:rsidP="00A6722D">
            <w:pPr>
              <w:keepNext/>
              <w:jc w:val="center"/>
            </w:pPr>
          </w:p>
          <w:p w14:paraId="181C25A6" w14:textId="77777777" w:rsidR="00A6722D" w:rsidRDefault="00A6722D" w:rsidP="00A6722D">
            <w:pPr>
              <w:keepNext/>
              <w:jc w:val="center"/>
            </w:pPr>
          </w:p>
          <w:p w14:paraId="5DB1D49E" w14:textId="77777777" w:rsidR="00A6722D" w:rsidRDefault="00A6722D" w:rsidP="00A6722D">
            <w:pPr>
              <w:keepNext/>
              <w:jc w:val="center"/>
            </w:pPr>
          </w:p>
          <w:p w14:paraId="1DBD9A4D" w14:textId="09DF7C57" w:rsidR="00A6722D" w:rsidRPr="00A04E56" w:rsidRDefault="00A6722D" w:rsidP="00A6722D">
            <w:pPr>
              <w:keepNext/>
              <w:jc w:val="center"/>
            </w:pPr>
          </w:p>
        </w:tc>
        <w:tc>
          <w:tcPr>
            <w:tcW w:w="2268" w:type="dxa"/>
            <w:tcBorders>
              <w:top w:val="single" w:sz="4" w:space="0" w:color="65BBC8"/>
              <w:left w:val="single" w:sz="4" w:space="0" w:color="65BBC8"/>
              <w:bottom w:val="single" w:sz="4" w:space="0" w:color="65BBC8"/>
              <w:right w:val="single" w:sz="4" w:space="0" w:color="65BBC8"/>
            </w:tcBorders>
            <w:vAlign w:val="center"/>
          </w:tcPr>
          <w:p w14:paraId="0DD54ABA" w14:textId="77777777" w:rsidR="008331F6" w:rsidRPr="00A04E56" w:rsidRDefault="008331F6" w:rsidP="00A6722D">
            <w:pPr>
              <w:keepNext/>
              <w:spacing w:after="80"/>
              <w:jc w:val="center"/>
            </w:pPr>
            <w:r w:rsidRPr="00A04E56">
              <w:rPr>
                <w:noProof/>
                <w:lang w:val="fr-BE" w:eastAsia="fr-BE"/>
              </w:rPr>
              <mc:AlternateContent>
                <mc:Choice Requires="wpg">
                  <w:drawing>
                    <wp:inline distT="0" distB="0" distL="0" distR="0" wp14:anchorId="5B3B8E34" wp14:editId="32C4EAD4">
                      <wp:extent cx="348572" cy="482743"/>
                      <wp:effectExtent l="0" t="0" r="0" b="0"/>
                      <wp:docPr id="55" name="Group 55"/>
                      <wp:cNvGraphicFramePr/>
                      <a:graphic xmlns:a="http://schemas.openxmlformats.org/drawingml/2006/main">
                        <a:graphicData uri="http://schemas.microsoft.com/office/word/2010/wordprocessingGroup">
                          <wpg:wgp>
                            <wpg:cNvGrpSpPr/>
                            <wpg:grpSpPr>
                              <a:xfrm>
                                <a:off x="0" y="0"/>
                                <a:ext cx="348572" cy="482743"/>
                                <a:chOff x="149229" y="32823"/>
                                <a:chExt cx="749935" cy="1038225"/>
                              </a:xfrm>
                              <a:solidFill>
                                <a:srgbClr val="65BBC8"/>
                              </a:solidFill>
                            </wpg:grpSpPr>
                            <wps:wsp>
                              <wps:cNvPr id="56" name="Freeform 10"/>
                              <wps:cNvSpPr>
                                <a:spLocks noEditPoints="1"/>
                              </wps:cNvSpPr>
                              <wps:spPr bwMode="auto">
                                <a:xfrm>
                                  <a:off x="674374" y="183953"/>
                                  <a:ext cx="224790" cy="887095"/>
                                </a:xfrm>
                                <a:custGeom>
                                  <a:avLst/>
                                  <a:gdLst>
                                    <a:gd name="T0" fmla="*/ 40 w 69"/>
                                    <a:gd name="T1" fmla="*/ 170 h 270"/>
                                    <a:gd name="T2" fmla="*/ 59 w 69"/>
                                    <a:gd name="T3" fmla="*/ 150 h 270"/>
                                    <a:gd name="T4" fmla="*/ 59 w 69"/>
                                    <a:gd name="T5" fmla="*/ 181 h 270"/>
                                    <a:gd name="T6" fmla="*/ 40 w 69"/>
                                    <a:gd name="T7" fmla="*/ 201 h 270"/>
                                    <a:gd name="T8" fmla="*/ 40 w 69"/>
                                    <a:gd name="T9" fmla="*/ 170 h 270"/>
                                    <a:gd name="T10" fmla="*/ 10 w 69"/>
                                    <a:gd name="T11" fmla="*/ 150 h 270"/>
                                    <a:gd name="T12" fmla="*/ 30 w 69"/>
                                    <a:gd name="T13" fmla="*/ 170 h 270"/>
                                    <a:gd name="T14" fmla="*/ 30 w 69"/>
                                    <a:gd name="T15" fmla="*/ 201 h 270"/>
                                    <a:gd name="T16" fmla="*/ 10 w 69"/>
                                    <a:gd name="T17" fmla="*/ 181 h 270"/>
                                    <a:gd name="T18" fmla="*/ 10 w 69"/>
                                    <a:gd name="T19" fmla="*/ 150 h 270"/>
                                    <a:gd name="T20" fmla="*/ 30 w 69"/>
                                    <a:gd name="T21" fmla="*/ 110 h 270"/>
                                    <a:gd name="T22" fmla="*/ 10 w 69"/>
                                    <a:gd name="T23" fmla="*/ 90 h 270"/>
                                    <a:gd name="T24" fmla="*/ 10 w 69"/>
                                    <a:gd name="T25" fmla="*/ 60 h 270"/>
                                    <a:gd name="T26" fmla="*/ 30 w 69"/>
                                    <a:gd name="T27" fmla="*/ 79 h 270"/>
                                    <a:gd name="T28" fmla="*/ 30 w 69"/>
                                    <a:gd name="T29" fmla="*/ 110 h 270"/>
                                    <a:gd name="T30" fmla="*/ 59 w 69"/>
                                    <a:gd name="T31" fmla="*/ 90 h 270"/>
                                    <a:gd name="T32" fmla="*/ 40 w 69"/>
                                    <a:gd name="T33" fmla="*/ 110 h 270"/>
                                    <a:gd name="T34" fmla="*/ 40 w 69"/>
                                    <a:gd name="T35" fmla="*/ 79 h 270"/>
                                    <a:gd name="T36" fmla="*/ 59 w 69"/>
                                    <a:gd name="T37" fmla="*/ 60 h 270"/>
                                    <a:gd name="T38" fmla="*/ 59 w 69"/>
                                    <a:gd name="T39" fmla="*/ 90 h 270"/>
                                    <a:gd name="T40" fmla="*/ 59 w 69"/>
                                    <a:gd name="T41" fmla="*/ 136 h 270"/>
                                    <a:gd name="T42" fmla="*/ 40 w 69"/>
                                    <a:gd name="T43" fmla="*/ 155 h 270"/>
                                    <a:gd name="T44" fmla="*/ 40 w 69"/>
                                    <a:gd name="T45" fmla="*/ 149 h 270"/>
                                    <a:gd name="T46" fmla="*/ 35 w 69"/>
                                    <a:gd name="T47" fmla="*/ 144 h 270"/>
                                    <a:gd name="T48" fmla="*/ 30 w 69"/>
                                    <a:gd name="T49" fmla="*/ 149 h 270"/>
                                    <a:gd name="T50" fmla="*/ 30 w 69"/>
                                    <a:gd name="T51" fmla="*/ 155 h 270"/>
                                    <a:gd name="T52" fmla="*/ 10 w 69"/>
                                    <a:gd name="T53" fmla="*/ 136 h 270"/>
                                    <a:gd name="T54" fmla="*/ 10 w 69"/>
                                    <a:gd name="T55" fmla="*/ 105 h 270"/>
                                    <a:gd name="T56" fmla="*/ 30 w 69"/>
                                    <a:gd name="T57" fmla="*/ 124 h 270"/>
                                    <a:gd name="T58" fmla="*/ 30 w 69"/>
                                    <a:gd name="T59" fmla="*/ 151 h 270"/>
                                    <a:gd name="T60" fmla="*/ 35 w 69"/>
                                    <a:gd name="T61" fmla="*/ 156 h 270"/>
                                    <a:gd name="T62" fmla="*/ 40 w 69"/>
                                    <a:gd name="T63" fmla="*/ 151 h 270"/>
                                    <a:gd name="T64" fmla="*/ 40 w 69"/>
                                    <a:gd name="T65" fmla="*/ 124 h 270"/>
                                    <a:gd name="T66" fmla="*/ 59 w 69"/>
                                    <a:gd name="T67" fmla="*/ 105 h 270"/>
                                    <a:gd name="T68" fmla="*/ 59 w 69"/>
                                    <a:gd name="T69" fmla="*/ 136 h 270"/>
                                    <a:gd name="T70" fmla="*/ 64 w 69"/>
                                    <a:gd name="T71" fmla="*/ 18 h 270"/>
                                    <a:gd name="T72" fmla="*/ 59 w 69"/>
                                    <a:gd name="T73" fmla="*/ 23 h 270"/>
                                    <a:gd name="T74" fmla="*/ 59 w 69"/>
                                    <a:gd name="T75" fmla="*/ 45 h 270"/>
                                    <a:gd name="T76" fmla="*/ 40 w 69"/>
                                    <a:gd name="T77" fmla="*/ 65 h 270"/>
                                    <a:gd name="T78" fmla="*/ 40 w 69"/>
                                    <a:gd name="T79" fmla="*/ 5 h 270"/>
                                    <a:gd name="T80" fmla="*/ 35 w 69"/>
                                    <a:gd name="T81" fmla="*/ 0 h 270"/>
                                    <a:gd name="T82" fmla="*/ 30 w 69"/>
                                    <a:gd name="T83" fmla="*/ 5 h 270"/>
                                    <a:gd name="T84" fmla="*/ 30 w 69"/>
                                    <a:gd name="T85" fmla="*/ 65 h 270"/>
                                    <a:gd name="T86" fmla="*/ 10 w 69"/>
                                    <a:gd name="T87" fmla="*/ 45 h 270"/>
                                    <a:gd name="T88" fmla="*/ 10 w 69"/>
                                    <a:gd name="T89" fmla="*/ 23 h 270"/>
                                    <a:gd name="T90" fmla="*/ 5 w 69"/>
                                    <a:gd name="T91" fmla="*/ 18 h 270"/>
                                    <a:gd name="T92" fmla="*/ 0 w 69"/>
                                    <a:gd name="T93" fmla="*/ 23 h 270"/>
                                    <a:gd name="T94" fmla="*/ 0 w 69"/>
                                    <a:gd name="T95" fmla="*/ 179 h 270"/>
                                    <a:gd name="T96" fmla="*/ 4 w 69"/>
                                    <a:gd name="T97" fmla="*/ 189 h 270"/>
                                    <a:gd name="T98" fmla="*/ 30 w 69"/>
                                    <a:gd name="T99" fmla="*/ 215 h 270"/>
                                    <a:gd name="T100" fmla="*/ 30 w 69"/>
                                    <a:gd name="T101" fmla="*/ 265 h 270"/>
                                    <a:gd name="T102" fmla="*/ 35 w 69"/>
                                    <a:gd name="T103" fmla="*/ 270 h 270"/>
                                    <a:gd name="T104" fmla="*/ 40 w 69"/>
                                    <a:gd name="T105" fmla="*/ 265 h 270"/>
                                    <a:gd name="T106" fmla="*/ 40 w 69"/>
                                    <a:gd name="T107" fmla="*/ 215 h 270"/>
                                    <a:gd name="T108" fmla="*/ 66 w 69"/>
                                    <a:gd name="T109" fmla="*/ 188 h 270"/>
                                    <a:gd name="T110" fmla="*/ 69 w 69"/>
                                    <a:gd name="T111" fmla="*/ 180 h 270"/>
                                    <a:gd name="T112" fmla="*/ 69 w 69"/>
                                    <a:gd name="T113" fmla="*/ 23 h 270"/>
                                    <a:gd name="T114" fmla="*/ 64 w 69"/>
                                    <a:gd name="T115" fmla="*/ 18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 h="270">
                                      <a:moveTo>
                                        <a:pt x="40" y="170"/>
                                      </a:moveTo>
                                      <a:cubicBezTo>
                                        <a:pt x="59" y="150"/>
                                        <a:pt x="59" y="150"/>
                                        <a:pt x="59" y="150"/>
                                      </a:cubicBezTo>
                                      <a:cubicBezTo>
                                        <a:pt x="59" y="181"/>
                                        <a:pt x="59" y="181"/>
                                        <a:pt x="59" y="181"/>
                                      </a:cubicBezTo>
                                      <a:cubicBezTo>
                                        <a:pt x="40" y="201"/>
                                        <a:pt x="40" y="201"/>
                                        <a:pt x="40" y="201"/>
                                      </a:cubicBezTo>
                                      <a:lnTo>
                                        <a:pt x="40" y="170"/>
                                      </a:lnTo>
                                      <a:close/>
                                      <a:moveTo>
                                        <a:pt x="10" y="150"/>
                                      </a:moveTo>
                                      <a:cubicBezTo>
                                        <a:pt x="30" y="170"/>
                                        <a:pt x="30" y="170"/>
                                        <a:pt x="30" y="170"/>
                                      </a:cubicBezTo>
                                      <a:cubicBezTo>
                                        <a:pt x="30" y="201"/>
                                        <a:pt x="30" y="201"/>
                                        <a:pt x="30" y="201"/>
                                      </a:cubicBezTo>
                                      <a:cubicBezTo>
                                        <a:pt x="10" y="181"/>
                                        <a:pt x="10" y="181"/>
                                        <a:pt x="10" y="181"/>
                                      </a:cubicBezTo>
                                      <a:lnTo>
                                        <a:pt x="10" y="150"/>
                                      </a:lnTo>
                                      <a:close/>
                                      <a:moveTo>
                                        <a:pt x="30" y="110"/>
                                      </a:moveTo>
                                      <a:cubicBezTo>
                                        <a:pt x="10" y="90"/>
                                        <a:pt x="10" y="90"/>
                                        <a:pt x="10" y="90"/>
                                      </a:cubicBezTo>
                                      <a:cubicBezTo>
                                        <a:pt x="10" y="60"/>
                                        <a:pt x="10" y="60"/>
                                        <a:pt x="10" y="60"/>
                                      </a:cubicBezTo>
                                      <a:cubicBezTo>
                                        <a:pt x="30" y="79"/>
                                        <a:pt x="30" y="79"/>
                                        <a:pt x="30" y="79"/>
                                      </a:cubicBezTo>
                                      <a:lnTo>
                                        <a:pt x="30" y="110"/>
                                      </a:lnTo>
                                      <a:close/>
                                      <a:moveTo>
                                        <a:pt x="59" y="90"/>
                                      </a:moveTo>
                                      <a:cubicBezTo>
                                        <a:pt x="40" y="110"/>
                                        <a:pt x="40" y="110"/>
                                        <a:pt x="40" y="110"/>
                                      </a:cubicBezTo>
                                      <a:cubicBezTo>
                                        <a:pt x="40" y="79"/>
                                        <a:pt x="40" y="79"/>
                                        <a:pt x="40" y="79"/>
                                      </a:cubicBezTo>
                                      <a:cubicBezTo>
                                        <a:pt x="59" y="60"/>
                                        <a:pt x="59" y="60"/>
                                        <a:pt x="59" y="60"/>
                                      </a:cubicBezTo>
                                      <a:lnTo>
                                        <a:pt x="59" y="90"/>
                                      </a:lnTo>
                                      <a:close/>
                                      <a:moveTo>
                                        <a:pt x="59" y="136"/>
                                      </a:moveTo>
                                      <a:cubicBezTo>
                                        <a:pt x="40" y="155"/>
                                        <a:pt x="40" y="155"/>
                                        <a:pt x="40" y="155"/>
                                      </a:cubicBezTo>
                                      <a:cubicBezTo>
                                        <a:pt x="40" y="149"/>
                                        <a:pt x="40" y="149"/>
                                        <a:pt x="40" y="149"/>
                                      </a:cubicBezTo>
                                      <a:cubicBezTo>
                                        <a:pt x="40" y="147"/>
                                        <a:pt x="37" y="144"/>
                                        <a:pt x="35" y="144"/>
                                      </a:cubicBezTo>
                                      <a:cubicBezTo>
                                        <a:pt x="32" y="144"/>
                                        <a:pt x="30" y="147"/>
                                        <a:pt x="30" y="149"/>
                                      </a:cubicBezTo>
                                      <a:cubicBezTo>
                                        <a:pt x="30" y="155"/>
                                        <a:pt x="30" y="155"/>
                                        <a:pt x="30" y="155"/>
                                      </a:cubicBezTo>
                                      <a:cubicBezTo>
                                        <a:pt x="10" y="136"/>
                                        <a:pt x="10" y="136"/>
                                        <a:pt x="10" y="136"/>
                                      </a:cubicBezTo>
                                      <a:cubicBezTo>
                                        <a:pt x="10" y="105"/>
                                        <a:pt x="10" y="105"/>
                                        <a:pt x="10" y="105"/>
                                      </a:cubicBezTo>
                                      <a:cubicBezTo>
                                        <a:pt x="30" y="124"/>
                                        <a:pt x="30" y="124"/>
                                        <a:pt x="30" y="124"/>
                                      </a:cubicBezTo>
                                      <a:cubicBezTo>
                                        <a:pt x="30" y="151"/>
                                        <a:pt x="30" y="151"/>
                                        <a:pt x="30" y="151"/>
                                      </a:cubicBezTo>
                                      <a:cubicBezTo>
                                        <a:pt x="30" y="154"/>
                                        <a:pt x="32" y="156"/>
                                        <a:pt x="35" y="156"/>
                                      </a:cubicBezTo>
                                      <a:cubicBezTo>
                                        <a:pt x="37" y="156"/>
                                        <a:pt x="40" y="154"/>
                                        <a:pt x="40" y="151"/>
                                      </a:cubicBezTo>
                                      <a:cubicBezTo>
                                        <a:pt x="40" y="124"/>
                                        <a:pt x="40" y="124"/>
                                        <a:pt x="40" y="124"/>
                                      </a:cubicBezTo>
                                      <a:cubicBezTo>
                                        <a:pt x="59" y="105"/>
                                        <a:pt x="59" y="105"/>
                                        <a:pt x="59" y="105"/>
                                      </a:cubicBezTo>
                                      <a:lnTo>
                                        <a:pt x="59" y="136"/>
                                      </a:lnTo>
                                      <a:close/>
                                      <a:moveTo>
                                        <a:pt x="64" y="18"/>
                                      </a:moveTo>
                                      <a:cubicBezTo>
                                        <a:pt x="61" y="18"/>
                                        <a:pt x="59" y="20"/>
                                        <a:pt x="59" y="23"/>
                                      </a:cubicBezTo>
                                      <a:cubicBezTo>
                                        <a:pt x="59" y="45"/>
                                        <a:pt x="59" y="45"/>
                                        <a:pt x="59" y="45"/>
                                      </a:cubicBezTo>
                                      <a:cubicBezTo>
                                        <a:pt x="40" y="65"/>
                                        <a:pt x="40" y="65"/>
                                        <a:pt x="40" y="65"/>
                                      </a:cubicBezTo>
                                      <a:cubicBezTo>
                                        <a:pt x="40" y="5"/>
                                        <a:pt x="40" y="5"/>
                                        <a:pt x="40" y="5"/>
                                      </a:cubicBezTo>
                                      <a:cubicBezTo>
                                        <a:pt x="40" y="2"/>
                                        <a:pt x="37" y="0"/>
                                        <a:pt x="35" y="0"/>
                                      </a:cubicBezTo>
                                      <a:cubicBezTo>
                                        <a:pt x="32" y="0"/>
                                        <a:pt x="30" y="2"/>
                                        <a:pt x="30" y="5"/>
                                      </a:cubicBezTo>
                                      <a:cubicBezTo>
                                        <a:pt x="30" y="65"/>
                                        <a:pt x="30" y="65"/>
                                        <a:pt x="30" y="65"/>
                                      </a:cubicBezTo>
                                      <a:cubicBezTo>
                                        <a:pt x="10" y="45"/>
                                        <a:pt x="10" y="45"/>
                                        <a:pt x="10" y="45"/>
                                      </a:cubicBezTo>
                                      <a:cubicBezTo>
                                        <a:pt x="10" y="23"/>
                                        <a:pt x="10" y="23"/>
                                        <a:pt x="10" y="23"/>
                                      </a:cubicBezTo>
                                      <a:cubicBezTo>
                                        <a:pt x="10" y="20"/>
                                        <a:pt x="8" y="18"/>
                                        <a:pt x="5" y="18"/>
                                      </a:cubicBezTo>
                                      <a:cubicBezTo>
                                        <a:pt x="2" y="18"/>
                                        <a:pt x="0" y="20"/>
                                        <a:pt x="0" y="23"/>
                                      </a:cubicBezTo>
                                      <a:cubicBezTo>
                                        <a:pt x="0" y="179"/>
                                        <a:pt x="0" y="179"/>
                                        <a:pt x="0" y="179"/>
                                      </a:cubicBezTo>
                                      <a:cubicBezTo>
                                        <a:pt x="0" y="183"/>
                                        <a:pt x="2" y="186"/>
                                        <a:pt x="4" y="189"/>
                                      </a:cubicBezTo>
                                      <a:cubicBezTo>
                                        <a:pt x="30" y="215"/>
                                        <a:pt x="30" y="215"/>
                                        <a:pt x="30" y="215"/>
                                      </a:cubicBezTo>
                                      <a:cubicBezTo>
                                        <a:pt x="30" y="265"/>
                                        <a:pt x="30" y="265"/>
                                        <a:pt x="30" y="265"/>
                                      </a:cubicBezTo>
                                      <a:cubicBezTo>
                                        <a:pt x="30" y="268"/>
                                        <a:pt x="32" y="270"/>
                                        <a:pt x="35" y="270"/>
                                      </a:cubicBezTo>
                                      <a:cubicBezTo>
                                        <a:pt x="37" y="270"/>
                                        <a:pt x="40" y="268"/>
                                        <a:pt x="40" y="265"/>
                                      </a:cubicBezTo>
                                      <a:cubicBezTo>
                                        <a:pt x="40" y="215"/>
                                        <a:pt x="40" y="215"/>
                                        <a:pt x="40" y="215"/>
                                      </a:cubicBezTo>
                                      <a:cubicBezTo>
                                        <a:pt x="66" y="188"/>
                                        <a:pt x="66" y="188"/>
                                        <a:pt x="66" y="188"/>
                                      </a:cubicBezTo>
                                      <a:cubicBezTo>
                                        <a:pt x="68" y="186"/>
                                        <a:pt x="69" y="183"/>
                                        <a:pt x="69" y="180"/>
                                      </a:cubicBezTo>
                                      <a:cubicBezTo>
                                        <a:pt x="69" y="23"/>
                                        <a:pt x="69" y="23"/>
                                        <a:pt x="69" y="23"/>
                                      </a:cubicBezTo>
                                      <a:cubicBezTo>
                                        <a:pt x="69" y="20"/>
                                        <a:pt x="67" y="18"/>
                                        <a:pt x="64" y="18"/>
                                      </a:cubicBezTo>
                                    </a:path>
                                  </a:pathLst>
                                </a:custGeom>
                                <a:grpFill/>
                                <a:ln w="9525">
                                  <a:noFill/>
                                  <a:round/>
                                  <a:headEnd/>
                                  <a:tailEnd/>
                                </a:ln>
                              </wps:spPr>
                              <wps:bodyPr rot="0" vert="horz" wrap="square" lIns="91440" tIns="45720" rIns="91440" bIns="45720" anchor="t" anchorCtr="0" upright="1">
                                <a:noAutofit/>
                              </wps:bodyPr>
                            </wps:wsp>
                            <wps:wsp>
                              <wps:cNvPr id="57" name="Freeform 11"/>
                              <wps:cNvSpPr>
                                <a:spLocks noEditPoints="1"/>
                              </wps:cNvSpPr>
                              <wps:spPr bwMode="auto">
                                <a:xfrm>
                                  <a:off x="149229" y="183953"/>
                                  <a:ext cx="224790" cy="887095"/>
                                </a:xfrm>
                                <a:custGeom>
                                  <a:avLst/>
                                  <a:gdLst>
                                    <a:gd name="T0" fmla="*/ 29 w 69"/>
                                    <a:gd name="T1" fmla="*/ 110 h 270"/>
                                    <a:gd name="T2" fmla="*/ 10 w 69"/>
                                    <a:gd name="T3" fmla="*/ 90 h 270"/>
                                    <a:gd name="T4" fmla="*/ 10 w 69"/>
                                    <a:gd name="T5" fmla="*/ 60 h 270"/>
                                    <a:gd name="T6" fmla="*/ 29 w 69"/>
                                    <a:gd name="T7" fmla="*/ 79 h 270"/>
                                    <a:gd name="T8" fmla="*/ 29 w 69"/>
                                    <a:gd name="T9" fmla="*/ 110 h 270"/>
                                    <a:gd name="T10" fmla="*/ 58 w 69"/>
                                    <a:gd name="T11" fmla="*/ 90 h 270"/>
                                    <a:gd name="T12" fmla="*/ 39 w 69"/>
                                    <a:gd name="T13" fmla="*/ 110 h 270"/>
                                    <a:gd name="T14" fmla="*/ 39 w 69"/>
                                    <a:gd name="T15" fmla="*/ 79 h 270"/>
                                    <a:gd name="T16" fmla="*/ 58 w 69"/>
                                    <a:gd name="T17" fmla="*/ 60 h 270"/>
                                    <a:gd name="T18" fmla="*/ 10 w 69"/>
                                    <a:gd name="T19" fmla="*/ 105 h 270"/>
                                    <a:gd name="T20" fmla="*/ 29 w 69"/>
                                    <a:gd name="T21" fmla="*/ 124 h 270"/>
                                    <a:gd name="T22" fmla="*/ 29 w 69"/>
                                    <a:gd name="T23" fmla="*/ 155 h 270"/>
                                    <a:gd name="T24" fmla="*/ 10 w 69"/>
                                    <a:gd name="T25" fmla="*/ 136 h 270"/>
                                    <a:gd name="T26" fmla="*/ 58 w 69"/>
                                    <a:gd name="T27" fmla="*/ 136 h 270"/>
                                    <a:gd name="T28" fmla="*/ 39 w 69"/>
                                    <a:gd name="T29" fmla="*/ 155 h 270"/>
                                    <a:gd name="T30" fmla="*/ 39 w 69"/>
                                    <a:gd name="T31" fmla="*/ 124 h 270"/>
                                    <a:gd name="T32" fmla="*/ 58 w 69"/>
                                    <a:gd name="T33" fmla="*/ 105 h 270"/>
                                    <a:gd name="T34" fmla="*/ 58 w 69"/>
                                    <a:gd name="T35" fmla="*/ 136 h 270"/>
                                    <a:gd name="T36" fmla="*/ 34 w 69"/>
                                    <a:gd name="T37" fmla="*/ 189 h 270"/>
                                    <a:gd name="T38" fmla="*/ 29 w 69"/>
                                    <a:gd name="T39" fmla="*/ 195 h 270"/>
                                    <a:gd name="T40" fmla="*/ 29 w 69"/>
                                    <a:gd name="T41" fmla="*/ 201 h 270"/>
                                    <a:gd name="T42" fmla="*/ 10 w 69"/>
                                    <a:gd name="T43" fmla="*/ 181 h 270"/>
                                    <a:gd name="T44" fmla="*/ 10 w 69"/>
                                    <a:gd name="T45" fmla="*/ 150 h 270"/>
                                    <a:gd name="T46" fmla="*/ 29 w 69"/>
                                    <a:gd name="T47" fmla="*/ 170 h 270"/>
                                    <a:gd name="T48" fmla="*/ 29 w 69"/>
                                    <a:gd name="T49" fmla="*/ 202 h 270"/>
                                    <a:gd name="T50" fmla="*/ 34 w 69"/>
                                    <a:gd name="T51" fmla="*/ 207 h 270"/>
                                    <a:gd name="T52" fmla="*/ 39 w 69"/>
                                    <a:gd name="T53" fmla="*/ 202 h 270"/>
                                    <a:gd name="T54" fmla="*/ 39 w 69"/>
                                    <a:gd name="T55" fmla="*/ 170 h 270"/>
                                    <a:gd name="T56" fmla="*/ 58 w 69"/>
                                    <a:gd name="T57" fmla="*/ 150 h 270"/>
                                    <a:gd name="T58" fmla="*/ 58 w 69"/>
                                    <a:gd name="T59" fmla="*/ 181 h 270"/>
                                    <a:gd name="T60" fmla="*/ 39 w 69"/>
                                    <a:gd name="T61" fmla="*/ 201 h 270"/>
                                    <a:gd name="T62" fmla="*/ 39 w 69"/>
                                    <a:gd name="T63" fmla="*/ 195 h 270"/>
                                    <a:gd name="T64" fmla="*/ 34 w 69"/>
                                    <a:gd name="T65" fmla="*/ 189 h 270"/>
                                    <a:gd name="T66" fmla="*/ 63 w 69"/>
                                    <a:gd name="T67" fmla="*/ 21 h 270"/>
                                    <a:gd name="T68" fmla="*/ 58 w 69"/>
                                    <a:gd name="T69" fmla="*/ 26 h 270"/>
                                    <a:gd name="T70" fmla="*/ 58 w 69"/>
                                    <a:gd name="T71" fmla="*/ 45 h 270"/>
                                    <a:gd name="T72" fmla="*/ 39 w 69"/>
                                    <a:gd name="T73" fmla="*/ 65 h 270"/>
                                    <a:gd name="T74" fmla="*/ 39 w 69"/>
                                    <a:gd name="T75" fmla="*/ 5 h 270"/>
                                    <a:gd name="T76" fmla="*/ 34 w 69"/>
                                    <a:gd name="T77" fmla="*/ 0 h 270"/>
                                    <a:gd name="T78" fmla="*/ 29 w 69"/>
                                    <a:gd name="T79" fmla="*/ 5 h 270"/>
                                    <a:gd name="T80" fmla="*/ 29 w 69"/>
                                    <a:gd name="T81" fmla="*/ 65 h 270"/>
                                    <a:gd name="T82" fmla="*/ 10 w 69"/>
                                    <a:gd name="T83" fmla="*/ 45 h 270"/>
                                    <a:gd name="T84" fmla="*/ 10 w 69"/>
                                    <a:gd name="T85" fmla="*/ 26 h 270"/>
                                    <a:gd name="T86" fmla="*/ 5 w 69"/>
                                    <a:gd name="T87" fmla="*/ 21 h 270"/>
                                    <a:gd name="T88" fmla="*/ 0 w 69"/>
                                    <a:gd name="T89" fmla="*/ 26 h 270"/>
                                    <a:gd name="T90" fmla="*/ 0 w 69"/>
                                    <a:gd name="T91" fmla="*/ 177 h 270"/>
                                    <a:gd name="T92" fmla="*/ 5 w 69"/>
                                    <a:gd name="T93" fmla="*/ 190 h 270"/>
                                    <a:gd name="T94" fmla="*/ 29 w 69"/>
                                    <a:gd name="T95" fmla="*/ 215 h 270"/>
                                    <a:gd name="T96" fmla="*/ 29 w 69"/>
                                    <a:gd name="T97" fmla="*/ 265 h 270"/>
                                    <a:gd name="T98" fmla="*/ 34 w 69"/>
                                    <a:gd name="T99" fmla="*/ 270 h 270"/>
                                    <a:gd name="T100" fmla="*/ 39 w 69"/>
                                    <a:gd name="T101" fmla="*/ 265 h 270"/>
                                    <a:gd name="T102" fmla="*/ 39 w 69"/>
                                    <a:gd name="T103" fmla="*/ 215 h 270"/>
                                    <a:gd name="T104" fmla="*/ 64 w 69"/>
                                    <a:gd name="T105" fmla="*/ 190 h 270"/>
                                    <a:gd name="T106" fmla="*/ 69 w 69"/>
                                    <a:gd name="T107" fmla="*/ 179 h 270"/>
                                    <a:gd name="T108" fmla="*/ 69 w 69"/>
                                    <a:gd name="T109" fmla="*/ 26 h 270"/>
                                    <a:gd name="T110" fmla="*/ 63 w 69"/>
                                    <a:gd name="T111" fmla="*/ 21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9" h="270">
                                      <a:moveTo>
                                        <a:pt x="29" y="110"/>
                                      </a:moveTo>
                                      <a:cubicBezTo>
                                        <a:pt x="10" y="90"/>
                                        <a:pt x="10" y="90"/>
                                        <a:pt x="10" y="90"/>
                                      </a:cubicBezTo>
                                      <a:cubicBezTo>
                                        <a:pt x="10" y="60"/>
                                        <a:pt x="10" y="60"/>
                                        <a:pt x="10" y="60"/>
                                      </a:cubicBezTo>
                                      <a:cubicBezTo>
                                        <a:pt x="29" y="79"/>
                                        <a:pt x="29" y="79"/>
                                        <a:pt x="29" y="79"/>
                                      </a:cubicBezTo>
                                      <a:lnTo>
                                        <a:pt x="29" y="110"/>
                                      </a:lnTo>
                                      <a:close/>
                                      <a:moveTo>
                                        <a:pt x="58" y="90"/>
                                      </a:moveTo>
                                      <a:cubicBezTo>
                                        <a:pt x="39" y="110"/>
                                        <a:pt x="39" y="110"/>
                                        <a:pt x="39" y="110"/>
                                      </a:cubicBezTo>
                                      <a:cubicBezTo>
                                        <a:pt x="39" y="79"/>
                                        <a:pt x="39" y="79"/>
                                        <a:pt x="39" y="79"/>
                                      </a:cubicBezTo>
                                      <a:cubicBezTo>
                                        <a:pt x="58" y="60"/>
                                        <a:pt x="58" y="60"/>
                                        <a:pt x="58" y="60"/>
                                      </a:cubicBezTo>
                                      <a:moveTo>
                                        <a:pt x="10" y="105"/>
                                      </a:moveTo>
                                      <a:cubicBezTo>
                                        <a:pt x="29" y="124"/>
                                        <a:pt x="29" y="124"/>
                                        <a:pt x="29" y="124"/>
                                      </a:cubicBezTo>
                                      <a:cubicBezTo>
                                        <a:pt x="29" y="155"/>
                                        <a:pt x="29" y="155"/>
                                        <a:pt x="29" y="155"/>
                                      </a:cubicBezTo>
                                      <a:cubicBezTo>
                                        <a:pt x="10" y="136"/>
                                        <a:pt x="10" y="136"/>
                                        <a:pt x="10" y="136"/>
                                      </a:cubicBezTo>
                                      <a:moveTo>
                                        <a:pt x="58" y="136"/>
                                      </a:moveTo>
                                      <a:cubicBezTo>
                                        <a:pt x="39" y="155"/>
                                        <a:pt x="39" y="155"/>
                                        <a:pt x="39" y="155"/>
                                      </a:cubicBezTo>
                                      <a:cubicBezTo>
                                        <a:pt x="39" y="124"/>
                                        <a:pt x="39" y="124"/>
                                        <a:pt x="39" y="124"/>
                                      </a:cubicBezTo>
                                      <a:cubicBezTo>
                                        <a:pt x="58" y="105"/>
                                        <a:pt x="58" y="105"/>
                                        <a:pt x="58" y="105"/>
                                      </a:cubicBezTo>
                                      <a:lnTo>
                                        <a:pt x="58" y="136"/>
                                      </a:lnTo>
                                      <a:close/>
                                      <a:moveTo>
                                        <a:pt x="34" y="189"/>
                                      </a:moveTo>
                                      <a:cubicBezTo>
                                        <a:pt x="31" y="189"/>
                                        <a:pt x="29" y="192"/>
                                        <a:pt x="29" y="195"/>
                                      </a:cubicBezTo>
                                      <a:cubicBezTo>
                                        <a:pt x="29" y="201"/>
                                        <a:pt x="29" y="201"/>
                                        <a:pt x="29" y="201"/>
                                      </a:cubicBezTo>
                                      <a:cubicBezTo>
                                        <a:pt x="10" y="181"/>
                                        <a:pt x="10" y="181"/>
                                        <a:pt x="10" y="181"/>
                                      </a:cubicBezTo>
                                      <a:cubicBezTo>
                                        <a:pt x="10" y="150"/>
                                        <a:pt x="10" y="150"/>
                                        <a:pt x="10" y="150"/>
                                      </a:cubicBezTo>
                                      <a:cubicBezTo>
                                        <a:pt x="29" y="170"/>
                                        <a:pt x="29" y="170"/>
                                        <a:pt x="29" y="170"/>
                                      </a:cubicBezTo>
                                      <a:cubicBezTo>
                                        <a:pt x="29" y="202"/>
                                        <a:pt x="29" y="202"/>
                                        <a:pt x="29" y="202"/>
                                      </a:cubicBezTo>
                                      <a:cubicBezTo>
                                        <a:pt x="29" y="205"/>
                                        <a:pt x="31" y="207"/>
                                        <a:pt x="34" y="207"/>
                                      </a:cubicBezTo>
                                      <a:cubicBezTo>
                                        <a:pt x="37" y="207"/>
                                        <a:pt x="39" y="205"/>
                                        <a:pt x="39" y="202"/>
                                      </a:cubicBezTo>
                                      <a:cubicBezTo>
                                        <a:pt x="39" y="170"/>
                                        <a:pt x="39" y="170"/>
                                        <a:pt x="39" y="170"/>
                                      </a:cubicBezTo>
                                      <a:cubicBezTo>
                                        <a:pt x="58" y="150"/>
                                        <a:pt x="58" y="150"/>
                                        <a:pt x="58" y="150"/>
                                      </a:cubicBezTo>
                                      <a:cubicBezTo>
                                        <a:pt x="58" y="181"/>
                                        <a:pt x="58" y="181"/>
                                        <a:pt x="58" y="181"/>
                                      </a:cubicBezTo>
                                      <a:cubicBezTo>
                                        <a:pt x="39" y="201"/>
                                        <a:pt x="39" y="201"/>
                                        <a:pt x="39" y="201"/>
                                      </a:cubicBezTo>
                                      <a:cubicBezTo>
                                        <a:pt x="39" y="195"/>
                                        <a:pt x="39" y="195"/>
                                        <a:pt x="39" y="195"/>
                                      </a:cubicBezTo>
                                      <a:cubicBezTo>
                                        <a:pt x="39" y="192"/>
                                        <a:pt x="37" y="189"/>
                                        <a:pt x="34" y="189"/>
                                      </a:cubicBezTo>
                                      <a:moveTo>
                                        <a:pt x="63" y="21"/>
                                      </a:moveTo>
                                      <a:cubicBezTo>
                                        <a:pt x="61" y="21"/>
                                        <a:pt x="58" y="23"/>
                                        <a:pt x="58" y="26"/>
                                      </a:cubicBezTo>
                                      <a:cubicBezTo>
                                        <a:pt x="58" y="45"/>
                                        <a:pt x="58" y="45"/>
                                        <a:pt x="58" y="45"/>
                                      </a:cubicBezTo>
                                      <a:cubicBezTo>
                                        <a:pt x="39" y="65"/>
                                        <a:pt x="39" y="65"/>
                                        <a:pt x="39" y="65"/>
                                      </a:cubicBezTo>
                                      <a:cubicBezTo>
                                        <a:pt x="39" y="5"/>
                                        <a:pt x="39" y="5"/>
                                        <a:pt x="39" y="5"/>
                                      </a:cubicBezTo>
                                      <a:cubicBezTo>
                                        <a:pt x="39" y="2"/>
                                        <a:pt x="37" y="0"/>
                                        <a:pt x="34" y="0"/>
                                      </a:cubicBezTo>
                                      <a:cubicBezTo>
                                        <a:pt x="31" y="0"/>
                                        <a:pt x="29" y="2"/>
                                        <a:pt x="29" y="5"/>
                                      </a:cubicBezTo>
                                      <a:cubicBezTo>
                                        <a:pt x="29" y="65"/>
                                        <a:pt x="29" y="65"/>
                                        <a:pt x="29" y="65"/>
                                      </a:cubicBezTo>
                                      <a:cubicBezTo>
                                        <a:pt x="10" y="45"/>
                                        <a:pt x="10" y="45"/>
                                        <a:pt x="10" y="45"/>
                                      </a:cubicBezTo>
                                      <a:cubicBezTo>
                                        <a:pt x="10" y="26"/>
                                        <a:pt x="10" y="26"/>
                                        <a:pt x="10" y="26"/>
                                      </a:cubicBezTo>
                                      <a:cubicBezTo>
                                        <a:pt x="10" y="23"/>
                                        <a:pt x="7" y="21"/>
                                        <a:pt x="5" y="21"/>
                                      </a:cubicBezTo>
                                      <a:cubicBezTo>
                                        <a:pt x="2" y="21"/>
                                        <a:pt x="0" y="23"/>
                                        <a:pt x="0" y="26"/>
                                      </a:cubicBezTo>
                                      <a:cubicBezTo>
                                        <a:pt x="0" y="177"/>
                                        <a:pt x="0" y="177"/>
                                        <a:pt x="0" y="177"/>
                                      </a:cubicBezTo>
                                      <a:cubicBezTo>
                                        <a:pt x="0" y="182"/>
                                        <a:pt x="2" y="187"/>
                                        <a:pt x="5" y="190"/>
                                      </a:cubicBezTo>
                                      <a:cubicBezTo>
                                        <a:pt x="29" y="215"/>
                                        <a:pt x="29" y="215"/>
                                        <a:pt x="29" y="215"/>
                                      </a:cubicBezTo>
                                      <a:cubicBezTo>
                                        <a:pt x="29" y="265"/>
                                        <a:pt x="29" y="265"/>
                                        <a:pt x="29" y="265"/>
                                      </a:cubicBezTo>
                                      <a:cubicBezTo>
                                        <a:pt x="29" y="268"/>
                                        <a:pt x="31" y="270"/>
                                        <a:pt x="34" y="270"/>
                                      </a:cubicBezTo>
                                      <a:cubicBezTo>
                                        <a:pt x="37" y="270"/>
                                        <a:pt x="39" y="268"/>
                                        <a:pt x="39" y="265"/>
                                      </a:cubicBezTo>
                                      <a:cubicBezTo>
                                        <a:pt x="39" y="215"/>
                                        <a:pt x="39" y="215"/>
                                        <a:pt x="39" y="215"/>
                                      </a:cubicBezTo>
                                      <a:cubicBezTo>
                                        <a:pt x="64" y="190"/>
                                        <a:pt x="64" y="190"/>
                                        <a:pt x="64" y="190"/>
                                      </a:cubicBezTo>
                                      <a:cubicBezTo>
                                        <a:pt x="67" y="187"/>
                                        <a:pt x="69" y="183"/>
                                        <a:pt x="69" y="179"/>
                                      </a:cubicBezTo>
                                      <a:cubicBezTo>
                                        <a:pt x="69" y="26"/>
                                        <a:pt x="69" y="26"/>
                                        <a:pt x="69" y="26"/>
                                      </a:cubicBezTo>
                                      <a:cubicBezTo>
                                        <a:pt x="69" y="23"/>
                                        <a:pt x="66" y="21"/>
                                        <a:pt x="63" y="21"/>
                                      </a:cubicBezTo>
                                    </a:path>
                                  </a:pathLst>
                                </a:custGeom>
                                <a:grpFill/>
                                <a:ln w="9525">
                                  <a:noFill/>
                                  <a:round/>
                                  <a:headEnd/>
                                  <a:tailEnd/>
                                </a:ln>
                              </wps:spPr>
                              <wps:bodyPr rot="0" vert="horz" wrap="square" lIns="91440" tIns="45720" rIns="91440" bIns="45720" anchor="t" anchorCtr="0" upright="1">
                                <a:noAutofit/>
                              </wps:bodyPr>
                            </wps:wsp>
                            <wps:wsp>
                              <wps:cNvPr id="58" name="Freeform 12"/>
                              <wps:cNvSpPr>
                                <a:spLocks noEditPoints="1"/>
                              </wps:cNvSpPr>
                              <wps:spPr bwMode="auto">
                                <a:xfrm>
                                  <a:off x="410214" y="32823"/>
                                  <a:ext cx="224790" cy="1038225"/>
                                </a:xfrm>
                                <a:custGeom>
                                  <a:avLst/>
                                  <a:gdLst>
                                    <a:gd name="T0" fmla="*/ 40 w 69"/>
                                    <a:gd name="T1" fmla="*/ 170 h 316"/>
                                    <a:gd name="T2" fmla="*/ 59 w 69"/>
                                    <a:gd name="T3" fmla="*/ 150 h 316"/>
                                    <a:gd name="T4" fmla="*/ 59 w 69"/>
                                    <a:gd name="T5" fmla="*/ 181 h 316"/>
                                    <a:gd name="T6" fmla="*/ 40 w 69"/>
                                    <a:gd name="T7" fmla="*/ 201 h 316"/>
                                    <a:gd name="T8" fmla="*/ 40 w 69"/>
                                    <a:gd name="T9" fmla="*/ 170 h 316"/>
                                    <a:gd name="T10" fmla="*/ 11 w 69"/>
                                    <a:gd name="T11" fmla="*/ 150 h 316"/>
                                    <a:gd name="T12" fmla="*/ 30 w 69"/>
                                    <a:gd name="T13" fmla="*/ 170 h 316"/>
                                    <a:gd name="T14" fmla="*/ 30 w 69"/>
                                    <a:gd name="T15" fmla="*/ 201 h 316"/>
                                    <a:gd name="T16" fmla="*/ 11 w 69"/>
                                    <a:gd name="T17" fmla="*/ 181 h 316"/>
                                    <a:gd name="T18" fmla="*/ 11 w 69"/>
                                    <a:gd name="T19" fmla="*/ 150 h 316"/>
                                    <a:gd name="T20" fmla="*/ 11 w 69"/>
                                    <a:gd name="T21" fmla="*/ 105 h 316"/>
                                    <a:gd name="T22" fmla="*/ 30 w 69"/>
                                    <a:gd name="T23" fmla="*/ 124 h 316"/>
                                    <a:gd name="T24" fmla="*/ 30 w 69"/>
                                    <a:gd name="T25" fmla="*/ 155 h 316"/>
                                    <a:gd name="T26" fmla="*/ 11 w 69"/>
                                    <a:gd name="T27" fmla="*/ 136 h 316"/>
                                    <a:gd name="T28" fmla="*/ 11 w 69"/>
                                    <a:gd name="T29" fmla="*/ 105 h 316"/>
                                    <a:gd name="T30" fmla="*/ 59 w 69"/>
                                    <a:gd name="T31" fmla="*/ 136 h 316"/>
                                    <a:gd name="T32" fmla="*/ 40 w 69"/>
                                    <a:gd name="T33" fmla="*/ 155 h 316"/>
                                    <a:gd name="T34" fmla="*/ 40 w 69"/>
                                    <a:gd name="T35" fmla="*/ 124 h 316"/>
                                    <a:gd name="T36" fmla="*/ 59 w 69"/>
                                    <a:gd name="T37" fmla="*/ 105 h 316"/>
                                    <a:gd name="T38" fmla="*/ 59 w 69"/>
                                    <a:gd name="T39" fmla="*/ 136 h 316"/>
                                    <a:gd name="T40" fmla="*/ 35 w 69"/>
                                    <a:gd name="T41" fmla="*/ 109 h 316"/>
                                    <a:gd name="T42" fmla="*/ 40 w 69"/>
                                    <a:gd name="T43" fmla="*/ 104 h 316"/>
                                    <a:gd name="T44" fmla="*/ 40 w 69"/>
                                    <a:gd name="T45" fmla="*/ 79 h 316"/>
                                    <a:gd name="T46" fmla="*/ 59 w 69"/>
                                    <a:gd name="T47" fmla="*/ 60 h 316"/>
                                    <a:gd name="T48" fmla="*/ 59 w 69"/>
                                    <a:gd name="T49" fmla="*/ 90 h 316"/>
                                    <a:gd name="T50" fmla="*/ 40 w 69"/>
                                    <a:gd name="T51" fmla="*/ 110 h 316"/>
                                    <a:gd name="T52" fmla="*/ 40 w 69"/>
                                    <a:gd name="T53" fmla="*/ 104 h 316"/>
                                    <a:gd name="T54" fmla="*/ 35 w 69"/>
                                    <a:gd name="T55" fmla="*/ 99 h 316"/>
                                    <a:gd name="T56" fmla="*/ 30 w 69"/>
                                    <a:gd name="T57" fmla="*/ 104 h 316"/>
                                    <a:gd name="T58" fmla="*/ 30 w 69"/>
                                    <a:gd name="T59" fmla="*/ 110 h 316"/>
                                    <a:gd name="T60" fmla="*/ 11 w 69"/>
                                    <a:gd name="T61" fmla="*/ 90 h 316"/>
                                    <a:gd name="T62" fmla="*/ 11 w 69"/>
                                    <a:gd name="T63" fmla="*/ 60 h 316"/>
                                    <a:gd name="T64" fmla="*/ 30 w 69"/>
                                    <a:gd name="T65" fmla="*/ 79 h 316"/>
                                    <a:gd name="T66" fmla="*/ 30 w 69"/>
                                    <a:gd name="T67" fmla="*/ 104 h 316"/>
                                    <a:gd name="T68" fmla="*/ 35 w 69"/>
                                    <a:gd name="T69" fmla="*/ 109 h 316"/>
                                    <a:gd name="T70" fmla="*/ 64 w 69"/>
                                    <a:gd name="T71" fmla="*/ 26 h 316"/>
                                    <a:gd name="T72" fmla="*/ 59 w 69"/>
                                    <a:gd name="T73" fmla="*/ 31 h 316"/>
                                    <a:gd name="T74" fmla="*/ 59 w 69"/>
                                    <a:gd name="T75" fmla="*/ 45 h 316"/>
                                    <a:gd name="T76" fmla="*/ 40 w 69"/>
                                    <a:gd name="T77" fmla="*/ 65 h 316"/>
                                    <a:gd name="T78" fmla="*/ 40 w 69"/>
                                    <a:gd name="T79" fmla="*/ 5 h 316"/>
                                    <a:gd name="T80" fmla="*/ 35 w 69"/>
                                    <a:gd name="T81" fmla="*/ 0 h 316"/>
                                    <a:gd name="T82" fmla="*/ 30 w 69"/>
                                    <a:gd name="T83" fmla="*/ 5 h 316"/>
                                    <a:gd name="T84" fmla="*/ 30 w 69"/>
                                    <a:gd name="T85" fmla="*/ 65 h 316"/>
                                    <a:gd name="T86" fmla="*/ 11 w 69"/>
                                    <a:gd name="T87" fmla="*/ 45 h 316"/>
                                    <a:gd name="T88" fmla="*/ 11 w 69"/>
                                    <a:gd name="T89" fmla="*/ 31 h 316"/>
                                    <a:gd name="T90" fmla="*/ 5 w 69"/>
                                    <a:gd name="T91" fmla="*/ 26 h 316"/>
                                    <a:gd name="T92" fmla="*/ 0 w 69"/>
                                    <a:gd name="T93" fmla="*/ 31 h 316"/>
                                    <a:gd name="T94" fmla="*/ 0 w 69"/>
                                    <a:gd name="T95" fmla="*/ 178 h 316"/>
                                    <a:gd name="T96" fmla="*/ 5 w 69"/>
                                    <a:gd name="T97" fmla="*/ 190 h 316"/>
                                    <a:gd name="T98" fmla="*/ 30 w 69"/>
                                    <a:gd name="T99" fmla="*/ 215 h 316"/>
                                    <a:gd name="T100" fmla="*/ 30 w 69"/>
                                    <a:gd name="T101" fmla="*/ 311 h 316"/>
                                    <a:gd name="T102" fmla="*/ 35 w 69"/>
                                    <a:gd name="T103" fmla="*/ 316 h 316"/>
                                    <a:gd name="T104" fmla="*/ 40 w 69"/>
                                    <a:gd name="T105" fmla="*/ 311 h 316"/>
                                    <a:gd name="T106" fmla="*/ 40 w 69"/>
                                    <a:gd name="T107" fmla="*/ 215 h 316"/>
                                    <a:gd name="T108" fmla="*/ 65 w 69"/>
                                    <a:gd name="T109" fmla="*/ 189 h 316"/>
                                    <a:gd name="T110" fmla="*/ 69 w 69"/>
                                    <a:gd name="T111" fmla="*/ 179 h 316"/>
                                    <a:gd name="T112" fmla="*/ 69 w 69"/>
                                    <a:gd name="T113" fmla="*/ 31 h 316"/>
                                    <a:gd name="T114" fmla="*/ 64 w 69"/>
                                    <a:gd name="T115" fmla="*/ 2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9" h="316">
                                      <a:moveTo>
                                        <a:pt x="40" y="170"/>
                                      </a:moveTo>
                                      <a:cubicBezTo>
                                        <a:pt x="59" y="150"/>
                                        <a:pt x="59" y="150"/>
                                        <a:pt x="59" y="150"/>
                                      </a:cubicBezTo>
                                      <a:cubicBezTo>
                                        <a:pt x="59" y="181"/>
                                        <a:pt x="59" y="181"/>
                                        <a:pt x="59" y="181"/>
                                      </a:cubicBezTo>
                                      <a:cubicBezTo>
                                        <a:pt x="40" y="201"/>
                                        <a:pt x="40" y="201"/>
                                        <a:pt x="40" y="201"/>
                                      </a:cubicBezTo>
                                      <a:lnTo>
                                        <a:pt x="40" y="170"/>
                                      </a:lnTo>
                                      <a:close/>
                                      <a:moveTo>
                                        <a:pt x="11" y="150"/>
                                      </a:moveTo>
                                      <a:cubicBezTo>
                                        <a:pt x="30" y="170"/>
                                        <a:pt x="30" y="170"/>
                                        <a:pt x="30" y="170"/>
                                      </a:cubicBezTo>
                                      <a:cubicBezTo>
                                        <a:pt x="30" y="201"/>
                                        <a:pt x="30" y="201"/>
                                        <a:pt x="30" y="201"/>
                                      </a:cubicBezTo>
                                      <a:cubicBezTo>
                                        <a:pt x="11" y="181"/>
                                        <a:pt x="11" y="181"/>
                                        <a:pt x="11" y="181"/>
                                      </a:cubicBezTo>
                                      <a:lnTo>
                                        <a:pt x="11" y="150"/>
                                      </a:lnTo>
                                      <a:close/>
                                      <a:moveTo>
                                        <a:pt x="11" y="105"/>
                                      </a:moveTo>
                                      <a:cubicBezTo>
                                        <a:pt x="30" y="124"/>
                                        <a:pt x="30" y="124"/>
                                        <a:pt x="30" y="124"/>
                                      </a:cubicBezTo>
                                      <a:cubicBezTo>
                                        <a:pt x="30" y="155"/>
                                        <a:pt x="30" y="155"/>
                                        <a:pt x="30" y="155"/>
                                      </a:cubicBezTo>
                                      <a:cubicBezTo>
                                        <a:pt x="11" y="136"/>
                                        <a:pt x="11" y="136"/>
                                        <a:pt x="11" y="136"/>
                                      </a:cubicBezTo>
                                      <a:lnTo>
                                        <a:pt x="11" y="105"/>
                                      </a:lnTo>
                                      <a:close/>
                                      <a:moveTo>
                                        <a:pt x="59" y="136"/>
                                      </a:moveTo>
                                      <a:cubicBezTo>
                                        <a:pt x="40" y="155"/>
                                        <a:pt x="40" y="155"/>
                                        <a:pt x="40" y="155"/>
                                      </a:cubicBezTo>
                                      <a:cubicBezTo>
                                        <a:pt x="40" y="124"/>
                                        <a:pt x="40" y="124"/>
                                        <a:pt x="40" y="124"/>
                                      </a:cubicBezTo>
                                      <a:cubicBezTo>
                                        <a:pt x="59" y="105"/>
                                        <a:pt x="59" y="105"/>
                                        <a:pt x="59" y="105"/>
                                      </a:cubicBezTo>
                                      <a:lnTo>
                                        <a:pt x="59" y="136"/>
                                      </a:lnTo>
                                      <a:close/>
                                      <a:moveTo>
                                        <a:pt x="35" y="109"/>
                                      </a:moveTo>
                                      <a:cubicBezTo>
                                        <a:pt x="38" y="109"/>
                                        <a:pt x="40" y="107"/>
                                        <a:pt x="40" y="104"/>
                                      </a:cubicBezTo>
                                      <a:cubicBezTo>
                                        <a:pt x="40" y="79"/>
                                        <a:pt x="40" y="79"/>
                                        <a:pt x="40" y="79"/>
                                      </a:cubicBezTo>
                                      <a:cubicBezTo>
                                        <a:pt x="59" y="60"/>
                                        <a:pt x="59" y="60"/>
                                        <a:pt x="59" y="60"/>
                                      </a:cubicBezTo>
                                      <a:cubicBezTo>
                                        <a:pt x="59" y="90"/>
                                        <a:pt x="59" y="90"/>
                                        <a:pt x="59" y="90"/>
                                      </a:cubicBezTo>
                                      <a:cubicBezTo>
                                        <a:pt x="40" y="110"/>
                                        <a:pt x="40" y="110"/>
                                        <a:pt x="40" y="110"/>
                                      </a:cubicBezTo>
                                      <a:cubicBezTo>
                                        <a:pt x="40" y="104"/>
                                        <a:pt x="40" y="104"/>
                                        <a:pt x="40" y="104"/>
                                      </a:cubicBezTo>
                                      <a:cubicBezTo>
                                        <a:pt x="40" y="101"/>
                                        <a:pt x="38" y="99"/>
                                        <a:pt x="35" y="99"/>
                                      </a:cubicBezTo>
                                      <a:cubicBezTo>
                                        <a:pt x="32" y="99"/>
                                        <a:pt x="30" y="101"/>
                                        <a:pt x="30" y="104"/>
                                      </a:cubicBezTo>
                                      <a:cubicBezTo>
                                        <a:pt x="30" y="110"/>
                                        <a:pt x="30" y="110"/>
                                        <a:pt x="30" y="110"/>
                                      </a:cubicBezTo>
                                      <a:cubicBezTo>
                                        <a:pt x="11" y="90"/>
                                        <a:pt x="11" y="90"/>
                                        <a:pt x="11" y="90"/>
                                      </a:cubicBezTo>
                                      <a:cubicBezTo>
                                        <a:pt x="11" y="60"/>
                                        <a:pt x="11" y="60"/>
                                        <a:pt x="11" y="60"/>
                                      </a:cubicBezTo>
                                      <a:cubicBezTo>
                                        <a:pt x="30" y="79"/>
                                        <a:pt x="30" y="79"/>
                                        <a:pt x="30" y="79"/>
                                      </a:cubicBezTo>
                                      <a:cubicBezTo>
                                        <a:pt x="30" y="104"/>
                                        <a:pt x="30" y="104"/>
                                        <a:pt x="30" y="104"/>
                                      </a:cubicBezTo>
                                      <a:cubicBezTo>
                                        <a:pt x="30" y="107"/>
                                        <a:pt x="32" y="109"/>
                                        <a:pt x="35" y="109"/>
                                      </a:cubicBezTo>
                                      <a:moveTo>
                                        <a:pt x="64" y="26"/>
                                      </a:moveTo>
                                      <a:cubicBezTo>
                                        <a:pt x="61" y="26"/>
                                        <a:pt x="59" y="28"/>
                                        <a:pt x="59" y="31"/>
                                      </a:cubicBezTo>
                                      <a:cubicBezTo>
                                        <a:pt x="59" y="45"/>
                                        <a:pt x="59" y="45"/>
                                        <a:pt x="59" y="45"/>
                                      </a:cubicBezTo>
                                      <a:cubicBezTo>
                                        <a:pt x="40" y="65"/>
                                        <a:pt x="40" y="65"/>
                                        <a:pt x="40" y="65"/>
                                      </a:cubicBezTo>
                                      <a:cubicBezTo>
                                        <a:pt x="40" y="5"/>
                                        <a:pt x="40" y="5"/>
                                        <a:pt x="40" y="5"/>
                                      </a:cubicBezTo>
                                      <a:cubicBezTo>
                                        <a:pt x="40" y="2"/>
                                        <a:pt x="38" y="0"/>
                                        <a:pt x="35" y="0"/>
                                      </a:cubicBezTo>
                                      <a:cubicBezTo>
                                        <a:pt x="32" y="0"/>
                                        <a:pt x="30" y="2"/>
                                        <a:pt x="30" y="5"/>
                                      </a:cubicBezTo>
                                      <a:cubicBezTo>
                                        <a:pt x="30" y="65"/>
                                        <a:pt x="30" y="65"/>
                                        <a:pt x="30" y="65"/>
                                      </a:cubicBezTo>
                                      <a:cubicBezTo>
                                        <a:pt x="11" y="45"/>
                                        <a:pt x="11" y="45"/>
                                        <a:pt x="11" y="45"/>
                                      </a:cubicBezTo>
                                      <a:cubicBezTo>
                                        <a:pt x="11" y="31"/>
                                        <a:pt x="11" y="31"/>
                                        <a:pt x="11" y="31"/>
                                      </a:cubicBezTo>
                                      <a:cubicBezTo>
                                        <a:pt x="11" y="28"/>
                                        <a:pt x="8" y="26"/>
                                        <a:pt x="5" y="26"/>
                                      </a:cubicBezTo>
                                      <a:cubicBezTo>
                                        <a:pt x="3" y="26"/>
                                        <a:pt x="0" y="28"/>
                                        <a:pt x="0" y="31"/>
                                      </a:cubicBezTo>
                                      <a:cubicBezTo>
                                        <a:pt x="0" y="178"/>
                                        <a:pt x="0" y="178"/>
                                        <a:pt x="0" y="178"/>
                                      </a:cubicBezTo>
                                      <a:cubicBezTo>
                                        <a:pt x="0" y="182"/>
                                        <a:pt x="2" y="187"/>
                                        <a:pt x="5" y="190"/>
                                      </a:cubicBezTo>
                                      <a:cubicBezTo>
                                        <a:pt x="30" y="215"/>
                                        <a:pt x="30" y="215"/>
                                        <a:pt x="30" y="215"/>
                                      </a:cubicBezTo>
                                      <a:cubicBezTo>
                                        <a:pt x="30" y="311"/>
                                        <a:pt x="30" y="311"/>
                                        <a:pt x="30" y="311"/>
                                      </a:cubicBezTo>
                                      <a:cubicBezTo>
                                        <a:pt x="30" y="314"/>
                                        <a:pt x="32" y="316"/>
                                        <a:pt x="35" y="316"/>
                                      </a:cubicBezTo>
                                      <a:cubicBezTo>
                                        <a:pt x="38" y="316"/>
                                        <a:pt x="40" y="314"/>
                                        <a:pt x="40" y="311"/>
                                      </a:cubicBezTo>
                                      <a:cubicBezTo>
                                        <a:pt x="40" y="215"/>
                                        <a:pt x="40" y="215"/>
                                        <a:pt x="40" y="215"/>
                                      </a:cubicBezTo>
                                      <a:cubicBezTo>
                                        <a:pt x="65" y="189"/>
                                        <a:pt x="65" y="189"/>
                                        <a:pt x="65" y="189"/>
                                      </a:cubicBezTo>
                                      <a:cubicBezTo>
                                        <a:pt x="68" y="187"/>
                                        <a:pt x="69" y="183"/>
                                        <a:pt x="69" y="179"/>
                                      </a:cubicBezTo>
                                      <a:cubicBezTo>
                                        <a:pt x="69" y="31"/>
                                        <a:pt x="69" y="31"/>
                                        <a:pt x="69" y="31"/>
                                      </a:cubicBezTo>
                                      <a:cubicBezTo>
                                        <a:pt x="69" y="28"/>
                                        <a:pt x="67" y="26"/>
                                        <a:pt x="64" y="26"/>
                                      </a:cubicBezTo>
                                    </a:path>
                                  </a:pathLst>
                                </a:custGeom>
                                <a:grpFill/>
                                <a:ln w="9525">
                                  <a:noFill/>
                                  <a:round/>
                                  <a:headEnd/>
                                  <a:tailEnd/>
                                </a:ln>
                              </wps:spPr>
                              <wps:bodyPr rot="0" vert="horz" wrap="square" lIns="91440" tIns="45720" rIns="91440" bIns="45720" anchor="t" anchorCtr="0" upright="1">
                                <a:noAutofit/>
                              </wps:bodyPr>
                            </wps:wsp>
                          </wpg:wgp>
                        </a:graphicData>
                      </a:graphic>
                    </wp:inline>
                  </w:drawing>
                </mc:Choice>
                <mc:Fallback>
                  <w:pict>
                    <v:group w14:anchorId="1D5B66E9" id="Group 55" o:spid="_x0000_s1026" style="width:27.45pt;height:38pt;mso-position-horizontal-relative:char;mso-position-vertical-relative:line" coordorigin="1492,328" coordsize="7499,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">
                      <v:shape id="Freeform 10" o:spid="_x0000_s1027" style="position:absolute;left:6743;top:1839;width:2248;height:8871;visibility:visible;mso-wrap-style:square;v-text-anchor:top" coordsize="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" path="m40,170c59,150,59,150,59,150v,31,,31,,31c40,201,40,201,40,201r,-31xm10,150v20,20,20,20,20,20c30,201,30,201,30,201,10,181,10,181,10,181r,-31xm30,110c10,90,10,90,10,90v,-30,,-30,,-30c30,79,30,79,30,79r,31xm59,90c40,110,40,110,40,110v,-31,,-31,,-31c59,60,59,60,59,60r,30xm59,136c40,155,40,155,40,155v,-6,,-6,,-6c40,147,37,144,35,144v-3,,-5,3,-5,5c30,155,30,155,30,155,10,136,10,136,10,136v,-31,,-31,,-31c30,124,30,124,30,124v,27,,27,,27c30,154,32,156,35,156v2,,5,-2,5,-5c40,124,40,124,40,124,59,105,59,105,59,105r,31xm64,18v-3,,-5,2,-5,5c59,45,59,45,59,45,40,65,40,65,40,65,40,5,40,5,40,5,40,2,37,,35,,32,,30,2,30,5v,60,,60,,60c10,45,10,45,10,45v,-22,,-22,,-22c10,20,8,18,5,18,2,18,,20,,23,,179,,179,,179v,4,2,7,4,10c30,215,30,215,30,215v,50,,50,,50c30,268,32,270,35,270v2,,5,-2,5,-5c40,215,40,215,40,215,66,188,66,188,66,188v2,-2,3,-5,3,-8c69,23,69,23,69,23v,-3,-2,-5,-5,-5e" filled="f" stroked="f">
                        <v:path arrowok="t" o:connecttype="custom" o:connectlocs="130313,558541;192212,492831;192212,594682;130313,660393;130313,558541;32578,492831;97735,558541;97735,660393;32578,594682;32578,492831;97735,361409;32578,295698;32578,197132;97735,259557;97735,361409;192212,295698;130313,361409;130313,259557;192212,197132;192212,295698;192212,446833;130313,509258;130313,489545;114024,473117;97735,489545;97735,509258;32578,446833;32578,344981;97735,407407;97735,496116;114024,512544;130313,496116;130313,407407;192212,344981;192212,446833;208501,59140;192212,75567;192212,147849;130313,213560;130313,16428;114024,0;97735,16428;97735,213560;32578,147849;32578,75567;16289,59140;0,75567;0,588111;13031,620967;97735,706390;97735,870667;114024,887095;130313,870667;130313,706390;215017,617681;224790,591397;224790,75567;208501,59140" o:connectangles="0,0,0,0,0,0,0,0,0,0,0,0,0,0,0,0,0,0,0,0,0,0,0,0,0,0,0,0,0,0,0,0,0,0,0,0,0,0,0,0,0,0,0,0,0,0,0,0,0,0,0,0,0,0,0,0,0,0"/>
                        <o:lock v:ext="edit" verticies="t"/>
                      </v:shape>
                      <v:shape id="Freeform 11" o:spid="_x0000_s1028" style="position:absolute;left:1492;top:1839;width:2248;height:8871;visibility:visible;mso-wrap-style:square;v-text-anchor:top" coordsize="6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" path="m29,110c10,90,10,90,10,90v,-30,,-30,,-30c29,79,29,79,29,79r,31xm58,90c39,110,39,110,39,110v,-31,,-31,,-31c58,60,58,60,58,60m10,105v19,19,19,19,19,19c29,155,29,155,29,155,10,136,10,136,10,136t48,c39,155,39,155,39,155v,-31,,-31,,-31c58,105,58,105,58,105r,31xm34,189v-3,,-5,3,-5,6c29,201,29,201,29,201,10,181,10,181,10,181v,-31,,-31,,-31c29,170,29,170,29,170v,32,,32,,32c29,205,31,207,34,207v3,,5,-2,5,-5c39,170,39,170,39,170,58,150,58,150,58,150v,31,,31,,31c39,201,39,201,39,201v,-6,,-6,,-6c39,192,37,189,34,189m63,21v-2,,-5,2,-5,5c58,45,58,45,58,45,39,65,39,65,39,65,39,5,39,5,39,5,39,2,37,,34,,31,,29,2,29,5v,60,,60,,60c10,45,10,45,10,45v,-19,,-19,,-19c10,23,7,21,5,21,2,21,,23,,26,,177,,177,,177v,5,2,10,5,13c29,215,29,215,29,215v,50,,50,,50c29,268,31,270,34,270v3,,5,-2,5,-5c39,215,39,215,39,215,64,190,64,190,64,190v3,-3,5,-7,5,-11c69,26,69,26,69,26v,-3,-3,-5,-6,-5e" filled="f" stroked="f">
                        <v:path arrowok="t" o:connecttype="custom" o:connectlocs="94477,361409;32578,295698;32578,197132;94477,259557;94477,361409;188954,295698;127055,361409;127055,259557;188954,197132;32578,344981;94477,407407;94477,509258;32578,446833;188954,446833;127055,509258;127055,407407;188954,344981;188954,446833;110766,620967;94477,640680;94477,660393;32578,594682;32578,492831;94477,558541;94477,663678;110766,680106;127055,663678;127055,558541;188954,492831;188954,594682;127055,660393;127055,640680;110766,620967;205243,68996;188954,85424;188954,147849;127055,213560;127055,16428;110766,0;94477,16428;94477,213560;32578,147849;32578,85424;16289,68996;0,85424;0,581540;16289,624252;94477,706390;94477,870667;110766,887095;127055,870667;127055,706390;208501,624252;224790,588111;224790,85424;205243,68996" o:connectangles="0,0,0,0,0,0,0,0,0,0,0,0,0,0,0,0,0,0,0,0,0,0,0,0,0,0,0,0,0,0,0,0,0,0,0,0,0,0,0,0,0,0,0,0,0,0,0,0,0,0,0,0,0,0,0,0"/>
                        <o:lock v:ext="edit" verticies="t"/>
                      </v:shape>
                      <v:shape id="Freeform 12" o:spid="_x0000_s1029" style="position:absolute;left:4102;top:328;width:2248;height:10382;visibility:visible;mso-wrap-style:square;v-text-anchor:top" coordsize="6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" path="m40,170c59,150,59,150,59,150v,31,,31,,31c40,201,40,201,40,201r,-31xm11,150v19,20,19,20,19,20c30,201,30,201,30,201,11,181,11,181,11,181r,-31xm11,105v19,19,19,19,19,19c30,155,30,155,30,155,11,136,11,136,11,136r,-31xm59,136c40,155,40,155,40,155v,-31,,-31,,-31c59,105,59,105,59,105r,31xm35,109v3,,5,-2,5,-5c40,79,40,79,40,79,59,60,59,60,59,60v,30,,30,,30c40,110,40,110,40,110v,-6,,-6,,-6c40,101,38,99,35,99v-3,,-5,2,-5,5c30,110,30,110,30,110,11,90,11,90,11,90v,-30,,-30,,-30c30,79,30,79,30,79v,25,,25,,25c30,107,32,109,35,109m64,26v-3,,-5,2,-5,5c59,45,59,45,59,45,40,65,40,65,40,65,40,5,40,5,40,5,40,2,38,,35,,32,,30,2,30,5v,60,,60,,60c11,45,11,45,11,45v,-14,,-14,,-14c11,28,8,26,5,26,3,26,,28,,31,,178,,178,,178v,4,2,9,5,12c30,215,30,215,30,215v,96,,96,,96c30,314,32,316,35,316v3,,5,-2,5,-5c40,215,40,215,40,215,65,189,65,189,65,189v3,-2,4,-6,4,-10c69,31,69,31,69,31v,-3,-2,-5,-5,-5e" filled="f" stroked="f">
                        <v:path arrowok="t" o:connecttype="custom" o:connectlocs="130313,558539;192212,492828;192212,594680;130313,660390;130313,558539;35836,492828;97735,558539;97735,660390;35836,594680;35836,492828;35836,344980;97735,407405;97735,509256;35836,446831;35836,344980;192212,446831;130313,509256;130313,407405;192212,344980;192212,446831;114024,358122;130313,341694;130313,259556;192212,197131;192212,295697;130313,361407;130313,341694;114024,325267;97735,341694;97735,361407;35836,295697;35836,197131;97735,259556;97735,341694;114024,358122;208501,85424;192212,101851;192212,147848;130313,213559;130313,16428;114024,0;97735,16428;97735,213559;35836,147848;35836,101851;16289,85424;0,101851;0,584823;16289,624249;97735,706387;97735,1021797;114024,1038225;130313,1021797;130313,706387;211759,620964;224790,588108;224790,101851;208501,85424" o:connectangles="0,0,0,0,0,0,0,0,0,0,0,0,0,0,0,0,0,0,0,0,0,0,0,0,0,0,0,0,0,0,0,0,0,0,0,0,0,0,0,0,0,0,0,0,0,0,0,0,0,0,0,0,0,0,0,0,0,0"/>
                        <o:lock v:ext="edit" verticies="t"/>
                      </v:shape>
                      <w10:anchorlock/>
                    </v:group>
                  </w:pict>
                </mc:Fallback>
              </mc:AlternateContent>
            </w:r>
          </w:p>
          <w:p w14:paraId="4AA07160" w14:textId="77777777" w:rsidR="008331F6" w:rsidRPr="00A04E56" w:rsidRDefault="008331F6" w:rsidP="00A6722D">
            <w:pPr>
              <w:keepNext/>
              <w:jc w:val="center"/>
            </w:pPr>
            <w:r w:rsidRPr="00A04E56">
              <w:t xml:space="preserve">Number of </w:t>
            </w:r>
            <w:r w:rsidRPr="00A04E56">
              <w:rPr>
                <w:b/>
                <w:color w:val="3B98A7"/>
              </w:rPr>
              <w:t>farms</w:t>
            </w:r>
          </w:p>
          <w:p w14:paraId="082A455F" w14:textId="77777777" w:rsidR="008331F6" w:rsidRPr="00A04E56" w:rsidRDefault="008331F6" w:rsidP="00A6722D">
            <w:pPr>
              <w:keepNext/>
              <w:jc w:val="center"/>
            </w:pPr>
            <w:r w:rsidRPr="00A04E56">
              <w:t>(million)</w:t>
            </w:r>
          </w:p>
        </w:tc>
        <w:tc>
          <w:tcPr>
            <w:tcW w:w="2268" w:type="dxa"/>
            <w:tcBorders>
              <w:top w:val="single" w:sz="4" w:space="0" w:color="65BBC8"/>
              <w:left w:val="single" w:sz="4" w:space="0" w:color="65BBC8"/>
              <w:bottom w:val="single" w:sz="4" w:space="0" w:color="65BBC8"/>
              <w:right w:val="single" w:sz="4" w:space="0" w:color="65BBC8"/>
            </w:tcBorders>
            <w:vAlign w:val="center"/>
          </w:tcPr>
          <w:p w14:paraId="58B40AA7" w14:textId="77777777" w:rsidR="008331F6" w:rsidRPr="00A04E56" w:rsidRDefault="008331F6" w:rsidP="00A6722D">
            <w:pPr>
              <w:keepNext/>
              <w:spacing w:after="80"/>
              <w:jc w:val="center"/>
              <w:rPr>
                <w:b/>
              </w:rPr>
            </w:pPr>
            <w:r w:rsidRPr="00A04E56">
              <w:rPr>
                <w:noProof/>
                <w:lang w:val="fr-BE" w:eastAsia="fr-BE"/>
              </w:rPr>
              <mc:AlternateContent>
                <mc:Choice Requires="wpg">
                  <w:drawing>
                    <wp:inline distT="0" distB="0" distL="0" distR="0" wp14:anchorId="108CE799" wp14:editId="4771879B">
                      <wp:extent cx="529316" cy="400367"/>
                      <wp:effectExtent l="0" t="0" r="4445" b="0"/>
                      <wp:docPr id="14339" name="Group 14339"/>
                      <wp:cNvGraphicFramePr/>
                      <a:graphic xmlns:a="http://schemas.openxmlformats.org/drawingml/2006/main">
                        <a:graphicData uri="http://schemas.microsoft.com/office/word/2010/wordprocessingGroup">
                          <wpg:wgp>
                            <wpg:cNvGrpSpPr/>
                            <wpg:grpSpPr>
                              <a:xfrm>
                                <a:off x="0" y="0"/>
                                <a:ext cx="529316" cy="400367"/>
                                <a:chOff x="2025019" y="213798"/>
                                <a:chExt cx="1138555" cy="861060"/>
                              </a:xfrm>
                              <a:solidFill>
                                <a:srgbClr val="65BBC8"/>
                              </a:solidFill>
                            </wpg:grpSpPr>
                            <wps:wsp>
                              <wps:cNvPr id="14340" name="Freeform 13"/>
                              <wps:cNvSpPr>
                                <a:spLocks noEditPoints="1"/>
                              </wps:cNvSpPr>
                              <wps:spPr bwMode="auto">
                                <a:xfrm>
                                  <a:off x="2025019" y="555428"/>
                                  <a:ext cx="1138555" cy="519430"/>
                                </a:xfrm>
                                <a:custGeom>
                                  <a:avLst/>
                                  <a:gdLst>
                                    <a:gd name="T0" fmla="*/ 168 w 349"/>
                                    <a:gd name="T1" fmla="*/ 0 h 158"/>
                                    <a:gd name="T2" fmla="*/ 121 w 349"/>
                                    <a:gd name="T3" fmla="*/ 15 h 158"/>
                                    <a:gd name="T4" fmla="*/ 87 w 349"/>
                                    <a:gd name="T5" fmla="*/ 51 h 158"/>
                                    <a:gd name="T6" fmla="*/ 4 w 349"/>
                                    <a:gd name="T7" fmla="*/ 113 h 158"/>
                                    <a:gd name="T8" fmla="*/ 7 w 349"/>
                                    <a:gd name="T9" fmla="*/ 143 h 158"/>
                                    <a:gd name="T10" fmla="*/ 34 w 349"/>
                                    <a:gd name="T11" fmla="*/ 158 h 158"/>
                                    <a:gd name="T12" fmla="*/ 315 w 349"/>
                                    <a:gd name="T13" fmla="*/ 158 h 158"/>
                                    <a:gd name="T14" fmla="*/ 342 w 349"/>
                                    <a:gd name="T15" fmla="*/ 143 h 158"/>
                                    <a:gd name="T16" fmla="*/ 345 w 349"/>
                                    <a:gd name="T17" fmla="*/ 113 h 158"/>
                                    <a:gd name="T18" fmla="*/ 262 w 349"/>
                                    <a:gd name="T19" fmla="*/ 51 h 158"/>
                                    <a:gd name="T20" fmla="*/ 228 w 349"/>
                                    <a:gd name="T21" fmla="*/ 15 h 158"/>
                                    <a:gd name="T22" fmla="*/ 181 w 349"/>
                                    <a:gd name="T23" fmla="*/ 0 h 158"/>
                                    <a:gd name="T24" fmla="*/ 257 w 349"/>
                                    <a:gd name="T25" fmla="*/ 65 h 158"/>
                                    <a:gd name="T26" fmla="*/ 333 w 349"/>
                                    <a:gd name="T27" fmla="*/ 118 h 158"/>
                                    <a:gd name="T28" fmla="*/ 331 w 349"/>
                                    <a:gd name="T29" fmla="*/ 136 h 158"/>
                                    <a:gd name="T30" fmla="*/ 315 w 349"/>
                                    <a:gd name="T31" fmla="*/ 144 h 158"/>
                                    <a:gd name="T32" fmla="*/ 34 w 349"/>
                                    <a:gd name="T33" fmla="*/ 144 h 158"/>
                                    <a:gd name="T34" fmla="*/ 18 w 349"/>
                                    <a:gd name="T35" fmla="*/ 136 h 158"/>
                                    <a:gd name="T36" fmla="*/ 17 w 349"/>
                                    <a:gd name="T37" fmla="*/ 118 h 158"/>
                                    <a:gd name="T38" fmla="*/ 92 w 349"/>
                                    <a:gd name="T39" fmla="*/ 65 h 158"/>
                                    <a:gd name="T40" fmla="*/ 97 w 349"/>
                                    <a:gd name="T41" fmla="*/ 61 h 158"/>
                                    <a:gd name="T42" fmla="*/ 175 w 349"/>
                                    <a:gd name="T43" fmla="*/ 13 h 158"/>
                                    <a:gd name="T44" fmla="*/ 246 w 349"/>
                                    <a:gd name="T45" fmla="*/ 51 h 158"/>
                                    <a:gd name="T46" fmla="*/ 225 w 349"/>
                                    <a:gd name="T47" fmla="*/ 55 h 158"/>
                                    <a:gd name="T48" fmla="*/ 220 w 349"/>
                                    <a:gd name="T49" fmla="*/ 63 h 158"/>
                                    <a:gd name="T50" fmla="*/ 227 w 349"/>
                                    <a:gd name="T51" fmla="*/ 68 h 158"/>
                                    <a:gd name="T52" fmla="*/ 229 w 349"/>
                                    <a:gd name="T53" fmla="*/ 68 h 158"/>
                                    <a:gd name="T54" fmla="*/ 253 w 349"/>
                                    <a:gd name="T55" fmla="*/ 65 h 158"/>
                                    <a:gd name="T56" fmla="*/ 257 w 349"/>
                                    <a:gd name="T57" fmla="*/ 65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49" h="158">
                                      <a:moveTo>
                                        <a:pt x="168" y="0"/>
                                      </a:moveTo>
                                      <a:cubicBezTo>
                                        <a:pt x="151" y="1"/>
                                        <a:pt x="135" y="6"/>
                                        <a:pt x="121" y="15"/>
                                      </a:cubicBezTo>
                                      <a:cubicBezTo>
                                        <a:pt x="107" y="24"/>
                                        <a:pt x="95" y="37"/>
                                        <a:pt x="87" y="51"/>
                                      </a:cubicBezTo>
                                      <a:cubicBezTo>
                                        <a:pt x="50" y="55"/>
                                        <a:pt x="18" y="79"/>
                                        <a:pt x="4" y="113"/>
                                      </a:cubicBezTo>
                                      <a:cubicBezTo>
                                        <a:pt x="0" y="123"/>
                                        <a:pt x="1" y="134"/>
                                        <a:pt x="7" y="143"/>
                                      </a:cubicBezTo>
                                      <a:cubicBezTo>
                                        <a:pt x="13" y="152"/>
                                        <a:pt x="23" y="158"/>
                                        <a:pt x="34" y="158"/>
                                      </a:cubicBezTo>
                                      <a:cubicBezTo>
                                        <a:pt x="315" y="158"/>
                                        <a:pt x="315" y="158"/>
                                        <a:pt x="315" y="158"/>
                                      </a:cubicBezTo>
                                      <a:cubicBezTo>
                                        <a:pt x="326" y="158"/>
                                        <a:pt x="336" y="152"/>
                                        <a:pt x="342" y="143"/>
                                      </a:cubicBezTo>
                                      <a:cubicBezTo>
                                        <a:pt x="348" y="134"/>
                                        <a:pt x="349" y="123"/>
                                        <a:pt x="345" y="113"/>
                                      </a:cubicBezTo>
                                      <a:cubicBezTo>
                                        <a:pt x="331" y="79"/>
                                        <a:pt x="299" y="55"/>
                                        <a:pt x="262" y="51"/>
                                      </a:cubicBezTo>
                                      <a:cubicBezTo>
                                        <a:pt x="254" y="37"/>
                                        <a:pt x="242" y="24"/>
                                        <a:pt x="228" y="15"/>
                                      </a:cubicBezTo>
                                      <a:cubicBezTo>
                                        <a:pt x="214" y="6"/>
                                        <a:pt x="198" y="1"/>
                                        <a:pt x="181" y="0"/>
                                      </a:cubicBezTo>
                                      <a:moveTo>
                                        <a:pt x="257" y="65"/>
                                      </a:moveTo>
                                      <a:cubicBezTo>
                                        <a:pt x="291" y="67"/>
                                        <a:pt x="320" y="88"/>
                                        <a:pt x="333" y="118"/>
                                      </a:cubicBezTo>
                                      <a:cubicBezTo>
                                        <a:pt x="335" y="124"/>
                                        <a:pt x="334" y="130"/>
                                        <a:pt x="331" y="136"/>
                                      </a:cubicBezTo>
                                      <a:cubicBezTo>
                                        <a:pt x="327" y="141"/>
                                        <a:pt x="321" y="144"/>
                                        <a:pt x="315" y="144"/>
                                      </a:cubicBezTo>
                                      <a:cubicBezTo>
                                        <a:pt x="34" y="144"/>
                                        <a:pt x="34" y="144"/>
                                        <a:pt x="34" y="144"/>
                                      </a:cubicBezTo>
                                      <a:cubicBezTo>
                                        <a:pt x="28" y="144"/>
                                        <a:pt x="22" y="141"/>
                                        <a:pt x="18" y="136"/>
                                      </a:cubicBezTo>
                                      <a:cubicBezTo>
                                        <a:pt x="15" y="130"/>
                                        <a:pt x="14" y="124"/>
                                        <a:pt x="17" y="118"/>
                                      </a:cubicBezTo>
                                      <a:cubicBezTo>
                                        <a:pt x="29" y="88"/>
                                        <a:pt x="58" y="67"/>
                                        <a:pt x="92" y="65"/>
                                      </a:cubicBezTo>
                                      <a:cubicBezTo>
                                        <a:pt x="94" y="65"/>
                                        <a:pt x="96" y="63"/>
                                        <a:pt x="97" y="61"/>
                                      </a:cubicBezTo>
                                      <a:cubicBezTo>
                                        <a:pt x="112" y="32"/>
                                        <a:pt x="142" y="13"/>
                                        <a:pt x="175" y="13"/>
                                      </a:cubicBezTo>
                                      <a:cubicBezTo>
                                        <a:pt x="204" y="13"/>
                                        <a:pt x="230" y="27"/>
                                        <a:pt x="246" y="51"/>
                                      </a:cubicBezTo>
                                      <a:cubicBezTo>
                                        <a:pt x="239" y="52"/>
                                        <a:pt x="232" y="53"/>
                                        <a:pt x="225" y="55"/>
                                      </a:cubicBezTo>
                                      <a:cubicBezTo>
                                        <a:pt x="221" y="56"/>
                                        <a:pt x="219" y="60"/>
                                        <a:pt x="220" y="63"/>
                                      </a:cubicBezTo>
                                      <a:cubicBezTo>
                                        <a:pt x="221" y="66"/>
                                        <a:pt x="224" y="68"/>
                                        <a:pt x="227" y="68"/>
                                      </a:cubicBezTo>
                                      <a:cubicBezTo>
                                        <a:pt x="227" y="68"/>
                                        <a:pt x="228" y="68"/>
                                        <a:pt x="229" y="68"/>
                                      </a:cubicBezTo>
                                      <a:cubicBezTo>
                                        <a:pt x="236" y="66"/>
                                        <a:pt x="245" y="65"/>
                                        <a:pt x="253" y="65"/>
                                      </a:cubicBezTo>
                                      <a:lnTo>
                                        <a:pt x="257" y="6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1" name="Freeform 15"/>
                              <wps:cNvSpPr>
                                <a:spLocks noEditPoints="1"/>
                              </wps:cNvSpPr>
                              <wps:spPr bwMode="auto">
                                <a:xfrm>
                                  <a:off x="2347599" y="213798"/>
                                  <a:ext cx="528320" cy="354965"/>
                                </a:xfrm>
                                <a:custGeom>
                                  <a:avLst/>
                                  <a:gdLst>
                                    <a:gd name="T0" fmla="*/ 158 w 162"/>
                                    <a:gd name="T1" fmla="*/ 0 h 108"/>
                                    <a:gd name="T2" fmla="*/ 137 w 162"/>
                                    <a:gd name="T3" fmla="*/ 0 h 108"/>
                                    <a:gd name="T4" fmla="*/ 81 w 162"/>
                                    <a:gd name="T5" fmla="*/ 38 h 108"/>
                                    <a:gd name="T6" fmla="*/ 25 w 162"/>
                                    <a:gd name="T7" fmla="*/ 0 h 108"/>
                                    <a:gd name="T8" fmla="*/ 4 w 162"/>
                                    <a:gd name="T9" fmla="*/ 0 h 108"/>
                                    <a:gd name="T10" fmla="*/ 0 w 162"/>
                                    <a:gd name="T11" fmla="*/ 4 h 108"/>
                                    <a:gd name="T12" fmla="*/ 0 w 162"/>
                                    <a:gd name="T13" fmla="*/ 25 h 108"/>
                                    <a:gd name="T14" fmla="*/ 60 w 162"/>
                                    <a:gd name="T15" fmla="*/ 85 h 108"/>
                                    <a:gd name="T16" fmla="*/ 77 w 162"/>
                                    <a:gd name="T17" fmla="*/ 85 h 108"/>
                                    <a:gd name="T18" fmla="*/ 77 w 162"/>
                                    <a:gd name="T19" fmla="*/ 108 h 108"/>
                                    <a:gd name="T20" fmla="*/ 85 w 162"/>
                                    <a:gd name="T21" fmla="*/ 108 h 108"/>
                                    <a:gd name="T22" fmla="*/ 85 w 162"/>
                                    <a:gd name="T23" fmla="*/ 85 h 108"/>
                                    <a:gd name="T24" fmla="*/ 102 w 162"/>
                                    <a:gd name="T25" fmla="*/ 85 h 108"/>
                                    <a:gd name="T26" fmla="*/ 162 w 162"/>
                                    <a:gd name="T27" fmla="*/ 25 h 108"/>
                                    <a:gd name="T28" fmla="*/ 162 w 162"/>
                                    <a:gd name="T29" fmla="*/ 4 h 108"/>
                                    <a:gd name="T30" fmla="*/ 158 w 162"/>
                                    <a:gd name="T31" fmla="*/ 0 h 108"/>
                                    <a:gd name="T32" fmla="*/ 77 w 162"/>
                                    <a:gd name="T33" fmla="*/ 71 h 108"/>
                                    <a:gd name="T34" fmla="*/ 32 w 162"/>
                                    <a:gd name="T35" fmla="*/ 25 h 108"/>
                                    <a:gd name="T36" fmla="*/ 26 w 162"/>
                                    <a:gd name="T37" fmla="*/ 25 h 108"/>
                                    <a:gd name="T38" fmla="*/ 26 w 162"/>
                                    <a:gd name="T39" fmla="*/ 31 h 108"/>
                                    <a:gd name="T40" fmla="*/ 71 w 162"/>
                                    <a:gd name="T41" fmla="*/ 76 h 108"/>
                                    <a:gd name="T42" fmla="*/ 60 w 162"/>
                                    <a:gd name="T43" fmla="*/ 76 h 108"/>
                                    <a:gd name="T44" fmla="*/ 9 w 162"/>
                                    <a:gd name="T45" fmla="*/ 25 h 108"/>
                                    <a:gd name="T46" fmla="*/ 9 w 162"/>
                                    <a:gd name="T47" fmla="*/ 8 h 108"/>
                                    <a:gd name="T48" fmla="*/ 25 w 162"/>
                                    <a:gd name="T49" fmla="*/ 8 h 108"/>
                                    <a:gd name="T50" fmla="*/ 77 w 162"/>
                                    <a:gd name="T51" fmla="*/ 60 h 108"/>
                                    <a:gd name="T52" fmla="*/ 77 w 162"/>
                                    <a:gd name="T53" fmla="*/ 71 h 108"/>
                                    <a:gd name="T54" fmla="*/ 154 w 162"/>
                                    <a:gd name="T55" fmla="*/ 25 h 108"/>
                                    <a:gd name="T56" fmla="*/ 102 w 162"/>
                                    <a:gd name="T57" fmla="*/ 76 h 108"/>
                                    <a:gd name="T58" fmla="*/ 91 w 162"/>
                                    <a:gd name="T59" fmla="*/ 76 h 108"/>
                                    <a:gd name="T60" fmla="*/ 137 w 162"/>
                                    <a:gd name="T61" fmla="*/ 31 h 108"/>
                                    <a:gd name="T62" fmla="*/ 137 w 162"/>
                                    <a:gd name="T63" fmla="*/ 25 h 108"/>
                                    <a:gd name="T64" fmla="*/ 131 w 162"/>
                                    <a:gd name="T65" fmla="*/ 25 h 108"/>
                                    <a:gd name="T66" fmla="*/ 85 w 162"/>
                                    <a:gd name="T67" fmla="*/ 71 h 108"/>
                                    <a:gd name="T68" fmla="*/ 85 w 162"/>
                                    <a:gd name="T69" fmla="*/ 60 h 108"/>
                                    <a:gd name="T70" fmla="*/ 137 w 162"/>
                                    <a:gd name="T71" fmla="*/ 8 h 108"/>
                                    <a:gd name="T72" fmla="*/ 154 w 162"/>
                                    <a:gd name="T73" fmla="*/ 8 h 108"/>
                                    <a:gd name="T74" fmla="*/ 154 w 162"/>
                                    <a:gd name="T75" fmla="*/ 25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2" h="108">
                                      <a:moveTo>
                                        <a:pt x="158" y="0"/>
                                      </a:moveTo>
                                      <a:cubicBezTo>
                                        <a:pt x="137" y="0"/>
                                        <a:pt x="137" y="0"/>
                                        <a:pt x="137" y="0"/>
                                      </a:cubicBezTo>
                                      <a:cubicBezTo>
                                        <a:pt x="112" y="0"/>
                                        <a:pt x="90" y="16"/>
                                        <a:pt x="81" y="38"/>
                                      </a:cubicBezTo>
                                      <a:cubicBezTo>
                                        <a:pt x="72" y="16"/>
                                        <a:pt x="51" y="0"/>
                                        <a:pt x="25" y="0"/>
                                      </a:cubicBezTo>
                                      <a:cubicBezTo>
                                        <a:pt x="4" y="0"/>
                                        <a:pt x="4" y="0"/>
                                        <a:pt x="4" y="0"/>
                                      </a:cubicBezTo>
                                      <a:cubicBezTo>
                                        <a:pt x="2" y="0"/>
                                        <a:pt x="0" y="2"/>
                                        <a:pt x="0" y="4"/>
                                      </a:cubicBezTo>
                                      <a:cubicBezTo>
                                        <a:pt x="0" y="25"/>
                                        <a:pt x="0" y="25"/>
                                        <a:pt x="0" y="25"/>
                                      </a:cubicBezTo>
                                      <a:cubicBezTo>
                                        <a:pt x="0" y="58"/>
                                        <a:pt x="27" y="85"/>
                                        <a:pt x="60" y="85"/>
                                      </a:cubicBezTo>
                                      <a:cubicBezTo>
                                        <a:pt x="77" y="85"/>
                                        <a:pt x="77" y="85"/>
                                        <a:pt x="77" y="85"/>
                                      </a:cubicBezTo>
                                      <a:cubicBezTo>
                                        <a:pt x="77" y="108"/>
                                        <a:pt x="77" y="108"/>
                                        <a:pt x="77" y="108"/>
                                      </a:cubicBezTo>
                                      <a:cubicBezTo>
                                        <a:pt x="85" y="108"/>
                                        <a:pt x="85" y="108"/>
                                        <a:pt x="85" y="108"/>
                                      </a:cubicBezTo>
                                      <a:cubicBezTo>
                                        <a:pt x="85" y="85"/>
                                        <a:pt x="85" y="85"/>
                                        <a:pt x="85" y="85"/>
                                      </a:cubicBezTo>
                                      <a:cubicBezTo>
                                        <a:pt x="102" y="85"/>
                                        <a:pt x="102" y="85"/>
                                        <a:pt x="102" y="85"/>
                                      </a:cubicBezTo>
                                      <a:cubicBezTo>
                                        <a:pt x="135" y="85"/>
                                        <a:pt x="162" y="58"/>
                                        <a:pt x="162" y="25"/>
                                      </a:cubicBezTo>
                                      <a:cubicBezTo>
                                        <a:pt x="162" y="4"/>
                                        <a:pt x="162" y="4"/>
                                        <a:pt x="162" y="4"/>
                                      </a:cubicBezTo>
                                      <a:cubicBezTo>
                                        <a:pt x="162" y="2"/>
                                        <a:pt x="160" y="0"/>
                                        <a:pt x="158" y="0"/>
                                      </a:cubicBezTo>
                                      <a:close/>
                                      <a:moveTo>
                                        <a:pt x="77" y="71"/>
                                      </a:moveTo>
                                      <a:cubicBezTo>
                                        <a:pt x="32" y="25"/>
                                        <a:pt x="32" y="25"/>
                                        <a:pt x="32" y="25"/>
                                      </a:cubicBezTo>
                                      <a:cubicBezTo>
                                        <a:pt x="30" y="23"/>
                                        <a:pt x="27" y="23"/>
                                        <a:pt x="26" y="25"/>
                                      </a:cubicBezTo>
                                      <a:cubicBezTo>
                                        <a:pt x="24" y="27"/>
                                        <a:pt x="24" y="29"/>
                                        <a:pt x="26" y="31"/>
                                      </a:cubicBezTo>
                                      <a:cubicBezTo>
                                        <a:pt x="71" y="76"/>
                                        <a:pt x="71" y="76"/>
                                        <a:pt x="71" y="76"/>
                                      </a:cubicBezTo>
                                      <a:cubicBezTo>
                                        <a:pt x="60" y="76"/>
                                        <a:pt x="60" y="76"/>
                                        <a:pt x="60" y="76"/>
                                      </a:cubicBezTo>
                                      <a:cubicBezTo>
                                        <a:pt x="32" y="76"/>
                                        <a:pt x="9" y="53"/>
                                        <a:pt x="9" y="25"/>
                                      </a:cubicBezTo>
                                      <a:cubicBezTo>
                                        <a:pt x="9" y="8"/>
                                        <a:pt x="9" y="8"/>
                                        <a:pt x="9" y="8"/>
                                      </a:cubicBezTo>
                                      <a:cubicBezTo>
                                        <a:pt x="25" y="8"/>
                                        <a:pt x="25" y="8"/>
                                        <a:pt x="25" y="8"/>
                                      </a:cubicBezTo>
                                      <a:cubicBezTo>
                                        <a:pt x="54" y="8"/>
                                        <a:pt x="77" y="31"/>
                                        <a:pt x="77" y="60"/>
                                      </a:cubicBezTo>
                                      <a:lnTo>
                                        <a:pt x="77" y="71"/>
                                      </a:lnTo>
                                      <a:close/>
                                      <a:moveTo>
                                        <a:pt x="154" y="25"/>
                                      </a:moveTo>
                                      <a:cubicBezTo>
                                        <a:pt x="154" y="53"/>
                                        <a:pt x="130" y="76"/>
                                        <a:pt x="102" y="76"/>
                                      </a:cubicBezTo>
                                      <a:cubicBezTo>
                                        <a:pt x="91" y="76"/>
                                        <a:pt x="91" y="76"/>
                                        <a:pt x="91" y="76"/>
                                      </a:cubicBezTo>
                                      <a:cubicBezTo>
                                        <a:pt x="137" y="31"/>
                                        <a:pt x="137" y="31"/>
                                        <a:pt x="137" y="31"/>
                                      </a:cubicBezTo>
                                      <a:cubicBezTo>
                                        <a:pt x="138" y="29"/>
                                        <a:pt x="138" y="27"/>
                                        <a:pt x="137" y="25"/>
                                      </a:cubicBezTo>
                                      <a:cubicBezTo>
                                        <a:pt x="135" y="23"/>
                                        <a:pt x="132" y="23"/>
                                        <a:pt x="131" y="25"/>
                                      </a:cubicBezTo>
                                      <a:cubicBezTo>
                                        <a:pt x="85" y="71"/>
                                        <a:pt x="85" y="71"/>
                                        <a:pt x="85" y="71"/>
                                      </a:cubicBezTo>
                                      <a:cubicBezTo>
                                        <a:pt x="85" y="60"/>
                                        <a:pt x="85" y="60"/>
                                        <a:pt x="85" y="60"/>
                                      </a:cubicBezTo>
                                      <a:cubicBezTo>
                                        <a:pt x="85" y="31"/>
                                        <a:pt x="109" y="8"/>
                                        <a:pt x="137" y="8"/>
                                      </a:cubicBezTo>
                                      <a:cubicBezTo>
                                        <a:pt x="154" y="8"/>
                                        <a:pt x="154" y="8"/>
                                        <a:pt x="154" y="8"/>
                                      </a:cubicBezTo>
                                      <a:lnTo>
                                        <a:pt x="154" y="25"/>
                                      </a:lnTo>
                                      <a:close/>
                                    </a:path>
                                  </a:pathLst>
                                </a:custGeom>
                                <a:solidFill>
                                  <a:srgbClr val="65BBC8"/>
                                </a:solidFill>
                                <a:ln w="3175" cap="flat">
                                  <a:solidFill>
                                    <a:srgbClr val="65BBC8"/>
                                  </a:solidFill>
                                  <a:prstDash val="solid"/>
                                  <a:miter lim="800000"/>
                                  <a:headEnd/>
                                  <a:tailEnd/>
                                </a:ln>
                              </wps:spPr>
                              <wps:bodyPr rot="0" vert="horz" wrap="square" lIns="91440" tIns="45720" rIns="91440" bIns="45720" anchor="t" anchorCtr="0" upright="1">
                                <a:noAutofit/>
                              </wps:bodyPr>
                            </wps:wsp>
                          </wpg:wgp>
                        </a:graphicData>
                      </a:graphic>
                    </wp:inline>
                  </w:drawing>
                </mc:Choice>
                <mc:Fallback>
                  <w:pict>
                    <v:group w14:anchorId="00AF14D0" id="Group 14339" o:spid="_x0000_s1026" style="width:41.7pt;height:31.5pt;mso-position-horizontal-relative:char;mso-position-vertical-relative:line" coordorigin="20250,2137" coordsize="11385,8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">
                      <v:shape id="Freeform 13" o:spid="_x0000_s1027" style="position:absolute;left:20250;top:5554;width:11385;height:5194;visibility:visible;mso-wrap-style:square;v-text-anchor:top" coordsize="34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" path="m168,c151,1,135,6,121,15,107,24,95,37,87,51,50,55,18,79,4,113,,123,1,134,7,143v6,9,16,15,27,15c315,158,315,158,315,158v11,,21,-6,27,-15c348,134,349,123,345,113,331,79,299,55,262,51,254,37,242,24,228,15,214,6,198,1,181,t76,65c291,67,320,88,333,118v2,6,1,12,-2,18c327,141,321,144,315,144v-281,,-281,,-281,c28,144,22,141,18,136v-3,-6,-4,-12,-1,-18c29,88,58,67,92,65v2,,4,-2,5,-4c112,32,142,13,175,13v29,,55,14,71,38c239,52,232,53,225,55v-4,1,-6,5,-5,8c221,66,224,68,227,68v,,1,,2,c236,66,245,65,253,65r4,xe" filled="f" stroked="f">
                        <v:path arrowok="t" o:connecttype="custom" o:connectlocs="548072,0;394743,49313;283823,167664;13049,371491;22836,470117;110919,519430;1027636,519430;1115719,470117;1125506,371491;854732,167664;743812,49313;590483,0;838420,213690;1086358,387929;1079833,447104;1027636,473405;110919,473405;58722,447104;55460,387929;300135,213690;316447,200539;570909,42738;802534,167664;734025,180814;717714,207114;740550,223552;747075,223552;825371,213690;838420,213690" o:connectangles="0,0,0,0,0,0,0,0,0,0,0,0,0,0,0,0,0,0,0,0,0,0,0,0,0,0,0,0,0"/>
                        <o:lock v:ext="edit" verticies="t"/>
                      </v:shape>
                      <v:shape id="Freeform 15" o:spid="_x0000_s1028" style="position:absolute;left:23475;top:2137;width:5284;height:3550;visibility:visible;mso-wrap-style:square;v-text-anchor:top" coordsize="1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" path="m158,c137,,137,,137,,112,,90,16,81,38,72,16,51,,25,,4,,4,,4,,2,,,2,,4,,25,,25,,25,,58,27,85,60,85v17,,17,,17,c77,108,77,108,77,108v8,,8,,8,c85,85,85,85,85,85v17,,17,,17,c135,85,162,58,162,25v,-21,,-21,,-21c162,2,160,,158,xm77,71c32,25,32,25,32,25v-2,-2,-5,-2,-6,c24,27,24,29,26,31,71,76,71,76,71,76v-11,,-11,,-11,c32,76,9,53,9,25,9,8,9,8,9,8v16,,16,,16,c54,8,77,31,77,60r,11xm154,25v,28,-24,51,-52,51c91,76,91,76,91,76,137,31,137,31,137,31v1,-2,1,-4,,-6c135,23,132,23,131,25,85,71,85,71,85,71v,-11,,-11,,-11c85,31,109,8,137,8v17,,17,,17,l154,25xe" fillcolor="#65bbc8" strokecolor="#65bbc8" strokeweight=".25pt">
                        <v:stroke joinstyle="miter"/>
                        <v:path arrowok="t" o:connecttype="custom" o:connectlocs="515275,0;446789,0;264160,124895;81531,0;13045,0;0,13147;0,82168;195674,279371;251115,279371;251115,354965;277205,354965;277205,279371;332646,279371;528320,82168;528320,13147;515275,0;251115,233357;104360,82168;84792,82168;84792,101888;231548,249790;195674,249790;29351,82168;29351,26294;81531,26294;251115,197203;251115,233357;502230,82168;332646,249790;296772,249790;446789,101888;446789,82168;427222,82168;277205,233357;277205,197203;446789,26294;502230,26294;502230,82168" o:connectangles="0,0,0,0,0,0,0,0,0,0,0,0,0,0,0,0,0,0,0,0,0,0,0,0,0,0,0,0,0,0,0,0,0,0,0,0,0,0"/>
                        <o:lock v:ext="edit" verticies="t"/>
                      </v:shape>
                      <w10:anchorlock/>
                    </v:group>
                  </w:pict>
                </mc:Fallback>
              </mc:AlternateContent>
            </w:r>
          </w:p>
          <w:p w14:paraId="0E098AE7" w14:textId="77777777" w:rsidR="008331F6" w:rsidRPr="00A04E56" w:rsidRDefault="008331F6" w:rsidP="00A6722D">
            <w:pPr>
              <w:keepNext/>
              <w:jc w:val="center"/>
            </w:pPr>
            <w:r w:rsidRPr="00A04E56">
              <w:rPr>
                <w:b/>
                <w:color w:val="3B98A7"/>
              </w:rPr>
              <w:t>Farmland</w:t>
            </w:r>
            <w:r w:rsidRPr="00A04E56">
              <w:t xml:space="preserve"> managed</w:t>
            </w:r>
          </w:p>
          <w:p w14:paraId="1F22786B" w14:textId="77777777" w:rsidR="008331F6" w:rsidRPr="00A04E56" w:rsidRDefault="008331F6" w:rsidP="00A6722D">
            <w:pPr>
              <w:keepNext/>
              <w:jc w:val="center"/>
            </w:pPr>
            <w:r w:rsidRPr="00A04E56">
              <w:t>(million ha)</w:t>
            </w:r>
          </w:p>
        </w:tc>
        <w:tc>
          <w:tcPr>
            <w:tcW w:w="2268" w:type="dxa"/>
            <w:tcBorders>
              <w:top w:val="single" w:sz="4" w:space="0" w:color="65BBC8"/>
              <w:left w:val="single" w:sz="4" w:space="0" w:color="65BBC8"/>
              <w:bottom w:val="single" w:sz="4" w:space="0" w:color="65BBC8"/>
            </w:tcBorders>
            <w:vAlign w:val="center"/>
          </w:tcPr>
          <w:p w14:paraId="087252B4" w14:textId="77777777" w:rsidR="008331F6" w:rsidRPr="00A04E56" w:rsidRDefault="008331F6" w:rsidP="00A6722D">
            <w:pPr>
              <w:keepNext/>
              <w:spacing w:after="80"/>
              <w:jc w:val="center"/>
              <w:rPr>
                <w:b/>
              </w:rPr>
            </w:pPr>
            <w:r w:rsidRPr="00A04E56">
              <w:rPr>
                <w:noProof/>
                <w:lang w:val="fr-BE" w:eastAsia="fr-BE"/>
              </w:rPr>
              <mc:AlternateContent>
                <mc:Choice Requires="wpg">
                  <w:drawing>
                    <wp:inline distT="0" distB="0" distL="0" distR="0" wp14:anchorId="1D8EDE95" wp14:editId="696C0ED0">
                      <wp:extent cx="476179" cy="418671"/>
                      <wp:effectExtent l="0" t="0" r="19685" b="19685"/>
                      <wp:docPr id="14342" name="Group 14342"/>
                      <wp:cNvGraphicFramePr/>
                      <a:graphic xmlns:a="http://schemas.openxmlformats.org/drawingml/2006/main">
                        <a:graphicData uri="http://schemas.microsoft.com/office/word/2010/wordprocessingGroup">
                          <wpg:wgp>
                            <wpg:cNvGrpSpPr/>
                            <wpg:grpSpPr>
                              <a:xfrm>
                                <a:off x="0" y="0"/>
                                <a:ext cx="476179" cy="418671"/>
                                <a:chOff x="4549779" y="180778"/>
                                <a:chExt cx="1024255" cy="900430"/>
                              </a:xfrm>
                              <a:solidFill>
                                <a:srgbClr val="65BBC8"/>
                              </a:solidFill>
                              <a:effectLst/>
                            </wpg:grpSpPr>
                            <wps:wsp>
                              <wps:cNvPr id="14343" name="Freeform 14343"/>
                              <wps:cNvSpPr>
                                <a:spLocks noEditPoints="1"/>
                              </wps:cNvSpPr>
                              <wps:spPr bwMode="auto">
                                <a:xfrm>
                                  <a:off x="4549779" y="716718"/>
                                  <a:ext cx="1024255" cy="364490"/>
                                </a:xfrm>
                                <a:custGeom>
                                  <a:avLst/>
                                  <a:gdLst>
                                    <a:gd name="T0" fmla="*/ 314 w 314"/>
                                    <a:gd name="T1" fmla="*/ 50 h 111"/>
                                    <a:gd name="T2" fmla="*/ 314 w 314"/>
                                    <a:gd name="T3" fmla="*/ 49 h 111"/>
                                    <a:gd name="T4" fmla="*/ 313 w 314"/>
                                    <a:gd name="T5" fmla="*/ 48 h 111"/>
                                    <a:gd name="T6" fmla="*/ 313 w 314"/>
                                    <a:gd name="T7" fmla="*/ 47 h 111"/>
                                    <a:gd name="T8" fmla="*/ 312 w 314"/>
                                    <a:gd name="T9" fmla="*/ 46 h 111"/>
                                    <a:gd name="T10" fmla="*/ 311 w 314"/>
                                    <a:gd name="T11" fmla="*/ 46 h 111"/>
                                    <a:gd name="T12" fmla="*/ 240 w 314"/>
                                    <a:gd name="T13" fmla="*/ 11 h 111"/>
                                    <a:gd name="T14" fmla="*/ 134 w 314"/>
                                    <a:gd name="T15" fmla="*/ 30 h 111"/>
                                    <a:gd name="T16" fmla="*/ 124 w 314"/>
                                    <a:gd name="T17" fmla="*/ 49 h 111"/>
                                    <a:gd name="T18" fmla="*/ 140 w 314"/>
                                    <a:gd name="T19" fmla="*/ 63 h 111"/>
                                    <a:gd name="T20" fmla="*/ 189 w 314"/>
                                    <a:gd name="T21" fmla="*/ 60 h 111"/>
                                    <a:gd name="T22" fmla="*/ 188 w 314"/>
                                    <a:gd name="T23" fmla="*/ 49 h 111"/>
                                    <a:gd name="T24" fmla="*/ 140 w 314"/>
                                    <a:gd name="T25" fmla="*/ 52 h 111"/>
                                    <a:gd name="T26" fmla="*/ 138 w 314"/>
                                    <a:gd name="T27" fmla="*/ 41 h 111"/>
                                    <a:gd name="T28" fmla="*/ 191 w 314"/>
                                    <a:gd name="T29" fmla="*/ 22 h 111"/>
                                    <a:gd name="T30" fmla="*/ 267 w 314"/>
                                    <a:gd name="T31" fmla="*/ 37 h 111"/>
                                    <a:gd name="T32" fmla="*/ 222 w 314"/>
                                    <a:gd name="T33" fmla="*/ 74 h 111"/>
                                    <a:gd name="T34" fmla="*/ 126 w 314"/>
                                    <a:gd name="T35" fmla="*/ 92 h 111"/>
                                    <a:gd name="T36" fmla="*/ 14 w 314"/>
                                    <a:gd name="T37" fmla="*/ 26 h 111"/>
                                    <a:gd name="T38" fmla="*/ 131 w 314"/>
                                    <a:gd name="T39" fmla="*/ 61 h 111"/>
                                    <a:gd name="T40" fmla="*/ 134 w 314"/>
                                    <a:gd name="T41" fmla="*/ 50 h 111"/>
                                    <a:gd name="T42" fmla="*/ 23 w 314"/>
                                    <a:gd name="T43" fmla="*/ 12 h 111"/>
                                    <a:gd name="T44" fmla="*/ 11 w 314"/>
                                    <a:gd name="T45" fmla="*/ 43 h 111"/>
                                    <a:gd name="T46" fmla="*/ 155 w 314"/>
                                    <a:gd name="T47" fmla="*/ 106 h 111"/>
                                    <a:gd name="T48" fmla="*/ 244 w 314"/>
                                    <a:gd name="T49" fmla="*/ 88 h 111"/>
                                    <a:gd name="T50" fmla="*/ 280 w 314"/>
                                    <a:gd name="T51" fmla="*/ 111 h 111"/>
                                    <a:gd name="T52" fmla="*/ 281 w 314"/>
                                    <a:gd name="T53" fmla="*/ 111 h 111"/>
                                    <a:gd name="T54" fmla="*/ 281 w 314"/>
                                    <a:gd name="T55" fmla="*/ 111 h 111"/>
                                    <a:gd name="T56" fmla="*/ 282 w 314"/>
                                    <a:gd name="T57" fmla="*/ 111 h 111"/>
                                    <a:gd name="T58" fmla="*/ 283 w 314"/>
                                    <a:gd name="T59" fmla="*/ 111 h 111"/>
                                    <a:gd name="T60" fmla="*/ 284 w 314"/>
                                    <a:gd name="T61" fmla="*/ 111 h 111"/>
                                    <a:gd name="T62" fmla="*/ 285 w 314"/>
                                    <a:gd name="T63" fmla="*/ 111 h 111"/>
                                    <a:gd name="T64" fmla="*/ 285 w 314"/>
                                    <a:gd name="T65" fmla="*/ 111 h 111"/>
                                    <a:gd name="T66" fmla="*/ 286 w 314"/>
                                    <a:gd name="T67" fmla="*/ 110 h 111"/>
                                    <a:gd name="T68" fmla="*/ 287 w 314"/>
                                    <a:gd name="T69" fmla="*/ 110 h 111"/>
                                    <a:gd name="T70" fmla="*/ 287 w 314"/>
                                    <a:gd name="T71" fmla="*/ 109 h 111"/>
                                    <a:gd name="T72" fmla="*/ 288 w 314"/>
                                    <a:gd name="T73" fmla="*/ 108 h 111"/>
                                    <a:gd name="T74" fmla="*/ 288 w 314"/>
                                    <a:gd name="T75" fmla="*/ 108 h 111"/>
                                    <a:gd name="T76" fmla="*/ 314 w 314"/>
                                    <a:gd name="T77" fmla="*/ 53 h 111"/>
                                    <a:gd name="T78" fmla="*/ 314 w 314"/>
                                    <a:gd name="T79" fmla="*/ 52 h 111"/>
                                    <a:gd name="T80" fmla="*/ 314 w 314"/>
                                    <a:gd name="T81" fmla="*/ 51 h 111"/>
                                    <a:gd name="T82" fmla="*/ 301 w 314"/>
                                    <a:gd name="T83" fmla="*/ 54 h 111"/>
                                    <a:gd name="T84" fmla="*/ 260 w 314"/>
                                    <a:gd name="T85" fmla="*/ 84 h 111"/>
                                    <a:gd name="T86" fmla="*/ 301 w 314"/>
                                    <a:gd name="T87" fmla="*/ 54 h 111"/>
                                    <a:gd name="T88" fmla="*/ 301 w 314"/>
                                    <a:gd name="T89" fmla="*/ 54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4" h="111">
                                      <a:moveTo>
                                        <a:pt x="314" y="51"/>
                                      </a:moveTo>
                                      <a:cubicBezTo>
                                        <a:pt x="314" y="51"/>
                                        <a:pt x="314" y="50"/>
                                        <a:pt x="314" y="50"/>
                                      </a:cubicBezTo>
                                      <a:cubicBezTo>
                                        <a:pt x="314" y="50"/>
                                        <a:pt x="314" y="50"/>
                                        <a:pt x="314" y="50"/>
                                      </a:cubicBezTo>
                                      <a:cubicBezTo>
                                        <a:pt x="314" y="49"/>
                                        <a:pt x="314" y="49"/>
                                        <a:pt x="314" y="49"/>
                                      </a:cubicBezTo>
                                      <a:cubicBezTo>
                                        <a:pt x="314" y="49"/>
                                        <a:pt x="314" y="49"/>
                                        <a:pt x="314" y="49"/>
                                      </a:cubicBezTo>
                                      <a:cubicBezTo>
                                        <a:pt x="314" y="48"/>
                                        <a:pt x="313" y="48"/>
                                        <a:pt x="313" y="48"/>
                                      </a:cubicBezTo>
                                      <a:cubicBezTo>
                                        <a:pt x="313" y="48"/>
                                        <a:pt x="313" y="48"/>
                                        <a:pt x="313" y="48"/>
                                      </a:cubicBezTo>
                                      <a:cubicBezTo>
                                        <a:pt x="313" y="48"/>
                                        <a:pt x="313" y="47"/>
                                        <a:pt x="313" y="47"/>
                                      </a:cubicBezTo>
                                      <a:cubicBezTo>
                                        <a:pt x="313" y="47"/>
                                        <a:pt x="312" y="47"/>
                                        <a:pt x="312" y="47"/>
                                      </a:cubicBezTo>
                                      <a:cubicBezTo>
                                        <a:pt x="312" y="46"/>
                                        <a:pt x="312" y="46"/>
                                        <a:pt x="312" y="46"/>
                                      </a:cubicBezTo>
                                      <a:cubicBezTo>
                                        <a:pt x="312" y="46"/>
                                        <a:pt x="312" y="46"/>
                                        <a:pt x="311" y="46"/>
                                      </a:cubicBezTo>
                                      <a:cubicBezTo>
                                        <a:pt x="311" y="46"/>
                                        <a:pt x="311" y="46"/>
                                        <a:pt x="311" y="46"/>
                                      </a:cubicBezTo>
                                      <a:cubicBezTo>
                                        <a:pt x="241" y="11"/>
                                        <a:pt x="241" y="11"/>
                                        <a:pt x="241" y="11"/>
                                      </a:cubicBezTo>
                                      <a:cubicBezTo>
                                        <a:pt x="240" y="11"/>
                                        <a:pt x="240" y="11"/>
                                        <a:pt x="240" y="11"/>
                                      </a:cubicBezTo>
                                      <a:cubicBezTo>
                                        <a:pt x="239" y="10"/>
                                        <a:pt x="210" y="0"/>
                                        <a:pt x="186" y="11"/>
                                      </a:cubicBezTo>
                                      <a:cubicBezTo>
                                        <a:pt x="134" y="30"/>
                                        <a:pt x="134" y="30"/>
                                        <a:pt x="134" y="30"/>
                                      </a:cubicBezTo>
                                      <a:cubicBezTo>
                                        <a:pt x="134" y="30"/>
                                        <a:pt x="134" y="30"/>
                                        <a:pt x="133" y="30"/>
                                      </a:cubicBezTo>
                                      <a:cubicBezTo>
                                        <a:pt x="126" y="34"/>
                                        <a:pt x="122" y="41"/>
                                        <a:pt x="124" y="49"/>
                                      </a:cubicBezTo>
                                      <a:cubicBezTo>
                                        <a:pt x="125" y="57"/>
                                        <a:pt x="132" y="63"/>
                                        <a:pt x="140" y="63"/>
                                      </a:cubicBezTo>
                                      <a:cubicBezTo>
                                        <a:pt x="140" y="63"/>
                                        <a:pt x="140" y="63"/>
                                        <a:pt x="140" y="63"/>
                                      </a:cubicBezTo>
                                      <a:cubicBezTo>
                                        <a:pt x="140" y="63"/>
                                        <a:pt x="143" y="63"/>
                                        <a:pt x="167" y="62"/>
                                      </a:cubicBezTo>
                                      <a:cubicBezTo>
                                        <a:pt x="177" y="61"/>
                                        <a:pt x="188" y="60"/>
                                        <a:pt x="189" y="60"/>
                                      </a:cubicBezTo>
                                      <a:cubicBezTo>
                                        <a:pt x="192" y="60"/>
                                        <a:pt x="194" y="58"/>
                                        <a:pt x="194" y="55"/>
                                      </a:cubicBezTo>
                                      <a:cubicBezTo>
                                        <a:pt x="194" y="52"/>
                                        <a:pt x="192" y="49"/>
                                        <a:pt x="188" y="49"/>
                                      </a:cubicBezTo>
                                      <a:cubicBezTo>
                                        <a:pt x="188" y="49"/>
                                        <a:pt x="188" y="49"/>
                                        <a:pt x="166" y="50"/>
                                      </a:cubicBezTo>
                                      <a:cubicBezTo>
                                        <a:pt x="155" y="51"/>
                                        <a:pt x="142" y="52"/>
                                        <a:pt x="140" y="52"/>
                                      </a:cubicBezTo>
                                      <a:cubicBezTo>
                                        <a:pt x="136" y="52"/>
                                        <a:pt x="135" y="48"/>
                                        <a:pt x="135" y="47"/>
                                      </a:cubicBezTo>
                                      <a:cubicBezTo>
                                        <a:pt x="134" y="45"/>
                                        <a:pt x="135" y="42"/>
                                        <a:pt x="138" y="41"/>
                                      </a:cubicBezTo>
                                      <a:cubicBezTo>
                                        <a:pt x="190" y="22"/>
                                        <a:pt x="190" y="22"/>
                                        <a:pt x="190" y="22"/>
                                      </a:cubicBezTo>
                                      <a:cubicBezTo>
                                        <a:pt x="190" y="22"/>
                                        <a:pt x="191" y="22"/>
                                        <a:pt x="191" y="22"/>
                                      </a:cubicBezTo>
                                      <a:cubicBezTo>
                                        <a:pt x="209" y="13"/>
                                        <a:pt x="233" y="21"/>
                                        <a:pt x="236" y="22"/>
                                      </a:cubicBezTo>
                                      <a:cubicBezTo>
                                        <a:pt x="267" y="37"/>
                                        <a:pt x="267" y="37"/>
                                        <a:pt x="267" y="37"/>
                                      </a:cubicBezTo>
                                      <a:cubicBezTo>
                                        <a:pt x="250" y="78"/>
                                        <a:pt x="250" y="78"/>
                                        <a:pt x="250" y="78"/>
                                      </a:cubicBezTo>
                                      <a:cubicBezTo>
                                        <a:pt x="242" y="72"/>
                                        <a:pt x="231" y="71"/>
                                        <a:pt x="222" y="74"/>
                                      </a:cubicBezTo>
                                      <a:cubicBezTo>
                                        <a:pt x="151" y="95"/>
                                        <a:pt x="151" y="95"/>
                                        <a:pt x="151" y="95"/>
                                      </a:cubicBezTo>
                                      <a:cubicBezTo>
                                        <a:pt x="143" y="98"/>
                                        <a:pt x="134" y="97"/>
                                        <a:pt x="126" y="92"/>
                                      </a:cubicBezTo>
                                      <a:cubicBezTo>
                                        <a:pt x="16" y="33"/>
                                        <a:pt x="16" y="33"/>
                                        <a:pt x="16" y="33"/>
                                      </a:cubicBezTo>
                                      <a:cubicBezTo>
                                        <a:pt x="12" y="31"/>
                                        <a:pt x="14" y="27"/>
                                        <a:pt x="14" y="26"/>
                                      </a:cubicBezTo>
                                      <a:cubicBezTo>
                                        <a:pt x="14" y="25"/>
                                        <a:pt x="16" y="22"/>
                                        <a:pt x="20" y="23"/>
                                      </a:cubicBezTo>
                                      <a:cubicBezTo>
                                        <a:pt x="131" y="61"/>
                                        <a:pt x="131" y="61"/>
                                        <a:pt x="131" y="61"/>
                                      </a:cubicBezTo>
                                      <a:cubicBezTo>
                                        <a:pt x="134" y="62"/>
                                        <a:pt x="137" y="60"/>
                                        <a:pt x="138" y="57"/>
                                      </a:cubicBezTo>
                                      <a:cubicBezTo>
                                        <a:pt x="139" y="54"/>
                                        <a:pt x="137" y="51"/>
                                        <a:pt x="134" y="50"/>
                                      </a:cubicBezTo>
                                      <a:cubicBezTo>
                                        <a:pt x="23" y="12"/>
                                        <a:pt x="23" y="12"/>
                                        <a:pt x="23" y="12"/>
                                      </a:cubicBezTo>
                                      <a:cubicBezTo>
                                        <a:pt x="23" y="12"/>
                                        <a:pt x="23" y="12"/>
                                        <a:pt x="23" y="12"/>
                                      </a:cubicBezTo>
                                      <a:cubicBezTo>
                                        <a:pt x="15" y="10"/>
                                        <a:pt x="6" y="14"/>
                                        <a:pt x="3" y="22"/>
                                      </a:cubicBezTo>
                                      <a:cubicBezTo>
                                        <a:pt x="0" y="30"/>
                                        <a:pt x="3" y="39"/>
                                        <a:pt x="11" y="43"/>
                                      </a:cubicBezTo>
                                      <a:cubicBezTo>
                                        <a:pt x="121" y="103"/>
                                        <a:pt x="121" y="103"/>
                                        <a:pt x="121" y="103"/>
                                      </a:cubicBezTo>
                                      <a:cubicBezTo>
                                        <a:pt x="131" y="108"/>
                                        <a:pt x="144" y="110"/>
                                        <a:pt x="155" y="106"/>
                                      </a:cubicBezTo>
                                      <a:cubicBezTo>
                                        <a:pt x="225" y="85"/>
                                        <a:pt x="225" y="85"/>
                                        <a:pt x="225" y="85"/>
                                      </a:cubicBezTo>
                                      <a:cubicBezTo>
                                        <a:pt x="231" y="83"/>
                                        <a:pt x="238" y="84"/>
                                        <a:pt x="244" y="88"/>
                                      </a:cubicBezTo>
                                      <a:cubicBezTo>
                                        <a:pt x="280" y="110"/>
                                        <a:pt x="280" y="110"/>
                                        <a:pt x="280" y="110"/>
                                      </a:cubicBezTo>
                                      <a:cubicBezTo>
                                        <a:pt x="280" y="110"/>
                                        <a:pt x="280" y="110"/>
                                        <a:pt x="280" y="111"/>
                                      </a:cubicBezTo>
                                      <a:cubicBezTo>
                                        <a:pt x="280" y="111"/>
                                        <a:pt x="280" y="111"/>
                                        <a:pt x="280" y="111"/>
                                      </a:cubicBezTo>
                                      <a:cubicBezTo>
                                        <a:pt x="281" y="111"/>
                                        <a:pt x="281" y="111"/>
                                        <a:pt x="281" y="111"/>
                                      </a:cubicBezTo>
                                      <a:cubicBezTo>
                                        <a:pt x="281" y="111"/>
                                        <a:pt x="281" y="111"/>
                                        <a:pt x="281" y="111"/>
                                      </a:cubicBezTo>
                                      <a:cubicBezTo>
                                        <a:pt x="281" y="111"/>
                                        <a:pt x="281" y="111"/>
                                        <a:pt x="281" y="111"/>
                                      </a:cubicBezTo>
                                      <a:cubicBezTo>
                                        <a:pt x="281" y="111"/>
                                        <a:pt x="281" y="111"/>
                                        <a:pt x="282" y="111"/>
                                      </a:cubicBezTo>
                                      <a:cubicBezTo>
                                        <a:pt x="282" y="111"/>
                                        <a:pt x="282" y="111"/>
                                        <a:pt x="282" y="111"/>
                                      </a:cubicBezTo>
                                      <a:cubicBezTo>
                                        <a:pt x="282" y="111"/>
                                        <a:pt x="282" y="111"/>
                                        <a:pt x="282" y="111"/>
                                      </a:cubicBezTo>
                                      <a:cubicBezTo>
                                        <a:pt x="282" y="111"/>
                                        <a:pt x="283" y="111"/>
                                        <a:pt x="283" y="111"/>
                                      </a:cubicBezTo>
                                      <a:cubicBezTo>
                                        <a:pt x="283" y="111"/>
                                        <a:pt x="283" y="111"/>
                                        <a:pt x="284" y="111"/>
                                      </a:cubicBezTo>
                                      <a:cubicBezTo>
                                        <a:pt x="284" y="111"/>
                                        <a:pt x="284" y="111"/>
                                        <a:pt x="284" y="111"/>
                                      </a:cubicBezTo>
                                      <a:cubicBezTo>
                                        <a:pt x="284" y="111"/>
                                        <a:pt x="284" y="111"/>
                                        <a:pt x="284" y="111"/>
                                      </a:cubicBezTo>
                                      <a:cubicBezTo>
                                        <a:pt x="285" y="111"/>
                                        <a:pt x="285" y="111"/>
                                        <a:pt x="285" y="111"/>
                                      </a:cubicBezTo>
                                      <a:cubicBezTo>
                                        <a:pt x="285" y="111"/>
                                        <a:pt x="285" y="111"/>
                                        <a:pt x="285" y="111"/>
                                      </a:cubicBezTo>
                                      <a:cubicBezTo>
                                        <a:pt x="285" y="111"/>
                                        <a:pt x="285" y="111"/>
                                        <a:pt x="285" y="111"/>
                                      </a:cubicBezTo>
                                      <a:cubicBezTo>
                                        <a:pt x="286" y="110"/>
                                        <a:pt x="286" y="110"/>
                                        <a:pt x="286" y="110"/>
                                      </a:cubicBezTo>
                                      <a:cubicBezTo>
                                        <a:pt x="286" y="110"/>
                                        <a:pt x="286" y="110"/>
                                        <a:pt x="286" y="110"/>
                                      </a:cubicBezTo>
                                      <a:cubicBezTo>
                                        <a:pt x="286" y="110"/>
                                        <a:pt x="286" y="110"/>
                                        <a:pt x="286" y="110"/>
                                      </a:cubicBezTo>
                                      <a:cubicBezTo>
                                        <a:pt x="287" y="110"/>
                                        <a:pt x="287" y="110"/>
                                        <a:pt x="287" y="110"/>
                                      </a:cubicBezTo>
                                      <a:cubicBezTo>
                                        <a:pt x="287" y="109"/>
                                        <a:pt x="287" y="109"/>
                                        <a:pt x="287" y="109"/>
                                      </a:cubicBezTo>
                                      <a:cubicBezTo>
                                        <a:pt x="287" y="109"/>
                                        <a:pt x="287" y="109"/>
                                        <a:pt x="287" y="109"/>
                                      </a:cubicBezTo>
                                      <a:cubicBezTo>
                                        <a:pt x="287" y="109"/>
                                        <a:pt x="288" y="109"/>
                                        <a:pt x="288" y="109"/>
                                      </a:cubicBezTo>
                                      <a:cubicBezTo>
                                        <a:pt x="288" y="109"/>
                                        <a:pt x="288" y="109"/>
                                        <a:pt x="288" y="108"/>
                                      </a:cubicBezTo>
                                      <a:cubicBezTo>
                                        <a:pt x="288" y="108"/>
                                        <a:pt x="288" y="108"/>
                                        <a:pt x="288" y="108"/>
                                      </a:cubicBezTo>
                                      <a:cubicBezTo>
                                        <a:pt x="288" y="108"/>
                                        <a:pt x="288" y="108"/>
                                        <a:pt x="288" y="108"/>
                                      </a:cubicBezTo>
                                      <a:cubicBezTo>
                                        <a:pt x="288" y="108"/>
                                        <a:pt x="288" y="108"/>
                                        <a:pt x="288" y="108"/>
                                      </a:cubicBezTo>
                                      <a:cubicBezTo>
                                        <a:pt x="314" y="53"/>
                                        <a:pt x="314" y="53"/>
                                        <a:pt x="314" y="53"/>
                                      </a:cubicBezTo>
                                      <a:cubicBezTo>
                                        <a:pt x="314" y="53"/>
                                        <a:pt x="314" y="53"/>
                                        <a:pt x="314" y="53"/>
                                      </a:cubicBezTo>
                                      <a:cubicBezTo>
                                        <a:pt x="314" y="53"/>
                                        <a:pt x="314" y="53"/>
                                        <a:pt x="314" y="52"/>
                                      </a:cubicBezTo>
                                      <a:cubicBezTo>
                                        <a:pt x="314" y="52"/>
                                        <a:pt x="314" y="52"/>
                                        <a:pt x="314" y="52"/>
                                      </a:cubicBezTo>
                                      <a:cubicBezTo>
                                        <a:pt x="314" y="52"/>
                                        <a:pt x="314" y="52"/>
                                        <a:pt x="314" y="51"/>
                                      </a:cubicBezTo>
                                      <a:cubicBezTo>
                                        <a:pt x="314" y="51"/>
                                        <a:pt x="314" y="51"/>
                                        <a:pt x="314" y="51"/>
                                      </a:cubicBezTo>
                                      <a:close/>
                                      <a:moveTo>
                                        <a:pt x="301" y="54"/>
                                      </a:moveTo>
                                      <a:cubicBezTo>
                                        <a:pt x="280" y="97"/>
                                        <a:pt x="280" y="97"/>
                                        <a:pt x="280" y="97"/>
                                      </a:cubicBezTo>
                                      <a:cubicBezTo>
                                        <a:pt x="260" y="84"/>
                                        <a:pt x="260" y="84"/>
                                        <a:pt x="260" y="84"/>
                                      </a:cubicBezTo>
                                      <a:cubicBezTo>
                                        <a:pt x="278" y="42"/>
                                        <a:pt x="278" y="42"/>
                                        <a:pt x="278" y="42"/>
                                      </a:cubicBezTo>
                                      <a:lnTo>
                                        <a:pt x="301" y="54"/>
                                      </a:lnTo>
                                      <a:close/>
                                      <a:moveTo>
                                        <a:pt x="301" y="54"/>
                                      </a:moveTo>
                                      <a:cubicBezTo>
                                        <a:pt x="301" y="54"/>
                                        <a:pt x="301" y="54"/>
                                        <a:pt x="301" y="54"/>
                                      </a:cubicBezTo>
                                    </a:path>
                                  </a:pathLst>
                                </a:custGeom>
                                <a:grpFill/>
                                <a:ln w="3175" cap="flat">
                                  <a:solidFill>
                                    <a:srgbClr val="65BBC8"/>
                                  </a:solidFill>
                                  <a:prstDash val="solid"/>
                                  <a:miter lim="800000"/>
                                  <a:headEnd/>
                                  <a:tailEnd/>
                                </a:ln>
                              </wps:spPr>
                              <wps:bodyPr rot="0" vert="horz" wrap="square" lIns="91440" tIns="45720" rIns="91440" bIns="45720" anchor="t" anchorCtr="0" upright="1">
                                <a:noAutofit/>
                              </wps:bodyPr>
                            </wps:wsp>
                            <wps:wsp>
                              <wps:cNvPr id="14344" name="Freeform 8"/>
                              <wps:cNvSpPr>
                                <a:spLocks noEditPoints="1"/>
                              </wps:cNvSpPr>
                              <wps:spPr bwMode="auto">
                                <a:xfrm>
                                  <a:off x="4647569" y="180778"/>
                                  <a:ext cx="508635" cy="512445"/>
                                </a:xfrm>
                                <a:custGeom>
                                  <a:avLst/>
                                  <a:gdLst>
                                    <a:gd name="T0" fmla="*/ 78 w 156"/>
                                    <a:gd name="T1" fmla="*/ 156 h 156"/>
                                    <a:gd name="T2" fmla="*/ 156 w 156"/>
                                    <a:gd name="T3" fmla="*/ 78 h 156"/>
                                    <a:gd name="T4" fmla="*/ 78 w 156"/>
                                    <a:gd name="T5" fmla="*/ 0 h 156"/>
                                    <a:gd name="T6" fmla="*/ 0 w 156"/>
                                    <a:gd name="T7" fmla="*/ 78 h 156"/>
                                    <a:gd name="T8" fmla="*/ 78 w 156"/>
                                    <a:gd name="T9" fmla="*/ 156 h 156"/>
                                    <a:gd name="T10" fmla="*/ 78 w 156"/>
                                    <a:gd name="T11" fmla="*/ 10 h 156"/>
                                    <a:gd name="T12" fmla="*/ 146 w 156"/>
                                    <a:gd name="T13" fmla="*/ 78 h 156"/>
                                    <a:gd name="T14" fmla="*/ 78 w 156"/>
                                    <a:gd name="T15" fmla="*/ 146 h 156"/>
                                    <a:gd name="T16" fmla="*/ 10 w 156"/>
                                    <a:gd name="T17" fmla="*/ 78 h 156"/>
                                    <a:gd name="T18" fmla="*/ 78 w 156"/>
                                    <a:gd name="T19" fmla="*/ 10 h 156"/>
                                    <a:gd name="T20" fmla="*/ 78 w 156"/>
                                    <a:gd name="T21" fmla="*/ 10 h 156"/>
                                    <a:gd name="T22" fmla="*/ 78 w 156"/>
                                    <a:gd name="T23" fmla="*/ 1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6" h="156">
                                      <a:moveTo>
                                        <a:pt x="78" y="156"/>
                                      </a:moveTo>
                                      <a:cubicBezTo>
                                        <a:pt x="121" y="156"/>
                                        <a:pt x="156" y="121"/>
                                        <a:pt x="156" y="78"/>
                                      </a:cubicBezTo>
                                      <a:cubicBezTo>
                                        <a:pt x="156" y="35"/>
                                        <a:pt x="121" y="0"/>
                                        <a:pt x="78" y="0"/>
                                      </a:cubicBezTo>
                                      <a:cubicBezTo>
                                        <a:pt x="35" y="0"/>
                                        <a:pt x="0" y="35"/>
                                        <a:pt x="0" y="78"/>
                                      </a:cubicBezTo>
                                      <a:cubicBezTo>
                                        <a:pt x="0" y="121"/>
                                        <a:pt x="35" y="156"/>
                                        <a:pt x="78" y="156"/>
                                      </a:cubicBezTo>
                                      <a:close/>
                                      <a:moveTo>
                                        <a:pt x="78" y="10"/>
                                      </a:moveTo>
                                      <a:cubicBezTo>
                                        <a:pt x="116" y="10"/>
                                        <a:pt x="146" y="40"/>
                                        <a:pt x="146" y="78"/>
                                      </a:cubicBezTo>
                                      <a:cubicBezTo>
                                        <a:pt x="146" y="115"/>
                                        <a:pt x="116" y="146"/>
                                        <a:pt x="78" y="146"/>
                                      </a:cubicBezTo>
                                      <a:cubicBezTo>
                                        <a:pt x="40" y="146"/>
                                        <a:pt x="10" y="115"/>
                                        <a:pt x="10" y="78"/>
                                      </a:cubicBezTo>
                                      <a:cubicBezTo>
                                        <a:pt x="10" y="40"/>
                                        <a:pt x="40" y="10"/>
                                        <a:pt x="78" y="10"/>
                                      </a:cubicBezTo>
                                      <a:close/>
                                      <a:moveTo>
                                        <a:pt x="78" y="10"/>
                                      </a:moveTo>
                                      <a:cubicBezTo>
                                        <a:pt x="78" y="10"/>
                                        <a:pt x="78" y="10"/>
                                        <a:pt x="78" y="10"/>
                                      </a:cubicBezTo>
                                    </a:path>
                                  </a:pathLst>
                                </a:custGeom>
                                <a:grpFill/>
                                <a:ln w="3175" cap="flat">
                                  <a:solidFill>
                                    <a:srgbClr val="65BBC8"/>
                                  </a:solidFill>
                                  <a:prstDash val="solid"/>
                                  <a:miter lim="800000"/>
                                  <a:headEnd/>
                                  <a:tailEnd/>
                                </a:ln>
                              </wps:spPr>
                              <wps:bodyPr rot="0" vert="horz" wrap="square" lIns="91440" tIns="45720" rIns="91440" bIns="45720" anchor="t" anchorCtr="0" upright="1">
                                <a:noAutofit/>
                              </wps:bodyPr>
                            </wps:wsp>
                            <wps:wsp>
                              <wps:cNvPr id="14345" name="Freeform 9"/>
                              <wps:cNvSpPr>
                                <a:spLocks/>
                              </wps:cNvSpPr>
                              <wps:spPr bwMode="auto">
                                <a:xfrm>
                                  <a:off x="4791079" y="322383"/>
                                  <a:ext cx="198755" cy="249555"/>
                                </a:xfrm>
                                <a:custGeom>
                                  <a:avLst/>
                                  <a:gdLst>
                                    <a:gd name="T0" fmla="*/ 57 w 61"/>
                                    <a:gd name="T1" fmla="*/ 60 h 76"/>
                                    <a:gd name="T2" fmla="*/ 51 w 61"/>
                                    <a:gd name="T3" fmla="*/ 60 h 76"/>
                                    <a:gd name="T4" fmla="*/ 50 w 61"/>
                                    <a:gd name="T5" fmla="*/ 62 h 76"/>
                                    <a:gd name="T6" fmla="*/ 48 w 61"/>
                                    <a:gd name="T7" fmla="*/ 63 h 76"/>
                                    <a:gd name="T8" fmla="*/ 45 w 61"/>
                                    <a:gd name="T9" fmla="*/ 65 h 76"/>
                                    <a:gd name="T10" fmla="*/ 42 w 61"/>
                                    <a:gd name="T11" fmla="*/ 66 h 76"/>
                                    <a:gd name="T12" fmla="*/ 30 w 61"/>
                                    <a:gd name="T13" fmla="*/ 65 h 76"/>
                                    <a:gd name="T14" fmla="*/ 25 w 61"/>
                                    <a:gd name="T15" fmla="*/ 61 h 76"/>
                                    <a:gd name="T16" fmla="*/ 21 w 61"/>
                                    <a:gd name="T17" fmla="*/ 55 h 76"/>
                                    <a:gd name="T18" fmla="*/ 19 w 61"/>
                                    <a:gd name="T19" fmla="*/ 48 h 76"/>
                                    <a:gd name="T20" fmla="*/ 39 w 61"/>
                                    <a:gd name="T21" fmla="*/ 48 h 76"/>
                                    <a:gd name="T22" fmla="*/ 42 w 61"/>
                                    <a:gd name="T23" fmla="*/ 46 h 76"/>
                                    <a:gd name="T24" fmla="*/ 43 w 61"/>
                                    <a:gd name="T25" fmla="*/ 44 h 76"/>
                                    <a:gd name="T26" fmla="*/ 43 w 61"/>
                                    <a:gd name="T27" fmla="*/ 39 h 76"/>
                                    <a:gd name="T28" fmla="*/ 18 w 61"/>
                                    <a:gd name="T29" fmla="*/ 39 h 76"/>
                                    <a:gd name="T30" fmla="*/ 18 w 61"/>
                                    <a:gd name="T31" fmla="*/ 38 h 76"/>
                                    <a:gd name="T32" fmla="*/ 18 w 61"/>
                                    <a:gd name="T33" fmla="*/ 36 h 76"/>
                                    <a:gd name="T34" fmla="*/ 44 w 61"/>
                                    <a:gd name="T35" fmla="*/ 36 h 76"/>
                                    <a:gd name="T36" fmla="*/ 47 w 61"/>
                                    <a:gd name="T37" fmla="*/ 35 h 76"/>
                                    <a:gd name="T38" fmla="*/ 48 w 61"/>
                                    <a:gd name="T39" fmla="*/ 32 h 76"/>
                                    <a:gd name="T40" fmla="*/ 48 w 61"/>
                                    <a:gd name="T41" fmla="*/ 28 h 76"/>
                                    <a:gd name="T42" fmla="*/ 19 w 61"/>
                                    <a:gd name="T43" fmla="*/ 28 h 76"/>
                                    <a:gd name="T44" fmla="*/ 21 w 61"/>
                                    <a:gd name="T45" fmla="*/ 21 h 76"/>
                                    <a:gd name="T46" fmla="*/ 25 w 61"/>
                                    <a:gd name="T47" fmla="*/ 15 h 76"/>
                                    <a:gd name="T48" fmla="*/ 30 w 61"/>
                                    <a:gd name="T49" fmla="*/ 11 h 76"/>
                                    <a:gd name="T50" fmla="*/ 42 w 61"/>
                                    <a:gd name="T51" fmla="*/ 10 h 76"/>
                                    <a:gd name="T52" fmla="*/ 45 w 61"/>
                                    <a:gd name="T53" fmla="*/ 11 h 76"/>
                                    <a:gd name="T54" fmla="*/ 47 w 61"/>
                                    <a:gd name="T55" fmla="*/ 13 h 76"/>
                                    <a:gd name="T56" fmla="*/ 49 w 61"/>
                                    <a:gd name="T57" fmla="*/ 14 h 76"/>
                                    <a:gd name="T58" fmla="*/ 50 w 61"/>
                                    <a:gd name="T59" fmla="*/ 15 h 76"/>
                                    <a:gd name="T60" fmla="*/ 56 w 61"/>
                                    <a:gd name="T61" fmla="*/ 16 h 76"/>
                                    <a:gd name="T62" fmla="*/ 60 w 61"/>
                                    <a:gd name="T63" fmla="*/ 11 h 76"/>
                                    <a:gd name="T64" fmla="*/ 58 w 61"/>
                                    <a:gd name="T65" fmla="*/ 10 h 76"/>
                                    <a:gd name="T66" fmla="*/ 54 w 61"/>
                                    <a:gd name="T67" fmla="*/ 6 h 76"/>
                                    <a:gd name="T68" fmla="*/ 49 w 61"/>
                                    <a:gd name="T69" fmla="*/ 3 h 76"/>
                                    <a:gd name="T70" fmla="*/ 43 w 61"/>
                                    <a:gd name="T71" fmla="*/ 1 h 76"/>
                                    <a:gd name="T72" fmla="*/ 26 w 61"/>
                                    <a:gd name="T73" fmla="*/ 2 h 76"/>
                                    <a:gd name="T74" fmla="*/ 17 w 61"/>
                                    <a:gd name="T75" fmla="*/ 8 h 76"/>
                                    <a:gd name="T76" fmla="*/ 11 w 61"/>
                                    <a:gd name="T77" fmla="*/ 18 h 76"/>
                                    <a:gd name="T78" fmla="*/ 8 w 61"/>
                                    <a:gd name="T79" fmla="*/ 28 h 76"/>
                                    <a:gd name="T80" fmla="*/ 0 w 61"/>
                                    <a:gd name="T81" fmla="*/ 28 h 76"/>
                                    <a:gd name="T82" fmla="*/ 0 w 61"/>
                                    <a:gd name="T83" fmla="*/ 36 h 76"/>
                                    <a:gd name="T84" fmla="*/ 8 w 61"/>
                                    <a:gd name="T85" fmla="*/ 36 h 76"/>
                                    <a:gd name="T86" fmla="*/ 8 w 61"/>
                                    <a:gd name="T87" fmla="*/ 38 h 76"/>
                                    <a:gd name="T88" fmla="*/ 8 w 61"/>
                                    <a:gd name="T89" fmla="*/ 39 h 76"/>
                                    <a:gd name="T90" fmla="*/ 0 w 61"/>
                                    <a:gd name="T91" fmla="*/ 39 h 76"/>
                                    <a:gd name="T92" fmla="*/ 0 w 61"/>
                                    <a:gd name="T93" fmla="*/ 48 h 76"/>
                                    <a:gd name="T94" fmla="*/ 8 w 61"/>
                                    <a:gd name="T95" fmla="*/ 48 h 76"/>
                                    <a:gd name="T96" fmla="*/ 11 w 61"/>
                                    <a:gd name="T97" fmla="*/ 58 h 76"/>
                                    <a:gd name="T98" fmla="*/ 17 w 61"/>
                                    <a:gd name="T99" fmla="*/ 68 h 76"/>
                                    <a:gd name="T100" fmla="*/ 26 w 61"/>
                                    <a:gd name="T101" fmla="*/ 74 h 76"/>
                                    <a:gd name="T102" fmla="*/ 37 w 61"/>
                                    <a:gd name="T103" fmla="*/ 76 h 76"/>
                                    <a:gd name="T104" fmla="*/ 44 w 61"/>
                                    <a:gd name="T105" fmla="*/ 76 h 76"/>
                                    <a:gd name="T106" fmla="*/ 50 w 61"/>
                                    <a:gd name="T107" fmla="*/ 73 h 76"/>
                                    <a:gd name="T108" fmla="*/ 55 w 61"/>
                                    <a:gd name="T109" fmla="*/ 70 h 76"/>
                                    <a:gd name="T110" fmla="*/ 59 w 61"/>
                                    <a:gd name="T111" fmla="*/ 65 h 76"/>
                                    <a:gd name="T112" fmla="*/ 61 w 61"/>
                                    <a:gd name="T113" fmla="*/ 63 h 76"/>
                                    <a:gd name="T114" fmla="*/ 57 w 61"/>
                                    <a:gd name="T115" fmla="*/ 6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1" h="76">
                                      <a:moveTo>
                                        <a:pt x="57" y="60"/>
                                      </a:moveTo>
                                      <a:cubicBezTo>
                                        <a:pt x="55" y="58"/>
                                        <a:pt x="53" y="59"/>
                                        <a:pt x="51" y="60"/>
                                      </a:cubicBezTo>
                                      <a:cubicBezTo>
                                        <a:pt x="51" y="60"/>
                                        <a:pt x="50" y="61"/>
                                        <a:pt x="50" y="62"/>
                                      </a:cubicBezTo>
                                      <a:cubicBezTo>
                                        <a:pt x="49" y="62"/>
                                        <a:pt x="48" y="63"/>
                                        <a:pt x="48" y="63"/>
                                      </a:cubicBezTo>
                                      <a:cubicBezTo>
                                        <a:pt x="47" y="64"/>
                                        <a:pt x="46" y="65"/>
                                        <a:pt x="45" y="65"/>
                                      </a:cubicBezTo>
                                      <a:cubicBezTo>
                                        <a:pt x="44" y="66"/>
                                        <a:pt x="43" y="66"/>
                                        <a:pt x="42" y="66"/>
                                      </a:cubicBezTo>
                                      <a:cubicBezTo>
                                        <a:pt x="38" y="67"/>
                                        <a:pt x="34" y="67"/>
                                        <a:pt x="30" y="65"/>
                                      </a:cubicBezTo>
                                      <a:cubicBezTo>
                                        <a:pt x="28" y="65"/>
                                        <a:pt x="26" y="63"/>
                                        <a:pt x="25" y="61"/>
                                      </a:cubicBezTo>
                                      <a:cubicBezTo>
                                        <a:pt x="23" y="60"/>
                                        <a:pt x="22" y="57"/>
                                        <a:pt x="21" y="55"/>
                                      </a:cubicBezTo>
                                      <a:cubicBezTo>
                                        <a:pt x="20" y="53"/>
                                        <a:pt x="19" y="50"/>
                                        <a:pt x="19" y="48"/>
                                      </a:cubicBezTo>
                                      <a:cubicBezTo>
                                        <a:pt x="39" y="48"/>
                                        <a:pt x="39" y="48"/>
                                        <a:pt x="39" y="48"/>
                                      </a:cubicBezTo>
                                      <a:cubicBezTo>
                                        <a:pt x="41" y="48"/>
                                        <a:pt x="42" y="47"/>
                                        <a:pt x="42" y="46"/>
                                      </a:cubicBezTo>
                                      <a:cubicBezTo>
                                        <a:pt x="43" y="46"/>
                                        <a:pt x="43" y="45"/>
                                        <a:pt x="43" y="44"/>
                                      </a:cubicBezTo>
                                      <a:cubicBezTo>
                                        <a:pt x="43" y="39"/>
                                        <a:pt x="43" y="39"/>
                                        <a:pt x="43" y="39"/>
                                      </a:cubicBezTo>
                                      <a:cubicBezTo>
                                        <a:pt x="18" y="39"/>
                                        <a:pt x="18" y="39"/>
                                        <a:pt x="18" y="39"/>
                                      </a:cubicBezTo>
                                      <a:cubicBezTo>
                                        <a:pt x="18" y="38"/>
                                        <a:pt x="18" y="38"/>
                                        <a:pt x="18" y="38"/>
                                      </a:cubicBezTo>
                                      <a:cubicBezTo>
                                        <a:pt x="18" y="38"/>
                                        <a:pt x="18" y="37"/>
                                        <a:pt x="18" y="36"/>
                                      </a:cubicBezTo>
                                      <a:cubicBezTo>
                                        <a:pt x="44" y="36"/>
                                        <a:pt x="44" y="36"/>
                                        <a:pt x="44" y="36"/>
                                      </a:cubicBezTo>
                                      <a:cubicBezTo>
                                        <a:pt x="45" y="36"/>
                                        <a:pt x="46" y="35"/>
                                        <a:pt x="47" y="35"/>
                                      </a:cubicBezTo>
                                      <a:cubicBezTo>
                                        <a:pt x="48" y="34"/>
                                        <a:pt x="48" y="33"/>
                                        <a:pt x="48" y="32"/>
                                      </a:cubicBezTo>
                                      <a:cubicBezTo>
                                        <a:pt x="48" y="28"/>
                                        <a:pt x="48" y="28"/>
                                        <a:pt x="48" y="28"/>
                                      </a:cubicBezTo>
                                      <a:cubicBezTo>
                                        <a:pt x="19" y="28"/>
                                        <a:pt x="19" y="28"/>
                                        <a:pt x="19" y="28"/>
                                      </a:cubicBezTo>
                                      <a:cubicBezTo>
                                        <a:pt x="19" y="25"/>
                                        <a:pt x="20" y="23"/>
                                        <a:pt x="21" y="21"/>
                                      </a:cubicBezTo>
                                      <a:cubicBezTo>
                                        <a:pt x="22" y="19"/>
                                        <a:pt x="23" y="17"/>
                                        <a:pt x="25" y="15"/>
                                      </a:cubicBezTo>
                                      <a:cubicBezTo>
                                        <a:pt x="26" y="13"/>
                                        <a:pt x="28" y="12"/>
                                        <a:pt x="30" y="11"/>
                                      </a:cubicBezTo>
                                      <a:cubicBezTo>
                                        <a:pt x="34" y="10"/>
                                        <a:pt x="39" y="9"/>
                                        <a:pt x="42" y="10"/>
                                      </a:cubicBezTo>
                                      <a:cubicBezTo>
                                        <a:pt x="43" y="10"/>
                                        <a:pt x="44" y="11"/>
                                        <a:pt x="45" y="11"/>
                                      </a:cubicBezTo>
                                      <a:cubicBezTo>
                                        <a:pt x="46" y="12"/>
                                        <a:pt x="47" y="12"/>
                                        <a:pt x="47" y="13"/>
                                      </a:cubicBezTo>
                                      <a:cubicBezTo>
                                        <a:pt x="48" y="13"/>
                                        <a:pt x="49" y="14"/>
                                        <a:pt x="49" y="14"/>
                                      </a:cubicBezTo>
                                      <a:cubicBezTo>
                                        <a:pt x="50" y="15"/>
                                        <a:pt x="50" y="15"/>
                                        <a:pt x="50" y="15"/>
                                      </a:cubicBezTo>
                                      <a:cubicBezTo>
                                        <a:pt x="52" y="17"/>
                                        <a:pt x="54" y="17"/>
                                        <a:pt x="56" y="16"/>
                                      </a:cubicBezTo>
                                      <a:cubicBezTo>
                                        <a:pt x="60" y="11"/>
                                        <a:pt x="60" y="11"/>
                                        <a:pt x="60" y="11"/>
                                      </a:cubicBezTo>
                                      <a:cubicBezTo>
                                        <a:pt x="58" y="10"/>
                                        <a:pt x="58" y="10"/>
                                        <a:pt x="58" y="10"/>
                                      </a:cubicBezTo>
                                      <a:cubicBezTo>
                                        <a:pt x="57" y="8"/>
                                        <a:pt x="55" y="7"/>
                                        <a:pt x="54" y="6"/>
                                      </a:cubicBezTo>
                                      <a:cubicBezTo>
                                        <a:pt x="52" y="4"/>
                                        <a:pt x="51" y="3"/>
                                        <a:pt x="49" y="3"/>
                                      </a:cubicBezTo>
                                      <a:cubicBezTo>
                                        <a:pt x="47" y="2"/>
                                        <a:pt x="45" y="1"/>
                                        <a:pt x="43" y="1"/>
                                      </a:cubicBezTo>
                                      <a:cubicBezTo>
                                        <a:pt x="38" y="0"/>
                                        <a:pt x="31" y="0"/>
                                        <a:pt x="26" y="2"/>
                                      </a:cubicBezTo>
                                      <a:cubicBezTo>
                                        <a:pt x="23" y="4"/>
                                        <a:pt x="20" y="6"/>
                                        <a:pt x="17" y="8"/>
                                      </a:cubicBezTo>
                                      <a:cubicBezTo>
                                        <a:pt x="15" y="11"/>
                                        <a:pt x="13" y="14"/>
                                        <a:pt x="11" y="18"/>
                                      </a:cubicBezTo>
                                      <a:cubicBezTo>
                                        <a:pt x="10" y="21"/>
                                        <a:pt x="9" y="24"/>
                                        <a:pt x="8" y="28"/>
                                      </a:cubicBezTo>
                                      <a:cubicBezTo>
                                        <a:pt x="0" y="28"/>
                                        <a:pt x="0" y="28"/>
                                        <a:pt x="0" y="28"/>
                                      </a:cubicBezTo>
                                      <a:cubicBezTo>
                                        <a:pt x="0" y="36"/>
                                        <a:pt x="0" y="36"/>
                                        <a:pt x="0" y="36"/>
                                      </a:cubicBezTo>
                                      <a:cubicBezTo>
                                        <a:pt x="8" y="36"/>
                                        <a:pt x="8" y="36"/>
                                        <a:pt x="8" y="36"/>
                                      </a:cubicBezTo>
                                      <a:cubicBezTo>
                                        <a:pt x="8" y="37"/>
                                        <a:pt x="8" y="38"/>
                                        <a:pt x="8" y="38"/>
                                      </a:cubicBezTo>
                                      <a:cubicBezTo>
                                        <a:pt x="8" y="39"/>
                                        <a:pt x="8" y="39"/>
                                        <a:pt x="8" y="39"/>
                                      </a:cubicBezTo>
                                      <a:cubicBezTo>
                                        <a:pt x="0" y="39"/>
                                        <a:pt x="0" y="39"/>
                                        <a:pt x="0" y="39"/>
                                      </a:cubicBezTo>
                                      <a:cubicBezTo>
                                        <a:pt x="0" y="48"/>
                                        <a:pt x="0" y="48"/>
                                        <a:pt x="0" y="48"/>
                                      </a:cubicBezTo>
                                      <a:cubicBezTo>
                                        <a:pt x="8" y="48"/>
                                        <a:pt x="8" y="48"/>
                                        <a:pt x="8" y="48"/>
                                      </a:cubicBezTo>
                                      <a:cubicBezTo>
                                        <a:pt x="9" y="52"/>
                                        <a:pt x="10" y="55"/>
                                        <a:pt x="11" y="58"/>
                                      </a:cubicBezTo>
                                      <a:cubicBezTo>
                                        <a:pt x="12" y="62"/>
                                        <a:pt x="14" y="65"/>
                                        <a:pt x="17" y="68"/>
                                      </a:cubicBezTo>
                                      <a:cubicBezTo>
                                        <a:pt x="19" y="71"/>
                                        <a:pt x="22" y="73"/>
                                        <a:pt x="26" y="74"/>
                                      </a:cubicBezTo>
                                      <a:cubicBezTo>
                                        <a:pt x="29" y="76"/>
                                        <a:pt x="33" y="76"/>
                                        <a:pt x="37" y="76"/>
                                      </a:cubicBezTo>
                                      <a:cubicBezTo>
                                        <a:pt x="39" y="76"/>
                                        <a:pt x="42" y="76"/>
                                        <a:pt x="44" y="76"/>
                                      </a:cubicBezTo>
                                      <a:cubicBezTo>
                                        <a:pt x="46" y="75"/>
                                        <a:pt x="48" y="74"/>
                                        <a:pt x="50" y="73"/>
                                      </a:cubicBezTo>
                                      <a:cubicBezTo>
                                        <a:pt x="52" y="72"/>
                                        <a:pt x="53" y="71"/>
                                        <a:pt x="55" y="70"/>
                                      </a:cubicBezTo>
                                      <a:cubicBezTo>
                                        <a:pt x="56" y="68"/>
                                        <a:pt x="58" y="67"/>
                                        <a:pt x="59" y="65"/>
                                      </a:cubicBezTo>
                                      <a:cubicBezTo>
                                        <a:pt x="61" y="63"/>
                                        <a:pt x="61" y="63"/>
                                        <a:pt x="61" y="63"/>
                                      </a:cubicBezTo>
                                      <a:lnTo>
                                        <a:pt x="57" y="60"/>
                                      </a:lnTo>
                                      <a:close/>
                                    </a:path>
                                  </a:pathLst>
                                </a:custGeom>
                                <a:grpFill/>
                                <a:ln w="9525">
                                  <a:noFill/>
                                  <a:round/>
                                  <a:headEnd/>
                                  <a:tailEnd/>
                                </a:ln>
                              </wps:spPr>
                              <wps:bodyPr rot="0" vert="horz" wrap="square" lIns="91440" tIns="45720" rIns="91440" bIns="45720" anchor="t" anchorCtr="0" upright="1">
                                <a:noAutofit/>
                              </wps:bodyPr>
                            </wps:wsp>
                          </wpg:wgp>
                        </a:graphicData>
                      </a:graphic>
                    </wp:inline>
                  </w:drawing>
                </mc:Choice>
                <mc:Fallback>
                  <w:pict>
                    <v:group w14:anchorId="0DAB4520" id="Group 14342" o:spid="_x0000_s1026" style="width:37.5pt;height:32.95pt;mso-position-horizontal-relative:char;mso-position-vertical-relative:line" coordorigin="45497,1807" coordsize="10242,9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">
                      <v:shape id="Freeform 14343" o:spid="_x0000_s1027" style="position:absolute;left:45497;top:7167;width:10243;height:3645;visibility:visible;mso-wrap-style:square;v-text-anchor:top" coordsize="31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" path="m314,51v,,,-1,,-1c314,50,314,50,314,50v,-1,,-1,,-1c314,49,314,49,314,49v,-1,-1,-1,-1,-1c313,48,313,48,313,48v,,,-1,,-1c313,47,312,47,312,47v,-1,,-1,,-1c312,46,312,46,311,46v,,,,,c241,11,241,11,241,11v-1,,-1,,-1,c239,10,210,,186,11,134,30,134,30,134,30v,,,,-1,c126,34,122,41,124,49v1,8,8,14,16,14c140,63,140,63,140,63v,,3,,27,-1c177,61,188,60,189,60v3,,5,-2,5,-5c194,52,192,49,188,49v,,,,-22,1c155,51,142,52,140,52v-4,,-5,-4,-5,-5c134,45,135,42,138,41,190,22,190,22,190,22v,,1,,1,c209,13,233,21,236,22v31,15,31,15,31,15c250,78,250,78,250,78v-8,-6,-19,-7,-28,-4c151,95,151,95,151,95v-8,3,-17,2,-25,-3c16,33,16,33,16,33,12,31,14,27,14,26v,-1,2,-4,6,-3c131,61,131,61,131,61v3,1,6,-1,7,-4c139,54,137,51,134,50,23,12,23,12,23,12v,,,,,c15,10,6,14,3,22v-3,8,,17,8,21c121,103,121,103,121,103v10,5,23,7,34,3c225,85,225,85,225,85v6,-2,13,-1,19,3c280,110,280,110,280,110v,,,,,1c280,111,280,111,280,111v1,,1,,1,c281,111,281,111,281,111v,,,,,c281,111,281,111,282,111v,,,,,c282,111,282,111,282,111v,,1,,1,c283,111,283,111,284,111v,,,,,c284,111,284,111,284,111v1,,1,,1,c285,111,285,111,285,111v,,,,,c286,110,286,110,286,110v,,,,,c286,110,286,110,286,110v1,,1,,1,c287,109,287,109,287,109v,,,,,c287,109,288,109,288,109v,,,,,-1c288,108,288,108,288,108v,,,,,c288,108,288,108,288,108,314,53,314,53,314,53v,,,,,c314,53,314,53,314,52v,,,,,c314,52,314,52,314,51v,,,,,xm301,54c280,97,280,97,280,97,260,84,260,84,260,84,278,42,278,42,278,42r23,12xm301,54v,,,,,e" filled="f" strokecolor="#65bbc8" strokeweight=".25pt">
                        <v:stroke joinstyle="miter"/>
                        <v:path arrowok="t" o:connecttype="custom" o:connectlocs="1024255,164185;1024255,160901;1020993,157617;1020993,154334;1017731,151050;1014469,151050;782870,36121;437102,98511;404483,160901;456674,206873;616510,197022;613248,160901;456674,170752;450150,134631;623034,72241;870943,121497;724155,242993;411007,302100;45667,85376;427317,200305;437102,164185;75025,39404;35882,141199;505604,348072;795918,288965;913348,364490;916610,364490;916610,364490;919872,364490;923134,364490;926396,364490;929658,364490;929658,364490;932920,361206;936182,361206;936182,357923;939444,354639;939444,354639;1024255,174036;1024255,170752;1024255,167468;981850,177319;848109,275830;981850,177319;981850,177319" o:connectangles="0,0,0,0,0,0,0,0,0,0,0,0,0,0,0,0,0,0,0,0,0,0,0,0,0,0,0,0,0,0,0,0,0,0,0,0,0,0,0,0,0,0,0,0,0"/>
                        <o:lock v:ext="edit" verticies="t"/>
                      </v:shape>
                      <v:shape id="Freeform 8" o:spid="_x0000_s1028" style="position:absolute;left:46475;top:1807;width:5087;height:5125;visibility:visible;mso-wrap-style:square;v-text-anchor:top" coordsize="15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" path="m78,156v43,,78,-35,78,-78c156,35,121,,78,,35,,,35,,78v,43,35,78,78,78xm78,10v38,,68,30,68,68c146,115,116,146,78,146,40,146,10,115,10,78,10,40,40,10,78,10xm78,10v,,,,,e" filled="f" strokecolor="#65bbc8" strokeweight=".25pt">
                        <v:stroke joinstyle="miter"/>
                        <v:path arrowok="t" o:connecttype="custom" o:connectlocs="254318,512445;508635,256223;254318,0;0,256223;254318,512445;254318,32849;476030,256223;254318,479596;32605,256223;254318,32849;254318,32849;254318,32849" o:connectangles="0,0,0,0,0,0,0,0,0,0,0,0"/>
                        <o:lock v:ext="edit" verticies="t"/>
                      </v:shape>
                      <v:shape id="Freeform 9" o:spid="_x0000_s1029" style="position:absolute;left:47910;top:3223;width:1988;height:2496;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" path="m57,60v-2,-2,-4,-1,-6,c51,60,50,61,50,62v-1,,-2,1,-2,1c47,64,46,65,45,65v-1,1,-2,1,-3,1c38,67,34,67,30,65v-2,,-4,-2,-5,-4c23,60,22,57,21,55,20,53,19,50,19,48v20,,20,,20,c41,48,42,47,42,46v1,,1,-1,1,-2c43,39,43,39,43,39v-25,,-25,,-25,c18,38,18,38,18,38v,,,-1,,-2c44,36,44,36,44,36v1,,2,-1,3,-1c48,34,48,33,48,32v,-4,,-4,,-4c19,28,19,28,19,28v,-3,1,-5,2,-7c22,19,23,17,25,15v1,-2,3,-3,5,-4c34,10,39,9,42,10v1,,2,1,3,1c46,12,47,12,47,13v1,,2,1,2,1c50,15,50,15,50,15v2,2,4,2,6,1c60,11,60,11,60,11,58,10,58,10,58,10,57,8,55,7,54,6,52,4,51,3,49,3,47,2,45,1,43,1,38,,31,,26,2,23,4,20,6,17,8v-2,3,-4,6,-6,10c10,21,9,24,8,28,,28,,28,,28v,8,,8,,8c8,36,8,36,8,36v,1,,2,,2c8,39,8,39,8,39,,39,,39,,39v,9,,9,,9c8,48,8,48,8,48v1,4,2,7,3,10c12,62,14,65,17,68v2,3,5,5,9,6c29,76,33,76,37,76v2,,5,,7,c46,75,48,74,50,73v2,-1,3,-2,5,-3c56,68,58,67,59,65v2,-2,2,-2,2,-2l57,60xe" filled="f" stroked="f">
                        <v:path arrowok="t" o:connecttype="custom" o:connectlocs="185722,197017;166172,197017;162914,203584;156397,206868;146623,213435;136848,216719;97748,213435;81457,200301;68424,180599;61907,157614;127073,157614;136848,151046;140106,144479;140106,128061;58649,128061;58649,124778;58649,118210;143364,118210;153139,114927;156397,105076;156397,91941;61907,91941;68424,68956;81457,49254;97748,36120;136848,32836;146623,36120;153139,42687;159656,45971;162914,49254;182464,52538;195497,36120;188980,32836;175947,19702;159656,9851;140106,3284;84715,6567;55391,26269;35841,59105;26066,91941;0,91941;0,118210;26066,118210;26066,124778;26066,128061;0,128061;0,157614;26066,157614;35841,190450;55391,223286;84715,242988;120556,249555;143364,249555;162914,239704;179205,229853;192238,213435;198755,206868;185722,197017" o:connectangles="0,0,0,0,0,0,0,0,0,0,0,0,0,0,0,0,0,0,0,0,0,0,0,0,0,0,0,0,0,0,0,0,0,0,0,0,0,0,0,0,0,0,0,0,0,0,0,0,0,0,0,0,0,0,0,0,0,0"/>
                      </v:shape>
                      <w10:anchorlock/>
                    </v:group>
                  </w:pict>
                </mc:Fallback>
              </mc:AlternateContent>
            </w:r>
          </w:p>
          <w:p w14:paraId="24DB6EDA" w14:textId="77777777" w:rsidR="008331F6" w:rsidRPr="00A04E56" w:rsidRDefault="008331F6" w:rsidP="00A6722D">
            <w:pPr>
              <w:keepNext/>
              <w:jc w:val="center"/>
              <w:rPr>
                <w:b/>
                <w:color w:val="3B98A7"/>
              </w:rPr>
            </w:pPr>
            <w:r w:rsidRPr="00A04E56">
              <w:rPr>
                <w:b/>
                <w:color w:val="3B98A7"/>
              </w:rPr>
              <w:t>Direct support</w:t>
            </w:r>
          </w:p>
          <w:p w14:paraId="11386229" w14:textId="77777777" w:rsidR="008331F6" w:rsidRPr="00A04E56" w:rsidRDefault="008331F6" w:rsidP="00A6722D">
            <w:pPr>
              <w:keepNext/>
              <w:jc w:val="center"/>
            </w:pPr>
            <w:r w:rsidRPr="00A04E56">
              <w:t>(EUR billion)</w:t>
            </w:r>
          </w:p>
        </w:tc>
      </w:tr>
      <w:tr w:rsidR="0073126B" w:rsidRPr="00A04E56" w14:paraId="2F57DE7E" w14:textId="77777777" w:rsidTr="004D6FAB">
        <w:trPr>
          <w:cantSplit/>
          <w:trHeight w:val="1077"/>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14:paraId="0368783E" w14:textId="77777777" w:rsidR="008331F6" w:rsidRPr="00A04E56" w:rsidRDefault="008331F6" w:rsidP="00C65761">
            <w:pPr>
              <w:keepNext/>
              <w:jc w:val="right"/>
              <w:rPr>
                <w:b/>
                <w:color w:val="3B98A7"/>
              </w:rPr>
            </w:pPr>
            <w:r w:rsidRPr="00A04E56">
              <w:rPr>
                <w:b/>
                <w:color w:val="3B98A7"/>
              </w:rPr>
              <w:t>Small farms</w:t>
            </w:r>
          </w:p>
          <w:p w14:paraId="59D9A775" w14:textId="77777777" w:rsidR="008331F6" w:rsidRPr="00A04E56" w:rsidRDefault="008331F6" w:rsidP="00C65761">
            <w:pPr>
              <w:keepNext/>
              <w:jc w:val="right"/>
            </w:pPr>
            <w:r w:rsidRPr="00A04E56">
              <w:t>&lt;</w:t>
            </w:r>
            <w:r w:rsidRPr="00A04E56">
              <w:rPr>
                <w:rFonts w:ascii="Calibri" w:hAnsi="Calibri" w:cs="Calibri"/>
              </w:rPr>
              <w:t> </w:t>
            </w:r>
            <w:r w:rsidRPr="00A04E56">
              <w:t>5</w:t>
            </w:r>
            <w:r w:rsidRPr="00A04E56">
              <w:rPr>
                <w:rFonts w:ascii="Calibri" w:hAnsi="Calibri" w:cs="Calibri"/>
              </w:rPr>
              <w:t> </w:t>
            </w:r>
            <w:r w:rsidRPr="00A04E56">
              <w:t>hectares</w:t>
            </w:r>
          </w:p>
        </w:tc>
        <w:tc>
          <w:tcPr>
            <w:tcW w:w="2268" w:type="dxa"/>
            <w:tcBorders>
              <w:top w:val="single" w:sz="4" w:space="0" w:color="65BBC8"/>
              <w:left w:val="single" w:sz="4" w:space="0" w:color="65BBC8"/>
              <w:bottom w:val="single" w:sz="4" w:space="0" w:color="FFFFFF" w:themeColor="background1"/>
              <w:right w:val="single" w:sz="4" w:space="0" w:color="F2F2F2" w:themeColor="background1" w:themeShade="F2"/>
            </w:tcBorders>
            <w:shd w:val="clear" w:color="auto" w:fill="CBE8ED"/>
            <w:vAlign w:val="center"/>
          </w:tcPr>
          <w:p w14:paraId="0DFA118B" w14:textId="77777777" w:rsidR="008331F6" w:rsidRPr="00A04E56" w:rsidRDefault="008331F6" w:rsidP="00C65761">
            <w:pPr>
              <w:keepNext/>
              <w:jc w:val="center"/>
              <w:rPr>
                <w:b/>
                <w:sz w:val="24"/>
              </w:rPr>
            </w:pPr>
            <w:r w:rsidRPr="00A04E56">
              <w:rPr>
                <w:b/>
                <w:sz w:val="24"/>
              </w:rPr>
              <w:t>3.19</w:t>
            </w:r>
          </w:p>
          <w:p w14:paraId="4D7FB366" w14:textId="77777777" w:rsidR="008331F6" w:rsidRPr="00A04E56" w:rsidRDefault="008331F6" w:rsidP="00C65761">
            <w:pPr>
              <w:keepNext/>
              <w:jc w:val="center"/>
              <w:rPr>
                <w:sz w:val="24"/>
              </w:rPr>
            </w:pPr>
            <w:r w:rsidRPr="00A04E56">
              <w:rPr>
                <w:sz w:val="24"/>
              </w:rPr>
              <w:t>(49%)</w:t>
            </w:r>
          </w:p>
        </w:tc>
        <w:tc>
          <w:tcPr>
            <w:tcW w:w="2268" w:type="dxa"/>
            <w:tcBorders>
              <w:top w:val="single" w:sz="4" w:space="0" w:color="65BBC8"/>
              <w:left w:val="single" w:sz="4" w:space="0" w:color="F2F2F2" w:themeColor="background1" w:themeShade="F2"/>
              <w:bottom w:val="single" w:sz="4" w:space="0" w:color="FFFFFF" w:themeColor="background1"/>
              <w:right w:val="single" w:sz="4" w:space="0" w:color="F2F2F2" w:themeColor="background1" w:themeShade="F2"/>
            </w:tcBorders>
            <w:shd w:val="clear" w:color="auto" w:fill="CBE8ED"/>
            <w:vAlign w:val="center"/>
          </w:tcPr>
          <w:p w14:paraId="371228D8" w14:textId="77777777" w:rsidR="008331F6" w:rsidRPr="00A04E56" w:rsidRDefault="008331F6" w:rsidP="00C65761">
            <w:pPr>
              <w:keepNext/>
              <w:jc w:val="center"/>
              <w:rPr>
                <w:b/>
                <w:sz w:val="24"/>
              </w:rPr>
            </w:pPr>
            <w:r w:rsidRPr="00A04E56">
              <w:rPr>
                <w:b/>
                <w:sz w:val="24"/>
              </w:rPr>
              <w:t>7.4</w:t>
            </w:r>
          </w:p>
          <w:p w14:paraId="4EB5C9AC" w14:textId="77777777" w:rsidR="008331F6" w:rsidRPr="00A04E56" w:rsidRDefault="008331F6" w:rsidP="00C65761">
            <w:pPr>
              <w:keepNext/>
              <w:jc w:val="center"/>
              <w:rPr>
                <w:sz w:val="24"/>
              </w:rPr>
            </w:pPr>
            <w:r w:rsidRPr="00A04E56">
              <w:rPr>
                <w:sz w:val="24"/>
              </w:rPr>
              <w:t>(5%)</w:t>
            </w:r>
          </w:p>
        </w:tc>
        <w:tc>
          <w:tcPr>
            <w:tcW w:w="2268" w:type="dxa"/>
            <w:tcBorders>
              <w:top w:val="single" w:sz="4" w:space="0" w:color="65BBC8"/>
              <w:left w:val="single" w:sz="4" w:space="0" w:color="F2F2F2" w:themeColor="background1" w:themeShade="F2"/>
              <w:bottom w:val="single" w:sz="4" w:space="0" w:color="FFFFFF" w:themeColor="background1"/>
            </w:tcBorders>
            <w:shd w:val="clear" w:color="auto" w:fill="CBE8ED"/>
            <w:vAlign w:val="center"/>
          </w:tcPr>
          <w:p w14:paraId="2F06B835" w14:textId="77777777" w:rsidR="008331F6" w:rsidRPr="00A04E56" w:rsidRDefault="008331F6" w:rsidP="00C65761">
            <w:pPr>
              <w:keepNext/>
              <w:jc w:val="center"/>
              <w:rPr>
                <w:b/>
                <w:sz w:val="24"/>
              </w:rPr>
            </w:pPr>
            <w:r w:rsidRPr="00A04E56">
              <w:rPr>
                <w:b/>
                <w:sz w:val="24"/>
              </w:rPr>
              <w:t>2.3</w:t>
            </w:r>
          </w:p>
          <w:p w14:paraId="2FD5923C" w14:textId="77777777" w:rsidR="008331F6" w:rsidRPr="00A04E56" w:rsidRDefault="008331F6" w:rsidP="00C65761">
            <w:pPr>
              <w:keepNext/>
              <w:jc w:val="center"/>
              <w:rPr>
                <w:sz w:val="24"/>
              </w:rPr>
            </w:pPr>
            <w:r w:rsidRPr="00A04E56">
              <w:rPr>
                <w:sz w:val="24"/>
              </w:rPr>
              <w:t>(6%)</w:t>
            </w:r>
          </w:p>
        </w:tc>
      </w:tr>
      <w:tr w:rsidR="0073126B" w:rsidRPr="00A04E56" w14:paraId="0A9E3858" w14:textId="77777777" w:rsidTr="004D6FAB">
        <w:trPr>
          <w:cantSplit/>
          <w:trHeight w:val="1077"/>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14:paraId="58FF4151" w14:textId="77777777" w:rsidR="008331F6" w:rsidRPr="00A04E56" w:rsidRDefault="008331F6" w:rsidP="00C65761">
            <w:pPr>
              <w:keepNext/>
              <w:jc w:val="right"/>
              <w:rPr>
                <w:b/>
                <w:color w:val="3B98A7"/>
              </w:rPr>
            </w:pPr>
            <w:r w:rsidRPr="00A04E56">
              <w:rPr>
                <w:b/>
                <w:color w:val="3B98A7"/>
              </w:rPr>
              <w:t xml:space="preserve">Professional </w:t>
            </w:r>
          </w:p>
          <w:p w14:paraId="5379AD72" w14:textId="77777777" w:rsidR="008331F6" w:rsidRPr="00A04E56" w:rsidRDefault="008331F6" w:rsidP="00C65761">
            <w:pPr>
              <w:keepNext/>
              <w:jc w:val="right"/>
              <w:rPr>
                <w:b/>
                <w:color w:val="3B98A7"/>
              </w:rPr>
            </w:pPr>
            <w:r w:rsidRPr="00A04E56">
              <w:rPr>
                <w:b/>
                <w:color w:val="3B98A7"/>
              </w:rPr>
              <w:t>(family) farms</w:t>
            </w:r>
          </w:p>
          <w:p w14:paraId="7DFFD344" w14:textId="77777777" w:rsidR="008331F6" w:rsidRPr="00A04E56" w:rsidRDefault="008331F6" w:rsidP="00C65761">
            <w:pPr>
              <w:keepNext/>
              <w:jc w:val="right"/>
            </w:pPr>
            <w:r w:rsidRPr="00A04E56">
              <w:t>5-250</w:t>
            </w:r>
            <w:r w:rsidRPr="00A04E56">
              <w:rPr>
                <w:rFonts w:ascii="Calibri" w:hAnsi="Calibri" w:cs="Calibri"/>
              </w:rPr>
              <w:t> </w:t>
            </w:r>
            <w:r w:rsidRPr="00A04E56">
              <w:t>hectares</w:t>
            </w:r>
          </w:p>
        </w:tc>
        <w:tc>
          <w:tcPr>
            <w:tcW w:w="2268" w:type="dxa"/>
            <w:tcBorders>
              <w:top w:val="single" w:sz="4" w:space="0" w:color="FFFFFF" w:themeColor="background1"/>
              <w:left w:val="single" w:sz="4" w:space="0" w:color="65BBC8"/>
              <w:bottom w:val="single" w:sz="4" w:space="0" w:color="FFFFFF" w:themeColor="background1"/>
              <w:right w:val="single" w:sz="4" w:space="0" w:color="F2F2F2" w:themeColor="background1" w:themeShade="F2"/>
            </w:tcBorders>
            <w:shd w:val="clear" w:color="auto" w:fill="CBE8ED"/>
            <w:vAlign w:val="center"/>
          </w:tcPr>
          <w:p w14:paraId="5A58C446" w14:textId="77777777" w:rsidR="008331F6" w:rsidRPr="00A04E56" w:rsidRDefault="008331F6" w:rsidP="00C65761">
            <w:pPr>
              <w:keepNext/>
              <w:jc w:val="center"/>
              <w:rPr>
                <w:b/>
                <w:sz w:val="24"/>
              </w:rPr>
            </w:pPr>
            <w:r w:rsidRPr="00A04E56">
              <w:rPr>
                <w:b/>
                <w:sz w:val="24"/>
              </w:rPr>
              <w:t>3.25</w:t>
            </w:r>
          </w:p>
          <w:p w14:paraId="1A6E92EA" w14:textId="77777777" w:rsidR="008331F6" w:rsidRPr="00A04E56" w:rsidRDefault="008331F6" w:rsidP="00C65761">
            <w:pPr>
              <w:keepNext/>
              <w:jc w:val="center"/>
              <w:rPr>
                <w:sz w:val="24"/>
              </w:rPr>
            </w:pPr>
            <w:r w:rsidRPr="00A04E56">
              <w:rPr>
                <w:sz w:val="24"/>
              </w:rPr>
              <w:t>(50%)</w:t>
            </w:r>
          </w:p>
        </w:tc>
        <w:tc>
          <w:tcPr>
            <w:tcW w:w="2268" w:type="dxa"/>
            <w:tcBorders>
              <w:top w:val="single" w:sz="4" w:space="0" w:color="FFFFFF" w:themeColor="background1"/>
              <w:left w:val="single" w:sz="4" w:space="0" w:color="F2F2F2" w:themeColor="background1" w:themeShade="F2"/>
              <w:bottom w:val="single" w:sz="4" w:space="0" w:color="FFFFFF" w:themeColor="background1"/>
              <w:right w:val="single" w:sz="4" w:space="0" w:color="F2F2F2" w:themeColor="background1" w:themeShade="F2"/>
            </w:tcBorders>
            <w:shd w:val="clear" w:color="auto" w:fill="CBE8ED"/>
            <w:vAlign w:val="center"/>
          </w:tcPr>
          <w:p w14:paraId="1F06DA8D" w14:textId="77777777" w:rsidR="008331F6" w:rsidRPr="00A04E56" w:rsidRDefault="008331F6" w:rsidP="00C65761">
            <w:pPr>
              <w:keepNext/>
              <w:jc w:val="center"/>
              <w:rPr>
                <w:b/>
                <w:sz w:val="24"/>
              </w:rPr>
            </w:pPr>
            <w:r w:rsidRPr="00A04E56">
              <w:rPr>
                <w:b/>
                <w:sz w:val="24"/>
              </w:rPr>
              <w:t>107.0</w:t>
            </w:r>
          </w:p>
          <w:p w14:paraId="64FB07E5" w14:textId="77777777" w:rsidR="008331F6" w:rsidRPr="00A04E56" w:rsidRDefault="008331F6" w:rsidP="00C65761">
            <w:pPr>
              <w:keepNext/>
              <w:jc w:val="center"/>
              <w:rPr>
                <w:sz w:val="24"/>
              </w:rPr>
            </w:pPr>
            <w:r w:rsidRPr="00A04E56">
              <w:rPr>
                <w:sz w:val="24"/>
              </w:rPr>
              <w:t>(67%)</w:t>
            </w:r>
          </w:p>
        </w:tc>
        <w:tc>
          <w:tcPr>
            <w:tcW w:w="2268" w:type="dxa"/>
            <w:tcBorders>
              <w:top w:val="single" w:sz="4" w:space="0" w:color="FFFFFF" w:themeColor="background1"/>
              <w:left w:val="single" w:sz="4" w:space="0" w:color="F2F2F2" w:themeColor="background1" w:themeShade="F2"/>
              <w:bottom w:val="single" w:sz="4" w:space="0" w:color="FFFFFF" w:themeColor="background1"/>
            </w:tcBorders>
            <w:shd w:val="clear" w:color="auto" w:fill="CBE8ED"/>
            <w:vAlign w:val="center"/>
          </w:tcPr>
          <w:p w14:paraId="0D6AD0A2" w14:textId="77777777" w:rsidR="008331F6" w:rsidRPr="00A04E56" w:rsidRDefault="008331F6" w:rsidP="00C65761">
            <w:pPr>
              <w:keepNext/>
              <w:jc w:val="center"/>
              <w:rPr>
                <w:b/>
                <w:sz w:val="24"/>
              </w:rPr>
            </w:pPr>
            <w:r w:rsidRPr="00A04E56">
              <w:rPr>
                <w:b/>
                <w:sz w:val="24"/>
              </w:rPr>
              <w:t>29.3</w:t>
            </w:r>
          </w:p>
          <w:p w14:paraId="55D294AB" w14:textId="77777777" w:rsidR="008331F6" w:rsidRPr="00A04E56" w:rsidRDefault="008331F6" w:rsidP="00C65761">
            <w:pPr>
              <w:keepNext/>
              <w:jc w:val="center"/>
              <w:rPr>
                <w:sz w:val="24"/>
              </w:rPr>
            </w:pPr>
            <w:r w:rsidRPr="00A04E56">
              <w:rPr>
                <w:sz w:val="24"/>
              </w:rPr>
              <w:t>(71%)</w:t>
            </w:r>
          </w:p>
        </w:tc>
      </w:tr>
      <w:tr w:rsidR="0073126B" w:rsidRPr="00A04E56" w14:paraId="2F061E65" w14:textId="77777777" w:rsidTr="004D6FAB">
        <w:trPr>
          <w:cantSplit/>
          <w:trHeight w:val="1077"/>
          <w:jc w:val="center"/>
        </w:trPr>
        <w:tc>
          <w:tcPr>
            <w:tcW w:w="2268" w:type="dxa"/>
            <w:tcBorders>
              <w:top w:val="single" w:sz="4" w:space="0" w:color="65BBC8"/>
              <w:bottom w:val="single" w:sz="4" w:space="0" w:color="65BBC8"/>
              <w:right w:val="single" w:sz="4" w:space="0" w:color="65BBC8"/>
            </w:tcBorders>
            <w:tcMar>
              <w:left w:w="170" w:type="dxa"/>
              <w:right w:w="170" w:type="dxa"/>
            </w:tcMar>
            <w:vAlign w:val="center"/>
          </w:tcPr>
          <w:p w14:paraId="72E441BC" w14:textId="77777777" w:rsidR="008331F6" w:rsidRPr="00A04E56" w:rsidRDefault="008331F6" w:rsidP="00C65761">
            <w:pPr>
              <w:keepNext/>
              <w:jc w:val="right"/>
              <w:rPr>
                <w:b/>
                <w:color w:val="3B98A7"/>
              </w:rPr>
            </w:pPr>
            <w:r w:rsidRPr="00A04E56">
              <w:rPr>
                <w:b/>
                <w:color w:val="3B98A7"/>
              </w:rPr>
              <w:t>Big farms</w:t>
            </w:r>
          </w:p>
          <w:p w14:paraId="39BACB39" w14:textId="77777777" w:rsidR="008331F6" w:rsidRPr="00A04E56" w:rsidRDefault="008331F6" w:rsidP="00C65761">
            <w:pPr>
              <w:keepNext/>
              <w:jc w:val="right"/>
            </w:pPr>
            <w:r w:rsidRPr="00A04E56">
              <w:rPr>
                <w:rFonts w:ascii="Calibri" w:hAnsi="Calibri" w:cs="Calibri"/>
              </w:rPr>
              <w:t>&gt; </w:t>
            </w:r>
            <w:r w:rsidRPr="00A04E56">
              <w:t>250</w:t>
            </w:r>
            <w:r w:rsidRPr="00A04E56">
              <w:rPr>
                <w:rFonts w:ascii="Calibri" w:hAnsi="Calibri" w:cs="Calibri"/>
              </w:rPr>
              <w:t> </w:t>
            </w:r>
            <w:r w:rsidRPr="00A04E56">
              <w:t>hectares</w:t>
            </w:r>
          </w:p>
        </w:tc>
        <w:tc>
          <w:tcPr>
            <w:tcW w:w="2268" w:type="dxa"/>
            <w:tcBorders>
              <w:top w:val="single" w:sz="4" w:space="0" w:color="FFFFFF" w:themeColor="background1"/>
              <w:left w:val="single" w:sz="4" w:space="0" w:color="65BBC8"/>
              <w:bottom w:val="single" w:sz="4" w:space="0" w:color="65BBC8"/>
              <w:right w:val="single" w:sz="4" w:space="0" w:color="F2F2F2" w:themeColor="background1" w:themeShade="F2"/>
            </w:tcBorders>
            <w:shd w:val="clear" w:color="auto" w:fill="CBE8ED"/>
            <w:vAlign w:val="center"/>
          </w:tcPr>
          <w:p w14:paraId="4E132259" w14:textId="77777777" w:rsidR="008331F6" w:rsidRPr="00A04E56" w:rsidRDefault="008331F6" w:rsidP="00C65761">
            <w:pPr>
              <w:keepNext/>
              <w:jc w:val="center"/>
              <w:rPr>
                <w:b/>
                <w:sz w:val="24"/>
              </w:rPr>
            </w:pPr>
            <w:r w:rsidRPr="00A04E56">
              <w:rPr>
                <w:b/>
                <w:sz w:val="24"/>
              </w:rPr>
              <w:t>0.08</w:t>
            </w:r>
          </w:p>
          <w:p w14:paraId="4F19859A" w14:textId="77777777" w:rsidR="008331F6" w:rsidRPr="00A04E56" w:rsidRDefault="008331F6" w:rsidP="00C65761">
            <w:pPr>
              <w:keepNext/>
              <w:jc w:val="center"/>
              <w:rPr>
                <w:sz w:val="24"/>
              </w:rPr>
            </w:pPr>
            <w:r w:rsidRPr="00A04E56">
              <w:rPr>
                <w:sz w:val="24"/>
              </w:rPr>
              <w:t>(1%)</w:t>
            </w:r>
          </w:p>
        </w:tc>
        <w:tc>
          <w:tcPr>
            <w:tcW w:w="2268" w:type="dxa"/>
            <w:tcBorders>
              <w:top w:val="single" w:sz="4" w:space="0" w:color="FFFFFF" w:themeColor="background1"/>
              <w:left w:val="single" w:sz="4" w:space="0" w:color="F2F2F2" w:themeColor="background1" w:themeShade="F2"/>
              <w:bottom w:val="single" w:sz="4" w:space="0" w:color="65BBC8"/>
              <w:right w:val="single" w:sz="4" w:space="0" w:color="F2F2F2" w:themeColor="background1" w:themeShade="F2"/>
            </w:tcBorders>
            <w:shd w:val="clear" w:color="auto" w:fill="CBE8ED"/>
            <w:vAlign w:val="center"/>
          </w:tcPr>
          <w:p w14:paraId="2127338C" w14:textId="77777777" w:rsidR="008331F6" w:rsidRPr="00A04E56" w:rsidRDefault="008331F6" w:rsidP="00C65761">
            <w:pPr>
              <w:keepNext/>
              <w:jc w:val="center"/>
              <w:rPr>
                <w:b/>
                <w:sz w:val="24"/>
              </w:rPr>
            </w:pPr>
            <w:r w:rsidRPr="00A04E56">
              <w:rPr>
                <w:b/>
                <w:sz w:val="24"/>
              </w:rPr>
              <w:t>44.3</w:t>
            </w:r>
          </w:p>
          <w:p w14:paraId="77F14A16" w14:textId="77777777" w:rsidR="008331F6" w:rsidRPr="00A04E56" w:rsidRDefault="008331F6" w:rsidP="00C65761">
            <w:pPr>
              <w:keepNext/>
              <w:jc w:val="center"/>
              <w:rPr>
                <w:sz w:val="24"/>
              </w:rPr>
            </w:pPr>
            <w:r w:rsidRPr="00A04E56">
              <w:rPr>
                <w:sz w:val="24"/>
              </w:rPr>
              <w:t>(28%)</w:t>
            </w:r>
          </w:p>
        </w:tc>
        <w:tc>
          <w:tcPr>
            <w:tcW w:w="2268" w:type="dxa"/>
            <w:tcBorders>
              <w:top w:val="single" w:sz="4" w:space="0" w:color="FFFFFF" w:themeColor="background1"/>
              <w:left w:val="single" w:sz="4" w:space="0" w:color="F2F2F2" w:themeColor="background1" w:themeShade="F2"/>
              <w:bottom w:val="single" w:sz="4" w:space="0" w:color="65BBC8"/>
            </w:tcBorders>
            <w:shd w:val="clear" w:color="auto" w:fill="CBE8ED"/>
            <w:vAlign w:val="center"/>
          </w:tcPr>
          <w:p w14:paraId="7EB43216" w14:textId="77777777" w:rsidR="008331F6" w:rsidRPr="00A04E56" w:rsidRDefault="008331F6" w:rsidP="00C65761">
            <w:pPr>
              <w:keepNext/>
              <w:jc w:val="center"/>
              <w:rPr>
                <w:b/>
                <w:sz w:val="24"/>
              </w:rPr>
            </w:pPr>
            <w:r w:rsidRPr="00A04E56">
              <w:rPr>
                <w:b/>
                <w:sz w:val="24"/>
              </w:rPr>
              <w:t>9.2</w:t>
            </w:r>
          </w:p>
          <w:p w14:paraId="61F27F2F" w14:textId="77777777" w:rsidR="008331F6" w:rsidRPr="00A04E56" w:rsidRDefault="008331F6" w:rsidP="00C65761">
            <w:pPr>
              <w:keepNext/>
              <w:jc w:val="center"/>
              <w:rPr>
                <w:sz w:val="24"/>
              </w:rPr>
            </w:pPr>
            <w:r w:rsidRPr="00A04E56">
              <w:rPr>
                <w:sz w:val="24"/>
              </w:rPr>
              <w:t>(23%)</w:t>
            </w:r>
          </w:p>
        </w:tc>
      </w:tr>
    </w:tbl>
    <w:p w14:paraId="69829CCC" w14:textId="77777777" w:rsidR="008331F6" w:rsidRPr="00A04E56" w:rsidRDefault="008331F6" w:rsidP="008A7A4D">
      <w:pPr>
        <w:pStyle w:val="Source-Table-Chart-PhotoCaption"/>
      </w:pPr>
      <w:r w:rsidRPr="00A04E56">
        <w:rPr>
          <w:rStyle w:val="italics"/>
        </w:rPr>
        <w:t>Chart:</w:t>
      </w:r>
      <w:r w:rsidRPr="00A04E56">
        <w:t xml:space="preserve"> Distribution of EU direct support to EU farmers.</w:t>
      </w:r>
    </w:p>
    <w:p w14:paraId="52C63000" w14:textId="77777777" w:rsidR="008331F6" w:rsidRPr="00A04E56" w:rsidRDefault="008331F6" w:rsidP="008A7A4D">
      <w:pPr>
        <w:pStyle w:val="Source-Table-Chart-PhotoCaption"/>
      </w:pPr>
      <w:r w:rsidRPr="00A04E56">
        <w:rPr>
          <w:rStyle w:val="italics"/>
        </w:rPr>
        <w:t>Source:</w:t>
      </w:r>
      <w:r w:rsidRPr="00A04E56">
        <w:t xml:space="preserve"> CATS control data (claim year 2016).</w:t>
      </w:r>
    </w:p>
    <w:p w14:paraId="1D30BEBD" w14:textId="3734D7E3" w:rsidR="000E54BB" w:rsidRPr="00A04E56" w:rsidRDefault="008331F6" w:rsidP="008A7A4D">
      <w:pPr>
        <w:pStyle w:val="BodyText1spacebeforeandafter"/>
      </w:pPr>
      <w:r w:rsidRPr="00A04E56">
        <w:t xml:space="preserve">The 2013 common agricultural policy reform allowed </w:t>
      </w:r>
      <w:r w:rsidRPr="00A04E56">
        <w:rPr>
          <w:rStyle w:val="BOLDLIGHTBLUEReport"/>
          <w:rFonts w:eastAsia="Calibri"/>
        </w:rPr>
        <w:t>redistributing direct payments</w:t>
      </w:r>
      <w:r w:rsidRPr="00A04E56">
        <w:t xml:space="preserve"> between beneficiaries</w:t>
      </w:r>
      <w:r w:rsidR="000E54BB" w:rsidRPr="00A04E56">
        <w:t>, notably in favour of the small and medium- sized farms. Member States must reduce by at least 5% the receipts above EUR</w:t>
      </w:r>
      <w:r w:rsidR="000E54BB" w:rsidRPr="00A04E56">
        <w:rPr>
          <w:rFonts w:ascii="Calibri" w:hAnsi="Calibri" w:cs="Calibri"/>
        </w:rPr>
        <w:t> </w:t>
      </w:r>
      <w:r w:rsidR="000E54BB" w:rsidRPr="00A04E56">
        <w:t>150</w:t>
      </w:r>
      <w:r w:rsidR="000E54BB" w:rsidRPr="00A04E56">
        <w:rPr>
          <w:rFonts w:ascii="Calibri" w:hAnsi="Calibri" w:cs="Calibri"/>
        </w:rPr>
        <w:t> </w:t>
      </w:r>
      <w:r w:rsidR="000E54BB" w:rsidRPr="00A04E56">
        <w:t xml:space="preserve">000 which any beneficiary obtains from the basic payment scheme or the single-area payment scheme. They may even cap these receipts (nine Member States have decided to apply a capping as from 2015). As an alternative, they can redistribute up to 30 % of their direct payments national </w:t>
      </w:r>
      <w:r w:rsidR="003C0F9B" w:rsidRPr="00A04E56">
        <w:t>allocation</w:t>
      </w:r>
      <w:r w:rsidR="000E54BB" w:rsidRPr="00A04E56">
        <w:t xml:space="preserve"> to the first hectares on every farm (</w:t>
      </w:r>
      <w:r w:rsidR="00902C07" w:rsidRPr="00A04E56">
        <w:t>‘</w:t>
      </w:r>
      <w:r w:rsidR="000E54BB" w:rsidRPr="00A04E56">
        <w:t>redistributive payment</w:t>
      </w:r>
      <w:r w:rsidR="00902C07" w:rsidRPr="00A04E56">
        <w:t>’</w:t>
      </w:r>
      <w:r w:rsidR="000E54BB" w:rsidRPr="00A04E56">
        <w:t xml:space="preserve">). </w:t>
      </w:r>
      <w:r w:rsidR="008C1D39" w:rsidRPr="00A04E56">
        <w:rPr>
          <w:i/>
          <w:u w:val="single"/>
        </w:rPr>
        <w:t>In 2017</w:t>
      </w:r>
      <w:r w:rsidR="000E54BB" w:rsidRPr="00A04E56">
        <w:t xml:space="preserve">, nine Member States have implemented this scheme, using between 0.5% and 15% of their total expenditure for direct payments. </w:t>
      </w:r>
    </w:p>
    <w:p w14:paraId="76A38891" w14:textId="7F88D399" w:rsidR="008331F6" w:rsidRPr="00A04E56" w:rsidRDefault="000E54BB" w:rsidP="000E54BB">
      <w:pPr>
        <w:pStyle w:val="BodyText1spaceafter"/>
      </w:pPr>
      <w:r w:rsidRPr="00A04E56">
        <w:t xml:space="preserve">In addition, Member States must reduce the differences between per-hectare payment levels to beneficiaries on their respective territories (this is referred to as </w:t>
      </w:r>
      <w:r w:rsidR="00902C07" w:rsidRPr="00A04E56">
        <w:t>‘</w:t>
      </w:r>
      <w:r w:rsidRPr="00A04E56">
        <w:t>internal convergence</w:t>
      </w:r>
      <w:r w:rsidR="00902C07" w:rsidRPr="00A04E56">
        <w:t>’</w:t>
      </w:r>
      <w:r w:rsidRPr="00A04E56">
        <w:t xml:space="preserve">). There is also a provision to gradually adjust the </w:t>
      </w:r>
      <w:r w:rsidR="003C0F9B" w:rsidRPr="00A04E56">
        <w:t>financial allocation</w:t>
      </w:r>
      <w:r w:rsidRPr="00A04E56">
        <w:t xml:space="preserve"> per Member State in order to bring average levels of payments closer to one another between countries (</w:t>
      </w:r>
      <w:r w:rsidR="00902C07" w:rsidRPr="00A04E56">
        <w:t>‘</w:t>
      </w:r>
      <w:r w:rsidRPr="00A04E56">
        <w:t>external convergence</w:t>
      </w:r>
      <w:r w:rsidR="00902C07" w:rsidRPr="00A04E56">
        <w:t>’</w:t>
      </w:r>
      <w:r w:rsidRPr="00A04E56">
        <w:t>)</w:t>
      </w:r>
      <w:r w:rsidR="008331F6" w:rsidRPr="00A04E56">
        <w:t xml:space="preserve">. </w:t>
      </w:r>
      <w:r w:rsidRPr="00A04E56">
        <w:t>Finally, a</w:t>
      </w:r>
      <w:r w:rsidR="008331F6" w:rsidRPr="00A04E56">
        <w:t xml:space="preserve">n active farmer clause allows those who only have a marginal agricultural activity to be excluded from support. </w:t>
      </w:r>
    </w:p>
    <w:p w14:paraId="7ABB1C6E" w14:textId="77777777" w:rsidR="008331F6" w:rsidRPr="00A04E56" w:rsidRDefault="008331F6" w:rsidP="008331F6">
      <w:pPr>
        <w:pStyle w:val="BodyText"/>
      </w:pPr>
      <w:r w:rsidRPr="00A04E56">
        <w:rPr>
          <w:i/>
          <w:u w:val="single"/>
        </w:rPr>
        <w:t>From the claim year 2018</w:t>
      </w:r>
      <w:r w:rsidRPr="00A04E56">
        <w:t xml:space="preserve">, the EU law called the </w:t>
      </w:r>
      <w:r w:rsidRPr="00A04E56">
        <w:rPr>
          <w:rStyle w:val="BOLDLIGHTBLUEReport"/>
          <w:rFonts w:eastAsia="Calibri"/>
        </w:rPr>
        <w:t>‘Omnibus regulation’</w:t>
      </w:r>
      <w:r w:rsidRPr="00A04E56">
        <w:rPr>
          <w:rStyle w:val="fnRef"/>
          <w:rFonts w:ascii="Calibri" w:hAnsi="Calibri" w:cs="Calibri"/>
        </w:rPr>
        <w:t> </w:t>
      </w:r>
      <w:r w:rsidRPr="00A04E56">
        <w:rPr>
          <w:rStyle w:val="fnRef"/>
        </w:rPr>
        <w:t>(</w:t>
      </w:r>
      <w:r w:rsidRPr="00A04E56">
        <w:rPr>
          <w:rStyle w:val="fnRefNo"/>
        </w:rPr>
        <w:footnoteReference w:id="151"/>
      </w:r>
      <w:r w:rsidRPr="00A04E56">
        <w:rPr>
          <w:rStyle w:val="fnRef"/>
        </w:rPr>
        <w:t>)</w:t>
      </w:r>
      <w:r w:rsidRPr="00A04E56">
        <w:t xml:space="preserve"> helps to improve the functioning of the direct payment schemes concerned and to simplify their implementation.</w:t>
      </w:r>
    </w:p>
    <w:p w14:paraId="773EAE9B" w14:textId="1B7F3F49" w:rsidR="008331F6" w:rsidRPr="00A04E56" w:rsidRDefault="008331F6" w:rsidP="008331F6">
      <w:pPr>
        <w:pStyle w:val="BodyText1spaceafter"/>
      </w:pPr>
      <w:r w:rsidRPr="00A04E56">
        <w:t xml:space="preserve">With regard to the </w:t>
      </w:r>
      <w:r w:rsidRPr="00A04E56">
        <w:rPr>
          <w:rStyle w:val="BOLDLIGHTBLUEReport"/>
          <w:rFonts w:eastAsia="Calibri"/>
        </w:rPr>
        <w:t>greening layer</w:t>
      </w:r>
      <w:r w:rsidRPr="00A04E56">
        <w:t xml:space="preserve"> in direct payments, the amendments </w:t>
      </w:r>
      <w:r w:rsidR="000E54BB" w:rsidRPr="00A04E56">
        <w:t>introduced through the</w:t>
      </w:r>
      <w:r w:rsidR="00835302" w:rsidRPr="00A04E56">
        <w:t xml:space="preserve"> </w:t>
      </w:r>
      <w:r w:rsidR="00F0708B" w:rsidRPr="00A04E56">
        <w:t>O</w:t>
      </w:r>
      <w:r w:rsidR="00835302" w:rsidRPr="00A04E56">
        <w:t xml:space="preserve">mnibus regulation </w:t>
      </w:r>
      <w:r w:rsidRPr="00A04E56">
        <w:t>provide Member States with an option not to classify grassland as ‘permanent’ if ploughed within a period of 5</w:t>
      </w:r>
      <w:r w:rsidRPr="00A04E56">
        <w:rPr>
          <w:rFonts w:ascii="Calibri" w:hAnsi="Calibri" w:cs="Calibri"/>
        </w:rPr>
        <w:t> </w:t>
      </w:r>
      <w:r w:rsidRPr="00A04E56">
        <w:t xml:space="preserve">years in order to accommodate the diversity of agricultural systems across the EU. </w:t>
      </w:r>
      <w:r w:rsidR="008C1D39" w:rsidRPr="00A04E56">
        <w:rPr>
          <w:i/>
          <w:u w:val="single"/>
        </w:rPr>
        <w:t>In 2018</w:t>
      </w:r>
      <w:r w:rsidRPr="00A04E56">
        <w:t xml:space="preserve">, eight Member States decided to apply this option. Certain additional flexibility for farmers came from streamlined exemptions from crop diversification or ecological focus area rules for farms with substantial shares of grasslands, fallow land, leguminous crops or crops under water. In turn, new types of ecological focus area broadened the choices that Member States may offer to farmers for meeting this requirement. </w:t>
      </w:r>
      <w:r w:rsidR="008C1D39" w:rsidRPr="00A04E56">
        <w:rPr>
          <w:i/>
          <w:u w:val="single"/>
        </w:rPr>
        <w:t>In 2018</w:t>
      </w:r>
      <w:r w:rsidRPr="00A04E56">
        <w:t xml:space="preserve">, several Member States made use of them and included new types in their list of ecological focus area. As of 2018, 80% of the total EU agricultural area is subject to at least one greening obligation. As part of the amended rules, a ban on the use of plant protection products was implemented </w:t>
      </w:r>
      <w:r w:rsidR="008C1D39" w:rsidRPr="00A04E56">
        <w:rPr>
          <w:i/>
          <w:u w:val="single"/>
        </w:rPr>
        <w:t>in 2018</w:t>
      </w:r>
      <w:r w:rsidRPr="00A04E56">
        <w:t xml:space="preserve"> for the first time on ecological focus areas.</w:t>
      </w:r>
    </w:p>
    <w:p w14:paraId="3ABD59E2" w14:textId="5E62AC4B" w:rsidR="008331F6" w:rsidRPr="00A04E56" w:rsidRDefault="008C1D39" w:rsidP="008331F6">
      <w:pPr>
        <w:pStyle w:val="BodyText1spaceafter"/>
      </w:pPr>
      <w:r w:rsidRPr="00A04E56">
        <w:rPr>
          <w:i/>
          <w:u w:val="single"/>
        </w:rPr>
        <w:t>In 2018</w:t>
      </w:r>
      <w:r w:rsidR="008331F6" w:rsidRPr="00A04E56">
        <w:t xml:space="preserve">, as </w:t>
      </w:r>
      <w:r w:rsidRPr="00A04E56">
        <w:t>in 2017</w:t>
      </w:r>
      <w:r w:rsidR="008331F6" w:rsidRPr="00A04E56">
        <w:t xml:space="preserve">, responding to the consequences of the exceptional weather conditions in several Member States (drought, heavy rainfalls, snowfalls, frost), the Commission granted derogations to certain greening rules (ecological focus area, crop diversification) to </w:t>
      </w:r>
      <w:r w:rsidR="000E54BB" w:rsidRPr="00A04E56">
        <w:t xml:space="preserve">improve </w:t>
      </w:r>
      <w:r w:rsidR="008331F6" w:rsidRPr="00A04E56">
        <w:t>the situation of affected farmers in those states. In order to alleviate the effects of drought on the availability of fodder for livestock, 11 Member States (out of 13 authorised) applied derogations to some requirements for land</w:t>
      </w:r>
      <w:r w:rsidR="000E54BB" w:rsidRPr="00A04E56">
        <w:t xml:space="preserve"> </w:t>
      </w:r>
      <w:r w:rsidR="008331F6" w:rsidRPr="00A04E56">
        <w:t xml:space="preserve">lying fallow and catch crops. Based on information received for the 2018 claim year, these derogated ecological focus areas appear to have to some extent supplemented the overall areas available for fodder production. </w:t>
      </w:r>
    </w:p>
    <w:p w14:paraId="0D2E0A65" w14:textId="77777777" w:rsidR="008331F6" w:rsidRPr="00A04E56" w:rsidRDefault="008331F6" w:rsidP="008331F6">
      <w:pPr>
        <w:pStyle w:val="BodyText1spaceafter"/>
      </w:pPr>
      <w:r w:rsidRPr="00A04E56">
        <w:rPr>
          <w:i/>
          <w:u w:val="single"/>
        </w:rPr>
        <w:t>As of 2018</w:t>
      </w:r>
      <w:r w:rsidRPr="00A04E56">
        <w:rPr>
          <w:rStyle w:val="fnRef"/>
          <w:rFonts w:ascii="Calibri" w:hAnsi="Calibri" w:cs="Calibri"/>
        </w:rPr>
        <w:t> </w:t>
      </w:r>
      <w:r w:rsidRPr="00A04E56">
        <w:rPr>
          <w:rStyle w:val="fnRef"/>
        </w:rPr>
        <w:t>(</w:t>
      </w:r>
      <w:r w:rsidRPr="00A04E56">
        <w:rPr>
          <w:rStyle w:val="fnRefNo"/>
        </w:rPr>
        <w:footnoteReference w:id="152"/>
      </w:r>
      <w:r w:rsidRPr="00A04E56">
        <w:rPr>
          <w:rStyle w:val="fnRef"/>
        </w:rPr>
        <w:t>)</w:t>
      </w:r>
      <w:r w:rsidRPr="00A04E56">
        <w:t>, new EU law</w:t>
      </w:r>
      <w:r w:rsidRPr="00A04E56">
        <w:rPr>
          <w:rStyle w:val="fnRef"/>
          <w:rFonts w:ascii="Calibri" w:hAnsi="Calibri" w:cs="Calibri"/>
        </w:rPr>
        <w:t> </w:t>
      </w:r>
      <w:r w:rsidRPr="00A04E56">
        <w:rPr>
          <w:rStyle w:val="fnRef"/>
        </w:rPr>
        <w:t>(</w:t>
      </w:r>
      <w:r w:rsidRPr="00A04E56">
        <w:rPr>
          <w:rStyle w:val="fnRefNo"/>
        </w:rPr>
        <w:footnoteReference w:id="153"/>
      </w:r>
      <w:r w:rsidRPr="00A04E56">
        <w:rPr>
          <w:rStyle w:val="fnRef"/>
        </w:rPr>
        <w:t>),</w:t>
      </w:r>
      <w:r w:rsidRPr="00A04E56">
        <w:t xml:space="preserve"> together with the technical guidance provided by the Commission, enabled Member States to take advantage of freely available satellite data (the Copernicus programme) to monitor areas claimed for aid. Several Member States have decided to introduce ‘checks by monitoring’ for part of the aid schemes and/or areas as from 2019. The monitoring approach is expected to offer great potential for the simplification of administrative and control-related tasks, but also for monitoring the performance of the common agricultural policy in a much wider sense. This approach is further pursued in the proposals for the common agricultural policy post-2020.</w:t>
      </w:r>
    </w:p>
    <w:p w14:paraId="65FF92D0" w14:textId="77777777" w:rsidR="008331F6" w:rsidRPr="00A04E56" w:rsidRDefault="008331F6" w:rsidP="00C50089">
      <w:pPr>
        <w:pStyle w:val="SubtitleLightBlueReport11pt"/>
        <w:rPr>
          <w:rStyle w:val="BOLDLIGHTBLUEReport"/>
          <w:rFonts w:eastAsiaTheme="minorHAnsi"/>
        </w:rPr>
      </w:pPr>
      <w:r w:rsidRPr="00A04E56">
        <w:t>Market-related expenditure</w:t>
      </w:r>
      <w:r w:rsidRPr="00A04E56">
        <w:rPr>
          <w:rStyle w:val="fnRef"/>
          <w:rFonts w:ascii="Calibri" w:hAnsi="Calibri" w:cs="Calibri"/>
          <w:b w:val="0"/>
        </w:rPr>
        <w:t> </w:t>
      </w:r>
      <w:r w:rsidRPr="00F46653">
        <w:rPr>
          <w:rStyle w:val="fnRef"/>
          <w:b w:val="0"/>
          <w:color w:val="3B97A5" w:themeColor="accent1" w:themeShade="BF"/>
        </w:rPr>
        <w:t>(</w:t>
      </w:r>
      <w:r w:rsidRPr="00F46653">
        <w:rPr>
          <w:rStyle w:val="fnRefNo"/>
          <w:b w:val="0"/>
          <w:color w:val="3B97A5" w:themeColor="accent1" w:themeShade="BF"/>
        </w:rPr>
        <w:footnoteReference w:id="154"/>
      </w:r>
      <w:r w:rsidRPr="00F46653">
        <w:rPr>
          <w:rStyle w:val="fnRef"/>
          <w:b w:val="0"/>
          <w:color w:val="3B97A5" w:themeColor="accent1" w:themeShade="BF"/>
        </w:rPr>
        <w:t>)</w:t>
      </w:r>
    </w:p>
    <w:p w14:paraId="18B01D6A" w14:textId="0A78AD63" w:rsidR="008331F6" w:rsidRPr="00A04E56" w:rsidRDefault="008331F6" w:rsidP="008331F6">
      <w:pPr>
        <w:pStyle w:val="BodyText1spaceafter"/>
      </w:pPr>
      <w:r w:rsidRPr="00A04E56">
        <w:t xml:space="preserve">After several years where market support measures in the fruit and vegetables and livestock sectors have helped rebalance the sectors concerned, substantial </w:t>
      </w:r>
      <w:r w:rsidRPr="00A04E56">
        <w:rPr>
          <w:rStyle w:val="BOLDLIGHTBLUEReport"/>
          <w:rFonts w:eastAsia="Calibri"/>
        </w:rPr>
        <w:t>market stabilisation</w:t>
      </w:r>
      <w:r w:rsidRPr="00A04E56">
        <w:t xml:space="preserve"> was achieved </w:t>
      </w:r>
      <w:r w:rsidR="008C1D39" w:rsidRPr="00A04E56">
        <w:rPr>
          <w:i/>
          <w:u w:val="single"/>
        </w:rPr>
        <w:t>in 2018</w:t>
      </w:r>
      <w:r w:rsidRPr="00A04E56">
        <w:t>, whereby the exceptional withdrawal measures in the fruit and vegetables sector were discontinued as of the middle of the year.</w:t>
      </w:r>
    </w:p>
    <w:p w14:paraId="37653BE8" w14:textId="212A3EA8" w:rsidR="008331F6" w:rsidRPr="00A04E56" w:rsidRDefault="008331F6" w:rsidP="008331F6">
      <w:pPr>
        <w:pStyle w:val="BodyText1spaceafter"/>
      </w:pPr>
      <w:r w:rsidRPr="00A04E56">
        <w:rPr>
          <w:i/>
          <w:u w:val="single"/>
        </w:rPr>
        <w:t xml:space="preserve">By </w:t>
      </w:r>
      <w:r w:rsidR="00084A1F">
        <w:rPr>
          <w:i/>
          <w:u w:val="single"/>
        </w:rPr>
        <w:t>end of 2018</w:t>
      </w:r>
      <w:r w:rsidRPr="00A04E56">
        <w:t>, 99% of the 380</w:t>
      </w:r>
      <w:r w:rsidRPr="00A04E56">
        <w:rPr>
          <w:rFonts w:ascii="Calibri" w:hAnsi="Calibri" w:cs="Calibri"/>
        </w:rPr>
        <w:t> </w:t>
      </w:r>
      <w:r w:rsidRPr="00A04E56">
        <w:t>000 tonnes of skimmed milk powder from public intervention stock</w:t>
      </w:r>
      <w:r w:rsidR="000E54BB" w:rsidRPr="00A04E56">
        <w:t xml:space="preserve"> constituted over the years 2015 to 2017</w:t>
      </w:r>
      <w:r w:rsidRPr="00A04E56">
        <w:t xml:space="preserve"> had been sold</w:t>
      </w:r>
      <w:r w:rsidR="000E54BB" w:rsidRPr="00A04E56">
        <w:t xml:space="preserve"> back onto the market</w:t>
      </w:r>
      <w:r w:rsidRPr="00A04E56">
        <w:rPr>
          <w:rStyle w:val="fnRef"/>
          <w:rFonts w:ascii="Calibri" w:hAnsi="Calibri" w:cs="Calibri"/>
        </w:rPr>
        <w:t> </w:t>
      </w:r>
      <w:r w:rsidRPr="00A04E56">
        <w:rPr>
          <w:rStyle w:val="fnRef"/>
        </w:rPr>
        <w:t>(</w:t>
      </w:r>
      <w:r w:rsidRPr="00A04E56">
        <w:rPr>
          <w:rStyle w:val="fnRefNo"/>
        </w:rPr>
        <w:footnoteReference w:id="155"/>
      </w:r>
      <w:r w:rsidRPr="00A04E56">
        <w:rPr>
          <w:rStyle w:val="fnRef"/>
        </w:rPr>
        <w:t>)</w:t>
      </w:r>
      <w:r w:rsidRPr="00A04E56">
        <w:t xml:space="preserve">, reflecting the improved situation on the dairy market. European agriculture showed its resilience after the recent crises, finding alternative domestic markets as well as abroad (in particular in Asia and the United States), as evidenced by the trade statistics. </w:t>
      </w:r>
    </w:p>
    <w:p w14:paraId="41B8094D" w14:textId="52A07745" w:rsidR="008331F6" w:rsidRPr="00A04E56" w:rsidRDefault="008331F6" w:rsidP="008331F6">
      <w:pPr>
        <w:pStyle w:val="BodyText1spaceafter"/>
      </w:pPr>
      <w:r w:rsidRPr="00A04E56">
        <w:t xml:space="preserve">An overall price evolution meant that new market intervention measures were not required </w:t>
      </w:r>
      <w:r w:rsidR="008C1D39" w:rsidRPr="00A04E56">
        <w:rPr>
          <w:i/>
          <w:u w:val="single"/>
        </w:rPr>
        <w:t>in 2018</w:t>
      </w:r>
      <w:r w:rsidRPr="00A04E56">
        <w:t>.</w:t>
      </w:r>
    </w:p>
    <w:p w14:paraId="4C499687" w14:textId="44398840" w:rsidR="008331F6" w:rsidRPr="00A04E56" w:rsidRDefault="008331F6" w:rsidP="008331F6">
      <w:pPr>
        <w:pStyle w:val="BodyText1spaceafter"/>
      </w:pPr>
      <w:r w:rsidRPr="00A04E56">
        <w:rPr>
          <w:rStyle w:val="BOLDLIGHTBLUEReport"/>
          <w:rFonts w:eastAsia="Calibri"/>
        </w:rPr>
        <w:t>Exceptional support measures</w:t>
      </w:r>
      <w:r w:rsidRPr="00A04E56">
        <w:t xml:space="preserve"> were also adopted </w:t>
      </w:r>
      <w:r w:rsidR="008C1D39" w:rsidRPr="00A04E56">
        <w:rPr>
          <w:i/>
          <w:u w:val="single"/>
        </w:rPr>
        <w:t>in 2018</w:t>
      </w:r>
      <w:r w:rsidRPr="00A04E56">
        <w:t xml:space="preserve"> to compensate farmers in France</w:t>
      </w:r>
      <w:r w:rsidR="000E54BB" w:rsidRPr="00A04E56">
        <w:t xml:space="preserve"> and</w:t>
      </w:r>
      <w:r w:rsidRPr="00A04E56">
        <w:t xml:space="preserve"> Italy for the health and veterinary restrictions to address avian influenza. </w:t>
      </w:r>
    </w:p>
    <w:p w14:paraId="1F93FE03" w14:textId="6E2CE467" w:rsidR="000E54BB" w:rsidRPr="00A04E56" w:rsidRDefault="000E54BB" w:rsidP="000E54BB">
      <w:pPr>
        <w:pStyle w:val="BodyText1spaceafter"/>
      </w:pPr>
      <w:r w:rsidRPr="00A04E56">
        <w:t xml:space="preserve">After several years of discussions at the EU level, the Commission adopted a proposal for a </w:t>
      </w:r>
      <w:r w:rsidR="00AE4B2D" w:rsidRPr="00A04E56">
        <w:t>directive</w:t>
      </w:r>
      <w:r w:rsidRPr="00A04E56">
        <w:t xml:space="preserve"> on </w:t>
      </w:r>
      <w:r w:rsidRPr="00A04E56">
        <w:rPr>
          <w:rStyle w:val="BOLDLIGHTBLUEReport"/>
          <w:rFonts w:eastAsia="Calibri"/>
        </w:rPr>
        <w:t>unfair trading practices</w:t>
      </w:r>
      <w:r w:rsidRPr="00A04E56">
        <w:t xml:space="preserve">. The directive aims at protecting vulnerable suppliers in the food supply chain, especially farmers and small processors, from unfair trade practices by more powerful buyers. Limiting the abuse of market power along the chain, it contributes to a better functioning food chain and enhances the resilience of the EU agri-food sector. </w:t>
      </w:r>
    </w:p>
    <w:p w14:paraId="3E20A4CA" w14:textId="20329F87" w:rsidR="008331F6" w:rsidRPr="00A04E56" w:rsidRDefault="008331F6" w:rsidP="008331F6">
      <w:pPr>
        <w:pStyle w:val="BodyText1spaceafter"/>
      </w:pPr>
      <w:r w:rsidRPr="00A04E56">
        <w:t xml:space="preserve">The </w:t>
      </w:r>
      <w:r w:rsidRPr="00A04E56">
        <w:rPr>
          <w:rStyle w:val="BOLDLIGHTBLUEReport"/>
          <w:rFonts w:eastAsia="Calibri"/>
        </w:rPr>
        <w:t>EU school fruit, vegetables and milk scheme</w:t>
      </w:r>
      <w:r w:rsidRPr="00A04E56">
        <w:t xml:space="preserve">, bringing together the former school fruit and school milk schemes under a single legal framework, applied for the first time during the 2017/2018 school year. In </w:t>
      </w:r>
      <w:r w:rsidR="003C1BED" w:rsidRPr="00A04E56">
        <w:rPr>
          <w:i/>
          <w:u w:val="single"/>
        </w:rPr>
        <w:t xml:space="preserve">In </w:t>
      </w:r>
      <w:r w:rsidRPr="00A04E56">
        <w:rPr>
          <w:i/>
          <w:u w:val="single"/>
        </w:rPr>
        <w:t>October 2018</w:t>
      </w:r>
      <w:r w:rsidRPr="00A04E56">
        <w:t>, the Commission hosted a meeting with representatives from EU institutions, national governments and other public and private bodies (businesses, trade organisations, environment and health non-governmental organisations</w:t>
      </w:r>
      <w:r w:rsidRPr="00A04E56">
        <w:rPr>
          <w:rFonts w:ascii="Calibri" w:hAnsi="Calibri" w:cs="Calibri"/>
        </w:rPr>
        <w:t> (NGOs)</w:t>
      </w:r>
      <w:r w:rsidRPr="00A04E56">
        <w:t>, civil society) to take stock of achievements, learn from good practices and reflect on possible further improvements. It showed concrete examples of the enhanced health and educational dimension of the reformed scheme. Around 20.</w:t>
      </w:r>
      <w:r w:rsidR="002D00B6" w:rsidRPr="00A04E56">
        <w:t>3</w:t>
      </w:r>
      <w:r w:rsidR="002D00B6" w:rsidRPr="00A04E56">
        <w:rPr>
          <w:rFonts w:ascii="Calibri" w:hAnsi="Calibri" w:cs="Calibri"/>
        </w:rPr>
        <w:t> </w:t>
      </w:r>
      <w:r w:rsidRPr="00A04E56">
        <w:t>million children</w:t>
      </w:r>
      <w:r w:rsidRPr="00A04E56">
        <w:rPr>
          <w:rStyle w:val="fnRef"/>
          <w:rFonts w:ascii="Calibri" w:hAnsi="Calibri" w:cs="Calibri"/>
        </w:rPr>
        <w:t> </w:t>
      </w:r>
      <w:r w:rsidR="002D00B6" w:rsidRPr="00A04E56">
        <w:t>from close to 160 000 schools</w:t>
      </w:r>
      <w:r w:rsidR="00910501">
        <w:rPr>
          <w:rFonts w:ascii="Calibri" w:hAnsi="Calibri" w:cs="Calibri"/>
        </w:rPr>
        <w:t> </w:t>
      </w:r>
      <w:r w:rsidRPr="00A04E56">
        <w:rPr>
          <w:rStyle w:val="fnRef"/>
        </w:rPr>
        <w:t>(</w:t>
      </w:r>
      <w:r w:rsidRPr="00A04E56">
        <w:rPr>
          <w:rStyle w:val="fnRefNo"/>
        </w:rPr>
        <w:footnoteReference w:id="156"/>
      </w:r>
      <w:r w:rsidRPr="00A04E56">
        <w:rPr>
          <w:rStyle w:val="fnRef"/>
        </w:rPr>
        <w:t>)</w:t>
      </w:r>
      <w:r w:rsidRPr="00A04E56">
        <w:t xml:space="preserve"> participated in the EU school fruit, vegetables and milk scheme in the 2017/2018 school year.</w:t>
      </w:r>
    </w:p>
    <w:p w14:paraId="055EBADE" w14:textId="1B6AFA0F" w:rsidR="008331F6" w:rsidRPr="00A04E56" w:rsidRDefault="00857B90" w:rsidP="00AA0340">
      <w:pPr>
        <w:pStyle w:val="Title3NumberedReport"/>
      </w:pPr>
      <w:r w:rsidRPr="00A04E56">
        <w:t>Assessment and evaluation</w:t>
      </w:r>
      <w:r w:rsidR="008331F6" w:rsidRPr="00A04E56">
        <w:t xml:space="preserve"> </w:t>
      </w:r>
    </w:p>
    <w:p w14:paraId="1E339631" w14:textId="77777777" w:rsidR="008331F6" w:rsidRPr="00A04E56" w:rsidRDefault="008331F6" w:rsidP="008331F6">
      <w:pPr>
        <w:pStyle w:val="BodyText1spaceafter"/>
      </w:pPr>
      <w:r w:rsidRPr="00A04E56">
        <w:t>The support study for the evaluation of the impact of common agricultural policy measures towards the general objective of ‘viable food production’</w:t>
      </w:r>
      <w:r w:rsidRPr="00A04E56">
        <w:rPr>
          <w:rStyle w:val="fnRef"/>
          <w:rFonts w:ascii="Calibri" w:hAnsi="Calibri" w:cs="Calibri"/>
        </w:rPr>
        <w:t> </w:t>
      </w:r>
      <w:r w:rsidRPr="00A04E56">
        <w:rPr>
          <w:rStyle w:val="fnRef"/>
        </w:rPr>
        <w:t>(</w:t>
      </w:r>
      <w:r w:rsidRPr="00A04E56">
        <w:rPr>
          <w:rStyle w:val="fnRefNo"/>
        </w:rPr>
        <w:footnoteReference w:id="157"/>
      </w:r>
      <w:r w:rsidRPr="00A04E56">
        <w:rPr>
          <w:rStyle w:val="fnRef"/>
        </w:rPr>
        <w:t>)</w:t>
      </w:r>
      <w:r w:rsidRPr="00A04E56">
        <w:t xml:space="preserve"> confirms that direct payments allow farmers to better cope with the negative income effects caused by drops in agricultural prices; hence why they contribute to the stability of farms income. However, even with the common agricultural policy’s direct support, a large share (74% in 2015) of farms does not reach the benchmark of an income per unit amount of labour equalling the average national labour productivity. The study observed that the common agricultural policy 2014-2020 allowed efficiency to increase by better targeting support to the farms that needed it most (the share of farms with an income per unit of labour exceeding the average national labour productivity thanks to direct support decreased from 29% in 2013 to 26% in 2015). The decision of some Member States to distribute the resources for voluntary coupled support to a high number of sectors limited its effectiveness/efficiency in respect to its aim. According to the stakeholders’ analysis, in these cases voluntary coupled support failed its aim of supporting sectors undergoing certain difficulties and resulted in an extra and generalised income aid for the beneficiary farms. Market measures helped to limit the volatility of the domestic prices of most agricultural products, which is lower than that of international prices. The existence of the EU market measures seems to play a deterrent role in the adoption of speculative activities. The share of imports in internal consumption has progressively increased. On the international market, EU exports in value increased over the period of analysis. However, world trade increased at a higher rate. Nevertheless, the evolution of the EU’s competitive position is similar to that of its main trade competitor (United States) and, in 2016, the former maintained its second position behind the United States in the world exports of the products covered in the evaluation.</w:t>
      </w:r>
    </w:p>
    <w:p w14:paraId="3C158A7A" w14:textId="7207C17A" w:rsidR="008331F6" w:rsidRPr="00A04E56" w:rsidRDefault="008C1D39" w:rsidP="008331F6">
      <w:pPr>
        <w:pStyle w:val="BodyText1spaceafter"/>
      </w:pPr>
      <w:r w:rsidRPr="00A04E56">
        <w:rPr>
          <w:i/>
          <w:u w:val="single"/>
        </w:rPr>
        <w:t>In 2018</w:t>
      </w:r>
      <w:r w:rsidR="008331F6" w:rsidRPr="00A04E56">
        <w:t xml:space="preserve"> the Court of Auditors assessed a new basic payment scheme for farmers, introduced by the 2013 reform of the common agricultural policy. The Court found that the scheme was operationally on track, but that its impact on simplification, targeting and the convergence of aid levels was limited</w:t>
      </w:r>
      <w:r w:rsidR="008331F6" w:rsidRPr="00A04E56">
        <w:rPr>
          <w:rStyle w:val="fnRef"/>
          <w:rFonts w:ascii="Calibri" w:hAnsi="Calibri" w:cs="Calibri"/>
        </w:rPr>
        <w:t> </w:t>
      </w:r>
      <w:r w:rsidR="008331F6" w:rsidRPr="00A04E56">
        <w:rPr>
          <w:rStyle w:val="fnRef"/>
        </w:rPr>
        <w:t>(</w:t>
      </w:r>
      <w:r w:rsidR="008331F6" w:rsidRPr="00A04E56">
        <w:rPr>
          <w:rStyle w:val="fnRefNo"/>
        </w:rPr>
        <w:footnoteReference w:id="158"/>
      </w:r>
      <w:r w:rsidR="008331F6" w:rsidRPr="00A04E56">
        <w:rPr>
          <w:rStyle w:val="fnRef"/>
        </w:rPr>
        <w:t>)</w:t>
      </w:r>
      <w:r w:rsidR="008331F6" w:rsidRPr="00A04E56">
        <w:t>.</w:t>
      </w:r>
    </w:p>
    <w:p w14:paraId="216E3866" w14:textId="2E964FB8" w:rsidR="008331F6" w:rsidRPr="00A04E56" w:rsidRDefault="008331F6" w:rsidP="008331F6">
      <w:pPr>
        <w:pStyle w:val="BodyText1spaceafter"/>
      </w:pPr>
      <w:r w:rsidRPr="00A04E56">
        <w:t>The support study for the evaluation of the common agricultural policy measures applicable in the wine sector</w:t>
      </w:r>
      <w:r w:rsidRPr="00A04E56">
        <w:rPr>
          <w:rStyle w:val="fnRef"/>
          <w:rFonts w:ascii="Calibri" w:hAnsi="Calibri" w:cs="Calibri"/>
        </w:rPr>
        <w:t> </w:t>
      </w:r>
      <w:r w:rsidRPr="00A04E56">
        <w:rPr>
          <w:rStyle w:val="fnRef"/>
        </w:rPr>
        <w:t>(</w:t>
      </w:r>
      <w:r w:rsidRPr="00A04E56">
        <w:rPr>
          <w:rStyle w:val="fnRefNo"/>
        </w:rPr>
        <w:footnoteReference w:id="159"/>
      </w:r>
      <w:r w:rsidRPr="00A04E56">
        <w:rPr>
          <w:rStyle w:val="fnRef"/>
        </w:rPr>
        <w:t>)</w:t>
      </w:r>
      <w:r w:rsidRPr="00A04E56">
        <w:t xml:space="preserve"> found that, at grower level, the backing provided by the national support programmes for the restructuring and conversion of vineyards resulted in considerable mechanisation as well as a global increase in the cost-effectiveness of their management. At producer level, the programmes — in particular the investments measure — contributed to the improvement of the EU wine producers’ competitiveness and fostered vertical downstream integration. EU labelling rules favoured a level</w:t>
      </w:r>
      <w:r w:rsidR="002B5F47" w:rsidRPr="00A04E56">
        <w:t xml:space="preserve"> </w:t>
      </w:r>
      <w:r w:rsidRPr="00A04E56">
        <w:t>playing field and fair competition for EU competitors, and clear information for consumers. The study pointed out that the national support programmes are generally consistent with the EU environmental objectives but could have played a greater role in the adaptation of the EU vineyards to climate change and could have more directly fostered sustainability. It recommended to require Member States to better justify the strategic choices as regards the measures implemented and to better monitor the effects achieved by the different measures.</w:t>
      </w:r>
    </w:p>
    <w:p w14:paraId="1C765EDF" w14:textId="72DDCE74" w:rsidR="008331F6" w:rsidRPr="00A04E56" w:rsidRDefault="008331F6" w:rsidP="008331F6">
      <w:pPr>
        <w:pStyle w:val="BodyText1spaceafter"/>
      </w:pPr>
      <w:r w:rsidRPr="00A04E56">
        <w:t>The supporting study</w:t>
      </w:r>
      <w:r w:rsidRPr="00A04E56">
        <w:rPr>
          <w:rStyle w:val="fnRef"/>
          <w:rFonts w:ascii="Calibri" w:hAnsi="Calibri" w:cs="Calibri"/>
        </w:rPr>
        <w:t> </w:t>
      </w:r>
      <w:r w:rsidRPr="00A04E56">
        <w:rPr>
          <w:rStyle w:val="fnRef"/>
        </w:rPr>
        <w:t>(</w:t>
      </w:r>
      <w:r w:rsidRPr="00A04E56">
        <w:rPr>
          <w:rStyle w:val="fnRefNo"/>
        </w:rPr>
        <w:footnoteReference w:id="160"/>
      </w:r>
      <w:r w:rsidRPr="00A04E56">
        <w:rPr>
          <w:rStyle w:val="fnRef"/>
        </w:rPr>
        <w:t>)</w:t>
      </w:r>
      <w:r w:rsidRPr="00A04E56">
        <w:t xml:space="preserve"> for the evaluation of the greening layer in direct payments was issued at the end of 2017 and a consecutive Commission staff working document was adopted in </w:t>
      </w:r>
      <w:r w:rsidRPr="00A04E56">
        <w:rPr>
          <w:i/>
          <w:u w:val="single"/>
        </w:rPr>
        <w:t>November 2018</w:t>
      </w:r>
      <w:r w:rsidRPr="00A04E56">
        <w:rPr>
          <w:rStyle w:val="fnRef"/>
          <w:rFonts w:ascii="Calibri" w:hAnsi="Calibri" w:cs="Calibri"/>
        </w:rPr>
        <w:t> </w:t>
      </w:r>
      <w:r w:rsidRPr="00A04E56">
        <w:rPr>
          <w:rStyle w:val="fnRef"/>
        </w:rPr>
        <w:t>(</w:t>
      </w:r>
      <w:r w:rsidRPr="00A04E56">
        <w:rPr>
          <w:rStyle w:val="fnRefNo"/>
        </w:rPr>
        <w:footnoteReference w:id="161"/>
      </w:r>
      <w:r w:rsidRPr="00A04E56">
        <w:rPr>
          <w:rStyle w:val="fnRef"/>
        </w:rPr>
        <w:t>)</w:t>
      </w:r>
      <w:r w:rsidRPr="00A04E56">
        <w:t xml:space="preserve">. This evaluation concluded that the overall effects of the greening measures, as currently applied, on farm management practices and on the environment/climate appear to be fairly limited, although there are variations across the Member States. The greening measures do not appear to have had any significant effect on agricultural production or the economic viability of farms. The evaluation showed that more could be done by Member States as well as by farmers to fully deliver on greening; </w:t>
      </w:r>
      <w:r w:rsidR="002D00B6" w:rsidRPr="00A04E56">
        <w:t xml:space="preserve">in addition </w:t>
      </w:r>
      <w:r w:rsidRPr="00A04E56">
        <w:t xml:space="preserve">more could also be done at EU level to simplify the scheme. Member States have significant flexibility in implementing the measures yet, in general, they do not use this flexibility to maximise the environmental and climate benefits. Decisions seem to have been driven rather by administrative issues and agricultural considerations, including wanting to ensure minimal disturbance to farming practices. </w:t>
      </w:r>
    </w:p>
    <w:p w14:paraId="0422653C" w14:textId="7420BC36" w:rsidR="008331F6" w:rsidRPr="00A04E56" w:rsidRDefault="008331F6" w:rsidP="008331F6">
      <w:pPr>
        <w:pStyle w:val="BodyText1spaceafter"/>
      </w:pPr>
      <w:r w:rsidRPr="00A04E56">
        <w:t xml:space="preserve">In the Commission proposals for the post-2020 common agricultural policy, the existing greening requirements are </w:t>
      </w:r>
      <w:r w:rsidR="002D00B6" w:rsidRPr="00A04E56">
        <w:t xml:space="preserve">integrated </w:t>
      </w:r>
      <w:r w:rsidRPr="00A04E56">
        <w:t>into a broader framework including a new condition</w:t>
      </w:r>
      <w:r w:rsidR="00EF7A87" w:rsidRPr="00A04E56">
        <w:t>s set</w:t>
      </w:r>
      <w:r w:rsidRPr="00A04E56">
        <w:t xml:space="preserve"> </w:t>
      </w:r>
      <w:r w:rsidR="002D00B6" w:rsidRPr="00A04E56">
        <w:t xml:space="preserve">(i.e. an improved system of obligations to be met by beneficiaries of area- and animal-based CAP payments) </w:t>
      </w:r>
      <w:r w:rsidRPr="00A04E56">
        <w:t xml:space="preserve">and responding </w:t>
      </w:r>
      <w:r w:rsidR="002D00B6" w:rsidRPr="00A04E56">
        <w:t xml:space="preserve">inter alia </w:t>
      </w:r>
      <w:r w:rsidRPr="00A04E56">
        <w:t>to three specific objectives: contribute to climate</w:t>
      </w:r>
      <w:r w:rsidR="00C6111C" w:rsidRPr="00A04E56">
        <w:t>-</w:t>
      </w:r>
      <w:r w:rsidRPr="00A04E56">
        <w:t>change mitigation and adaptation, foster sustainable development and efficient management of natural resources, and contribute to the protection of biodiversity.</w:t>
      </w:r>
    </w:p>
    <w:p w14:paraId="36926891" w14:textId="26E14ACC" w:rsidR="008331F6" w:rsidRPr="00A04E56" w:rsidRDefault="008331F6" w:rsidP="008331F6">
      <w:pPr>
        <w:pStyle w:val="BodyText1spaceafter"/>
      </w:pPr>
      <w:r w:rsidRPr="00A04E56">
        <w:t xml:space="preserve">Future common agricultural policy — apart from reinforcing environmental care and climate </w:t>
      </w:r>
      <w:r w:rsidR="002D00B6" w:rsidRPr="00A04E56">
        <w:t xml:space="preserve">action </w:t>
      </w:r>
      <w:r w:rsidRPr="00A04E56">
        <w:t xml:space="preserve">— aims also to strengthen the </w:t>
      </w:r>
      <w:r w:rsidR="002D00B6" w:rsidRPr="00A04E56">
        <w:t xml:space="preserve">farm </w:t>
      </w:r>
      <w:r w:rsidRPr="00A04E56">
        <w:t xml:space="preserve">sector’s resilience and improve life in rural areas. </w:t>
      </w:r>
    </w:p>
    <w:p w14:paraId="29C25E3D" w14:textId="0829205A" w:rsidR="008331F6" w:rsidRPr="00A04E56" w:rsidRDefault="008331F6" w:rsidP="008331F6">
      <w:pPr>
        <w:pStyle w:val="Title2Report"/>
      </w:pPr>
      <w:bookmarkStart w:id="121" w:name="_Toc4603974"/>
      <w:bookmarkStart w:id="122" w:name="_Toc4680728"/>
      <w:bookmarkStart w:id="123" w:name="_Toc4683002"/>
      <w:bookmarkStart w:id="124" w:name="_Toc4683095"/>
      <w:bookmarkStart w:id="125" w:name="_Toc12021016"/>
      <w:r w:rsidRPr="00A04E56">
        <w:t>European Agricultural Fund for Rural Development</w:t>
      </w:r>
      <w:bookmarkEnd w:id="121"/>
      <w:bookmarkEnd w:id="122"/>
      <w:bookmarkEnd w:id="123"/>
      <w:bookmarkEnd w:id="124"/>
      <w:bookmarkEnd w:id="125"/>
    </w:p>
    <w:p w14:paraId="20A622A7" w14:textId="77777777" w:rsidR="008331F6" w:rsidRPr="00A04E56" w:rsidRDefault="008331F6" w:rsidP="00AA0340">
      <w:pPr>
        <w:pStyle w:val="Title3NumberedReport"/>
      </w:pPr>
      <w:bookmarkStart w:id="126" w:name="_Toc4680729"/>
      <w:bookmarkStart w:id="127" w:name="_Toc4683003"/>
      <w:r w:rsidRPr="00A04E56">
        <w:t>Programme objectives</w:t>
      </w:r>
      <w:bookmarkEnd w:id="126"/>
      <w:bookmarkEnd w:id="127"/>
    </w:p>
    <w:p w14:paraId="208C2800" w14:textId="77777777" w:rsidR="008331F6" w:rsidRPr="00A04E56" w:rsidRDefault="008331F6" w:rsidP="008331F6">
      <w:pPr>
        <w:pStyle w:val="BodyText1spaceafter"/>
      </w:pPr>
      <w:bookmarkStart w:id="128" w:name="justif_2"/>
      <w:r w:rsidRPr="00A04E56">
        <w:t xml:space="preserve">The European Agricultural Fund for Rural Development finances the EU’s contribution to rural development programmes. These programmes contribute to </w:t>
      </w:r>
      <w:r w:rsidRPr="00A04E56">
        <w:rPr>
          <w:rStyle w:val="BOLDLIGHTBLUEReport"/>
          <w:rFonts w:eastAsia="Calibri"/>
        </w:rPr>
        <w:t>smart, sustainable and inclusive growth</w:t>
      </w:r>
      <w:r w:rsidRPr="00A04E56">
        <w:t xml:space="preserve"> in the EU by supporting farms, food and forestry sectors and other entities operating in rural areas such as non-agricultural businesses, non-governmental organisations and local authorities. </w:t>
      </w:r>
    </w:p>
    <w:p w14:paraId="3BE75ED8" w14:textId="77777777" w:rsidR="008331F6" w:rsidRPr="00A04E56" w:rsidRDefault="008331F6" w:rsidP="008331F6">
      <w:pPr>
        <w:pStyle w:val="BodyText1spaceafter"/>
      </w:pPr>
      <w:r w:rsidRPr="00A04E56">
        <w:t xml:space="preserve">The fund is also an important tool to mitigate climate change and support the shift towards a low-carbon and climate-resilient economy by helping farmers and rural businesses to </w:t>
      </w:r>
      <w:r w:rsidRPr="00A04E56">
        <w:rPr>
          <w:rStyle w:val="BOLDLIGHTBLUEReport"/>
          <w:rFonts w:eastAsia="Calibri"/>
        </w:rPr>
        <w:t>reduce greenhouse gas and ammonia emissions</w:t>
      </w:r>
      <w:r w:rsidRPr="00A04E56">
        <w:t xml:space="preserve"> and </w:t>
      </w:r>
      <w:r w:rsidRPr="00A04E56">
        <w:rPr>
          <w:rStyle w:val="BOLDLIGHTBLUEReport"/>
          <w:rFonts w:eastAsia="Calibri"/>
        </w:rPr>
        <w:t>adapt to the consequences of climate change</w:t>
      </w:r>
      <w:r w:rsidRPr="00A04E56">
        <w:t>. The fund pursues six specific priorities.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5C1818" w:rsidRPr="00A04E56" w14:paraId="0592F8DE" w14:textId="77777777" w:rsidTr="00B25DAC">
        <w:trPr>
          <w:cantSplit/>
          <w:trHeight w:val="2211"/>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bookmarkEnd w:id="128"/>
          <w:p w14:paraId="362E4BF4" w14:textId="77777777" w:rsidR="008331F6" w:rsidRPr="00A04E56" w:rsidRDefault="008331F6" w:rsidP="00107DA0">
            <w:pPr>
              <w:keepNext/>
              <w:spacing w:after="120" w:line="276" w:lineRule="auto"/>
              <w:jc w:val="center"/>
              <w:rPr>
                <w:rFonts w:cstheme="minorHAnsi"/>
                <w:szCs w:val="20"/>
              </w:rPr>
            </w:pPr>
            <w:r w:rsidRPr="00A04E56">
              <w:rPr>
                <w:noProof/>
                <w:lang w:val="fr-BE" w:eastAsia="fr-BE"/>
              </w:rPr>
              <w:drawing>
                <wp:inline distT="0" distB="0" distL="0" distR="0" wp14:anchorId="7DCB6484" wp14:editId="718122AB">
                  <wp:extent cx="468000" cy="468000"/>
                  <wp:effectExtent l="0" t="0" r="8255" b="8255"/>
                  <wp:docPr id="88" name="Picture 88" descr="G:\Production\B2 prepresse\Raimonds\2019.1745 AMPR\50 - work on images\AMPR Icons\AMPR_Icons_Send2\AMPR_Icons_Send2\Icon_22000_EAFRD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G:\Production\B2 prepresse\Raimonds\2019.1745 AMPR\50 - work on images\AMPR Icons\AMPR_Icons_Send2\AMPR_Icons_Send2\Icon_22000_EAFRD_01.emf"/>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29248E0F" w14:textId="77777777" w:rsidR="008331F6" w:rsidRPr="00A04E56" w:rsidRDefault="008331F6" w:rsidP="00C65761">
            <w:pPr>
              <w:keepNext/>
              <w:spacing w:after="120" w:line="276" w:lineRule="auto"/>
              <w:rPr>
                <w:rFonts w:cstheme="minorHAnsi"/>
                <w:szCs w:val="20"/>
              </w:rPr>
            </w:pPr>
            <w:r w:rsidRPr="00A04E56">
              <w:rPr>
                <w:rFonts w:cstheme="minorHAnsi"/>
                <w:szCs w:val="20"/>
              </w:rPr>
              <w:t>Fostering knowledge transfer and innovation in agriculture, forestry and rural areas</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7A6A94AF" w14:textId="77777777" w:rsidR="008331F6" w:rsidRPr="00A04E56" w:rsidRDefault="008331F6" w:rsidP="00107DA0">
            <w:pPr>
              <w:keepNext/>
              <w:spacing w:after="120" w:line="276" w:lineRule="auto"/>
              <w:jc w:val="center"/>
              <w:rPr>
                <w:rFonts w:cstheme="minorHAnsi"/>
                <w:szCs w:val="20"/>
                <w:lang w:eastAsia="hu-HU"/>
              </w:rPr>
            </w:pPr>
            <w:r w:rsidRPr="00A04E56">
              <w:rPr>
                <w:noProof/>
                <w:lang w:val="fr-BE" w:eastAsia="fr-BE"/>
              </w:rPr>
              <w:drawing>
                <wp:inline distT="0" distB="0" distL="0" distR="0" wp14:anchorId="5D565A85" wp14:editId="021BE38D">
                  <wp:extent cx="468000" cy="468000"/>
                  <wp:effectExtent l="0" t="0" r="8255" b="8255"/>
                  <wp:docPr id="89" name="Picture 89" descr="G:\Production\B2 prepresse\Raimonds\2019.1745 AMPR\50 - work on images\AMPR Icons\AMPR_Icons_Send2\AMPR_Icons_Send2\Icon_22000_EAFRD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Production\B2 prepresse\Raimonds\2019.1745 AMPR\50 - work on images\AMPR Icons\AMPR_Icons_Send2\AMPR_Icons_Send2\Icon_22000_EAFRD_02.emf"/>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5D70977" w14:textId="77777777" w:rsidR="008331F6" w:rsidRPr="00A04E56" w:rsidRDefault="008331F6" w:rsidP="00C65761">
            <w:pPr>
              <w:keepNext/>
              <w:spacing w:after="120" w:line="276" w:lineRule="auto"/>
              <w:rPr>
                <w:rFonts w:cstheme="minorHAnsi"/>
                <w:szCs w:val="20"/>
              </w:rPr>
            </w:pPr>
            <w:r w:rsidRPr="00A04E56">
              <w:rPr>
                <w:rFonts w:cstheme="minorHAnsi"/>
                <w:szCs w:val="20"/>
              </w:rPr>
              <w:t>Enhancing farm viability and competitiveness of all types of agriculture in all regions and promoting innovative farm technologies</w:t>
            </w:r>
            <w:r w:rsidRPr="00A04E56">
              <w:t xml:space="preserve"> </w:t>
            </w:r>
            <w:r w:rsidRPr="00A04E56">
              <w:rPr>
                <w:rFonts w:cstheme="minorHAnsi"/>
                <w:szCs w:val="20"/>
              </w:rPr>
              <w:t>and sustainable management of forests</w:t>
            </w:r>
          </w:p>
        </w:tc>
      </w:tr>
      <w:tr w:rsidR="005C1818" w:rsidRPr="00A04E56" w14:paraId="6FB84592" w14:textId="77777777" w:rsidTr="00B25DAC">
        <w:trPr>
          <w:cantSplit/>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72621FEE" w14:textId="77777777" w:rsidR="008331F6" w:rsidRPr="00A04E56" w:rsidRDefault="008331F6" w:rsidP="00107DA0">
            <w:pPr>
              <w:keepNext/>
              <w:spacing w:after="120" w:line="276" w:lineRule="auto"/>
              <w:jc w:val="center"/>
              <w:rPr>
                <w:rFonts w:cstheme="minorHAnsi"/>
                <w:szCs w:val="20"/>
                <w:lang w:eastAsia="hu-HU"/>
              </w:rPr>
            </w:pPr>
            <w:r w:rsidRPr="00A04E56">
              <w:rPr>
                <w:noProof/>
                <w:lang w:val="fr-BE" w:eastAsia="fr-BE"/>
              </w:rPr>
              <w:drawing>
                <wp:inline distT="0" distB="0" distL="0" distR="0" wp14:anchorId="0653FAE4" wp14:editId="02F53B38">
                  <wp:extent cx="468000" cy="468000"/>
                  <wp:effectExtent l="0" t="0" r="8255" b="8255"/>
                  <wp:docPr id="90" name="Picture 90" descr="G:\Production\B2 prepresse\Raimonds\2019.1745 AMPR\50 - work on images\AMPR Icons\AMPR_Icons_Send2\AMPR_Icons_Send2\Icon_22000_EAFRD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Production\B2 prepresse\Raimonds\2019.1745 AMPR\50 - work on images\AMPR Icons\AMPR_Icons_Send2\AMPR_Icons_Send2\Icon_22000_EAFRD_03.emf"/>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396FF203" w14:textId="77777777" w:rsidR="008331F6" w:rsidRPr="00A04E56" w:rsidRDefault="008331F6" w:rsidP="00C65761">
            <w:pPr>
              <w:keepNext/>
              <w:spacing w:after="120" w:line="276" w:lineRule="auto"/>
              <w:rPr>
                <w:rFonts w:cstheme="minorHAnsi"/>
                <w:szCs w:val="20"/>
              </w:rPr>
            </w:pPr>
            <w:r w:rsidRPr="00A04E56">
              <w:rPr>
                <w:rFonts w:cstheme="minorHAnsi"/>
                <w:szCs w:val="20"/>
              </w:rPr>
              <w:t>Promoting food-chain organisation, including processing and marketing of agricultural products, animal welfare and risk management in agriculture</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16A41D02" w14:textId="77777777" w:rsidR="008331F6" w:rsidRPr="00A04E56" w:rsidRDefault="008331F6" w:rsidP="00107DA0">
            <w:pPr>
              <w:keepNext/>
              <w:spacing w:after="120" w:line="276" w:lineRule="auto"/>
              <w:jc w:val="center"/>
              <w:rPr>
                <w:lang w:eastAsia="hu-HU"/>
              </w:rPr>
            </w:pPr>
            <w:r w:rsidRPr="00A04E56">
              <w:rPr>
                <w:noProof/>
                <w:lang w:val="fr-BE" w:eastAsia="fr-BE"/>
              </w:rPr>
              <w:drawing>
                <wp:inline distT="0" distB="0" distL="0" distR="0" wp14:anchorId="6F7D1C05" wp14:editId="14ED8028">
                  <wp:extent cx="468000" cy="468000"/>
                  <wp:effectExtent l="0" t="0" r="8255" b="8255"/>
                  <wp:docPr id="91" name="Picture 91" descr="G:\Production\B2 prepresse\Raimonds\2019.1745 AMPR\50 - work on images\AMPR Icons\AMPR_Icons_Send2\AMPR_Icons_Send2\Icon_22000_EAFRD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Production\B2 prepresse\Raimonds\2019.1745 AMPR\50 - work on images\AMPR Icons\AMPR_Icons_Send2\AMPR_Icons_Send2\Icon_22000_EAFRD_04.emf"/>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0F986E1" w14:textId="77777777" w:rsidR="008331F6" w:rsidRPr="00A04E56" w:rsidRDefault="008331F6" w:rsidP="00C65761">
            <w:pPr>
              <w:keepNext/>
              <w:spacing w:after="120" w:line="276" w:lineRule="auto"/>
              <w:rPr>
                <w:rFonts w:cstheme="minorHAnsi"/>
                <w:szCs w:val="20"/>
              </w:rPr>
            </w:pPr>
            <w:r w:rsidRPr="00A04E56">
              <w:rPr>
                <w:rFonts w:cstheme="minorHAnsi"/>
                <w:szCs w:val="20"/>
              </w:rPr>
              <w:t>Restoring, preserving and enhancing ecosystems related to agriculture and forestry</w:t>
            </w:r>
          </w:p>
        </w:tc>
      </w:tr>
      <w:tr w:rsidR="005C1818" w:rsidRPr="00A04E56" w14:paraId="0AC509F2" w14:textId="77777777" w:rsidTr="00B25DAC">
        <w:trPr>
          <w:cantSplit/>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0B51D818" w14:textId="77777777" w:rsidR="008331F6" w:rsidRPr="00A04E56" w:rsidRDefault="008331F6" w:rsidP="00107DA0">
            <w:pPr>
              <w:spacing w:after="120" w:line="276" w:lineRule="auto"/>
              <w:jc w:val="center"/>
              <w:rPr>
                <w:rFonts w:cstheme="minorHAnsi"/>
                <w:szCs w:val="20"/>
                <w:lang w:eastAsia="hu-HU"/>
              </w:rPr>
            </w:pPr>
            <w:r w:rsidRPr="00A04E56">
              <w:rPr>
                <w:noProof/>
                <w:lang w:val="fr-BE" w:eastAsia="fr-BE"/>
              </w:rPr>
              <w:drawing>
                <wp:inline distT="0" distB="0" distL="0" distR="0" wp14:anchorId="42E0DFAB" wp14:editId="765A3A77">
                  <wp:extent cx="468000" cy="468000"/>
                  <wp:effectExtent l="0" t="0" r="8255" b="8255"/>
                  <wp:docPr id="92" name="Picture 92" descr="G:\Production\B2 prepresse\Raimonds\2019.1745 AMPR\50 - work on images\AMPR Icons\AMPR_Icons_Send2\AMPR_Icons_Send2\Icon_22000_EAFRD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G:\Production\B2 prepresse\Raimonds\2019.1745 AMPR\50 - work on images\AMPR Icons\AMPR_Icons_Send2\AMPR_Icons_Send2\Icon_22000_EAFRD_05.emf"/>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5DDBD37A" w14:textId="77777777" w:rsidR="008331F6" w:rsidRPr="00A04E56" w:rsidRDefault="008331F6" w:rsidP="008331F6">
            <w:pPr>
              <w:spacing w:after="120" w:line="276" w:lineRule="auto"/>
              <w:rPr>
                <w:rFonts w:cstheme="minorHAnsi"/>
                <w:szCs w:val="20"/>
              </w:rPr>
            </w:pPr>
            <w:r w:rsidRPr="00A04E56">
              <w:rPr>
                <w:rFonts w:cstheme="minorHAnsi"/>
                <w:szCs w:val="20"/>
              </w:rPr>
              <w:t>Promoting resource eﬃciency and supporting the shift towards a low-carbon and climate-resilient economy in agriculture, food and forestry sectors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54CE974" w14:textId="77777777" w:rsidR="008331F6" w:rsidRPr="00A04E56" w:rsidRDefault="008331F6" w:rsidP="00107DA0">
            <w:pPr>
              <w:spacing w:after="120" w:line="276" w:lineRule="auto"/>
              <w:jc w:val="center"/>
              <w:rPr>
                <w:lang w:eastAsia="hu-HU"/>
              </w:rPr>
            </w:pPr>
            <w:r w:rsidRPr="00A04E56">
              <w:rPr>
                <w:noProof/>
                <w:lang w:val="fr-BE" w:eastAsia="fr-BE"/>
              </w:rPr>
              <w:drawing>
                <wp:inline distT="0" distB="0" distL="0" distR="0" wp14:anchorId="17874D34" wp14:editId="7E81EBCB">
                  <wp:extent cx="468000" cy="468000"/>
                  <wp:effectExtent l="0" t="0" r="8255" b="8255"/>
                  <wp:docPr id="93" name="Picture 93" descr="G:\Production\B2 prepresse\Raimonds\2019.1745 AMPR\50 - work on images\AMPR Icons\AMPR_Icons_Send2\AMPR_Icons_Send2\Icon_22000_EAFRD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Production\B2 prepresse\Raimonds\2019.1745 AMPR\50 - work on images\AMPR Icons\AMPR_Icons_Send2\AMPR_Icons_Send2\Icon_22000_EAFRD_06.emf"/>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02A4E3D5" w14:textId="77777777" w:rsidR="008331F6" w:rsidRPr="00A04E56" w:rsidRDefault="008331F6" w:rsidP="008331F6">
            <w:pPr>
              <w:spacing w:after="120" w:line="276" w:lineRule="auto"/>
              <w:rPr>
                <w:rFonts w:cstheme="minorHAnsi"/>
                <w:szCs w:val="20"/>
              </w:rPr>
            </w:pPr>
            <w:r w:rsidRPr="00A04E56">
              <w:rPr>
                <w:rFonts w:cstheme="minorHAnsi"/>
                <w:szCs w:val="20"/>
              </w:rPr>
              <w:t>Promoting social inclusion, poverty reduction and economic development in rural areas</w:t>
            </w:r>
          </w:p>
        </w:tc>
      </w:tr>
    </w:tbl>
    <w:p w14:paraId="441B38CC" w14:textId="77777777" w:rsidR="008331F6" w:rsidRPr="00A04E56" w:rsidRDefault="008331F6" w:rsidP="008331F6">
      <w:pPr>
        <w:pStyle w:val="BodyText"/>
      </w:pPr>
    </w:p>
    <w:p w14:paraId="635EB733" w14:textId="3EA2B57E" w:rsidR="008331F6" w:rsidRPr="00A04E56" w:rsidRDefault="008C1D39" w:rsidP="00AA0340">
      <w:pPr>
        <w:pStyle w:val="Title3NumberedReport"/>
      </w:pPr>
      <w:r w:rsidRPr="00A04E56">
        <w:t>Implementation and latest achievements</w:t>
      </w:r>
    </w:p>
    <w:p w14:paraId="43A70CEC" w14:textId="03197D5E" w:rsidR="008331F6" w:rsidRPr="00A04E56" w:rsidRDefault="008331F6" w:rsidP="008331F6">
      <w:pPr>
        <w:pStyle w:val="BodyText1spaceafter"/>
      </w:pPr>
      <w:r w:rsidRPr="00A04E56">
        <w:t>By end 2018</w:t>
      </w:r>
      <w:r w:rsidRPr="00A04E56">
        <w:rPr>
          <w:rStyle w:val="fnRef"/>
          <w:rFonts w:ascii="Calibri" w:hAnsi="Calibri" w:cs="Calibri"/>
        </w:rPr>
        <w:t> </w:t>
      </w:r>
      <w:r w:rsidRPr="00A04E56">
        <w:rPr>
          <w:rStyle w:val="fnRef"/>
        </w:rPr>
        <w:t>(</w:t>
      </w:r>
      <w:r w:rsidRPr="00A04E56">
        <w:rPr>
          <w:rStyle w:val="fnRefNo"/>
        </w:rPr>
        <w:footnoteReference w:id="162"/>
      </w:r>
      <w:r w:rsidRPr="00A04E56">
        <w:rPr>
          <w:rStyle w:val="fnRef"/>
        </w:rPr>
        <w:t>)</w:t>
      </w:r>
      <w:r w:rsidRPr="00A04E56">
        <w:t>, total rural development payments from the EU budget to Member States amounted to EUR</w:t>
      </w:r>
      <w:r w:rsidRPr="00A04E56">
        <w:rPr>
          <w:rFonts w:ascii="Calibri" w:hAnsi="Calibri" w:cs="Calibri"/>
        </w:rPr>
        <w:t> </w:t>
      </w:r>
      <w:r w:rsidRPr="00A04E56">
        <w:t>36.5</w:t>
      </w:r>
      <w:r w:rsidRPr="00A04E56">
        <w:rPr>
          <w:rFonts w:ascii="Calibri" w:hAnsi="Calibri" w:cs="Calibri"/>
        </w:rPr>
        <w:t> </w:t>
      </w:r>
      <w:r w:rsidRPr="00A04E56">
        <w:t xml:space="preserve">billion (including pre-financing and interim payments), which is 36% of the total commitments for the period 2014-2020. </w:t>
      </w:r>
      <w:r w:rsidR="008C1D39" w:rsidRPr="00A04E56">
        <w:rPr>
          <w:i/>
          <w:u w:val="single"/>
        </w:rPr>
        <w:t>In 2018</w:t>
      </w:r>
      <w:r w:rsidRPr="00A04E56">
        <w:t>, the Member States submitted their third annual implementation report covering the implementation until 31</w:t>
      </w:r>
      <w:r w:rsidRPr="00A04E56">
        <w:rPr>
          <w:rFonts w:ascii="Calibri" w:hAnsi="Calibri" w:cs="Calibri"/>
        </w:rPr>
        <w:t> </w:t>
      </w:r>
      <w:r w:rsidRPr="00A04E56">
        <w:t>December 2017</w:t>
      </w:r>
      <w:r w:rsidRPr="00A04E56">
        <w:rPr>
          <w:rStyle w:val="fnRef"/>
          <w:rFonts w:ascii="Calibri" w:hAnsi="Calibri" w:cs="Calibri"/>
        </w:rPr>
        <w:t> </w:t>
      </w:r>
      <w:r w:rsidRPr="00A04E56">
        <w:rPr>
          <w:rStyle w:val="fnRef"/>
        </w:rPr>
        <w:t>(</w:t>
      </w:r>
      <w:r w:rsidRPr="00A04E56">
        <w:rPr>
          <w:rStyle w:val="fnRefNo"/>
        </w:rPr>
        <w:footnoteReference w:id="163"/>
      </w:r>
      <w:r w:rsidRPr="00A04E56">
        <w:rPr>
          <w:rStyle w:val="fnRef"/>
        </w:rPr>
        <w:t>)</w:t>
      </w:r>
      <w:r w:rsidRPr="00A04E56">
        <w:t>.</w:t>
      </w:r>
    </w:p>
    <w:p w14:paraId="7AA79B10" w14:textId="3FF6F6FE" w:rsidR="008331F6" w:rsidRPr="00A04E56" w:rsidRDefault="008331F6" w:rsidP="008331F6">
      <w:pPr>
        <w:pStyle w:val="BodyText1spaceafter"/>
      </w:pPr>
      <w:r w:rsidRPr="00A04E56">
        <w:t xml:space="preserve">The European Agricultural Fund for Rural Development supports solutions to </w:t>
      </w:r>
      <w:r w:rsidRPr="00A04E56">
        <w:rPr>
          <w:rStyle w:val="BOLDLIGHTBLUEReport"/>
          <w:rFonts w:eastAsia="Calibri"/>
        </w:rPr>
        <w:t xml:space="preserve">encourage entrepreneurship and employment in farming and rural businesses </w:t>
      </w:r>
      <w:r w:rsidRPr="00A04E56">
        <w:t>and</w:t>
      </w:r>
      <w:r w:rsidRPr="00A04E56">
        <w:rPr>
          <w:rStyle w:val="BOLDLIGHTBLUEReport"/>
          <w:rFonts w:eastAsia="Calibri"/>
        </w:rPr>
        <w:t xml:space="preserve"> improve their economic viability and resilience</w:t>
      </w:r>
      <w:r w:rsidRPr="00A04E56">
        <w:t xml:space="preserve">. </w:t>
      </w:r>
      <w:r w:rsidRPr="00A04E56">
        <w:rPr>
          <w:i/>
          <w:u w:val="single"/>
        </w:rPr>
        <w:t>By the end of 2017</w:t>
      </w:r>
      <w:r w:rsidRPr="00A04E56">
        <w:t>, more than 112</w:t>
      </w:r>
      <w:r w:rsidRPr="00A04E56">
        <w:rPr>
          <w:rFonts w:ascii="Calibri" w:hAnsi="Calibri" w:cs="Calibri"/>
        </w:rPr>
        <w:t> </w:t>
      </w:r>
      <w:r w:rsidRPr="00A04E56">
        <w:t>000 farm holdings received investment support to facilitate restructuring and modernisation and achieve productivity gains (25% of the target), and more than 49% of the budget allocated to start</w:t>
      </w:r>
      <w:r w:rsidR="002B5F47" w:rsidRPr="00A04E56">
        <w:t>-</w:t>
      </w:r>
      <w:r w:rsidRPr="00A04E56">
        <w:t>up aid and support for investment in non-agriculture activities in rural areas was committed; 51</w:t>
      </w:r>
      <w:r w:rsidRPr="00A04E56">
        <w:rPr>
          <w:rFonts w:ascii="Calibri" w:hAnsi="Calibri" w:cs="Calibri"/>
        </w:rPr>
        <w:t> </w:t>
      </w:r>
      <w:r w:rsidR="002E247F" w:rsidRPr="00A04E56">
        <w:t xml:space="preserve">400 </w:t>
      </w:r>
      <w:r w:rsidRPr="00A04E56">
        <w:t>young farmers who bring new energy and have the potential to exploit the full benefits of technology in terms of increased productivity and sustainability received support for setting up businesses; 125</w:t>
      </w:r>
      <w:r w:rsidRPr="00A04E56" w:rsidDel="00526676">
        <w:rPr>
          <w:rFonts w:ascii="Calibri" w:hAnsi="Calibri" w:cs="Calibri"/>
        </w:rPr>
        <w:t> </w:t>
      </w:r>
      <w:r w:rsidRPr="00A04E56">
        <w:t>200 farm holdings received support in the form of risk</w:t>
      </w:r>
      <w:r w:rsidR="002B5F47" w:rsidRPr="00A04E56">
        <w:t>-</w:t>
      </w:r>
      <w:r w:rsidRPr="00A04E56">
        <w:t xml:space="preserve">management tools to reduce the uncertainty about the future that can compromise farmers’ competitiveness; and </w:t>
      </w:r>
      <w:r w:rsidR="006C548E" w:rsidRPr="00A04E56">
        <w:t xml:space="preserve">60 327 </w:t>
      </w:r>
      <w:r w:rsidRPr="00A04E56">
        <w:t>farm holdings were helped to participate in quality schemes</w:t>
      </w:r>
      <w:r w:rsidRPr="00A04E56">
        <w:rPr>
          <w:rStyle w:val="fnRef"/>
          <w:rFonts w:ascii="Calibri" w:hAnsi="Calibri" w:cs="Calibri"/>
        </w:rPr>
        <w:t> </w:t>
      </w:r>
      <w:r w:rsidRPr="00A04E56">
        <w:rPr>
          <w:rStyle w:val="fnRef"/>
        </w:rPr>
        <w:t>(</w:t>
      </w:r>
      <w:r w:rsidRPr="00A04E56">
        <w:rPr>
          <w:rStyle w:val="fnRefNo"/>
        </w:rPr>
        <w:footnoteReference w:id="164"/>
      </w:r>
      <w:r w:rsidRPr="00A04E56">
        <w:rPr>
          <w:rStyle w:val="fnRef"/>
        </w:rPr>
        <w:t>)</w:t>
      </w:r>
      <w:r w:rsidRPr="00A04E56">
        <w:t xml:space="preserve">. </w:t>
      </w:r>
    </w:p>
    <w:p w14:paraId="0AF4B325" w14:textId="006E4438" w:rsidR="008331F6" w:rsidRPr="00A04E56" w:rsidRDefault="008C1D39" w:rsidP="009A646E">
      <w:pPr>
        <w:pStyle w:val="BodyText1spaceafter"/>
        <w:keepNext/>
      </w:pPr>
      <w:r w:rsidRPr="00A04E56">
        <w:rPr>
          <w:i/>
          <w:u w:val="single"/>
        </w:rPr>
        <w:t>In 2017</w:t>
      </w:r>
      <w:r w:rsidR="008331F6" w:rsidRPr="00A04E56">
        <w:rPr>
          <w:rStyle w:val="fnRef"/>
          <w:rFonts w:ascii="Calibri" w:hAnsi="Calibri" w:cs="Calibri"/>
        </w:rPr>
        <w:t> </w:t>
      </w:r>
      <w:r w:rsidR="008331F6" w:rsidRPr="00A04E56">
        <w:rPr>
          <w:rStyle w:val="fnRef"/>
        </w:rPr>
        <w:t>(</w:t>
      </w:r>
      <w:r w:rsidR="008331F6" w:rsidRPr="00A04E56">
        <w:rPr>
          <w:rStyle w:val="fnRefNo"/>
        </w:rPr>
        <w:footnoteReference w:id="165"/>
      </w:r>
      <w:r w:rsidR="008331F6" w:rsidRPr="00A04E56">
        <w:rPr>
          <w:rStyle w:val="fnRef"/>
        </w:rPr>
        <w:t>)</w:t>
      </w:r>
      <w:r w:rsidR="008331F6" w:rsidRPr="00A04E56">
        <w:t xml:space="preserve">, the implementation status of measures that will significantly contribute to the </w:t>
      </w:r>
      <w:r w:rsidR="008331F6" w:rsidRPr="00A04E56">
        <w:rPr>
          <w:rStyle w:val="BOLDLIGHTBLUEReport"/>
          <w:rFonts w:eastAsia="Calibri"/>
        </w:rPr>
        <w:t>environmental and climate objectives</w:t>
      </w:r>
      <w:r w:rsidR="008331F6" w:rsidRPr="00A04E56">
        <w:t xml:space="preserve"> of the policy included the following:</w:t>
      </w:r>
    </w:p>
    <w:p w14:paraId="68894F81" w14:textId="77777777" w:rsidR="008331F6" w:rsidRPr="00A04E56" w:rsidRDefault="008331F6" w:rsidP="00107DA0">
      <w:pPr>
        <w:pStyle w:val="BulletsblueNew"/>
      </w:pPr>
      <w:r w:rsidRPr="00A04E56">
        <w:t>a total of 2.9</w:t>
      </w:r>
      <w:r w:rsidRPr="00A04E56">
        <w:rPr>
          <w:rFonts w:ascii="Calibri" w:hAnsi="Calibri" w:cs="Calibri"/>
        </w:rPr>
        <w:t> </w:t>
      </w:r>
      <w:r w:rsidRPr="00A04E56">
        <w:t>million hectares of agricultural and forest land was covered by management contracts contributing to carbon sequestration or conservation (72.5% of the target of 4</w:t>
      </w:r>
      <w:r w:rsidRPr="00A04E56">
        <w:rPr>
          <w:rFonts w:ascii="Calibri" w:hAnsi="Calibri" w:cs="Calibri"/>
        </w:rPr>
        <w:t> </w:t>
      </w:r>
      <w:r w:rsidRPr="00A04E56">
        <w:t xml:space="preserve">million hectares); </w:t>
      </w:r>
    </w:p>
    <w:p w14:paraId="76BC097C" w14:textId="65D48679" w:rsidR="008331F6" w:rsidRPr="00A04E56" w:rsidRDefault="008331F6" w:rsidP="00107DA0">
      <w:pPr>
        <w:pStyle w:val="BulletsblueNew"/>
      </w:pPr>
      <w:r w:rsidRPr="00A04E56">
        <w:t>283</w:t>
      </w:r>
      <w:r w:rsidRPr="00A04E56">
        <w:rPr>
          <w:rFonts w:ascii="Calibri" w:hAnsi="Calibri" w:cs="Calibri"/>
        </w:rPr>
        <w:t> </w:t>
      </w:r>
      <w:r w:rsidRPr="00A04E56">
        <w:t>000</w:t>
      </w:r>
      <w:r w:rsidRPr="00A04E56">
        <w:rPr>
          <w:rFonts w:ascii="Calibri" w:hAnsi="Calibri" w:cs="Calibri"/>
        </w:rPr>
        <w:t> </w:t>
      </w:r>
      <w:r w:rsidRPr="00A04E56">
        <w:t xml:space="preserve">hectares of irrigated land </w:t>
      </w:r>
      <w:r w:rsidR="006C548E" w:rsidRPr="00A04E56">
        <w:t xml:space="preserve">had </w:t>
      </w:r>
      <w:r w:rsidRPr="00A04E56">
        <w:t>switched to more efficient irrigation systems (22% of the target) — given the long time span between plans and the investments carried out, this is well on track;</w:t>
      </w:r>
    </w:p>
    <w:p w14:paraId="26C4E364" w14:textId="0B92EAF0" w:rsidR="008331F6" w:rsidRPr="00A04E56" w:rsidRDefault="008331F6" w:rsidP="00107DA0">
      <w:pPr>
        <w:pStyle w:val="BulletsblueNew-Spaceafter"/>
      </w:pPr>
      <w:r w:rsidRPr="00A04E56">
        <w:t xml:space="preserve">14.8% of agricultural land and </w:t>
      </w:r>
      <w:r w:rsidR="006C548E" w:rsidRPr="00A04E56">
        <w:t>0.34</w:t>
      </w:r>
      <w:r w:rsidRPr="00A04E56">
        <w:t xml:space="preserve">% of forest areas were covered by management contracts contributing to biodiversity — this is close to the targets of 18% and </w:t>
      </w:r>
      <w:r w:rsidR="006C548E" w:rsidRPr="00A04E56">
        <w:t>2</w:t>
      </w:r>
      <w:r w:rsidRPr="00A04E56">
        <w:t>%, respectively.</w:t>
      </w:r>
    </w:p>
    <w:p w14:paraId="3ED67FA8" w14:textId="6CB281DA" w:rsidR="008331F6" w:rsidRPr="00A04E56" w:rsidRDefault="008331F6" w:rsidP="00C257BF">
      <w:pPr>
        <w:pStyle w:val="BOX3BluedashedborderBluetext"/>
      </w:pPr>
      <w:r w:rsidRPr="00A04E56">
        <w:t xml:space="preserve">Support under the fund aims to improve </w:t>
      </w:r>
      <w:r w:rsidRPr="00A04E56">
        <w:rPr>
          <w:b/>
        </w:rPr>
        <w:t>access to information and communication technology services and infrastructure for 18</w:t>
      </w:r>
      <w:r w:rsidRPr="00A04E56">
        <w:rPr>
          <w:rFonts w:ascii="Calibri" w:hAnsi="Calibri" w:cs="Calibri"/>
          <w:b/>
        </w:rPr>
        <w:t> </w:t>
      </w:r>
      <w:r w:rsidRPr="00A04E56">
        <w:rPr>
          <w:b/>
        </w:rPr>
        <w:t>million</w:t>
      </w:r>
      <w:r w:rsidRPr="00A04E56">
        <w:t xml:space="preserve"> </w:t>
      </w:r>
      <w:r w:rsidRPr="00A04E56">
        <w:rPr>
          <w:b/>
        </w:rPr>
        <w:t>rural citizens</w:t>
      </w:r>
      <w:r w:rsidRPr="00A04E56">
        <w:t>; this is done through 4</w:t>
      </w:r>
      <w:r w:rsidRPr="00A04E56">
        <w:rPr>
          <w:rFonts w:ascii="Calibri" w:hAnsi="Calibri" w:cs="Calibri"/>
        </w:rPr>
        <w:t> </w:t>
      </w:r>
      <w:r w:rsidRPr="00A04E56">
        <w:t>400 investment projects. By 2017, 36% of funds earmarked for improving information and communication technology services in rural areas were allocated to projects and 1</w:t>
      </w:r>
      <w:r w:rsidRPr="00A04E56">
        <w:rPr>
          <w:rFonts w:ascii="Calibri" w:hAnsi="Calibri" w:cs="Calibri"/>
        </w:rPr>
        <w:t> </w:t>
      </w:r>
      <w:r w:rsidRPr="00A04E56">
        <w:t>255</w:t>
      </w:r>
      <w:r w:rsidRPr="00A04E56">
        <w:rPr>
          <w:rFonts w:ascii="Calibri" w:hAnsi="Calibri" w:cs="Calibri"/>
        </w:rPr>
        <w:t> </w:t>
      </w:r>
      <w:r w:rsidRPr="00A04E56">
        <w:t>000 rural residents (7% of the respective target value) are already benefiting from improved services</w:t>
      </w:r>
      <w:r w:rsidRPr="00277538">
        <w:rPr>
          <w:rStyle w:val="fnRef"/>
          <w:rFonts w:ascii="Calibri" w:hAnsi="Calibri" w:cs="Calibri"/>
        </w:rPr>
        <w:t> </w:t>
      </w:r>
      <w:r w:rsidRPr="00A04E56">
        <w:rPr>
          <w:rStyle w:val="fnRef"/>
        </w:rPr>
        <w:t>(</w:t>
      </w:r>
      <w:r w:rsidRPr="00277538">
        <w:rPr>
          <w:rStyle w:val="fnRefNo"/>
        </w:rPr>
        <w:footnoteReference w:id="166"/>
      </w:r>
      <w:r w:rsidRPr="00A04E56">
        <w:rPr>
          <w:rStyle w:val="fnRef"/>
        </w:rPr>
        <w:t>)</w:t>
      </w:r>
      <w:r w:rsidRPr="00A04E56">
        <w:t>.</w:t>
      </w:r>
    </w:p>
    <w:p w14:paraId="0ECD302C" w14:textId="14A2D25F" w:rsidR="008331F6" w:rsidRPr="00A04E56" w:rsidRDefault="008331F6" w:rsidP="00107DA0">
      <w:pPr>
        <w:pStyle w:val="BodyText1spacebeforeandafter"/>
      </w:pPr>
      <w:r w:rsidRPr="00A04E56">
        <w:rPr>
          <w:i/>
          <w:u w:val="single"/>
        </w:rPr>
        <w:t>By the end of 2017</w:t>
      </w:r>
      <w:r w:rsidRPr="00A04E56">
        <w:t>, over EUR</w:t>
      </w:r>
      <w:r w:rsidRPr="00A04E56">
        <w:rPr>
          <w:rFonts w:ascii="Calibri" w:hAnsi="Calibri" w:cs="Calibri"/>
        </w:rPr>
        <w:t> </w:t>
      </w:r>
      <w:r w:rsidRPr="00A04E56">
        <w:t>246</w:t>
      </w:r>
      <w:r w:rsidRPr="00A04E56">
        <w:rPr>
          <w:rFonts w:ascii="Calibri" w:hAnsi="Calibri" w:cs="Calibri"/>
        </w:rPr>
        <w:t> </w:t>
      </w:r>
      <w:r w:rsidRPr="00A04E56">
        <w:t xml:space="preserve">million had been spent under the European Agricultural Fund for Rural </w:t>
      </w:r>
      <w:r w:rsidRPr="00A04E56" w:rsidDel="00EC17BF">
        <w:t>Development</w:t>
      </w:r>
      <w:r w:rsidRPr="00A04E56">
        <w:t xml:space="preserve"> to address </w:t>
      </w:r>
      <w:r w:rsidRPr="00A04E56">
        <w:rPr>
          <w:rStyle w:val="BOLDLIGHTBLUEReport"/>
          <w:rFonts w:eastAsia="Calibri"/>
        </w:rPr>
        <w:t>employment in agriculture and rural areas</w:t>
      </w:r>
      <w:r w:rsidRPr="00A04E56">
        <w:t xml:space="preserve">, to promote social inclusion, and to foster lifelong learning and </w:t>
      </w:r>
      <w:r w:rsidRPr="00A04E56">
        <w:rPr>
          <w:rStyle w:val="BOLDLIGHTBLUEReport"/>
          <w:rFonts w:eastAsia="Calibri"/>
        </w:rPr>
        <w:t>vocational training in agriculture and forestry</w:t>
      </w:r>
      <w:r w:rsidRPr="00A04E56">
        <w:t>. More than 1</w:t>
      </w:r>
      <w:r w:rsidRPr="00A04E56">
        <w:rPr>
          <w:rFonts w:ascii="Calibri" w:hAnsi="Calibri" w:cs="Calibri"/>
        </w:rPr>
        <w:t> </w:t>
      </w:r>
      <w:r w:rsidRPr="00A04E56">
        <w:t xml:space="preserve">million beneficiaries received vocational training in agriculture, almost 28% of the target for the period. In rural areas, EU rural development resources support </w:t>
      </w:r>
      <w:r w:rsidRPr="00A04E56">
        <w:rPr>
          <w:rStyle w:val="BOLDLIGHTBLUEReport"/>
          <w:rFonts w:eastAsia="Calibri"/>
        </w:rPr>
        <w:t>local development strategies</w:t>
      </w:r>
      <w:r w:rsidRPr="00A04E56">
        <w:t xml:space="preserve"> promoting social inclusion, reducing poverty and fostering economic development under the </w:t>
      </w:r>
      <w:r w:rsidR="00AE4B2D" w:rsidRPr="00A04E56">
        <w:t>l</w:t>
      </w:r>
      <w:r w:rsidRPr="00A04E56">
        <w:t xml:space="preserve">eader approach. To date, </w:t>
      </w:r>
      <w:r w:rsidR="006C548E" w:rsidRPr="00A04E56">
        <w:t>59</w:t>
      </w:r>
      <w:r w:rsidRPr="00A04E56">
        <w:t xml:space="preserve">% of people living in rural areas (representing about </w:t>
      </w:r>
      <w:r w:rsidR="006C548E" w:rsidRPr="00A04E56">
        <w:t>113</w:t>
      </w:r>
      <w:r w:rsidRPr="00A04E56">
        <w:t>% of the target) are covered by over 3</w:t>
      </w:r>
      <w:r w:rsidRPr="00A04E56">
        <w:rPr>
          <w:rFonts w:ascii="Calibri" w:hAnsi="Calibri" w:cs="Calibri"/>
        </w:rPr>
        <w:t> </w:t>
      </w:r>
      <w:r w:rsidRPr="00A04E56">
        <w:t>400 local development strategies implemented by local action groups that benefited from 18% of the available public funds</w:t>
      </w:r>
      <w:r w:rsidRPr="00A04E56">
        <w:rPr>
          <w:rStyle w:val="fnRef"/>
          <w:rFonts w:ascii="Calibri" w:hAnsi="Calibri" w:cs="Calibri"/>
        </w:rPr>
        <w:t> </w:t>
      </w:r>
      <w:r w:rsidRPr="00A04E56">
        <w:rPr>
          <w:rStyle w:val="fnRef"/>
        </w:rPr>
        <w:t>(</w:t>
      </w:r>
      <w:r w:rsidRPr="00A04E56">
        <w:rPr>
          <w:rStyle w:val="fnRefNo"/>
        </w:rPr>
        <w:footnoteReference w:id="167"/>
      </w:r>
      <w:r w:rsidRPr="00A04E56">
        <w:rPr>
          <w:rStyle w:val="fnRef"/>
        </w:rPr>
        <w:t>)</w:t>
      </w:r>
      <w:r w:rsidRPr="00A04E56">
        <w:t>.</w:t>
      </w:r>
    </w:p>
    <w:p w14:paraId="70BDBC35" w14:textId="2CEFABC1" w:rsidR="008331F6" w:rsidRPr="00A04E56" w:rsidRDefault="008331F6" w:rsidP="008331F6">
      <w:pPr>
        <w:pStyle w:val="BodyText1spaceafter"/>
      </w:pPr>
      <w:r w:rsidRPr="00A04E56">
        <w:t xml:space="preserve">Under the </w:t>
      </w:r>
      <w:r w:rsidRPr="00A04E56">
        <w:rPr>
          <w:rStyle w:val="BOLDLIGHTBLUEReport"/>
          <w:rFonts w:eastAsia="Calibri"/>
        </w:rPr>
        <w:t>European Innovation Partnership for Agricultural Productivity and Sustainability</w:t>
      </w:r>
      <w:r w:rsidRPr="00A04E56">
        <w:t xml:space="preserve">, almost 900 </w:t>
      </w:r>
      <w:r w:rsidRPr="00A04E56">
        <w:rPr>
          <w:rStyle w:val="BOLDLIGHTBLUEReport"/>
          <w:rFonts w:eastAsia="Calibri"/>
        </w:rPr>
        <w:t>operational groups</w:t>
      </w:r>
      <w:r w:rsidRPr="00A04E56">
        <w:rPr>
          <w:rStyle w:val="fnRef"/>
          <w:rFonts w:ascii="Calibri" w:hAnsi="Calibri" w:cs="Calibri"/>
        </w:rPr>
        <w:t> </w:t>
      </w:r>
      <w:r w:rsidRPr="00A04E56">
        <w:rPr>
          <w:rStyle w:val="fnRef"/>
        </w:rPr>
        <w:t>(</w:t>
      </w:r>
      <w:r w:rsidRPr="00A04E56">
        <w:rPr>
          <w:rStyle w:val="fnRefNo"/>
        </w:rPr>
        <w:footnoteReference w:id="168"/>
      </w:r>
      <w:r w:rsidRPr="00A04E56">
        <w:rPr>
          <w:rStyle w:val="fnRef"/>
        </w:rPr>
        <w:t>)</w:t>
      </w:r>
      <w:r w:rsidRPr="00A04E56">
        <w:t xml:space="preserve"> carrying forward </w:t>
      </w:r>
      <w:r w:rsidR="006C548E" w:rsidRPr="00A04E56">
        <w:t xml:space="preserve">innovative </w:t>
      </w:r>
      <w:r w:rsidRPr="00A04E56">
        <w:t xml:space="preserve">multi-actor projects to find a solution for a specific issue or developing a concrete opportunity </w:t>
      </w:r>
      <w:r w:rsidR="006C548E" w:rsidRPr="00A04E56">
        <w:t xml:space="preserve">for the farming and foresty sectors </w:t>
      </w:r>
      <w:r w:rsidRPr="00A04E56">
        <w:t xml:space="preserve">were active </w:t>
      </w:r>
      <w:r w:rsidRPr="00A04E56">
        <w:rPr>
          <w:i/>
          <w:u w:val="single"/>
        </w:rPr>
        <w:t>by end of 2018</w:t>
      </w:r>
      <w:r w:rsidRPr="00A04E56">
        <w:t>. These projects hold an important potential to create innovative solutions to make farming smarter, more efficient and more sustainable.</w:t>
      </w:r>
    </w:p>
    <w:p w14:paraId="39EA2E3F" w14:textId="77777777" w:rsidR="008331F6" w:rsidRPr="00A04E56" w:rsidRDefault="008331F6" w:rsidP="00C257BF">
      <w:pPr>
        <w:pStyle w:val="BOX3BluedashedborderBluetext"/>
        <w:rPr>
          <w:b/>
        </w:rPr>
      </w:pPr>
      <w:r w:rsidRPr="00A04E56">
        <w:rPr>
          <w:b/>
        </w:rPr>
        <w:t>The European Innovation Partnership for Agricultural Productivity and Sustainability — operational group project examples.</w:t>
      </w:r>
    </w:p>
    <w:p w14:paraId="67FCFD6D" w14:textId="77777777" w:rsidR="008331F6" w:rsidRPr="00A04E56" w:rsidRDefault="008331F6" w:rsidP="00C257BF">
      <w:pPr>
        <w:pStyle w:val="BOX3BluedashedborderBluetext-Bold"/>
      </w:pPr>
      <w:r w:rsidRPr="00A04E56">
        <w:t>BRIDE — Biodiversity regeneration in a dairying environment</w:t>
      </w:r>
    </w:p>
    <w:p w14:paraId="6F9336EE" w14:textId="26ECBA8F" w:rsidR="008331F6" w:rsidRPr="00A04E56" w:rsidRDefault="008331F6" w:rsidP="00C257BF">
      <w:pPr>
        <w:pStyle w:val="BOX3BluedashedborderBluetext"/>
      </w:pPr>
      <w:r w:rsidRPr="00A04E56">
        <w:t xml:space="preserve">Intensively managed farmland throughout Ireland has had relatively low participation rates in agri-environment schemes. The biodiversity regeneration in a dairying environment project is an innovative partnership based in the River Bride catchment of north-east County Cork, Ireland. The project aims to design and implement a cost-effective, results-based approach to tackle biodiversity loss in dairy farming and to improve national awareness of the available options to maintain and enhance farmland wildlife on intensively managed farmland without unduly affecting agricultural production. The partnership includes </w:t>
      </w:r>
      <w:r w:rsidR="006C548E" w:rsidRPr="00A04E56">
        <w:t xml:space="preserve">several </w:t>
      </w:r>
      <w:r w:rsidRPr="00A04E56">
        <w:t>partners (</w:t>
      </w:r>
      <w:r w:rsidR="006C548E" w:rsidRPr="00A04E56">
        <w:t xml:space="preserve">such as </w:t>
      </w:r>
      <w:r w:rsidRPr="00A04E56">
        <w:t>farmers, advis</w:t>
      </w:r>
      <w:r w:rsidR="00C010D2" w:rsidRPr="00A04E56">
        <w:t>ers</w:t>
      </w:r>
      <w:r w:rsidRPr="00A04E56">
        <w:t>, researcher</w:t>
      </w:r>
      <w:r w:rsidR="00C010D2" w:rsidRPr="00A04E56">
        <w:t>s</w:t>
      </w:r>
      <w:r w:rsidRPr="00A04E56">
        <w:t>, small and medium-sized enterprise</w:t>
      </w:r>
      <w:r w:rsidR="00C010D2" w:rsidRPr="00A04E56">
        <w:t>s</w:t>
      </w:r>
      <w:r w:rsidRPr="00A04E56">
        <w:t>, public bod</w:t>
      </w:r>
      <w:r w:rsidR="00C010D2" w:rsidRPr="00A04E56">
        <w:t>ies</w:t>
      </w:r>
      <w:r w:rsidRPr="00A04E56">
        <w:t xml:space="preserve">, NGO) and the project is designed so that 65 farmers that are not formal partners are involved in order to adopt and test the proposed schemes at their farms. Farms that implement the measures are monitored at fixed moments (e.g. onset, midterm, end) during the project and are rewarded according to a results-based payment. At the onset, biodiversity was measured at farm level including birds, bats, pollinators and wildflower populations, among others. </w:t>
      </w:r>
    </w:p>
    <w:p w14:paraId="7DAF3DB8" w14:textId="62BDD01F" w:rsidR="008331F6" w:rsidRPr="00A04E56" w:rsidRDefault="008331F6" w:rsidP="00C257BF">
      <w:pPr>
        <w:pStyle w:val="BOX3BluedashedborderBluetext"/>
      </w:pPr>
      <w:r w:rsidRPr="00A04E56">
        <w:t xml:space="preserve">The expected outcome is an increase in the size of areas where biodiversity is managed as well as an improvement in the overall biodiversity quality. This project also targets the development of a biodiversity food label, which will be particularly relevant for the industrial stakeholders, including a milk farmer cooperative and a meat production company, that are partners in the project. As regards cross-regional collaboration, the project </w:t>
      </w:r>
      <w:r w:rsidR="005C0B69" w:rsidRPr="00A04E56">
        <w:t>allowed being</w:t>
      </w:r>
      <w:r w:rsidRPr="00A04E56">
        <w:t xml:space="preserve"> in touch with German farmers who are also dealing with biodiversity in farming practices. An exchange of practices is planned with similar operational groups in Germany and Northern Ireland.</w:t>
      </w:r>
    </w:p>
    <w:p w14:paraId="11CA9843" w14:textId="77777777" w:rsidR="008331F6" w:rsidRPr="00A04E56" w:rsidRDefault="008331F6" w:rsidP="00C257BF">
      <w:pPr>
        <w:pStyle w:val="BOX3BluedashedborderBluetext-Bold"/>
      </w:pPr>
      <w:r w:rsidRPr="00A04E56">
        <w:t>SOCROSense — Soil- and crop-sensing technologies</w:t>
      </w:r>
    </w:p>
    <w:p w14:paraId="24400314" w14:textId="64E95294" w:rsidR="008331F6" w:rsidRPr="00A04E56" w:rsidRDefault="008331F6" w:rsidP="00C257BF">
      <w:pPr>
        <w:pStyle w:val="BOX3BluedashedborderBluetext"/>
      </w:pPr>
      <w:r w:rsidRPr="00A04E56">
        <w:t xml:space="preserve">The aim of the Soil- and crop-sensing technologies project (Flanders, Belgium) is to support pioneer farmers who have experience with the use of global positioning system close-sensing techniques, focused on soil and crop sensors. These pioneer farms are a mixed group of farmers, market gardeners, tree nursery </w:t>
      </w:r>
      <w:r w:rsidR="006C548E" w:rsidRPr="00A04E56">
        <w:t xml:space="preserve">operators </w:t>
      </w:r>
      <w:r w:rsidRPr="00A04E56">
        <w:t xml:space="preserve">and agriculture contractors. Together with actors from research institutes and relevant business companies, this group wants to create </w:t>
      </w:r>
      <w:r w:rsidR="006C548E" w:rsidRPr="00A04E56">
        <w:t>added</w:t>
      </w:r>
      <w:r w:rsidRPr="00A04E56">
        <w:t xml:space="preserve"> value and develop a mid- to long-term vision for these sensors. The project studies how the data flow of different sensors can be combined and the potential of global positioning system sensor technology to steer the company crop management. </w:t>
      </w:r>
    </w:p>
    <w:p w14:paraId="3F26119F" w14:textId="2B117D07" w:rsidR="008331F6" w:rsidRPr="00A04E56" w:rsidRDefault="00790D33" w:rsidP="00AA0340">
      <w:pPr>
        <w:pStyle w:val="Title3NumberedReport"/>
      </w:pPr>
      <w:r w:rsidRPr="00A04E56">
        <w:t>Assessment and evaluation</w:t>
      </w:r>
      <w:r w:rsidR="008331F6" w:rsidRPr="00A04E56">
        <w:t xml:space="preserve"> </w:t>
      </w:r>
    </w:p>
    <w:p w14:paraId="327EC493" w14:textId="58F63229" w:rsidR="008331F6" w:rsidRPr="00A04E56" w:rsidRDefault="008331F6" w:rsidP="008331F6">
      <w:pPr>
        <w:pStyle w:val="BodyText1spaceafter"/>
      </w:pPr>
      <w:r w:rsidRPr="00A04E56">
        <w:t>Of the operational groups that were approved and running under the European Innovation Partnership for Agricultural Productivity and Sustainability until April 2018 (612 in total), an assessment</w:t>
      </w:r>
      <w:r w:rsidRPr="00A04E56">
        <w:rPr>
          <w:rStyle w:val="fnRef"/>
          <w:rFonts w:ascii="Calibri" w:hAnsi="Calibri" w:cs="Calibri"/>
        </w:rPr>
        <w:t> </w:t>
      </w:r>
      <w:r w:rsidRPr="00A04E56">
        <w:rPr>
          <w:rStyle w:val="fnRef"/>
        </w:rPr>
        <w:t>(</w:t>
      </w:r>
      <w:r w:rsidRPr="00A04E56">
        <w:rPr>
          <w:rStyle w:val="fnRefNo"/>
        </w:rPr>
        <w:footnoteReference w:id="169"/>
      </w:r>
      <w:r w:rsidRPr="00A04E56">
        <w:rPr>
          <w:rStyle w:val="fnRef"/>
        </w:rPr>
        <w:t>)</w:t>
      </w:r>
      <w:r w:rsidRPr="00A04E56">
        <w:t xml:space="preserve"> was carried out </w:t>
      </w:r>
      <w:r w:rsidR="008C1D39" w:rsidRPr="00A04E56">
        <w:rPr>
          <w:i/>
          <w:u w:val="single"/>
        </w:rPr>
        <w:t>in 2018</w:t>
      </w:r>
      <w:r w:rsidRPr="00A04E56">
        <w:t xml:space="preserve">. This assessment focused on the state of play of the setting-up and implementation of the operational groups. The study confirmed the great interest in the partnership framework and instrument. Of the groups surveyed, 91% were positive about their experience and would recommend other actors/organisations to become involved in an operational </w:t>
      </w:r>
      <w:r w:rsidRPr="00A04E56" w:rsidDel="00EC17BF">
        <w:t>group</w:t>
      </w:r>
      <w:r w:rsidRPr="00A04E56">
        <w:t xml:space="preserve"> project. Operational </w:t>
      </w:r>
      <w:r w:rsidRPr="00A04E56" w:rsidDel="00EC17BF">
        <w:t>group</w:t>
      </w:r>
      <w:r w:rsidRPr="00A04E56">
        <w:t xml:space="preserve"> partners highlighted that such projects could not have been undertaken with other national or European funding frameworks. The groups focus on tackling farmers’ needs in a practical and collaborative way; they prove to be a unique, versatile and flexible framework to address various concrete bottom-up farmers’ challenges and needs. They also connect the farmer’s community with complementary external expertise to help solve these challenges jointly in a variety of partnership compositions. The different projects show that operational group partnerships are indeed set up to (co)develop new or adapted methods, tools or solutions that are directly applicable by farmers. These partnerships act as vehicles to connect to other (rural) innovation initiatives and actors. Even though the current funding framework cannot cover all of the costs, 90% of operational groups have either already established relations with organisations outside the partnership or intend to do so. The study points to the need to better facilitate this, e.g. by more structured and accessible information on the themes and approaches of operational groups. It is also important to improve the communication about operational groups in a timely and complete way.</w:t>
      </w:r>
    </w:p>
    <w:p w14:paraId="4447FDA4" w14:textId="2CACE976" w:rsidR="008331F6" w:rsidRPr="00A04E56" w:rsidRDefault="008331F6" w:rsidP="008331F6">
      <w:pPr>
        <w:pStyle w:val="BodyText1spaceafter"/>
      </w:pPr>
      <w:r w:rsidRPr="00A04E56">
        <w:t xml:space="preserve">A study on risk management in EU agriculture has been carried out </w:t>
      </w:r>
      <w:r w:rsidR="008C1D39" w:rsidRPr="00277538">
        <w:t>in 2017</w:t>
      </w:r>
      <w:r w:rsidRPr="00A04E56">
        <w:t xml:space="preserve"> and was published </w:t>
      </w:r>
      <w:r w:rsidR="008C1D39" w:rsidRPr="00A04E56">
        <w:rPr>
          <w:i/>
          <w:u w:val="single"/>
        </w:rPr>
        <w:t>in 2018</w:t>
      </w:r>
      <w:r w:rsidRPr="00A04E56">
        <w:rPr>
          <w:rStyle w:val="fnRef"/>
          <w:rFonts w:ascii="Calibri" w:hAnsi="Calibri" w:cs="Calibri"/>
        </w:rPr>
        <w:t> </w:t>
      </w:r>
      <w:r w:rsidRPr="00A04E56">
        <w:rPr>
          <w:rStyle w:val="fnRef"/>
        </w:rPr>
        <w:t>(</w:t>
      </w:r>
      <w:r w:rsidRPr="00A04E56">
        <w:rPr>
          <w:rStyle w:val="fnRefNo"/>
        </w:rPr>
        <w:footnoteReference w:id="170"/>
      </w:r>
      <w:r w:rsidRPr="00A04E56">
        <w:rPr>
          <w:rStyle w:val="fnRef"/>
        </w:rPr>
        <w:t>)</w:t>
      </w:r>
      <w:r w:rsidRPr="00A04E56">
        <w:t xml:space="preserve"> to shed light on the risks farmers are confronted with and to better understand the design and possible deployment of different tools that can address these risks. The study finds that European farmers are exposed to different risks (e.g. weather, animal and plant health, market dynamics influencing perspectives of farm income and viability), heterogeneously distributed among EU Member States. At the same time, the overall availability and uptake of analysed risk management tools in the EU are not very developed with differences among tools, sectors and countries (e.g. insurance being the most common tool). The study underlines the need to strengthen relevant skills and capacities (both at administrative and farm level) and puts forward several recommendations, including the creation of a database to share information related to risk management in agriculture, to further support research and to promote risk management pilot actions.</w:t>
      </w:r>
    </w:p>
    <w:p w14:paraId="18DA45F0" w14:textId="00852984" w:rsidR="008331F6" w:rsidRPr="00A04E56" w:rsidRDefault="008331F6" w:rsidP="00FA6FA8">
      <w:pPr>
        <w:pStyle w:val="BodyText1spaceafter"/>
      </w:pPr>
      <w:r w:rsidRPr="00A04E56">
        <w:t xml:space="preserve">The Court of Auditors audit examined </w:t>
      </w:r>
      <w:r w:rsidR="008C1D39" w:rsidRPr="00A04E56">
        <w:rPr>
          <w:i/>
          <w:u w:val="single"/>
        </w:rPr>
        <w:t>in 2018</w:t>
      </w:r>
      <w:r w:rsidRPr="00A04E56">
        <w:rPr>
          <w:rStyle w:val="fnRef"/>
          <w:rFonts w:ascii="Calibri" w:hAnsi="Calibri" w:cs="Calibri"/>
        </w:rPr>
        <w:t> </w:t>
      </w:r>
      <w:r w:rsidRPr="00A04E56">
        <w:rPr>
          <w:rStyle w:val="fnRef"/>
        </w:rPr>
        <w:t>(</w:t>
      </w:r>
      <w:r w:rsidRPr="00A04E56">
        <w:rPr>
          <w:rStyle w:val="fnRefNo"/>
        </w:rPr>
        <w:footnoteReference w:id="171"/>
      </w:r>
      <w:r w:rsidRPr="00A04E56">
        <w:rPr>
          <w:rStyle w:val="fnRef"/>
        </w:rPr>
        <w:t xml:space="preserve">) </w:t>
      </w:r>
      <w:r w:rsidRPr="00A04E56">
        <w:t>three new methods (called simplified cost options) of calculating the EU financial contribution to projects and activities for rural development projects. It has concluded that new options are simpler, but not focused on results.</w:t>
      </w:r>
    </w:p>
    <w:p w14:paraId="5058E552" w14:textId="72A92964" w:rsidR="006C548E" w:rsidRPr="00A04E56" w:rsidRDefault="006C548E" w:rsidP="00C257BF">
      <w:pPr>
        <w:pStyle w:val="BodyText1spaceafter"/>
      </w:pPr>
      <w:r w:rsidRPr="00A04E56">
        <w:t>The legislative proposal for the post-2020 common agricultural policy take into account the main lessons learnt from the current Rural Development period, reducing the level of prescription of the interventions and improving the synergies with the instruments of the CAP (i.e. direct payments and sectoral programmes). The new CAP Strategic Plans will have to pay a specific attention to attracting young farmers and will also promote employment, growth, social inclusion and local development in rural areas.</w:t>
      </w:r>
    </w:p>
    <w:p w14:paraId="08B9B500" w14:textId="7EF5E954" w:rsidR="008331F6" w:rsidRPr="00A04E56" w:rsidRDefault="008331F6" w:rsidP="008331F6">
      <w:pPr>
        <w:pStyle w:val="Title2Report"/>
      </w:pPr>
      <w:bookmarkStart w:id="129" w:name="_Toc12021017"/>
      <w:r w:rsidRPr="00A04E56">
        <w:t>European Maritime and Fisheries Fund</w:t>
      </w:r>
      <w:bookmarkEnd w:id="129"/>
    </w:p>
    <w:p w14:paraId="576165F0" w14:textId="77777777" w:rsidR="008331F6" w:rsidRPr="00A04E56" w:rsidRDefault="008331F6" w:rsidP="00AA0340">
      <w:pPr>
        <w:pStyle w:val="Title3NumberedReport"/>
      </w:pPr>
      <w:r w:rsidRPr="00A04E56">
        <w:t xml:space="preserve">Programme objectives </w:t>
      </w:r>
    </w:p>
    <w:p w14:paraId="4E909715" w14:textId="77777777" w:rsidR="008331F6" w:rsidRPr="00A04E56" w:rsidRDefault="008331F6" w:rsidP="008331F6">
      <w:pPr>
        <w:pStyle w:val="BodyText1spaceafter"/>
      </w:pPr>
      <w:r w:rsidRPr="00A04E56">
        <w:t>The European Maritime and Fisheries Fund</w:t>
      </w:r>
      <w:r w:rsidRPr="00A04E56">
        <w:rPr>
          <w:rStyle w:val="fnRef"/>
          <w:rFonts w:ascii="Calibri" w:hAnsi="Calibri" w:cs="Calibri"/>
        </w:rPr>
        <w:t> </w:t>
      </w:r>
      <w:r w:rsidRPr="00A04E56">
        <w:rPr>
          <w:rStyle w:val="fnRef"/>
        </w:rPr>
        <w:t>(</w:t>
      </w:r>
      <w:r w:rsidRPr="00A04E56">
        <w:rPr>
          <w:rStyle w:val="fnRefNo"/>
        </w:rPr>
        <w:footnoteReference w:id="172"/>
      </w:r>
      <w:r w:rsidRPr="00A04E56">
        <w:rPr>
          <w:rStyle w:val="fnRef"/>
        </w:rPr>
        <w:t>)</w:t>
      </w:r>
      <w:r w:rsidRPr="00A04E56">
        <w:t xml:space="preserve"> supports the </w:t>
      </w:r>
      <w:r w:rsidRPr="00A04E56">
        <w:rPr>
          <w:rStyle w:val="BOLDLIGHTBLUEReport"/>
          <w:rFonts w:eastAsia="Calibri"/>
        </w:rPr>
        <w:t>conservation of marine biological resources</w:t>
      </w:r>
      <w:r w:rsidRPr="00A04E56">
        <w:t xml:space="preserve"> and helps Member States to attain the objectives of the common fisheries policy. The fund pursues four specific priorities: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2D2F03" w:rsidRPr="00A04E56" w14:paraId="58A2EA32" w14:textId="77777777" w:rsidTr="009618E5">
        <w:trPr>
          <w:trHeight w:val="175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1C00D3E0" w14:textId="77777777" w:rsidR="008331F6" w:rsidRPr="00A04E56" w:rsidRDefault="008331F6" w:rsidP="00277538">
            <w:pPr>
              <w:keepNext/>
              <w:spacing w:line="276" w:lineRule="auto"/>
              <w:jc w:val="center"/>
              <w:rPr>
                <w:rFonts w:cstheme="minorHAnsi"/>
                <w:szCs w:val="20"/>
              </w:rPr>
            </w:pPr>
            <w:r w:rsidRPr="00A04E56">
              <w:rPr>
                <w:noProof/>
                <w:lang w:val="fr-BE" w:eastAsia="fr-BE"/>
              </w:rPr>
              <w:drawing>
                <wp:inline distT="0" distB="0" distL="0" distR="0" wp14:anchorId="4F2C621A" wp14:editId="593FCF98">
                  <wp:extent cx="468000" cy="468000"/>
                  <wp:effectExtent l="0" t="0" r="8255" b="8255"/>
                  <wp:docPr id="95" name="Picture 95" descr="G:\Production\B2 prepresse\Raimonds\2019.1745 AMPR\50 - work on images\AMPR Icons\AMPR_Icons_Send2\AMPR_Icons_Send2\Icon_23000_EMF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Production\B2 prepresse\Raimonds\2019.1745 AMPR\50 - work on images\AMPR Icons\AMPR_Icons_Send2\AMPR_Icons_Send2\Icon_23000_EMFF_01.emf"/>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66CD0AA5" w14:textId="77777777" w:rsidR="008331F6" w:rsidRPr="00A04E56" w:rsidRDefault="008331F6" w:rsidP="00277538">
            <w:pPr>
              <w:keepNext/>
              <w:spacing w:line="276" w:lineRule="auto"/>
              <w:rPr>
                <w:rFonts w:cstheme="minorHAnsi"/>
                <w:szCs w:val="20"/>
              </w:rPr>
            </w:pPr>
            <w:r w:rsidRPr="00A04E56">
              <w:rPr>
                <w:rFonts w:cstheme="minorHAnsi"/>
                <w:szCs w:val="20"/>
              </w:rPr>
              <w:t>Promoting competitive, environmentally sustainable, economically viable and socially responsible fisheries and aquaculture</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631E46B6" w14:textId="77777777" w:rsidR="008331F6" w:rsidRPr="00A04E56" w:rsidRDefault="008331F6" w:rsidP="00277538">
            <w:pPr>
              <w:keepNext/>
              <w:spacing w:line="276" w:lineRule="auto"/>
              <w:jc w:val="center"/>
              <w:rPr>
                <w:rFonts w:cstheme="minorHAnsi"/>
                <w:szCs w:val="20"/>
                <w:lang w:eastAsia="hu-HU"/>
              </w:rPr>
            </w:pPr>
            <w:r w:rsidRPr="00A04E56">
              <w:rPr>
                <w:noProof/>
                <w:lang w:val="fr-BE" w:eastAsia="fr-BE"/>
              </w:rPr>
              <w:drawing>
                <wp:inline distT="0" distB="0" distL="0" distR="0" wp14:anchorId="77A343BC" wp14:editId="000BD603">
                  <wp:extent cx="468000" cy="468000"/>
                  <wp:effectExtent l="0" t="0" r="8255" b="8255"/>
                  <wp:docPr id="96" name="Picture 96" descr="G:\Production\B2 prepresse\Raimonds\2019.1745 AMPR\50 - work on images\AMPR Icons\AMPR_Icons_Send2\AMPR_Icons_Send2\Icon_23000_EMF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Production\B2 prepresse\Raimonds\2019.1745 AMPR\50 - work on images\AMPR Icons\AMPR_Icons_Send2\AMPR_Icons_Send2\Icon_23000_EMFF_02.emf"/>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1B8BAE1A" w14:textId="77777777" w:rsidR="008331F6" w:rsidRPr="00A04E56" w:rsidRDefault="008331F6" w:rsidP="00277538">
            <w:pPr>
              <w:keepNext/>
              <w:spacing w:line="276" w:lineRule="auto"/>
              <w:rPr>
                <w:rFonts w:cstheme="minorHAnsi"/>
                <w:szCs w:val="20"/>
              </w:rPr>
            </w:pPr>
            <w:r w:rsidRPr="00A04E56">
              <w:rPr>
                <w:rFonts w:cstheme="minorHAnsi"/>
                <w:szCs w:val="20"/>
              </w:rPr>
              <w:t>Fostering the implementation of the common fisheries policy</w:t>
            </w:r>
          </w:p>
        </w:tc>
      </w:tr>
      <w:tr w:rsidR="002D2F03" w:rsidRPr="00A04E56" w14:paraId="6C206152" w14:textId="77777777" w:rsidTr="009618E5">
        <w:trPr>
          <w:trHeight w:val="204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7CFF5654" w14:textId="77777777" w:rsidR="008331F6" w:rsidRPr="00A04E56" w:rsidRDefault="008331F6" w:rsidP="00277538">
            <w:pPr>
              <w:spacing w:line="276" w:lineRule="auto"/>
              <w:jc w:val="center"/>
              <w:rPr>
                <w:rFonts w:cstheme="minorHAnsi"/>
                <w:szCs w:val="20"/>
                <w:lang w:eastAsia="hu-HU"/>
              </w:rPr>
            </w:pPr>
            <w:r w:rsidRPr="00A04E56">
              <w:rPr>
                <w:noProof/>
                <w:lang w:val="fr-BE" w:eastAsia="fr-BE"/>
              </w:rPr>
              <w:drawing>
                <wp:inline distT="0" distB="0" distL="0" distR="0" wp14:anchorId="06DF7E4F" wp14:editId="611DD1C2">
                  <wp:extent cx="468000" cy="468000"/>
                  <wp:effectExtent l="0" t="0" r="8255" b="8255"/>
                  <wp:docPr id="97" name="Picture 97" descr="G:\Production\B2 prepresse\Raimonds\2019.1745 AMPR\50 - work on images\AMPR Icons\AMPR_Icons_Send2\AMPR_Icons_Send2\Icon_23000_EMFF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Production\B2 prepresse\Raimonds\2019.1745 AMPR\50 - work on images\AMPR Icons\AMPR_Icons_Send2\AMPR_Icons_Send2\Icon_23000_EMFF_06.emf"/>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6A9FD05F" w14:textId="77777777" w:rsidR="008331F6" w:rsidRPr="00A04E56" w:rsidRDefault="008331F6" w:rsidP="00277538">
            <w:pPr>
              <w:spacing w:line="276" w:lineRule="auto"/>
              <w:rPr>
                <w:rFonts w:cstheme="minorHAnsi"/>
                <w:szCs w:val="20"/>
              </w:rPr>
            </w:pPr>
            <w:r w:rsidRPr="00A04E56">
              <w:rPr>
                <w:rFonts w:cstheme="minorHAnsi"/>
                <w:szCs w:val="20"/>
              </w:rPr>
              <w:t>Promoting a balanced and inclusive territorial development of fisheries and aquaculture areas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1009B018" w14:textId="77777777" w:rsidR="008331F6" w:rsidRPr="00A04E56" w:rsidRDefault="008331F6" w:rsidP="00277538">
            <w:pPr>
              <w:spacing w:line="276" w:lineRule="auto"/>
              <w:jc w:val="center"/>
              <w:rPr>
                <w:lang w:eastAsia="hu-HU"/>
              </w:rPr>
            </w:pPr>
            <w:r w:rsidRPr="00A04E56">
              <w:rPr>
                <w:noProof/>
                <w:lang w:val="fr-BE" w:eastAsia="fr-BE"/>
              </w:rPr>
              <w:drawing>
                <wp:inline distT="0" distB="0" distL="0" distR="0" wp14:anchorId="7CBD99C1" wp14:editId="5004E0CF">
                  <wp:extent cx="468000" cy="468000"/>
                  <wp:effectExtent l="0" t="0" r="8255" b="8255"/>
                  <wp:docPr id="98" name="Picture 98" descr="G:\Production\B2 prepresse\Raimonds\2019.1745 AMPR\50 - work on images\AMPR Icons\AMPR_Icons_Send2\AMPR_Icons_Send2\Icon_23000_EMFF_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Production\B2 prepresse\Raimonds\2019.1745 AMPR\50 - work on images\AMPR Icons\AMPR_Icons_Send2\AMPR_Icons_Send2\Icon_23000_EMFF_07.emf"/>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EB54B8E" w14:textId="77777777" w:rsidR="008331F6" w:rsidRPr="00A04E56" w:rsidRDefault="008331F6" w:rsidP="00277538">
            <w:pPr>
              <w:spacing w:line="276" w:lineRule="auto"/>
              <w:rPr>
                <w:rFonts w:cstheme="minorHAnsi"/>
                <w:szCs w:val="20"/>
              </w:rPr>
            </w:pPr>
            <w:r w:rsidRPr="00A04E56">
              <w:rPr>
                <w:rFonts w:cstheme="minorHAnsi"/>
                <w:szCs w:val="20"/>
              </w:rPr>
              <w:t>Fostering the development and implementation of the EU’s Integrated Maritime policy in a manner complementary to cohesion policy and to the common fisheries policy</w:t>
            </w:r>
          </w:p>
        </w:tc>
      </w:tr>
    </w:tbl>
    <w:p w14:paraId="6010B24B" w14:textId="3DCB3081" w:rsidR="008331F6" w:rsidRPr="00A04E56" w:rsidRDefault="008C1D39" w:rsidP="00277538">
      <w:pPr>
        <w:pStyle w:val="Title3NumberedReport"/>
        <w:spacing w:before="480"/>
      </w:pPr>
      <w:r w:rsidRPr="00A04E56">
        <w:t>Implementation and latest achievements</w:t>
      </w:r>
    </w:p>
    <w:p w14:paraId="7B94C7E6" w14:textId="37109E67" w:rsidR="008331F6" w:rsidRPr="00A04E56" w:rsidRDefault="008331F6" w:rsidP="008331F6">
      <w:pPr>
        <w:pStyle w:val="BodyText1spaceafter"/>
      </w:pPr>
      <w:r w:rsidRPr="00A04E56">
        <w:t xml:space="preserve">The implementation of the European Maritime and Fisheries Fund </w:t>
      </w:r>
      <w:r w:rsidR="008C1D39" w:rsidRPr="00A04E56">
        <w:rPr>
          <w:i/>
          <w:u w:val="single"/>
        </w:rPr>
        <w:t>in 2018</w:t>
      </w:r>
      <w:r w:rsidRPr="00A04E56">
        <w:t xml:space="preserve"> has significantly accelerated compared to previous years. Over 7</w:t>
      </w:r>
      <w:r w:rsidRPr="00A04E56" w:rsidDel="006C1D4A">
        <w:rPr>
          <w:rFonts w:ascii="Calibri" w:hAnsi="Calibri" w:cs="Calibri"/>
        </w:rPr>
        <w:t> </w:t>
      </w:r>
      <w:r w:rsidRPr="00A04E56">
        <w:t>143 fishing vessels benefited</w:t>
      </w:r>
      <w:r w:rsidRPr="00A04E56">
        <w:rPr>
          <w:rStyle w:val="fnRef"/>
          <w:rFonts w:ascii="Calibri" w:hAnsi="Calibri" w:cs="Calibri"/>
        </w:rPr>
        <w:t> </w:t>
      </w:r>
      <w:r w:rsidRPr="00A04E56">
        <w:rPr>
          <w:rStyle w:val="fnRef"/>
        </w:rPr>
        <w:t>(</w:t>
      </w:r>
      <w:r w:rsidRPr="00A04E56">
        <w:rPr>
          <w:rStyle w:val="fnRefNo"/>
        </w:rPr>
        <w:footnoteReference w:id="173"/>
      </w:r>
      <w:r w:rsidRPr="00A04E56">
        <w:rPr>
          <w:rStyle w:val="fnRef"/>
        </w:rPr>
        <w:t>)</w:t>
      </w:r>
      <w:r w:rsidRPr="00A04E56">
        <w:t xml:space="preserve"> from the fund, 50% of which belonged to the small-scale coastal fishing fleet. The support provided continues to promote a sustainable balance between fishing fleets and resources and the </w:t>
      </w:r>
      <w:r w:rsidRPr="00A04E56">
        <w:rPr>
          <w:rStyle w:val="BOLDLIGHTBLUEReport"/>
          <w:rFonts w:eastAsia="Calibri"/>
        </w:rPr>
        <w:t>protection of marine ecosystems</w:t>
      </w:r>
      <w:r w:rsidRPr="00A04E56">
        <w:t>.</w:t>
      </w:r>
      <w:r w:rsidRPr="00A04E56">
        <w:rPr>
          <w:rFonts w:cs="Calibri"/>
        </w:rPr>
        <w:t xml:space="preserve"> </w:t>
      </w:r>
      <w:r w:rsidRPr="00A04E56">
        <w:t>The fund has also supported better management of more than 100</w:t>
      </w:r>
      <w:r w:rsidRPr="00A04E56" w:rsidDel="006C1D4A">
        <w:rPr>
          <w:rFonts w:ascii="Calibri" w:hAnsi="Calibri" w:cs="Calibri"/>
        </w:rPr>
        <w:t> </w:t>
      </w:r>
      <w:r w:rsidRPr="00A04E56">
        <w:t>000</w:t>
      </w:r>
      <w:r w:rsidRPr="00A04E56">
        <w:rPr>
          <w:rFonts w:ascii="Calibri" w:hAnsi="Calibri" w:cs="Calibri"/>
        </w:rPr>
        <w:t> </w:t>
      </w:r>
      <w:r w:rsidRPr="00A04E56">
        <w:t xml:space="preserve">km² of </w:t>
      </w:r>
      <w:r w:rsidRPr="00A04E56">
        <w:rPr>
          <w:rStyle w:val="BOLDLIGHTBLUEReport"/>
          <w:rFonts w:eastAsia="Calibri"/>
        </w:rPr>
        <w:t>Natura 2000</w:t>
      </w:r>
      <w:r w:rsidRPr="00A04E56">
        <w:t xml:space="preserve"> areas, and almost 95</w:t>
      </w:r>
      <w:r w:rsidRPr="00A04E56" w:rsidDel="006C1D4A">
        <w:rPr>
          <w:rFonts w:ascii="Calibri" w:hAnsi="Calibri" w:cs="Calibri"/>
        </w:rPr>
        <w:t> </w:t>
      </w:r>
      <w:r w:rsidRPr="00A04E56">
        <w:t>000</w:t>
      </w:r>
      <w:r w:rsidRPr="00A04E56">
        <w:rPr>
          <w:rFonts w:ascii="Calibri" w:hAnsi="Calibri" w:cs="Calibri"/>
        </w:rPr>
        <w:t> </w:t>
      </w:r>
      <w:r w:rsidRPr="00A04E56">
        <w:t>km² of other marine protected areas.</w:t>
      </w:r>
    </w:p>
    <w:p w14:paraId="15C5CEE6" w14:textId="77777777" w:rsidR="008331F6" w:rsidRPr="00A04E56" w:rsidRDefault="008331F6" w:rsidP="008331F6">
      <w:pPr>
        <w:pStyle w:val="BodyText1spaceafter"/>
      </w:pPr>
      <w:r w:rsidRPr="00A04E56">
        <w:t>The projects financed have a positive effect on the direct beneficiaries of the operations and have a multiplier effect along the production and supply chain and in related service industries. It is estimated that more than 35</w:t>
      </w:r>
      <w:r w:rsidRPr="00A04E56" w:rsidDel="006C1D4A">
        <w:rPr>
          <w:rFonts w:ascii="Calibri" w:hAnsi="Calibri" w:cs="Calibri"/>
        </w:rPr>
        <w:t> </w:t>
      </w:r>
      <w:r w:rsidRPr="00A04E56">
        <w:t>000 fishermen, their spouses/partners, and members of producer organisations, benefit from the support, as well as 33</w:t>
      </w:r>
      <w:r w:rsidRPr="00A04E56" w:rsidDel="006C1D4A">
        <w:rPr>
          <w:rFonts w:ascii="Calibri" w:hAnsi="Calibri" w:cs="Calibri"/>
        </w:rPr>
        <w:t> </w:t>
      </w:r>
      <w:r w:rsidRPr="00A04E56">
        <w:t>000 other persons (such as employees of processing companies and port users).</w:t>
      </w:r>
    </w:p>
    <w:p w14:paraId="609F0945" w14:textId="77777777" w:rsidR="008331F6" w:rsidRPr="00A04E56" w:rsidRDefault="008331F6" w:rsidP="008331F6">
      <w:pPr>
        <w:pStyle w:val="BodyText1spaceafter"/>
      </w:pPr>
      <w:r w:rsidRPr="00A04E56">
        <w:rPr>
          <w:i/>
          <w:u w:val="single"/>
        </w:rPr>
        <w:t>At the end of 2017</w:t>
      </w:r>
      <w:r w:rsidRPr="00A04E56">
        <w:rPr>
          <w:rStyle w:val="fnRef"/>
          <w:rFonts w:ascii="Calibri" w:hAnsi="Calibri" w:cs="Calibri"/>
        </w:rPr>
        <w:t> </w:t>
      </w:r>
      <w:r w:rsidRPr="00A04E56">
        <w:rPr>
          <w:rStyle w:val="fnRef"/>
        </w:rPr>
        <w:t>(</w:t>
      </w:r>
      <w:r w:rsidRPr="00A04E56">
        <w:rPr>
          <w:rStyle w:val="fnRefNo"/>
        </w:rPr>
        <w:footnoteReference w:id="174"/>
      </w:r>
      <w:r w:rsidRPr="00A04E56">
        <w:rPr>
          <w:rStyle w:val="fnRef"/>
        </w:rPr>
        <w:t>)</w:t>
      </w:r>
      <w:r w:rsidRPr="00A04E56">
        <w:t>, more than 18</w:t>
      </w:r>
      <w:r w:rsidRPr="00A04E56">
        <w:rPr>
          <w:rFonts w:ascii="Calibri" w:hAnsi="Calibri" w:cs="Calibri"/>
        </w:rPr>
        <w:t> </w:t>
      </w:r>
      <w:r w:rsidRPr="00A04E56">
        <w:t>000 operations have been financed under the European Maritime and Fisheries Fund. More than half of those are designed to help small and medium-sized enterprises in fisheries and aquaculture become more competitive. More than one third are also designed to preserve and protect the marine environment, and to promote resource efficiency.</w:t>
      </w:r>
      <w:r w:rsidRPr="00A04E56">
        <w:rPr>
          <w:rStyle w:val="FootnoteReference"/>
          <w:rFonts w:cs="Arial"/>
          <w:i/>
          <w:sz w:val="20"/>
        </w:rPr>
        <w:t xml:space="preserve"> </w:t>
      </w:r>
    </w:p>
    <w:p w14:paraId="5033935A" w14:textId="77777777" w:rsidR="008331F6" w:rsidRPr="00A04E56" w:rsidRDefault="008331F6" w:rsidP="00C257BF">
      <w:pPr>
        <w:pStyle w:val="BOX3BluedashedborderBluetext-Bold"/>
      </w:pPr>
      <w:r w:rsidRPr="00A04E56">
        <w:t>Fresh fish from Vienna</w:t>
      </w:r>
      <w:r w:rsidRPr="00277538">
        <w:rPr>
          <w:rStyle w:val="fnRef"/>
          <w:rFonts w:ascii="Calibri" w:hAnsi="Calibri" w:cs="Calibri"/>
          <w:b w:val="0"/>
        </w:rPr>
        <w:t> </w:t>
      </w:r>
      <w:r w:rsidRPr="00277538">
        <w:rPr>
          <w:rStyle w:val="fnRef"/>
          <w:b w:val="0"/>
        </w:rPr>
        <w:t>(</w:t>
      </w:r>
      <w:r w:rsidRPr="00277538">
        <w:rPr>
          <w:rStyle w:val="fnRefNo"/>
          <w:b w:val="0"/>
        </w:rPr>
        <w:footnoteReference w:id="175"/>
      </w:r>
      <w:r w:rsidRPr="00277538">
        <w:rPr>
          <w:rStyle w:val="fnRef"/>
          <w:b w:val="0"/>
        </w:rPr>
        <w:t>)</w:t>
      </w:r>
      <w:r w:rsidRPr="00A04E56">
        <w:t xml:space="preserve">: </w:t>
      </w:r>
    </w:p>
    <w:p w14:paraId="65A8C420" w14:textId="77777777" w:rsidR="008331F6" w:rsidRPr="00A04E56" w:rsidRDefault="008331F6" w:rsidP="00C257BF">
      <w:pPr>
        <w:pStyle w:val="BOX3BluedashedborderBluetext"/>
      </w:pPr>
      <w:r w:rsidRPr="00A04E56">
        <w:t>Thanks to the European Maritime and Fisheries Fund you can now buy fresh fish and vegetables produced right in the Austrian capital city of Vienna.</w:t>
      </w:r>
    </w:p>
    <w:p w14:paraId="1678F710" w14:textId="77777777" w:rsidR="008331F6" w:rsidRPr="00A04E56" w:rsidRDefault="008331F6" w:rsidP="00C257BF">
      <w:pPr>
        <w:pStyle w:val="BOX3BluedashedborderBluetext"/>
      </w:pPr>
      <w:r w:rsidRPr="00A04E56">
        <w:t>The aquaponics start-up, established in 2016 with a contribution of around EUR</w:t>
      </w:r>
      <w:r w:rsidRPr="00A04E56">
        <w:rPr>
          <w:rFonts w:ascii="Calibri" w:hAnsi="Calibri" w:cs="Calibri"/>
        </w:rPr>
        <w:t> </w:t>
      </w:r>
      <w:r w:rsidRPr="00A04E56">
        <w:t>30</w:t>
      </w:r>
      <w:r w:rsidRPr="00A04E56" w:rsidDel="00526676">
        <w:rPr>
          <w:rFonts w:ascii="Calibri" w:hAnsi="Calibri" w:cs="Calibri"/>
        </w:rPr>
        <w:t> </w:t>
      </w:r>
      <w:r w:rsidRPr="00A04E56">
        <w:t xml:space="preserve">000 from the fund, combines vegetable farming with fish farming in large glasshouses to produce aubergines, tomatoes, cucumbers, peppers and chilli, as well as catfish and perch. </w:t>
      </w:r>
    </w:p>
    <w:p w14:paraId="39AAE8D2" w14:textId="77777777" w:rsidR="008331F6" w:rsidRPr="00A04E56" w:rsidRDefault="008331F6" w:rsidP="00C257BF">
      <w:pPr>
        <w:pStyle w:val="BOX3BluedashedborderBluetext"/>
      </w:pPr>
      <w:r w:rsidRPr="00A04E56">
        <w:t>The farm grows vegetables on about 400</w:t>
      </w:r>
      <w:r w:rsidRPr="00A04E56">
        <w:rPr>
          <w:rFonts w:ascii="Calibri" w:hAnsi="Calibri" w:cs="Calibri"/>
        </w:rPr>
        <w:t> </w:t>
      </w:r>
      <w:r w:rsidRPr="00A04E56">
        <w:t>m² and can produce up to 12</w:t>
      </w:r>
      <w:r w:rsidRPr="00A04E56">
        <w:rPr>
          <w:rFonts w:ascii="Calibri" w:hAnsi="Calibri" w:cs="Calibri"/>
        </w:rPr>
        <w:t> </w:t>
      </w:r>
      <w:r w:rsidRPr="00A04E56">
        <w:t>tonnes of fish a year. The nutrient-rich wastewater from the fish farm is fed to the plants, while the waste heat from the greenhouse is used to heat the fish system.</w:t>
      </w:r>
    </w:p>
    <w:p w14:paraId="6CB2891E" w14:textId="1399B195" w:rsidR="008331F6" w:rsidRPr="00A04E56" w:rsidRDefault="008C1D39" w:rsidP="008331F6">
      <w:pPr>
        <w:pStyle w:val="BodyText1spacebeforeandafter"/>
      </w:pPr>
      <w:r w:rsidRPr="00A04E56">
        <w:rPr>
          <w:i/>
          <w:u w:val="single"/>
        </w:rPr>
        <w:t>In 2018</w:t>
      </w:r>
      <w:r w:rsidR="008331F6" w:rsidRPr="00A04E56">
        <w:t xml:space="preserve">, the Commission continued to focus its </w:t>
      </w:r>
      <w:r w:rsidR="008331F6" w:rsidRPr="00A04E56">
        <w:rPr>
          <w:rStyle w:val="BOLDLIGHTBLUEReport"/>
          <w:rFonts w:eastAsia="Calibri"/>
        </w:rPr>
        <w:t>fisheries conservation policy</w:t>
      </w:r>
      <w:r w:rsidR="008331F6" w:rsidRPr="00A04E56">
        <w:t xml:space="preserve"> on the objective of achieving maximum sustainable yield</w:t>
      </w:r>
      <w:r w:rsidR="008331F6" w:rsidRPr="00A04E56">
        <w:rPr>
          <w:rStyle w:val="fnRef"/>
          <w:rFonts w:ascii="Calibri" w:hAnsi="Calibri" w:cs="Calibri"/>
        </w:rPr>
        <w:t> </w:t>
      </w:r>
      <w:r w:rsidR="008331F6" w:rsidRPr="00A04E56">
        <w:rPr>
          <w:rStyle w:val="fnRef"/>
        </w:rPr>
        <w:t>(</w:t>
      </w:r>
      <w:r w:rsidR="008331F6" w:rsidRPr="00A04E56">
        <w:rPr>
          <w:rStyle w:val="fnRefNo"/>
        </w:rPr>
        <w:footnoteReference w:id="176"/>
      </w:r>
      <w:r w:rsidR="008331F6" w:rsidRPr="00A04E56">
        <w:rPr>
          <w:rStyle w:val="fnRef"/>
        </w:rPr>
        <w:t>)</w:t>
      </w:r>
      <w:r w:rsidR="008331F6" w:rsidRPr="00A04E56">
        <w:t xml:space="preserve"> for fish stocks by 2020 at the latest and reaching sustainable fleet performance. Higher and stable yields contribute to jobs, growth and investments in the EU. A clear correlation between fishing at maximum sustainable yield levels and economic returns and </w:t>
      </w:r>
      <w:r w:rsidR="008331F6" w:rsidRPr="00A04E56">
        <w:rPr>
          <w:rStyle w:val="BOLDLIGHTBLUEReport"/>
          <w:rFonts w:eastAsia="Calibri"/>
        </w:rPr>
        <w:t>profitability for the fleets</w:t>
      </w:r>
      <w:r w:rsidR="008331F6" w:rsidRPr="00A04E56">
        <w:t xml:space="preserve"> was again confirmed in the </w:t>
      </w:r>
      <w:r w:rsidR="008331F6" w:rsidRPr="00A04E56">
        <w:rPr>
          <w:i/>
          <w:u w:val="single"/>
        </w:rPr>
        <w:t>2018</w:t>
      </w:r>
      <w:r w:rsidR="008331F6" w:rsidRPr="00A04E56">
        <w:t xml:space="preserve"> </w:t>
      </w:r>
      <w:r w:rsidR="008331F6" w:rsidRPr="00A04E56">
        <w:rPr>
          <w:i/>
        </w:rPr>
        <w:t xml:space="preserve">Annual </w:t>
      </w:r>
      <w:r w:rsidR="001045AB" w:rsidRPr="00A04E56">
        <w:rPr>
          <w:i/>
        </w:rPr>
        <w:t>economic fleet report</w:t>
      </w:r>
      <w:r w:rsidR="001045AB" w:rsidRPr="00A04E56">
        <w:rPr>
          <w:rStyle w:val="fnRef"/>
          <w:rFonts w:ascii="Calibri" w:hAnsi="Calibri" w:cs="Calibri"/>
        </w:rPr>
        <w:t> </w:t>
      </w:r>
      <w:r w:rsidR="008331F6" w:rsidRPr="00A04E56">
        <w:rPr>
          <w:rStyle w:val="fnRef"/>
        </w:rPr>
        <w:t>(</w:t>
      </w:r>
      <w:r w:rsidR="008331F6" w:rsidRPr="00A04E56">
        <w:rPr>
          <w:rStyle w:val="fnRefNo"/>
        </w:rPr>
        <w:footnoteReference w:id="177"/>
      </w:r>
      <w:r w:rsidR="008331F6" w:rsidRPr="00A04E56">
        <w:rPr>
          <w:rStyle w:val="fnRef"/>
        </w:rPr>
        <w:t>)</w:t>
      </w:r>
      <w:r w:rsidR="008331F6" w:rsidRPr="00A04E56">
        <w:t xml:space="preserve">. The report showed record-high net profits in 2016 (latest data available). With an estimated value of 16.9% of net profit margin for the average of the EU fleet, not only the interim milestone for </w:t>
      </w:r>
      <w:r w:rsidR="008331F6" w:rsidRPr="00A04E56">
        <w:rPr>
          <w:i/>
          <w:u w:val="single"/>
        </w:rPr>
        <w:t>2017</w:t>
      </w:r>
      <w:r w:rsidR="008331F6" w:rsidRPr="00A04E56">
        <w:t xml:space="preserve"> has already been achieved (i.e. 9%) but also the target for 2023 (10%). The </w:t>
      </w:r>
      <w:r w:rsidR="008331F6" w:rsidRPr="00A04E56">
        <w:rPr>
          <w:rStyle w:val="BOLDLIGHTBLUEReport"/>
          <w:rFonts w:eastAsia="Calibri"/>
        </w:rPr>
        <w:t>stronger economic performance of the EU fishing fleet</w:t>
      </w:r>
      <w:r w:rsidR="008331F6" w:rsidRPr="00A04E56">
        <w:t xml:space="preserve"> is explained mainly by the sustainable exploitation of fish stocks. The report indicates that economic performance stagnates where fleets depend on stocks that are still overfished or overexploited. Fleets that fish sustainably − ever growing in numbers − see clear improvements in their profitability. The sustainable use of marine resources is the basis for economic growth of the fleet. Lower fuel prices and higher average fish prices have also contributed to this strong economic performance.</w:t>
      </w:r>
    </w:p>
    <w:p w14:paraId="650908AD" w14:textId="7D0A0604" w:rsidR="008331F6" w:rsidRPr="00A04E56" w:rsidRDefault="008331F6" w:rsidP="00067B33">
      <w:pPr>
        <w:pStyle w:val="BodyText1spaceafter"/>
      </w:pPr>
      <w:r w:rsidRPr="00A04E56">
        <w:t xml:space="preserve">In the context of its integrated maritime policy, the EU is implementing its agenda for better international ocean governance. The EU continued to be in the lead in advocating and rolling out sustainable fisheries internationally. Successful negotiations between the EU and China resulted in the </w:t>
      </w:r>
      <w:r w:rsidRPr="00A04E56">
        <w:rPr>
          <w:rStyle w:val="BOLDLIGHTBLUEReport"/>
          <w:rFonts w:eastAsia="Calibri"/>
        </w:rPr>
        <w:t>EU-China Ocean Partnership</w:t>
      </w:r>
      <w:r w:rsidRPr="00A04E56">
        <w:t xml:space="preserve">, signed on </w:t>
      </w:r>
      <w:r w:rsidRPr="00A04E56">
        <w:rPr>
          <w:i/>
          <w:u w:val="single"/>
        </w:rPr>
        <w:t>16</w:t>
      </w:r>
      <w:r w:rsidRPr="00A04E56">
        <w:rPr>
          <w:rFonts w:ascii="Calibri" w:hAnsi="Calibri" w:cs="Calibri"/>
          <w:i/>
          <w:u w:val="single"/>
        </w:rPr>
        <w:t> </w:t>
      </w:r>
      <w:r w:rsidRPr="00A04E56">
        <w:rPr>
          <w:i/>
          <w:u w:val="single"/>
        </w:rPr>
        <w:t>July</w:t>
      </w:r>
      <w:r w:rsidRPr="00A04E56">
        <w:rPr>
          <w:rFonts w:ascii="Calibri" w:hAnsi="Calibri" w:cs="Calibri"/>
          <w:i/>
          <w:u w:val="single"/>
        </w:rPr>
        <w:t> </w:t>
      </w:r>
      <w:r w:rsidRPr="00A04E56">
        <w:rPr>
          <w:i/>
          <w:u w:val="single"/>
        </w:rPr>
        <w:t>2018</w:t>
      </w:r>
      <w:r w:rsidRPr="00A04E56">
        <w:t xml:space="preserve"> at the EU-China Summit. It was the first Ocean Partnership of this kind, setting out a comprehensive framework for dialogue and cooperation on ocean issues of common interest. </w:t>
      </w:r>
    </w:p>
    <w:tbl>
      <w:tblPr>
        <w:tblStyle w:val="Simpletable8"/>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2228"/>
        <w:gridCol w:w="2302"/>
        <w:gridCol w:w="2226"/>
        <w:gridCol w:w="2316"/>
      </w:tblGrid>
      <w:tr w:rsidR="00A36589" w:rsidRPr="00A04E56" w14:paraId="2A5FE9EE" w14:textId="77777777" w:rsidTr="00277538">
        <w:trPr>
          <w:trHeight w:val="465"/>
          <w:jc w:val="center"/>
        </w:trPr>
        <w:tc>
          <w:tcPr>
            <w:tcW w:w="9384" w:type="dxa"/>
            <w:gridSpan w:val="4"/>
            <w:shd w:val="clear" w:color="auto" w:fill="B1E3F1"/>
            <w:vAlign w:val="center"/>
          </w:tcPr>
          <w:p w14:paraId="5B0A049D" w14:textId="07C3901C" w:rsidR="00A36589" w:rsidRPr="00A04E56" w:rsidRDefault="00A36589" w:rsidP="00C257BF">
            <w:pPr>
              <w:keepNext/>
              <w:jc w:val="center"/>
              <w:rPr>
                <w:rFonts w:eastAsia="Calibri"/>
                <w:b/>
                <w:color w:val="595959"/>
                <w:sz w:val="22"/>
              </w:rPr>
            </w:pPr>
            <w:r w:rsidRPr="00A04E56">
              <w:rPr>
                <w:rFonts w:ascii="EC Square Sans Pro Medium" w:eastAsia="Calibri" w:hAnsi="EC Square Sans Pro Medium"/>
                <w:color w:val="1D3E89"/>
                <w:sz w:val="28"/>
              </w:rPr>
              <w:t>Tackling</w:t>
            </w:r>
            <w:r w:rsidRPr="00A04E56">
              <w:rPr>
                <w:rFonts w:ascii="EC Square Sans Pro Medium" w:eastAsia="Calibri" w:hAnsi="EC Square Sans Pro Medium"/>
                <w:b/>
                <w:color w:val="1D3E89"/>
                <w:sz w:val="28"/>
              </w:rPr>
              <w:t xml:space="preserve"> </w:t>
            </w:r>
            <w:r w:rsidRPr="00A04E56">
              <w:rPr>
                <w:rFonts w:eastAsia="Calibri"/>
                <w:b/>
                <w:color w:val="E48C32"/>
                <w:sz w:val="28"/>
              </w:rPr>
              <w:t>illegal</w:t>
            </w:r>
            <w:r w:rsidRPr="00A04E56">
              <w:rPr>
                <w:rFonts w:ascii="EC Square Sans Pro Medium" w:eastAsia="Calibri" w:hAnsi="EC Square Sans Pro Medium"/>
                <w:color w:val="1D3E89"/>
                <w:sz w:val="28"/>
              </w:rPr>
              <w:t>,</w:t>
            </w:r>
            <w:r w:rsidRPr="00A04E56">
              <w:rPr>
                <w:rFonts w:ascii="EC Square Sans Pro Medium" w:eastAsia="Calibri" w:hAnsi="EC Square Sans Pro Medium"/>
                <w:b/>
                <w:color w:val="1D3E89"/>
                <w:sz w:val="28"/>
              </w:rPr>
              <w:t xml:space="preserve"> </w:t>
            </w:r>
            <w:r w:rsidRPr="00A04E56">
              <w:rPr>
                <w:rFonts w:eastAsia="Calibri"/>
                <w:b/>
                <w:color w:val="E48C32"/>
                <w:sz w:val="28"/>
              </w:rPr>
              <w:t>unreported</w:t>
            </w:r>
            <w:r w:rsidRPr="00A04E56">
              <w:rPr>
                <w:rFonts w:ascii="EC Square Sans Pro Medium" w:eastAsia="Calibri" w:hAnsi="EC Square Sans Pro Medium"/>
                <w:color w:val="1D3E89"/>
                <w:sz w:val="28"/>
              </w:rPr>
              <w:t>, and</w:t>
            </w:r>
            <w:r w:rsidRPr="00A04E56">
              <w:rPr>
                <w:rFonts w:eastAsia="Calibri"/>
                <w:b/>
                <w:color w:val="1D3E89"/>
                <w:sz w:val="28"/>
              </w:rPr>
              <w:t xml:space="preserve"> </w:t>
            </w:r>
            <w:r w:rsidRPr="00A04E56">
              <w:rPr>
                <w:rFonts w:eastAsia="Calibri"/>
                <w:b/>
                <w:color w:val="E48C32"/>
                <w:sz w:val="28"/>
              </w:rPr>
              <w:t>unregulated</w:t>
            </w:r>
            <w:r w:rsidRPr="00A04E56">
              <w:rPr>
                <w:rFonts w:ascii="EC Square Sans Pro Medium" w:eastAsia="Calibri" w:hAnsi="EC Square Sans Pro Medium"/>
                <w:b/>
                <w:color w:val="1D3E89"/>
                <w:sz w:val="28"/>
              </w:rPr>
              <w:t xml:space="preserve"> </w:t>
            </w:r>
            <w:r w:rsidRPr="00A04E56">
              <w:rPr>
                <w:rFonts w:ascii="EC Square Sans Pro Medium" w:eastAsia="Calibri" w:hAnsi="EC Square Sans Pro Medium"/>
                <w:color w:val="1D3E89"/>
                <w:sz w:val="28"/>
              </w:rPr>
              <w:t>(IUU) fishing</w:t>
            </w:r>
          </w:p>
        </w:tc>
      </w:tr>
      <w:tr w:rsidR="00A36589" w:rsidRPr="00A04E56" w14:paraId="6A63A8E6" w14:textId="77777777" w:rsidTr="00277538">
        <w:trPr>
          <w:trHeight w:val="1935"/>
          <w:jc w:val="center"/>
        </w:trPr>
        <w:tc>
          <w:tcPr>
            <w:tcW w:w="2322" w:type="dxa"/>
            <w:shd w:val="clear" w:color="auto" w:fill="B1E3F1"/>
          </w:tcPr>
          <w:p w14:paraId="3C9E22B5" w14:textId="77777777" w:rsidR="00A36589" w:rsidRPr="00A04E56" w:rsidRDefault="00A36589" w:rsidP="00C257BF">
            <w:pPr>
              <w:keepNext/>
              <w:rPr>
                <w:rFonts w:eastAsia="Calibri"/>
                <w:b/>
                <w:color w:val="1D3E89"/>
                <w:sz w:val="18"/>
                <w:szCs w:val="18"/>
              </w:rPr>
            </w:pPr>
            <w:r w:rsidRPr="00A04E56">
              <w:rPr>
                <w:rFonts w:eastAsia="Calibri"/>
                <w:b/>
                <w:color w:val="1D3E89"/>
                <w:sz w:val="18"/>
                <w:szCs w:val="18"/>
              </w:rPr>
              <w:t>Fishing is illegal if:</w:t>
            </w:r>
          </w:p>
          <w:p w14:paraId="19A64C07" w14:textId="77777777" w:rsidR="00A36589" w:rsidRPr="00A04E56" w:rsidRDefault="00A36589" w:rsidP="00277538">
            <w:pPr>
              <w:keepNext/>
              <w:numPr>
                <w:ilvl w:val="0"/>
                <w:numId w:val="94"/>
              </w:numPr>
              <w:ind w:left="253" w:hanging="253"/>
              <w:rPr>
                <w:rFonts w:eastAsia="Calibri"/>
                <w:sz w:val="18"/>
                <w:szCs w:val="18"/>
              </w:rPr>
            </w:pPr>
            <w:r w:rsidRPr="00A04E56">
              <w:rPr>
                <w:rFonts w:eastAsia="Calibri"/>
                <w:sz w:val="18"/>
                <w:szCs w:val="18"/>
              </w:rPr>
              <w:t>no authorisation</w:t>
            </w:r>
          </w:p>
          <w:p w14:paraId="1BBF6CF4" w14:textId="34D57D11" w:rsidR="00A36589" w:rsidRPr="00A04E56" w:rsidRDefault="00A36589" w:rsidP="00277538">
            <w:pPr>
              <w:keepNext/>
              <w:numPr>
                <w:ilvl w:val="0"/>
                <w:numId w:val="94"/>
              </w:numPr>
              <w:ind w:left="253" w:hanging="253"/>
              <w:rPr>
                <w:rFonts w:eastAsia="Calibri"/>
                <w:sz w:val="18"/>
                <w:szCs w:val="18"/>
              </w:rPr>
            </w:pPr>
            <w:r w:rsidRPr="00A04E56">
              <w:rPr>
                <w:rFonts w:eastAsia="Calibri"/>
                <w:sz w:val="18"/>
                <w:szCs w:val="18"/>
              </w:rPr>
              <w:t>against conservation and management measures by RFMOs</w:t>
            </w:r>
            <w:r w:rsidR="004F18B9" w:rsidRPr="00A04E56">
              <w:rPr>
                <w:rFonts w:eastAsia="Calibri"/>
                <w:sz w:val="18"/>
                <w:szCs w:val="18"/>
              </w:rPr>
              <w:t>*</w:t>
            </w:r>
          </w:p>
          <w:p w14:paraId="19C3A043" w14:textId="77777777" w:rsidR="00A36589" w:rsidRPr="00A04E56" w:rsidRDefault="00A36589" w:rsidP="00277538">
            <w:pPr>
              <w:keepNext/>
              <w:numPr>
                <w:ilvl w:val="0"/>
                <w:numId w:val="94"/>
              </w:numPr>
              <w:ind w:left="253" w:hanging="253"/>
              <w:rPr>
                <w:rFonts w:eastAsia="Calibri"/>
                <w:sz w:val="18"/>
                <w:szCs w:val="18"/>
              </w:rPr>
            </w:pPr>
            <w:r w:rsidRPr="00A04E56">
              <w:rPr>
                <w:rFonts w:eastAsia="Calibri"/>
                <w:sz w:val="18"/>
                <w:szCs w:val="18"/>
              </w:rPr>
              <w:t>against national laws or international obligations</w:t>
            </w:r>
          </w:p>
        </w:tc>
        <w:tc>
          <w:tcPr>
            <w:tcW w:w="2322" w:type="dxa"/>
            <w:shd w:val="clear" w:color="auto" w:fill="B1E3F1"/>
            <w:vAlign w:val="center"/>
          </w:tcPr>
          <w:p w14:paraId="00E7F918" w14:textId="77777777" w:rsidR="00A36589" w:rsidRPr="00A04E56" w:rsidRDefault="00A36589" w:rsidP="00C257BF">
            <w:pPr>
              <w:keepNext/>
              <w:jc w:val="center"/>
              <w:rPr>
                <w:rFonts w:eastAsia="Calibri"/>
                <w:sz w:val="22"/>
              </w:rPr>
            </w:pPr>
            <w:r w:rsidRPr="00A04E56">
              <w:rPr>
                <w:rFonts w:eastAsia="Calibri"/>
                <w:noProof/>
                <w:sz w:val="22"/>
                <w:lang w:val="fr-BE" w:eastAsia="fr-BE"/>
              </w:rPr>
              <w:drawing>
                <wp:inline distT="0" distB="0" distL="0" distR="0" wp14:anchorId="0C537605" wp14:editId="66314ACD">
                  <wp:extent cx="1116000" cy="1114404"/>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o-fishing.emf"/>
                          <pic:cNvPicPr/>
                        </pic:nvPicPr>
                        <pic:blipFill>
                          <a:blip r:embed="rId169" cstate="email">
                            <a:extLst>
                              <a:ext uri="{28A0092B-C50C-407E-A947-70E740481C1C}">
                                <a14:useLocalDpi xmlns:a14="http://schemas.microsoft.com/office/drawing/2010/main"/>
                              </a:ext>
                            </a:extLst>
                          </a:blip>
                          <a:stretch>
                            <a:fillRect/>
                          </a:stretch>
                        </pic:blipFill>
                        <pic:spPr>
                          <a:xfrm>
                            <a:off x="0" y="0"/>
                            <a:ext cx="1116000" cy="1114404"/>
                          </a:xfrm>
                          <a:prstGeom prst="rect">
                            <a:avLst/>
                          </a:prstGeom>
                        </pic:spPr>
                      </pic:pic>
                    </a:graphicData>
                  </a:graphic>
                </wp:inline>
              </w:drawing>
            </w:r>
          </w:p>
        </w:tc>
        <w:tc>
          <w:tcPr>
            <w:tcW w:w="2322" w:type="dxa"/>
            <w:shd w:val="clear" w:color="auto" w:fill="B1E3F1"/>
          </w:tcPr>
          <w:p w14:paraId="5E4BBD85" w14:textId="77777777" w:rsidR="00A36589" w:rsidRPr="00A04E56" w:rsidRDefault="00A36589" w:rsidP="00C257BF">
            <w:pPr>
              <w:keepNext/>
              <w:rPr>
                <w:rFonts w:eastAsia="Calibri"/>
                <w:b/>
                <w:color w:val="1D3E89"/>
                <w:sz w:val="18"/>
                <w:szCs w:val="18"/>
              </w:rPr>
            </w:pPr>
            <w:r w:rsidRPr="00A04E56">
              <w:rPr>
                <w:rFonts w:eastAsia="Calibri"/>
                <w:b/>
                <w:color w:val="1D3E89"/>
                <w:sz w:val="18"/>
                <w:szCs w:val="18"/>
              </w:rPr>
              <w:t>Fishing is unreported if:</w:t>
            </w:r>
          </w:p>
          <w:p w14:paraId="1AB2932D" w14:textId="708F7A0D" w:rsidR="00A36589" w:rsidRPr="00A04E56" w:rsidRDefault="00A36589" w:rsidP="00277538">
            <w:pPr>
              <w:keepNext/>
              <w:numPr>
                <w:ilvl w:val="0"/>
                <w:numId w:val="94"/>
              </w:numPr>
              <w:ind w:left="253" w:hanging="253"/>
              <w:rPr>
                <w:rFonts w:eastAsia="Calibri"/>
                <w:sz w:val="18"/>
                <w:szCs w:val="18"/>
              </w:rPr>
            </w:pPr>
            <w:r w:rsidRPr="00A04E56">
              <w:rPr>
                <w:rFonts w:eastAsia="Calibri"/>
                <w:sz w:val="18"/>
                <w:szCs w:val="18"/>
              </w:rPr>
              <w:t>not reported, or the reporting contravenes international, RFMO</w:t>
            </w:r>
            <w:r w:rsidR="00091924" w:rsidRPr="00A04E56">
              <w:rPr>
                <w:rFonts w:eastAsia="Calibri"/>
                <w:sz w:val="18"/>
                <w:szCs w:val="18"/>
              </w:rPr>
              <w:t xml:space="preserve"> or</w:t>
            </w:r>
            <w:r w:rsidRPr="00A04E56">
              <w:rPr>
                <w:rFonts w:eastAsia="Calibri"/>
                <w:sz w:val="18"/>
                <w:szCs w:val="18"/>
              </w:rPr>
              <w:t xml:space="preserve"> national laws and regulations</w:t>
            </w:r>
          </w:p>
        </w:tc>
        <w:tc>
          <w:tcPr>
            <w:tcW w:w="2418" w:type="dxa"/>
            <w:shd w:val="clear" w:color="auto" w:fill="B1E3F1"/>
          </w:tcPr>
          <w:p w14:paraId="4FC4EDF4" w14:textId="77777777" w:rsidR="00A36589" w:rsidRPr="00A04E56" w:rsidRDefault="00A36589" w:rsidP="00C257BF">
            <w:pPr>
              <w:keepNext/>
              <w:rPr>
                <w:rFonts w:eastAsia="Calibri"/>
                <w:b/>
                <w:color w:val="1D3E89"/>
                <w:sz w:val="18"/>
                <w:szCs w:val="18"/>
              </w:rPr>
            </w:pPr>
            <w:r w:rsidRPr="00A04E56">
              <w:rPr>
                <w:rFonts w:eastAsia="Calibri"/>
                <w:b/>
                <w:color w:val="1D3E89"/>
                <w:sz w:val="18"/>
                <w:szCs w:val="18"/>
              </w:rPr>
              <w:t>Fishing is unregulated if:</w:t>
            </w:r>
          </w:p>
          <w:p w14:paraId="50E983DB" w14:textId="77777777" w:rsidR="00A36589" w:rsidRPr="00A04E56" w:rsidRDefault="00A36589" w:rsidP="00277538">
            <w:pPr>
              <w:keepNext/>
              <w:numPr>
                <w:ilvl w:val="0"/>
                <w:numId w:val="94"/>
              </w:numPr>
              <w:ind w:left="253" w:hanging="253"/>
              <w:rPr>
                <w:rFonts w:eastAsia="Calibri"/>
                <w:sz w:val="18"/>
                <w:szCs w:val="18"/>
              </w:rPr>
            </w:pPr>
            <w:r w:rsidRPr="00A04E56">
              <w:rPr>
                <w:rFonts w:eastAsia="Calibri"/>
                <w:sz w:val="18"/>
                <w:szCs w:val="18"/>
              </w:rPr>
              <w:t xml:space="preserve">the fishing vessel has </w:t>
            </w:r>
            <w:r w:rsidRPr="00A04E56">
              <w:rPr>
                <w:rFonts w:eastAsia="Calibri"/>
                <w:sz w:val="18"/>
                <w:szCs w:val="18"/>
              </w:rPr>
              <w:br/>
              <w:t>no nationality</w:t>
            </w:r>
          </w:p>
          <w:p w14:paraId="297436B6" w14:textId="77777777" w:rsidR="00A36589" w:rsidRPr="00A04E56" w:rsidRDefault="00A36589" w:rsidP="00277538">
            <w:pPr>
              <w:keepNext/>
              <w:numPr>
                <w:ilvl w:val="0"/>
                <w:numId w:val="94"/>
              </w:numPr>
              <w:ind w:left="253" w:hanging="253"/>
              <w:rPr>
                <w:rFonts w:eastAsia="Calibri"/>
                <w:sz w:val="18"/>
                <w:szCs w:val="18"/>
              </w:rPr>
            </w:pPr>
            <w:r w:rsidRPr="00A04E56">
              <w:rPr>
                <w:rFonts w:eastAsia="Calibri"/>
                <w:sz w:val="18"/>
                <w:szCs w:val="18"/>
              </w:rPr>
              <w:t>fishing activities jeopardise fish stocks</w:t>
            </w:r>
          </w:p>
        </w:tc>
      </w:tr>
    </w:tbl>
    <w:p w14:paraId="71165D30" w14:textId="01C43D36" w:rsidR="004F18B9" w:rsidRPr="00A04E56" w:rsidRDefault="004F18B9" w:rsidP="00C636BE">
      <w:pPr>
        <w:pStyle w:val="Source-Table-Chart-PhotoCaption"/>
        <w:ind w:left="142" w:hanging="142"/>
      </w:pPr>
      <w:r w:rsidRPr="00A04E56">
        <w:t>*</w:t>
      </w:r>
      <w:r w:rsidR="00EB4B75" w:rsidRPr="00A04E56">
        <w:tab/>
      </w:r>
      <w:r w:rsidRPr="00A04E56">
        <w:t>RFMOs: Regional fisheries management organisations</w:t>
      </w:r>
      <w:r w:rsidR="00C44736" w:rsidRPr="00A04E56">
        <w:t>.</w:t>
      </w:r>
    </w:p>
    <w:p w14:paraId="269EC817" w14:textId="32776A6E" w:rsidR="008331F6" w:rsidRPr="00A04E56" w:rsidRDefault="008331F6" w:rsidP="00EB4B75">
      <w:pPr>
        <w:pStyle w:val="Source-Table-Chart-PhotoCaption"/>
      </w:pPr>
      <w:r w:rsidRPr="00A04E56">
        <w:rPr>
          <w:rStyle w:val="italics"/>
        </w:rPr>
        <w:t>Source:</w:t>
      </w:r>
      <w:r w:rsidRPr="00A04E56">
        <w:t xml:space="preserve"> </w:t>
      </w:r>
      <w:r w:rsidR="0032451D" w:rsidRPr="00A04E56">
        <w:t>D</w:t>
      </w:r>
      <w:r w:rsidR="0032451D">
        <w:t>irectorate-</w:t>
      </w:r>
      <w:r w:rsidR="0032451D" w:rsidRPr="00A04E56">
        <w:t>G</w:t>
      </w:r>
      <w:r w:rsidR="0032451D">
        <w:t>eneral</w:t>
      </w:r>
      <w:r w:rsidRPr="00A04E56">
        <w:t xml:space="preserve"> Maritime Affairs and Fisheries Annual Activity Report 2018</w:t>
      </w:r>
      <w:r w:rsidR="00420269" w:rsidRPr="00A04E56">
        <w:t>.</w:t>
      </w:r>
    </w:p>
    <w:p w14:paraId="346EDBC5" w14:textId="77777777" w:rsidR="008331F6" w:rsidRPr="00A04E56" w:rsidRDefault="008331F6" w:rsidP="008331F6">
      <w:pPr>
        <w:pStyle w:val="BodyText1spacebeforeandafter"/>
      </w:pPr>
      <w:r w:rsidRPr="00A04E56">
        <w:t xml:space="preserve">The new </w:t>
      </w:r>
      <w:r w:rsidRPr="00A04E56">
        <w:rPr>
          <w:rStyle w:val="BOLDLIGHTBLUEReport"/>
          <w:rFonts w:eastAsia="Calibri"/>
        </w:rPr>
        <w:t>agreement to prevent unregulated fishing in the high seas of the central Arctic ocean</w:t>
      </w:r>
      <w:r w:rsidRPr="00A04E56">
        <w:t>, negotiated by the Commission and approved by the Council on behalf of the EU in October 2018, was a historic landmark. It will prevent unregulated commercial fishing in the high seas portion of the central Arctic ocean, an area that is roughly 2.8</w:t>
      </w:r>
      <w:r w:rsidRPr="00A04E56">
        <w:rPr>
          <w:rFonts w:ascii="Calibri" w:hAnsi="Calibri" w:cs="Calibri"/>
        </w:rPr>
        <w:t> </w:t>
      </w:r>
      <w:r w:rsidRPr="00A04E56">
        <w:t>million</w:t>
      </w:r>
      <w:r w:rsidRPr="00A04E56">
        <w:rPr>
          <w:rFonts w:ascii="Calibri" w:hAnsi="Calibri" w:cs="Calibri"/>
        </w:rPr>
        <w:t> </w:t>
      </w:r>
      <w:r w:rsidRPr="00A04E56">
        <w:t>km</w:t>
      </w:r>
      <w:r w:rsidRPr="00A04E56">
        <w:rPr>
          <w:vertAlign w:val="superscript"/>
        </w:rPr>
        <w:t>2</w:t>
      </w:r>
      <w:r w:rsidRPr="00A04E56">
        <w:t xml:space="preserve"> in size, about the size of the Mediterranean Sea, thus protecting the fragile Arctic ecosystem for future generations whilst promoting a sustainable development of the region. </w:t>
      </w:r>
    </w:p>
    <w:p w14:paraId="1BF1DE00" w14:textId="77FBAF9B" w:rsidR="008331F6" w:rsidRPr="00A04E56" w:rsidRDefault="00966F9A" w:rsidP="00AA0340">
      <w:pPr>
        <w:pStyle w:val="Title3NumberedReport"/>
      </w:pPr>
      <w:r w:rsidRPr="00A04E56">
        <w:t>Assessment and evaluation</w:t>
      </w:r>
    </w:p>
    <w:p w14:paraId="28DE59C7" w14:textId="77777777" w:rsidR="008331F6" w:rsidRPr="00A04E56" w:rsidRDefault="008331F6" w:rsidP="008331F6">
      <w:pPr>
        <w:pStyle w:val="BodyText1spaceafter"/>
      </w:pPr>
      <w:r w:rsidRPr="00A04E56">
        <w:t xml:space="preserve">The </w:t>
      </w:r>
      <w:r w:rsidRPr="00A04E56">
        <w:rPr>
          <w:rStyle w:val="BOLDLIGHTBLUEReport"/>
          <w:rFonts w:eastAsia="Calibri"/>
        </w:rPr>
        <w:t>evaluation of the predecessor programme</w:t>
      </w:r>
      <w:r w:rsidRPr="00A04E56">
        <w:t xml:space="preserve"> found that the objectives of the fund were reached to a large extent, but there was scope for improvement: it is necessary to strengthen the link between funding and policy objectives, to further enhance the sustainable exploitation of fisheries, improve the delivery system and to better focus on results. The current period 2014-2020 programme addresses many of these issues: It brought under one single umbrella all the different funding in support of the common fisheries policy objectives, including fishing and aquaculture that are environmentally, economically and socially sustainable. The current programme also introduced a new performance framework focusing on the achievement of objectives, set milestones and targets. The evaluation recommended for post-2020 to improve the link between funding and the sustainable exploitation of fisheries. A more strategic approach is also needed, to make aquaculture more competitive, with increasing production and to take better account of the specific challenges faced by small-scale coastal fisheries.</w:t>
      </w:r>
    </w:p>
    <w:p w14:paraId="7526EE79" w14:textId="77777777" w:rsidR="008331F6" w:rsidRPr="00A04E56" w:rsidRDefault="008331F6" w:rsidP="008331F6">
      <w:pPr>
        <w:pStyle w:val="BodyText1spaceafter"/>
      </w:pPr>
      <w:r w:rsidRPr="00A04E56">
        <w:t>As evaluations concluded that the current programme was still considered too complex and burdensome, the Commission proposed</w:t>
      </w:r>
      <w:r w:rsidRPr="00A04E56">
        <w:rPr>
          <w:rStyle w:val="fnRef"/>
          <w:rFonts w:ascii="Calibri" w:hAnsi="Calibri" w:cs="Calibri"/>
        </w:rPr>
        <w:t> </w:t>
      </w:r>
      <w:r w:rsidRPr="00A04E56">
        <w:rPr>
          <w:rStyle w:val="fnRef"/>
        </w:rPr>
        <w:t>(</w:t>
      </w:r>
      <w:r w:rsidRPr="00A04E56">
        <w:rPr>
          <w:rStyle w:val="fnRefNo"/>
        </w:rPr>
        <w:footnoteReference w:id="178"/>
      </w:r>
      <w:r w:rsidRPr="00A04E56">
        <w:rPr>
          <w:rStyle w:val="fnRef"/>
        </w:rPr>
        <w:t>)</w:t>
      </w:r>
      <w:r w:rsidRPr="00A04E56">
        <w:t xml:space="preserve"> for the next programming period a simplified architecture based on four priorities. They describe the scope of support of the fund in line with the objectives of the common fisheries policy, of the maritime policy and of the international ocean governance actions. Prescriptive measures are no longer required; instead the different areas of support under each priority are described, providing flexibility in the new programme. This new architecture will optimise programme implementation towards policy objectives on the basis of performance and on the achievement of results. Member States would draw up their operational programme indicating the most appropriate means to achieve the objectives set out in the regulation. The basic principle would be that anything that is not explicitly forbidden in the regulation would be allowed. There would be a list of ‘no-go’ areas in fisheries policy so as to avoid detrimental impacts in terms of fisheries conservation (e.g. a general prohibition of investments enhancing fishing capacity) and restrictions for operating costs or where there is no proven market failure. This represents a major shift from current and past funding rules. </w:t>
      </w:r>
    </w:p>
    <w:p w14:paraId="71978739" w14:textId="5C2AD991" w:rsidR="008331F6" w:rsidRPr="00A04E56" w:rsidRDefault="009F1834" w:rsidP="008331F6">
      <w:pPr>
        <w:pStyle w:val="Title2Report"/>
      </w:pPr>
      <w:bookmarkStart w:id="130" w:name="_Toc12021018"/>
      <w:r w:rsidRPr="00A04E56">
        <w:t xml:space="preserve">Regional </w:t>
      </w:r>
      <w:r w:rsidR="004951CC" w:rsidRPr="00A04E56">
        <w:t>fisheries management organisations and fisheries agreements</w:t>
      </w:r>
      <w:bookmarkEnd w:id="130"/>
    </w:p>
    <w:p w14:paraId="5D2B8BDE" w14:textId="77777777" w:rsidR="008331F6" w:rsidRPr="00A04E56" w:rsidRDefault="008331F6" w:rsidP="00AA0340">
      <w:pPr>
        <w:pStyle w:val="Title3NumberedReport"/>
      </w:pPr>
      <w:r w:rsidRPr="00A04E56">
        <w:t xml:space="preserve">Programmes objectives </w:t>
      </w:r>
    </w:p>
    <w:p w14:paraId="6AA1AEB8" w14:textId="7A47B90D" w:rsidR="008331F6" w:rsidRPr="0005798F" w:rsidRDefault="008331F6" w:rsidP="008331F6">
      <w:pPr>
        <w:pStyle w:val="BodyText1spaceafter"/>
        <w:rPr>
          <w:spacing w:val="-2"/>
        </w:rPr>
      </w:pPr>
      <w:r w:rsidRPr="0005798F">
        <w:rPr>
          <w:spacing w:val="-2"/>
        </w:rPr>
        <w:t xml:space="preserve">The EU </w:t>
      </w:r>
      <w:r w:rsidR="009F1834" w:rsidRPr="0005798F">
        <w:rPr>
          <w:spacing w:val="-2"/>
        </w:rPr>
        <w:t xml:space="preserve">promotes the sustainable management and conservation of fisheries resources and supports the external action of the common fisheries policy </w:t>
      </w:r>
      <w:r w:rsidRPr="0005798F">
        <w:rPr>
          <w:spacing w:val="-2"/>
        </w:rPr>
        <w:t xml:space="preserve">in various </w:t>
      </w:r>
      <w:r w:rsidRPr="0005798F">
        <w:rPr>
          <w:rStyle w:val="BOLDLIGHTBLUEReport"/>
          <w:rFonts w:eastAsia="Calibri"/>
          <w:spacing w:val="-2"/>
        </w:rPr>
        <w:t>regional fisheries management organisations</w:t>
      </w:r>
      <w:r w:rsidRPr="0005798F">
        <w:rPr>
          <w:rStyle w:val="fnRef"/>
          <w:rFonts w:ascii="Calibri" w:hAnsi="Calibri" w:cs="Calibri"/>
          <w:spacing w:val="-2"/>
        </w:rPr>
        <w:t> </w:t>
      </w:r>
      <w:r w:rsidRPr="0005798F">
        <w:rPr>
          <w:rStyle w:val="fnRef"/>
          <w:spacing w:val="-2"/>
        </w:rPr>
        <w:t>(</w:t>
      </w:r>
      <w:r w:rsidRPr="0005798F">
        <w:rPr>
          <w:rStyle w:val="fnRefNo"/>
          <w:spacing w:val="-2"/>
        </w:rPr>
        <w:footnoteReference w:id="179"/>
      </w:r>
      <w:r w:rsidRPr="0005798F">
        <w:rPr>
          <w:rStyle w:val="fnRef"/>
          <w:spacing w:val="-2"/>
        </w:rPr>
        <w:t>)</w:t>
      </w:r>
      <w:r w:rsidRPr="0005798F">
        <w:rPr>
          <w:spacing w:val="-2"/>
        </w:rPr>
        <w:t xml:space="preserve"> and international organisations, such as the International Seabed Authority and the International Tribunal for the Law of the Sea, which were set up by the United Nations Convention for the Law of the Sea. The Commission also negotiates and implements bilateral </w:t>
      </w:r>
      <w:r w:rsidRPr="0005798F">
        <w:rPr>
          <w:rStyle w:val="BOLDLIGHTBLUEReport"/>
          <w:rFonts w:eastAsia="Calibri"/>
          <w:spacing w:val="-2"/>
        </w:rPr>
        <w:t>sustainable fisheries partnership agreements</w:t>
      </w:r>
      <w:r w:rsidRPr="0005798F">
        <w:rPr>
          <w:spacing w:val="-2"/>
        </w:rPr>
        <w:t xml:space="preserve"> between the EU and non-EU ‘third’ countries. The objective is to put in place a regulatory framework for the EU long-distance fishing fleet, while ensuring a sustainable exploitation of the third countries’ fisheries resources. These agreements allow EU fleets access to fish surplus stocks that are not being fished by the third countries’ local fleets and to provide sustainable food supply to the European citizens.</w:t>
      </w:r>
    </w:p>
    <w:p w14:paraId="57B8B856" w14:textId="727B6FB3" w:rsidR="008331F6" w:rsidRPr="00A04E56" w:rsidRDefault="008C1D39" w:rsidP="00AA0340">
      <w:pPr>
        <w:pStyle w:val="Title3NumberedReport"/>
      </w:pPr>
      <w:r w:rsidRPr="00A04E56">
        <w:t>Implementation and latest achievements</w:t>
      </w:r>
    </w:p>
    <w:p w14:paraId="64849FDE" w14:textId="46719767" w:rsidR="008331F6" w:rsidRPr="00A04E56" w:rsidRDefault="008C1D39" w:rsidP="008331F6">
      <w:pPr>
        <w:pStyle w:val="BodyText1spaceafter"/>
      </w:pPr>
      <w:r w:rsidRPr="00A04E56">
        <w:rPr>
          <w:i/>
          <w:u w:val="single"/>
        </w:rPr>
        <w:t>In 2018</w:t>
      </w:r>
      <w:r w:rsidR="008331F6" w:rsidRPr="00A04E56">
        <w:t xml:space="preserve">, the Commission continued to deliver on its commitment to achieve more sustainable fisheries worldwide. The midterm target of </w:t>
      </w:r>
      <w:r w:rsidR="008331F6" w:rsidRPr="00A04E56">
        <w:rPr>
          <w:rStyle w:val="BOLDLIGHTBLUEReport"/>
          <w:rFonts w:eastAsia="Calibri"/>
        </w:rPr>
        <w:t>conservation measures</w:t>
      </w:r>
      <w:r w:rsidR="008331F6" w:rsidRPr="00A04E56">
        <w:t xml:space="preserve"> adopted by regional fisheries management organisations in line with scientific advice was already achieved </w:t>
      </w:r>
      <w:r w:rsidRPr="00277538">
        <w:t>in 2017</w:t>
      </w:r>
      <w:r w:rsidR="008331F6" w:rsidRPr="00A04E56">
        <w:t xml:space="preserve">. </w:t>
      </w:r>
      <w:r w:rsidRPr="00A04E56">
        <w:rPr>
          <w:i/>
          <w:u w:val="single"/>
        </w:rPr>
        <w:t>In 2018</w:t>
      </w:r>
      <w:r w:rsidR="008331F6" w:rsidRPr="00A04E56">
        <w:t>, 52 of the 59 (88%) conservation measures</w:t>
      </w:r>
      <w:r w:rsidR="008331F6" w:rsidRPr="00A04E56">
        <w:rPr>
          <w:rStyle w:val="fnRef"/>
          <w:rFonts w:ascii="Calibri" w:hAnsi="Calibri" w:cs="Calibri"/>
        </w:rPr>
        <w:t> </w:t>
      </w:r>
      <w:r w:rsidR="008331F6" w:rsidRPr="00A04E56">
        <w:rPr>
          <w:rStyle w:val="fnRef"/>
        </w:rPr>
        <w:t>(</w:t>
      </w:r>
      <w:r w:rsidR="008331F6" w:rsidRPr="00A04E56">
        <w:rPr>
          <w:rStyle w:val="fnRefNo"/>
        </w:rPr>
        <w:footnoteReference w:id="180"/>
      </w:r>
      <w:r w:rsidR="008331F6" w:rsidRPr="00A04E56">
        <w:rPr>
          <w:rStyle w:val="fnRef"/>
        </w:rPr>
        <w:t>)</w:t>
      </w:r>
      <w:r w:rsidR="008331F6" w:rsidRPr="00A04E56">
        <w:t xml:space="preserve"> adopted by regional fisheries management organisations of which the EU is a member, were in line with scientific advice. </w:t>
      </w:r>
    </w:p>
    <w:p w14:paraId="4EF605AD" w14:textId="0ECA29F4" w:rsidR="008331F6" w:rsidRPr="00A04E56" w:rsidRDefault="008C1D39" w:rsidP="008331F6">
      <w:pPr>
        <w:pStyle w:val="BodyText1spaceafter"/>
      </w:pPr>
      <w:r w:rsidRPr="00A04E56">
        <w:rPr>
          <w:i/>
          <w:u w:val="single"/>
        </w:rPr>
        <w:t>In 2018</w:t>
      </w:r>
      <w:r w:rsidR="008331F6" w:rsidRPr="00A04E56">
        <w:t xml:space="preserve">, negotiations for a </w:t>
      </w:r>
      <w:r w:rsidR="008331F6" w:rsidRPr="00A04E56">
        <w:rPr>
          <w:rStyle w:val="BOLDLIGHTBLUEReport"/>
          <w:rFonts w:eastAsia="Calibri"/>
        </w:rPr>
        <w:t>fisheries agreement</w:t>
      </w:r>
      <w:r w:rsidR="008331F6" w:rsidRPr="00A04E56">
        <w:t xml:space="preserve"> have taken place with a total of eight countries. They have been successfully completed, which allowed the renewal of the agreement protocol with Côte d’Ivoire, Morocco, Cape Verde and Guinea-Bissau. Additionally, a new agreement and protocol have been agreed upon with Gambia. Furthermore there are ongoing negotiation</w:t>
      </w:r>
      <w:r w:rsidR="00C44736" w:rsidRPr="00A04E56">
        <w:t>s</w:t>
      </w:r>
      <w:r w:rsidR="008331F6" w:rsidRPr="00A04E56">
        <w:t xml:space="preserve"> with Sao Tome e Principe, Kiribati and Madagascar. Talks with Gabon and Mozambique for the renewal of the protocols with these countries have also started.</w:t>
      </w:r>
    </w:p>
    <w:p w14:paraId="4F44AB9E" w14:textId="549E44E3" w:rsidR="008331F6" w:rsidRPr="00A04E56" w:rsidRDefault="008331F6" w:rsidP="008331F6">
      <w:pPr>
        <w:pStyle w:val="BodyText1spaceafter"/>
      </w:pPr>
      <w:r w:rsidRPr="00A04E56">
        <w:t>A</w:t>
      </w:r>
      <w:r w:rsidR="00966F9A" w:rsidRPr="00A04E56">
        <w:t>r</w:t>
      </w:r>
      <w:r w:rsidR="00B61FEE" w:rsidRPr="00A04E56">
        <w:t>ou</w:t>
      </w:r>
      <w:r w:rsidR="00966F9A" w:rsidRPr="00A04E56">
        <w:t>nd</w:t>
      </w:r>
      <w:r w:rsidRPr="00A04E56">
        <w:t xml:space="preserve"> 2</w:t>
      </w:r>
      <w:r w:rsidR="00966F9A" w:rsidRPr="00A04E56">
        <w:t>50</w:t>
      </w:r>
      <w:r w:rsidRPr="00A04E56">
        <w:t xml:space="preserve"> EU vessels</w:t>
      </w:r>
      <w:r w:rsidRPr="00A04E56">
        <w:rPr>
          <w:rStyle w:val="fnRef"/>
          <w:rFonts w:ascii="Calibri" w:hAnsi="Calibri" w:cs="Calibri"/>
        </w:rPr>
        <w:t> </w:t>
      </w:r>
      <w:r w:rsidRPr="00A04E56">
        <w:rPr>
          <w:rStyle w:val="fnRef"/>
        </w:rPr>
        <w:t>(</w:t>
      </w:r>
      <w:r w:rsidRPr="00A04E56">
        <w:rPr>
          <w:rStyle w:val="fnRefNo"/>
        </w:rPr>
        <w:footnoteReference w:id="181"/>
      </w:r>
      <w:r w:rsidRPr="00A04E56">
        <w:rPr>
          <w:rStyle w:val="fnRef"/>
        </w:rPr>
        <w:t>)</w:t>
      </w:r>
      <w:r w:rsidRPr="00A04E56">
        <w:t xml:space="preserve"> flagged in one of the EU Member States benefited </w:t>
      </w:r>
      <w:r w:rsidR="008C1D39" w:rsidRPr="00A04E56">
        <w:rPr>
          <w:i/>
          <w:u w:val="single"/>
        </w:rPr>
        <w:t>in 2018</w:t>
      </w:r>
      <w:r w:rsidRPr="00A04E56">
        <w:t xml:space="preserve"> from a fishing authorisation granted under a fisheries agreement, providing them access to third</w:t>
      </w:r>
      <w:r w:rsidR="00C6157D" w:rsidRPr="00A04E56">
        <w:t>-</w:t>
      </w:r>
      <w:r w:rsidRPr="00A04E56">
        <w:t>countr</w:t>
      </w:r>
      <w:r w:rsidR="00C6157D" w:rsidRPr="00A04E56">
        <w:t>y</w:t>
      </w:r>
      <w:r w:rsidRPr="00A04E56">
        <w:t xml:space="preserve"> fishing stocks. At the same time, these bilateral agreements are playing an essential role in developing the partner country’s governance of the fishing sector in a sustainable manner through the provision of sectoral support. In the partner countries, sustainable fisheries partnership agreements encourage improved governance and management of the local fisheries sector by supporting the monitoring, control and surveillance of national and foreign fleets’ activities. They also provide significant funding to contribute to the sustainable development of local fishing activities, and to the fight against illegal, unreported and unregulated fishing.</w:t>
      </w:r>
    </w:p>
    <w:p w14:paraId="1878AA36" w14:textId="1B66375C" w:rsidR="008331F6" w:rsidRPr="00A04E56" w:rsidRDefault="008331F6" w:rsidP="008331F6">
      <w:pPr>
        <w:pStyle w:val="BodyText1spaceafter"/>
      </w:pPr>
      <w:r w:rsidRPr="00A04E56">
        <w:t>In ensuring the sustainable exploitation of surplus marine biological resources, fisheries agreements contributed to providing jobs and growth in the third countries and in the EU. An estimated 6</w:t>
      </w:r>
      <w:r w:rsidRPr="00A04E56">
        <w:rPr>
          <w:rFonts w:ascii="Calibri" w:hAnsi="Calibri" w:cs="Calibri"/>
        </w:rPr>
        <w:t> </w:t>
      </w:r>
      <w:r w:rsidRPr="00A04E56">
        <w:t>000 direct jobs and 9</w:t>
      </w:r>
      <w:r w:rsidRPr="00A04E56">
        <w:rPr>
          <w:rFonts w:ascii="Calibri" w:hAnsi="Calibri" w:cs="Calibri"/>
        </w:rPr>
        <w:t> </w:t>
      </w:r>
      <w:r w:rsidRPr="00A04E56">
        <w:t>000 indirect jobs</w:t>
      </w:r>
      <w:r w:rsidRPr="00A04E56">
        <w:rPr>
          <w:rStyle w:val="fnRef"/>
          <w:rFonts w:ascii="Calibri" w:hAnsi="Calibri" w:cs="Calibri"/>
        </w:rPr>
        <w:t> </w:t>
      </w:r>
      <w:r w:rsidRPr="00A04E56">
        <w:rPr>
          <w:rStyle w:val="fnRef"/>
        </w:rPr>
        <w:t>(</w:t>
      </w:r>
      <w:r w:rsidRPr="00A04E56">
        <w:rPr>
          <w:rStyle w:val="fnRefNo"/>
        </w:rPr>
        <w:footnoteReference w:id="182"/>
      </w:r>
      <w:r w:rsidRPr="00A04E56">
        <w:rPr>
          <w:rStyle w:val="fnRef"/>
        </w:rPr>
        <w:t>)</w:t>
      </w:r>
      <w:r w:rsidRPr="00A04E56">
        <w:t xml:space="preserve"> are created through sustainable fisheries partnership agreements, as 70% of the catches made in the context of fisheries agreements are processed in the partner country. </w:t>
      </w:r>
    </w:p>
    <w:p w14:paraId="2C6107FA" w14:textId="75B57E8E" w:rsidR="008331F6" w:rsidRPr="00A04E56" w:rsidRDefault="00B61FEE" w:rsidP="00AA0340">
      <w:pPr>
        <w:pStyle w:val="Title3NumberedReport"/>
      </w:pPr>
      <w:r w:rsidRPr="00A04E56">
        <w:t>Assessment and evaluation</w:t>
      </w:r>
    </w:p>
    <w:p w14:paraId="217BBD8A" w14:textId="4EC506BF" w:rsidR="008331F6" w:rsidRPr="00A04E56" w:rsidRDefault="008331F6" w:rsidP="008331F6">
      <w:pPr>
        <w:pStyle w:val="BodyText1spaceafter"/>
      </w:pPr>
      <w:r w:rsidRPr="00A04E56">
        <w:t xml:space="preserve">Evaluations were carried out </w:t>
      </w:r>
      <w:r w:rsidR="008C1D39" w:rsidRPr="00A04E56">
        <w:rPr>
          <w:i/>
          <w:u w:val="single"/>
        </w:rPr>
        <w:t>in 2018</w:t>
      </w:r>
      <w:r w:rsidRPr="00A04E56">
        <w:t xml:space="preserve"> for the agreements with Cape Verde, the Ivory Coast and Madagascar. Their results were taken on board in the negotiations for the renewal of the respective agreements in the following areas: the level of fishing opportunities agreed upon, the relevant technical provisions applicable and the rules regarding the implementation and monitoring of the multiannual sectoral programmes. </w:t>
      </w:r>
    </w:p>
    <w:p w14:paraId="2323280F" w14:textId="5AF33236" w:rsidR="008331F6" w:rsidRPr="00A04E56" w:rsidRDefault="008331F6" w:rsidP="008331F6">
      <w:pPr>
        <w:pStyle w:val="BodyText1spaceafter"/>
      </w:pPr>
      <w:r w:rsidRPr="00A04E56">
        <w:t>The European Court of Auditors reported</w:t>
      </w:r>
      <w:r w:rsidRPr="00A04E56">
        <w:rPr>
          <w:rStyle w:val="fnRef"/>
          <w:rFonts w:ascii="Calibri" w:hAnsi="Calibri" w:cs="Calibri"/>
        </w:rPr>
        <w:t> </w:t>
      </w:r>
      <w:r w:rsidRPr="00A04E56">
        <w:rPr>
          <w:rStyle w:val="fnRef"/>
        </w:rPr>
        <w:t>(</w:t>
      </w:r>
      <w:r w:rsidRPr="00A04E56">
        <w:rPr>
          <w:rStyle w:val="fnRefNo"/>
        </w:rPr>
        <w:footnoteReference w:id="183"/>
      </w:r>
      <w:r w:rsidRPr="00A04E56">
        <w:rPr>
          <w:rStyle w:val="fnRef"/>
        </w:rPr>
        <w:t>)</w:t>
      </w:r>
      <w:r w:rsidRPr="00A04E56">
        <w:t xml:space="preserve"> in 2015 that the fisheries partnership agreements are generally well</w:t>
      </w:r>
      <w:r w:rsidR="00AA4707">
        <w:t>-</w:t>
      </w:r>
      <w:r w:rsidRPr="00A04E56">
        <w:t xml:space="preserve">managed by the Commission. However, it concluded that there are still areas for improvement as regards the negotiation process and the implementation of the protocols and made relevant recommendations. </w:t>
      </w:r>
      <w:r w:rsidR="008C1D39" w:rsidRPr="00A04E56">
        <w:rPr>
          <w:i/>
          <w:u w:val="single"/>
        </w:rPr>
        <w:t>In 2018</w:t>
      </w:r>
      <w:r w:rsidRPr="00A04E56">
        <w:t>, the Court carried out a follow-up audit to verify the implementation of its recommendations.</w:t>
      </w:r>
    </w:p>
    <w:p w14:paraId="16C48186" w14:textId="77777777" w:rsidR="008331F6" w:rsidRPr="00A04E56" w:rsidRDefault="008331F6" w:rsidP="008331F6">
      <w:pPr>
        <w:pStyle w:val="BodyText1spaceafter"/>
      </w:pPr>
      <w:r w:rsidRPr="00A04E56">
        <w:t xml:space="preserve">As part of the next EU budget framework for 2021-2027, the European Commission proposed an allocation for the international dimension of the common fisheries policy, including the compulsory contributions to the regional fisheries management organisations and other international organisations, as well as the sustainable fisheries partnership agreements. </w:t>
      </w:r>
    </w:p>
    <w:p w14:paraId="04E17057" w14:textId="2A5D2FF8" w:rsidR="008331F6" w:rsidRPr="00A04E56" w:rsidRDefault="008331F6" w:rsidP="008331F6">
      <w:pPr>
        <w:pStyle w:val="Title2Report"/>
      </w:pPr>
      <w:bookmarkStart w:id="131" w:name="_Toc12021019"/>
      <w:r w:rsidRPr="00A04E56">
        <w:t xml:space="preserve">LIFE — </w:t>
      </w:r>
      <w:r w:rsidR="004951CC" w:rsidRPr="00A04E56">
        <w:t>programme for the environment and climate action</w:t>
      </w:r>
      <w:bookmarkEnd w:id="131"/>
    </w:p>
    <w:p w14:paraId="579F5C12" w14:textId="77777777" w:rsidR="008331F6" w:rsidRPr="00A04E56" w:rsidRDefault="008331F6" w:rsidP="00AA0340">
      <w:pPr>
        <w:pStyle w:val="Title3NumberedReport"/>
      </w:pPr>
      <w:r w:rsidRPr="00A04E56">
        <w:t xml:space="preserve">Programme objectives </w:t>
      </w:r>
    </w:p>
    <w:p w14:paraId="179C0DA9" w14:textId="77777777" w:rsidR="008331F6" w:rsidRPr="00A04E56" w:rsidRDefault="008331F6" w:rsidP="008331F6">
      <w:pPr>
        <w:pStyle w:val="BodyText1spaceafter"/>
      </w:pPr>
      <w:r w:rsidRPr="00A04E56">
        <w:t>LIFE</w:t>
      </w:r>
      <w:r w:rsidRPr="00A04E56">
        <w:rPr>
          <w:rStyle w:val="fnRef"/>
          <w:rFonts w:ascii="Calibri" w:hAnsi="Calibri" w:cs="Calibri"/>
        </w:rPr>
        <w:t> </w:t>
      </w:r>
      <w:r w:rsidRPr="00A04E56">
        <w:rPr>
          <w:rStyle w:val="fnRef"/>
        </w:rPr>
        <w:t>(</w:t>
      </w:r>
      <w:r w:rsidRPr="00A04E56">
        <w:rPr>
          <w:rStyle w:val="fnRefNo"/>
        </w:rPr>
        <w:footnoteReference w:id="184"/>
      </w:r>
      <w:r w:rsidRPr="00A04E56">
        <w:rPr>
          <w:rStyle w:val="fnRef"/>
        </w:rPr>
        <w:t>)</w:t>
      </w:r>
      <w:r w:rsidRPr="00A04E56">
        <w:t xml:space="preserve"> is the only EU programme exclusively dedicated to the environment, nature conservation and climate action, i.e. areas of growing concern for citizens. The programme finances a wide range of activities, ranging from the protection of </w:t>
      </w:r>
      <w:r w:rsidRPr="00A04E56">
        <w:rPr>
          <w:rStyle w:val="BOLDLIGHTBLUEReport"/>
          <w:rFonts w:eastAsia="Calibri"/>
        </w:rPr>
        <w:t>biodiversity</w:t>
      </w:r>
      <w:r w:rsidRPr="00A04E56">
        <w:t xml:space="preserve"> to the support to </w:t>
      </w:r>
      <w:r w:rsidRPr="00A04E56">
        <w:rPr>
          <w:rStyle w:val="BOLDLIGHTBLUEReport"/>
          <w:rFonts w:eastAsia="Calibri"/>
        </w:rPr>
        <w:t>circular economy</w:t>
      </w:r>
      <w:r w:rsidRPr="00A04E56">
        <w:t xml:space="preserve">, from the demonstration of new </w:t>
      </w:r>
      <w:r w:rsidRPr="00A04E56">
        <w:rPr>
          <w:rStyle w:val="BOLDLIGHTBLUEReport"/>
          <w:rFonts w:eastAsia="Calibri"/>
        </w:rPr>
        <w:t>emission reduction technologies</w:t>
      </w:r>
      <w:r w:rsidRPr="00A04E56">
        <w:t xml:space="preserve"> and process to the preparatory work for international negotiations, from the </w:t>
      </w:r>
      <w:r w:rsidRPr="00A04E56">
        <w:rPr>
          <w:rStyle w:val="BOLDLIGHTBLUEReport"/>
          <w:rFonts w:eastAsia="Calibri"/>
        </w:rPr>
        <w:t>enforcement of environment and climate legislation</w:t>
      </w:r>
      <w:r w:rsidRPr="00A04E56">
        <w:t xml:space="preserve"> to the reduction of negative impacts. The LIFE programme also serves as an important catalyst for developing and </w:t>
      </w:r>
      <w:r w:rsidRPr="00A04E56">
        <w:rPr>
          <w:rStyle w:val="BOLDLIGHTBLUEReport"/>
          <w:rFonts w:eastAsia="Calibri"/>
        </w:rPr>
        <w:t>exchanging best practices and knowledge</w:t>
      </w:r>
      <w:r w:rsidRPr="00A04E56">
        <w:t xml:space="preserve">. </w:t>
      </w:r>
    </w:p>
    <w:p w14:paraId="58C4CE2E" w14:textId="7E6B2B93" w:rsidR="008331F6" w:rsidRPr="00A04E56" w:rsidRDefault="008331F6" w:rsidP="008331F6">
      <w:pPr>
        <w:pStyle w:val="BodyText1spaceafter"/>
      </w:pPr>
      <w:r w:rsidRPr="00A04E56">
        <w:t xml:space="preserve">The programme’s role is to </w:t>
      </w:r>
      <w:r w:rsidRPr="00A04E56">
        <w:rPr>
          <w:rStyle w:val="BOLDLIGHTBLUEReport"/>
          <w:rFonts w:eastAsia="Calibri"/>
        </w:rPr>
        <w:t>build up and improve capacity</w:t>
      </w:r>
      <w:r w:rsidRPr="00A04E56">
        <w:t xml:space="preserve">, speed up the </w:t>
      </w:r>
      <w:r w:rsidRPr="00A04E56">
        <w:rPr>
          <w:rStyle w:val="BOLDLIGHTBLUEReport"/>
          <w:rFonts w:eastAsia="Calibri"/>
        </w:rPr>
        <w:t>implementation of EU legislation</w:t>
      </w:r>
      <w:r w:rsidRPr="00A04E56">
        <w:t xml:space="preserve">, help private players, in particular businesses, to </w:t>
      </w:r>
      <w:r w:rsidRPr="00A04E56">
        <w:rPr>
          <w:rStyle w:val="BOLDLIGHTBLUEReport"/>
          <w:rFonts w:eastAsia="Calibri"/>
        </w:rPr>
        <w:t>test small-scale technologies and solutions</w:t>
      </w:r>
      <w:r w:rsidRPr="00A04E56">
        <w:t>, and leverage other funds. The fund pursues six specific objectives.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221231" w:rsidRPr="00A04E56" w14:paraId="15474596" w14:textId="77777777" w:rsidTr="0045569A">
        <w:trPr>
          <w:cantSplit/>
          <w:trHeight w:val="2551"/>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1126A6FC" w14:textId="77777777" w:rsidR="008331F6" w:rsidRPr="00A04E56" w:rsidRDefault="008331F6" w:rsidP="00107DA0">
            <w:pPr>
              <w:keepNext/>
              <w:spacing w:after="120" w:line="276" w:lineRule="auto"/>
              <w:jc w:val="center"/>
              <w:rPr>
                <w:rFonts w:cstheme="minorHAnsi"/>
                <w:szCs w:val="20"/>
              </w:rPr>
            </w:pPr>
            <w:r w:rsidRPr="00A04E56">
              <w:rPr>
                <w:noProof/>
                <w:lang w:val="fr-BE" w:eastAsia="fr-BE"/>
              </w:rPr>
              <w:drawing>
                <wp:inline distT="0" distB="0" distL="0" distR="0" wp14:anchorId="1D650C11" wp14:editId="0C0F8001">
                  <wp:extent cx="468000" cy="468000"/>
                  <wp:effectExtent l="0" t="0" r="8255" b="8255"/>
                  <wp:docPr id="99" name="Picture 99" descr="G:\Production\B2 prepresse\Raimonds\2019.1745 AMPR\50 - work on images\AMPR Icons\AMPR_Icons_Send2\AMPR_Icons_Send2\Icon_25000_LIFE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Production\B2 prepresse\Raimonds\2019.1745 AMPR\50 - work on images\AMPR Icons\AMPR_Icons_Send2\AMPR_Icons_Send2\Icon_25000_LIFE_01.emf"/>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12E0D715" w14:textId="77777777" w:rsidR="008331F6" w:rsidRPr="00A04E56" w:rsidRDefault="008331F6" w:rsidP="00C65761">
            <w:pPr>
              <w:keepNext/>
              <w:spacing w:after="120" w:line="276" w:lineRule="auto"/>
              <w:rPr>
                <w:rFonts w:cstheme="minorHAnsi"/>
                <w:szCs w:val="20"/>
              </w:rPr>
            </w:pPr>
            <w:r w:rsidRPr="00A04E56">
              <w:rPr>
                <w:rFonts w:cstheme="minorHAnsi"/>
                <w:szCs w:val="20"/>
              </w:rPr>
              <w:t>Contribute to a greener and more resource-efficient economy and to the development and implementation of EU environmental policy and legislation (environment and resource efficiency priority area)</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6A809AF" w14:textId="77777777" w:rsidR="008331F6" w:rsidRPr="00A04E56" w:rsidRDefault="008331F6" w:rsidP="00107DA0">
            <w:pPr>
              <w:keepNext/>
              <w:spacing w:after="120" w:line="276" w:lineRule="auto"/>
              <w:jc w:val="center"/>
              <w:rPr>
                <w:rFonts w:cstheme="minorHAnsi"/>
                <w:szCs w:val="20"/>
                <w:lang w:eastAsia="hu-HU"/>
              </w:rPr>
            </w:pPr>
            <w:r w:rsidRPr="00A04E56">
              <w:rPr>
                <w:noProof/>
                <w:lang w:val="fr-BE" w:eastAsia="fr-BE"/>
              </w:rPr>
              <w:drawing>
                <wp:inline distT="0" distB="0" distL="0" distR="0" wp14:anchorId="5807E723" wp14:editId="49AE5E8F">
                  <wp:extent cx="468000" cy="468000"/>
                  <wp:effectExtent l="0" t="0" r="8255" b="8255"/>
                  <wp:docPr id="100" name="Picture 100" descr="G:\Production\B2 prepresse\Raimonds\2019.1745 AMPR\50 - work on images\AMPR Icons\AMPR_Icons_Send2\AMPR_Icons_Send2\Icon_25000_LIFE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Production\B2 prepresse\Raimonds\2019.1745 AMPR\50 - work on images\AMPR Icons\AMPR_Icons_Send2\AMPR_Icons_Send2\Icon_25000_LIFE_02.emf"/>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07885C3D" w14:textId="04F64678" w:rsidR="008331F6" w:rsidRPr="00A04E56" w:rsidRDefault="008331F6" w:rsidP="00C65761">
            <w:pPr>
              <w:keepNext/>
              <w:spacing w:after="120" w:line="276" w:lineRule="auto"/>
              <w:rPr>
                <w:rFonts w:cstheme="minorHAnsi"/>
                <w:szCs w:val="20"/>
              </w:rPr>
            </w:pPr>
            <w:r w:rsidRPr="00A04E56">
              <w:rPr>
                <w:rFonts w:cstheme="minorHAnsi"/>
                <w:szCs w:val="20"/>
              </w:rPr>
              <w:t>Reduction of EU greenhouse gas emissions and development and implementation of EU climate policy and legislation (</w:t>
            </w:r>
            <w:r w:rsidR="00C6111C" w:rsidRPr="00A04E56">
              <w:rPr>
                <w:rFonts w:cstheme="minorHAnsi"/>
                <w:szCs w:val="20"/>
              </w:rPr>
              <w:t xml:space="preserve">climate-change mitigation </w:t>
            </w:r>
            <w:r w:rsidRPr="00A04E56">
              <w:rPr>
                <w:rFonts w:cstheme="minorHAnsi"/>
                <w:szCs w:val="20"/>
              </w:rPr>
              <w:t>priority area)</w:t>
            </w:r>
          </w:p>
        </w:tc>
      </w:tr>
      <w:tr w:rsidR="00221231" w:rsidRPr="00A04E56" w14:paraId="1C2E1DFA" w14:textId="77777777" w:rsidTr="0045569A">
        <w:trPr>
          <w:cantSplit/>
          <w:trHeight w:val="187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A455286" w14:textId="77777777" w:rsidR="008331F6" w:rsidRPr="00A04E56" w:rsidRDefault="008331F6" w:rsidP="00107DA0">
            <w:pPr>
              <w:keepNext/>
              <w:spacing w:after="120" w:line="276" w:lineRule="auto"/>
              <w:jc w:val="center"/>
              <w:rPr>
                <w:rFonts w:cstheme="minorHAnsi"/>
                <w:szCs w:val="20"/>
                <w:lang w:eastAsia="hu-HU"/>
              </w:rPr>
            </w:pPr>
            <w:r w:rsidRPr="00A04E56">
              <w:rPr>
                <w:noProof/>
                <w:lang w:val="fr-BE" w:eastAsia="fr-BE"/>
              </w:rPr>
              <w:drawing>
                <wp:inline distT="0" distB="0" distL="0" distR="0" wp14:anchorId="6E65C059" wp14:editId="416E76A1">
                  <wp:extent cx="468000" cy="468000"/>
                  <wp:effectExtent l="0" t="0" r="8255" b="8255"/>
                  <wp:docPr id="101" name="Picture 101" descr="G:\Production\B2 prepresse\Raimonds\2019.1745 AMPR\50 - work on images\AMPR Icons\AMPR_Icons_Send2\AMPR_Icons_Send2\Icon_25000_LIFE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Production\B2 prepresse\Raimonds\2019.1745 AMPR\50 - work on images\AMPR Icons\AMPR_Icons_Send2\AMPR_Icons_Send2\Icon_25000_LIFE_03.emf"/>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007BC004" w14:textId="77777777" w:rsidR="008331F6" w:rsidRPr="00A04E56" w:rsidRDefault="008331F6" w:rsidP="00C65761">
            <w:pPr>
              <w:keepNext/>
              <w:spacing w:after="120" w:line="276" w:lineRule="auto"/>
              <w:rPr>
                <w:rFonts w:cstheme="minorHAnsi"/>
                <w:szCs w:val="20"/>
              </w:rPr>
            </w:pPr>
            <w:r w:rsidRPr="00A04E56">
              <w:rPr>
                <w:rFonts w:cstheme="minorHAnsi"/>
                <w:szCs w:val="20"/>
              </w:rPr>
              <w:t>Halt and reverse the biodiversity loss, support to the Natura 2000 network and tackling the degradation of ecosystems (Biodiversity priority area)</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26820B0F" w14:textId="77777777" w:rsidR="008331F6" w:rsidRPr="00A04E56" w:rsidRDefault="008331F6" w:rsidP="00107DA0">
            <w:pPr>
              <w:keepNext/>
              <w:spacing w:after="120" w:line="276" w:lineRule="auto"/>
              <w:jc w:val="center"/>
              <w:rPr>
                <w:lang w:eastAsia="hu-HU"/>
              </w:rPr>
            </w:pPr>
            <w:r w:rsidRPr="00A04E56">
              <w:rPr>
                <w:noProof/>
                <w:lang w:val="fr-BE" w:eastAsia="fr-BE"/>
              </w:rPr>
              <w:drawing>
                <wp:inline distT="0" distB="0" distL="0" distR="0" wp14:anchorId="67CFC650" wp14:editId="45C9E0CB">
                  <wp:extent cx="468000" cy="468000"/>
                  <wp:effectExtent l="0" t="0" r="8255" b="8255"/>
                  <wp:docPr id="102" name="Picture 102" descr="G:\Production\B2 prepresse\Raimonds\2019.1745 AMPR\50 - work on images\AMPR Icons\AMPR_Icons_Send2\AMPR_Icons_Send2\Icon_25000_LIFE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Production\B2 prepresse\Raimonds\2019.1745 AMPR\50 - work on images\AMPR Icons\AMPR_Icons_Send2\AMPR_Icons_Send2\Icon_25000_LIFE_04.emf"/>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5EEFB5D" w14:textId="76FA107A" w:rsidR="008331F6" w:rsidRPr="00A04E56" w:rsidRDefault="008331F6" w:rsidP="00C65761">
            <w:pPr>
              <w:keepNext/>
              <w:spacing w:after="120" w:line="276" w:lineRule="auto"/>
              <w:rPr>
                <w:rFonts w:cstheme="minorHAnsi"/>
                <w:szCs w:val="20"/>
              </w:rPr>
            </w:pPr>
            <w:r w:rsidRPr="00A04E56">
              <w:rPr>
                <w:rFonts w:cstheme="minorHAnsi"/>
                <w:szCs w:val="20"/>
              </w:rPr>
              <w:t>Increased resilience of the EU to cli</w:t>
            </w:r>
            <w:r w:rsidR="00C6111C" w:rsidRPr="00A04E56">
              <w:rPr>
                <w:rFonts w:cstheme="minorHAnsi"/>
                <w:szCs w:val="20"/>
              </w:rPr>
              <w:t>mate change (climate-change adaptation priority area</w:t>
            </w:r>
            <w:r w:rsidRPr="00A04E56">
              <w:rPr>
                <w:rFonts w:cstheme="minorHAnsi"/>
                <w:szCs w:val="20"/>
              </w:rPr>
              <w:t>)</w:t>
            </w:r>
          </w:p>
        </w:tc>
      </w:tr>
      <w:tr w:rsidR="00221231" w:rsidRPr="00A04E56" w14:paraId="4B117E4E" w14:textId="77777777" w:rsidTr="0045569A">
        <w:trPr>
          <w:cantSplit/>
          <w:trHeight w:val="1587"/>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040D34B" w14:textId="77777777" w:rsidR="008331F6" w:rsidRPr="00A04E56" w:rsidRDefault="008331F6" w:rsidP="00107DA0">
            <w:pPr>
              <w:spacing w:after="120" w:line="276" w:lineRule="auto"/>
              <w:jc w:val="center"/>
              <w:rPr>
                <w:rFonts w:cstheme="minorHAnsi"/>
                <w:szCs w:val="20"/>
                <w:lang w:eastAsia="hu-HU"/>
              </w:rPr>
            </w:pPr>
            <w:r w:rsidRPr="00A04E56">
              <w:rPr>
                <w:noProof/>
                <w:lang w:val="fr-BE" w:eastAsia="fr-BE"/>
              </w:rPr>
              <w:drawing>
                <wp:inline distT="0" distB="0" distL="0" distR="0" wp14:anchorId="4640ACF5" wp14:editId="6CC1B192">
                  <wp:extent cx="468000" cy="468000"/>
                  <wp:effectExtent l="0" t="0" r="8255" b="8255"/>
                  <wp:docPr id="103" name="Picture 103" descr="G:\Production\B2 prepresse\Raimonds\2019.1745 AMPR\50 - work on images\AMPR Icons\AMPR_Icons_Send2\AMPR_Icons_Send2\Icon_25000_LIFE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G:\Production\B2 prepresse\Raimonds\2019.1745 AMPR\50 - work on images\AMPR Icons\AMPR_Icons_Send2\AMPR_Icons_Send2\Icon_25000_LIFE_05.emf"/>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41F6A50F" w14:textId="77777777" w:rsidR="008331F6" w:rsidRPr="00A04E56" w:rsidRDefault="008331F6" w:rsidP="008331F6">
            <w:pPr>
              <w:spacing w:after="120" w:line="276" w:lineRule="auto"/>
              <w:rPr>
                <w:rFonts w:cstheme="minorHAnsi"/>
                <w:szCs w:val="20"/>
              </w:rPr>
            </w:pPr>
            <w:r w:rsidRPr="00A04E56">
              <w:rPr>
                <w:rFonts w:cstheme="minorHAnsi"/>
                <w:szCs w:val="20"/>
              </w:rPr>
              <w:t>Support better environmental governance and information at all levels (Environmental Governance and Information priority area)</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2E270EDC" w14:textId="77777777" w:rsidR="008331F6" w:rsidRPr="00A04E56" w:rsidRDefault="008331F6" w:rsidP="00107DA0">
            <w:pPr>
              <w:spacing w:after="120" w:line="276" w:lineRule="auto"/>
              <w:jc w:val="center"/>
              <w:rPr>
                <w:lang w:eastAsia="hu-HU"/>
              </w:rPr>
            </w:pPr>
            <w:r w:rsidRPr="00A04E56">
              <w:rPr>
                <w:noProof/>
                <w:lang w:val="fr-BE" w:eastAsia="fr-BE"/>
              </w:rPr>
              <w:drawing>
                <wp:inline distT="0" distB="0" distL="0" distR="0" wp14:anchorId="14685F99" wp14:editId="5DC62878">
                  <wp:extent cx="468000" cy="468000"/>
                  <wp:effectExtent l="0" t="0" r="8255" b="8255"/>
                  <wp:docPr id="105" name="Picture 105" descr="G:\Production\B2 prepresse\Raimonds\2019.1745 AMPR\50 - work on images\AMPR Icons\AMPR_Icons_Send2\AMPR_Icons_Send2\Icon_25000_LIFE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Production\B2 prepresse\Raimonds\2019.1745 AMPR\50 - work on images\AMPR Icons\AMPR_Icons_Send2\AMPR_Icons_Send2\Icon_25000_LIFE_06.emf"/>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2B71E2AB" w14:textId="77777777" w:rsidR="008331F6" w:rsidRPr="00A04E56" w:rsidRDefault="008331F6" w:rsidP="008331F6">
            <w:pPr>
              <w:spacing w:after="120" w:line="276" w:lineRule="auto"/>
              <w:rPr>
                <w:rFonts w:cstheme="minorHAnsi"/>
                <w:szCs w:val="20"/>
              </w:rPr>
            </w:pPr>
            <w:r w:rsidRPr="00A04E56">
              <w:rPr>
                <w:rFonts w:cstheme="minorHAnsi"/>
                <w:szCs w:val="20"/>
              </w:rPr>
              <w:t>Support better climate governance and information at all levels (Climate Governance and Information priority area)</w:t>
            </w:r>
          </w:p>
        </w:tc>
      </w:tr>
    </w:tbl>
    <w:p w14:paraId="75EACC9E" w14:textId="13E42C87" w:rsidR="008331F6" w:rsidRPr="00A04E56" w:rsidRDefault="008C1D39" w:rsidP="00AA0340">
      <w:pPr>
        <w:pStyle w:val="Title3NumberedReport"/>
      </w:pPr>
      <w:r w:rsidRPr="00A04E56">
        <w:t>Implementation and latest achievements</w:t>
      </w:r>
    </w:p>
    <w:p w14:paraId="4BB8C4CE" w14:textId="14BA9D6A" w:rsidR="008331F6" w:rsidRPr="00A04E56" w:rsidRDefault="008331F6" w:rsidP="00596729">
      <w:pPr>
        <w:pStyle w:val="BodyText1spacebeforeandafter"/>
      </w:pPr>
      <w:r w:rsidRPr="00A04E56">
        <w:t xml:space="preserve">Considering that the average duration of traditional LIFE projects is </w:t>
      </w:r>
      <w:r w:rsidR="00C6157D" w:rsidRPr="00A04E56">
        <w:t>4-5</w:t>
      </w:r>
      <w:r w:rsidR="00C6157D" w:rsidRPr="00A04E56">
        <w:rPr>
          <w:rFonts w:ascii="Calibri" w:hAnsi="Calibri" w:cs="Calibri"/>
        </w:rPr>
        <w:t> </w:t>
      </w:r>
      <w:r w:rsidRPr="00A04E56">
        <w:t>years, only very few projects are finali</w:t>
      </w:r>
      <w:r w:rsidR="00756904" w:rsidRPr="00A04E56">
        <w:t>s</w:t>
      </w:r>
      <w:r w:rsidRPr="00A04E56">
        <w:t xml:space="preserve">ed </w:t>
      </w:r>
      <w:r w:rsidR="008C1D39" w:rsidRPr="00A04E56">
        <w:rPr>
          <w:i/>
          <w:u w:val="single"/>
        </w:rPr>
        <w:t>in 2018</w:t>
      </w:r>
      <w:r w:rsidR="00910501">
        <w:rPr>
          <w:rFonts w:ascii="Calibri" w:hAnsi="Calibri" w:cs="Calibri"/>
        </w:rPr>
        <w:t> </w:t>
      </w:r>
      <w:r w:rsidRPr="00A04E56">
        <w:t>(</w:t>
      </w:r>
      <w:r w:rsidRPr="00A04E56">
        <w:rPr>
          <w:rStyle w:val="fnRefNo"/>
        </w:rPr>
        <w:footnoteReference w:id="185"/>
      </w:r>
      <w:r w:rsidRPr="00A04E56">
        <w:t xml:space="preserve">), thus making it difficult to assess results at this early stage. The ongoing projects are contributing to the </w:t>
      </w:r>
      <w:r w:rsidRPr="00A04E56">
        <w:rPr>
          <w:rStyle w:val="BOLDLIGHTBLUEReport"/>
          <w:rFonts w:eastAsia="Calibri"/>
        </w:rPr>
        <w:t>shift towards a resource</w:t>
      </w:r>
      <w:r w:rsidR="002B5F47" w:rsidRPr="00A04E56">
        <w:rPr>
          <w:rStyle w:val="BOLDLIGHTBLUEReport"/>
          <w:rFonts w:eastAsia="Calibri"/>
        </w:rPr>
        <w:t>-</w:t>
      </w:r>
      <w:r w:rsidRPr="00A04E56">
        <w:rPr>
          <w:rStyle w:val="BOLDLIGHTBLUEReport"/>
          <w:rFonts w:eastAsia="Calibri"/>
        </w:rPr>
        <w:t>efficient, low</w:t>
      </w:r>
      <w:r w:rsidR="002B5F47" w:rsidRPr="00A04E56">
        <w:rPr>
          <w:rStyle w:val="BOLDLIGHTBLUEReport"/>
          <w:rFonts w:eastAsia="Calibri"/>
        </w:rPr>
        <w:t>-</w:t>
      </w:r>
      <w:r w:rsidRPr="00A04E56">
        <w:rPr>
          <w:rStyle w:val="BOLDLIGHTBLUEReport"/>
          <w:rFonts w:eastAsia="Calibri"/>
        </w:rPr>
        <w:t>carbon and climate</w:t>
      </w:r>
      <w:r w:rsidR="00C6111C" w:rsidRPr="00A04E56">
        <w:rPr>
          <w:rStyle w:val="BOLDLIGHTBLUEReport"/>
          <w:rFonts w:eastAsia="Calibri"/>
        </w:rPr>
        <w:t>-</w:t>
      </w:r>
      <w:r w:rsidRPr="00A04E56">
        <w:rPr>
          <w:rStyle w:val="BOLDLIGHTBLUEReport"/>
          <w:rFonts w:eastAsia="Calibri"/>
        </w:rPr>
        <w:t>resilient economy</w:t>
      </w:r>
      <w:r w:rsidRPr="00A04E56">
        <w:t xml:space="preserve"> and to the </w:t>
      </w:r>
      <w:r w:rsidRPr="00A04E56">
        <w:rPr>
          <w:rStyle w:val="BOLDLIGHTBLUEReport"/>
          <w:rFonts w:eastAsia="Calibri"/>
        </w:rPr>
        <w:t>protection of the environment</w:t>
      </w:r>
      <w:r w:rsidRPr="00A04E56">
        <w:t xml:space="preserve"> including biodiversity and Natura 2000 by</w:t>
      </w:r>
      <w:r w:rsidR="00C6157D" w:rsidRPr="00A04E56">
        <w:t xml:space="preserve"> doing the following.</w:t>
      </w:r>
    </w:p>
    <w:p w14:paraId="0A62F2F9" w14:textId="5B175661" w:rsidR="008331F6" w:rsidRPr="00A04E56" w:rsidRDefault="00C6157D" w:rsidP="00107DA0">
      <w:pPr>
        <w:pStyle w:val="BulletsblueNew"/>
      </w:pPr>
      <w:r w:rsidRPr="00A04E56">
        <w:t>I</w:t>
      </w:r>
      <w:r w:rsidR="008331F6" w:rsidRPr="00A04E56">
        <w:t xml:space="preserve">mproving the conservation status of 186 </w:t>
      </w:r>
      <w:r w:rsidRPr="00A04E56">
        <w:t xml:space="preserve">wildlife species </w:t>
      </w:r>
      <w:r w:rsidR="008331F6" w:rsidRPr="00A04E56">
        <w:t>and 106 different habitats in an area comparable to Poland</w:t>
      </w:r>
      <w:r w:rsidRPr="00A04E56">
        <w:t>.</w:t>
      </w:r>
    </w:p>
    <w:p w14:paraId="110FEFA9" w14:textId="5F425E76" w:rsidR="008331F6" w:rsidRPr="00A04E56" w:rsidRDefault="00C6157D" w:rsidP="00107DA0">
      <w:pPr>
        <w:pStyle w:val="BulletsblueNew"/>
      </w:pPr>
      <w:r w:rsidRPr="00A04E56">
        <w:t>R</w:t>
      </w:r>
      <w:r w:rsidR="008331F6" w:rsidRPr="00A04E56">
        <w:t>educing CO</w:t>
      </w:r>
      <w:r w:rsidR="008331F6" w:rsidRPr="00A04E56">
        <w:rPr>
          <w:vertAlign w:val="subscript"/>
        </w:rPr>
        <w:t>2</w:t>
      </w:r>
      <w:r w:rsidR="008331F6" w:rsidRPr="00A04E56">
        <w:t xml:space="preserve"> emissions of about 13 million </w:t>
      </w:r>
      <w:r w:rsidRPr="00A04E56">
        <w:t>to</w:t>
      </w:r>
      <w:r w:rsidR="008331F6" w:rsidRPr="00A04E56">
        <w:t>n</w:t>
      </w:r>
      <w:r w:rsidR="00756904" w:rsidRPr="00A04E56">
        <w:t>nes</w:t>
      </w:r>
      <w:r w:rsidR="008331F6" w:rsidRPr="00A04E56">
        <w:t xml:space="preserve"> per year comparable to the equivalent </w:t>
      </w:r>
      <w:r w:rsidRPr="00A04E56">
        <w:t>CO</w:t>
      </w:r>
      <w:r w:rsidRPr="00A04E56">
        <w:rPr>
          <w:vertAlign w:val="subscript"/>
        </w:rPr>
        <w:t>2</w:t>
      </w:r>
      <w:r w:rsidRPr="00A04E56">
        <w:t xml:space="preserve"> </w:t>
      </w:r>
      <w:r w:rsidR="008331F6" w:rsidRPr="00A04E56">
        <w:t>of Lithuania in 2015</w:t>
      </w:r>
      <w:r w:rsidRPr="00A04E56">
        <w:t>.</w:t>
      </w:r>
    </w:p>
    <w:p w14:paraId="2B69D886" w14:textId="77190765" w:rsidR="008331F6" w:rsidRPr="00A04E56" w:rsidRDefault="00C6157D" w:rsidP="00107DA0">
      <w:pPr>
        <w:pStyle w:val="BulletsblueNew"/>
      </w:pPr>
      <w:r w:rsidRPr="00A04E56">
        <w:t>R</w:t>
      </w:r>
      <w:r w:rsidR="008331F6" w:rsidRPr="00A04E56">
        <w:t xml:space="preserve">educing energy consumption of about 1 000 000 </w:t>
      </w:r>
      <w:r w:rsidR="00CA2B92">
        <w:t>megawat</w:t>
      </w:r>
      <w:r w:rsidR="00034EF1">
        <w:t>t</w:t>
      </w:r>
      <w:r w:rsidR="00CA2B92">
        <w:t xml:space="preserve"> hours per </w:t>
      </w:r>
      <w:r w:rsidR="008331F6" w:rsidRPr="00A04E56">
        <w:t>year, which represents the average annual electricity consumption of about 280 000 homes</w:t>
      </w:r>
      <w:r w:rsidRPr="00A04E56">
        <w:t>.</w:t>
      </w:r>
    </w:p>
    <w:p w14:paraId="16A45404" w14:textId="673E79B4" w:rsidR="008331F6" w:rsidRPr="00A04E56" w:rsidRDefault="00C6157D" w:rsidP="00107DA0">
      <w:pPr>
        <w:pStyle w:val="BulletsblueNew-Spaceafter"/>
      </w:pPr>
      <w:r w:rsidRPr="00A04E56">
        <w:t>R</w:t>
      </w:r>
      <w:r w:rsidR="008331F6" w:rsidRPr="00A04E56">
        <w:t xml:space="preserve">educing </w:t>
      </w:r>
      <w:r w:rsidRPr="00A04E56">
        <w:t xml:space="preserve">the amount of waste not managed appropriately by </w:t>
      </w:r>
      <w:r w:rsidR="008331F6" w:rsidRPr="00A04E56">
        <w:t>around 1 million ton</w:t>
      </w:r>
      <w:r w:rsidR="00756904" w:rsidRPr="00A04E56">
        <w:t>nes</w:t>
      </w:r>
      <w:r w:rsidR="008331F6" w:rsidRPr="00A04E56">
        <w:t xml:space="preserve">/year. This corresponds approximately to the total </w:t>
      </w:r>
      <w:r w:rsidR="00756904" w:rsidRPr="00A04E56">
        <w:t xml:space="preserve">municipal waste </w:t>
      </w:r>
      <w:r w:rsidR="008331F6" w:rsidRPr="00A04E56">
        <w:t>of Slovenia in 2016.</w:t>
      </w:r>
    </w:p>
    <w:p w14:paraId="3937CDEF" w14:textId="62CFEC58" w:rsidR="008331F6" w:rsidRPr="00A04E56" w:rsidRDefault="008331F6" w:rsidP="008331F6">
      <w:pPr>
        <w:pStyle w:val="BodyText1spaceafter"/>
      </w:pPr>
      <w:r w:rsidRPr="00A04E56">
        <w:t xml:space="preserve">For </w:t>
      </w:r>
      <w:r w:rsidRPr="00A04E56">
        <w:rPr>
          <w:rStyle w:val="BOLDLIGHTBLUEReport"/>
          <w:rFonts w:eastAsia="Calibri"/>
        </w:rPr>
        <w:t>integrated projects</w:t>
      </w:r>
      <w:r w:rsidRPr="00A04E56">
        <w:t>, 37 projects were financed in 21 Member States. These projects support Member State authorities to implement environmental and climate legislation to the fullest extent. They allow the use of other EU funding sources as well, including agricultural, structural, regional and research funds; national funds and private sector investment. Integrated projects under the subprogramme for the environment are projects implementing environmental plans or strategies on a large territorial scale (regional, multi-regional, national or trans</w:t>
      </w:r>
      <w:r w:rsidR="003B6127" w:rsidRPr="00A04E56">
        <w:t>national</w:t>
      </w:r>
      <w:r w:rsidRPr="00A04E56">
        <w:t xml:space="preserve"> scale). With a LIFE co-financing of EUR</w:t>
      </w:r>
      <w:r w:rsidRPr="00A04E56">
        <w:rPr>
          <w:rFonts w:cs="Calibri"/>
        </w:rPr>
        <w:t> </w:t>
      </w:r>
      <w:r w:rsidRPr="00A04E56">
        <w:t>367.8</w:t>
      </w:r>
      <w:r w:rsidRPr="00A04E56">
        <w:rPr>
          <w:rFonts w:ascii="Calibri" w:hAnsi="Calibri" w:cs="Calibri"/>
        </w:rPr>
        <w:t> </w:t>
      </w:r>
      <w:r w:rsidRPr="00A04E56">
        <w:t>million, the integrated projects should leverage EUR</w:t>
      </w:r>
      <w:r w:rsidRPr="00A04E56">
        <w:rPr>
          <w:rFonts w:cs="Calibri"/>
        </w:rPr>
        <w:t> </w:t>
      </w:r>
      <w:r w:rsidRPr="00A04E56">
        <w:t>9.2</w:t>
      </w:r>
      <w:r w:rsidRPr="00A04E56">
        <w:rPr>
          <w:rFonts w:ascii="Calibri" w:hAnsi="Calibri" w:cs="Calibri"/>
        </w:rPr>
        <w:t> </w:t>
      </w:r>
      <w:r w:rsidRPr="00A04E56">
        <w:t>billion in total from other EU, public and private sources.</w:t>
      </w:r>
    </w:p>
    <w:p w14:paraId="2CE4114F" w14:textId="77777777" w:rsidR="008331F6" w:rsidRPr="00A04E56" w:rsidRDefault="008331F6" w:rsidP="00C65761">
      <w:pPr>
        <w:pStyle w:val="BodyText1spaceafter"/>
        <w:keepNext/>
        <w:rPr>
          <w:szCs w:val="20"/>
        </w:rPr>
      </w:pPr>
      <w:r w:rsidRPr="00A04E56">
        <w:t>Two pilot financial instruments have been introduced to test innovative approaches:</w:t>
      </w:r>
    </w:p>
    <w:p w14:paraId="4478C21D" w14:textId="60AD07AC" w:rsidR="008331F6" w:rsidRPr="00A04E56" w:rsidRDefault="008331F6" w:rsidP="008331F6">
      <w:pPr>
        <w:pStyle w:val="BodyText1spaceafter"/>
        <w:rPr>
          <w:szCs w:val="20"/>
        </w:rPr>
      </w:pPr>
      <w:r w:rsidRPr="00A04E56">
        <w:rPr>
          <w:rStyle w:val="BOLDLIGHTBLUEReport"/>
          <w:rFonts w:eastAsia="Calibri"/>
        </w:rPr>
        <w:t>Private Finance for Energy Efficiency</w:t>
      </w:r>
      <w:r w:rsidRPr="00A04E56">
        <w:rPr>
          <w:rStyle w:val="fnRef"/>
          <w:rFonts w:ascii="Calibri" w:hAnsi="Calibri" w:cs="Calibri"/>
        </w:rPr>
        <w:t> </w:t>
      </w:r>
      <w:r w:rsidRPr="00A04E56">
        <w:rPr>
          <w:szCs w:val="20"/>
        </w:rPr>
        <w:t>supports investment to implement Member States’ energy efficiency action plans through financial intermediaries. It is contributing to creating a new financial product in the market targeting energy efficiency and consequently directly contributing to the decarbonisation of our economy. By the end of 2018, nine deals with banks in nine Member States were signed,</w:t>
      </w:r>
      <w:r w:rsidRPr="00A04E56">
        <w:t xml:space="preserve"> resulting in loans at final recipients’ level for EUR </w:t>
      </w:r>
      <w:r w:rsidR="0081155C">
        <w:t>60</w:t>
      </w:r>
      <w:r w:rsidRPr="00A04E56">
        <w:t xml:space="preserve"> million</w:t>
      </w:r>
      <w:r w:rsidRPr="00A04E56">
        <w:rPr>
          <w:szCs w:val="20"/>
        </w:rPr>
        <w:t xml:space="preserve">. </w:t>
      </w:r>
    </w:p>
    <w:p w14:paraId="67BBB823" w14:textId="1AFA3E7D" w:rsidR="008331F6" w:rsidRPr="00A04E56" w:rsidRDefault="008331F6" w:rsidP="008331F6">
      <w:pPr>
        <w:pStyle w:val="BodyText1spaceafter"/>
        <w:rPr>
          <w:szCs w:val="20"/>
        </w:rPr>
      </w:pPr>
      <w:r w:rsidRPr="00A04E56">
        <w:t xml:space="preserve">The </w:t>
      </w:r>
      <w:r w:rsidRPr="00A04E56">
        <w:rPr>
          <w:rStyle w:val="BOLDLIGHTBLUEReport"/>
          <w:rFonts w:eastAsia="Calibri"/>
        </w:rPr>
        <w:t>Natural Capital Financing Facility</w:t>
      </w:r>
      <w:r w:rsidRPr="00A04E56">
        <w:rPr>
          <w:rStyle w:val="fnRef"/>
          <w:rFonts w:ascii="Calibri" w:hAnsi="Calibri" w:cs="Calibri"/>
        </w:rPr>
        <w:t> </w:t>
      </w:r>
      <w:r w:rsidRPr="00A04E56">
        <w:rPr>
          <w:szCs w:val="20"/>
        </w:rPr>
        <w:t>supports the financing of loans and equity. It is designed to demonstrate that natural capital projects can generate revenues or save costs.</w:t>
      </w:r>
      <w:r w:rsidR="005366CA" w:rsidRPr="00A04E56">
        <w:rPr>
          <w:sz w:val="23"/>
          <w:szCs w:val="23"/>
        </w:rPr>
        <w:t xml:space="preserve"> </w:t>
      </w:r>
      <w:r w:rsidR="005366CA" w:rsidRPr="00A04E56">
        <w:rPr>
          <w:szCs w:val="20"/>
        </w:rPr>
        <w:t xml:space="preserve">By the end of 2018, three </w:t>
      </w:r>
      <w:r w:rsidR="005366CA" w:rsidRPr="00A04E56">
        <w:t>Natural Capital Financing Facility</w:t>
      </w:r>
      <w:r w:rsidR="005366CA" w:rsidRPr="00A04E56">
        <w:rPr>
          <w:szCs w:val="20"/>
        </w:rPr>
        <w:t xml:space="preserve"> operations amounting to EUR 32.5 million were signed with beneficiaries from Ireland, Croatia and Greece, supporting sustainable forestry and agriculture, eco-tourism and the development of nature based solutions to land management, as well as rewilding activities.</w:t>
      </w:r>
    </w:p>
    <w:p w14:paraId="2793FC3F" w14:textId="1FEB4046" w:rsidR="008331F6" w:rsidRPr="00A04E56" w:rsidRDefault="008331F6" w:rsidP="00C257BF">
      <w:pPr>
        <w:pStyle w:val="BOX3BluedashedborderBluetext"/>
        <w:rPr>
          <w:szCs w:val="20"/>
        </w:rPr>
      </w:pPr>
      <w:r w:rsidRPr="00A04E56">
        <w:t xml:space="preserve">The ongoing projects are contributing to the shift towards a </w:t>
      </w:r>
      <w:r w:rsidRPr="00A04E56">
        <w:rPr>
          <w:rStyle w:val="BOLDLIGHTBLUEReport"/>
          <w:rFonts w:eastAsia="Calibri"/>
        </w:rPr>
        <w:t>resource-efficient, low-carbon and climate-resilient economy</w:t>
      </w:r>
      <w:r w:rsidRPr="00A04E56">
        <w:rPr>
          <w:b/>
          <w:szCs w:val="20"/>
        </w:rPr>
        <w:t xml:space="preserve"> </w:t>
      </w:r>
      <w:r w:rsidRPr="00A04E56">
        <w:rPr>
          <w:szCs w:val="20"/>
        </w:rPr>
        <w:t xml:space="preserve">and to the </w:t>
      </w:r>
      <w:r w:rsidRPr="00A04E56">
        <w:rPr>
          <w:rStyle w:val="BOLDLIGHTBLUEReport"/>
          <w:rFonts w:eastAsia="Calibri"/>
        </w:rPr>
        <w:t>protection of the environment including biodiversity</w:t>
      </w:r>
      <w:r w:rsidRPr="00A04E56">
        <w:rPr>
          <w:szCs w:val="20"/>
        </w:rPr>
        <w:t xml:space="preserve"> and </w:t>
      </w:r>
      <w:r w:rsidRPr="00A04E56">
        <w:rPr>
          <w:rStyle w:val="BOLDLIGHTBLUEReport"/>
          <w:rFonts w:eastAsia="Calibri"/>
        </w:rPr>
        <w:t>Natura 2000</w:t>
      </w:r>
      <w:r w:rsidRPr="00A04E56">
        <w:rPr>
          <w:szCs w:val="20"/>
        </w:rPr>
        <w:t xml:space="preserve"> by, inter alia: (1) improving the conservation status of 186 wildlife species and 106 different habitats in an area comparable to Poland; (2) reducing CO</w:t>
      </w:r>
      <w:r w:rsidRPr="00A04E56">
        <w:rPr>
          <w:szCs w:val="20"/>
          <w:vertAlign w:val="subscript"/>
        </w:rPr>
        <w:t>2</w:t>
      </w:r>
      <w:r w:rsidRPr="00A04E56">
        <w:rPr>
          <w:szCs w:val="20"/>
        </w:rPr>
        <w:t xml:space="preserve"> emissions of about 13</w:t>
      </w:r>
      <w:r w:rsidRPr="00A04E56">
        <w:rPr>
          <w:rFonts w:ascii="Calibri" w:hAnsi="Calibri" w:cs="Calibri"/>
          <w:szCs w:val="20"/>
        </w:rPr>
        <w:t> </w:t>
      </w:r>
      <w:r w:rsidRPr="00A04E56">
        <w:rPr>
          <w:szCs w:val="20"/>
        </w:rPr>
        <w:t>million tonnes per year comparable to the equivalent carbon dioxide of Lithuania in 2015; (3) reducing energy consumption of about 1</w:t>
      </w:r>
      <w:r w:rsidRPr="00A04E56">
        <w:rPr>
          <w:rFonts w:ascii="Calibri" w:hAnsi="Calibri" w:cs="Calibri"/>
          <w:szCs w:val="20"/>
        </w:rPr>
        <w:t> </w:t>
      </w:r>
      <w:r w:rsidRPr="00A04E56">
        <w:rPr>
          <w:szCs w:val="20"/>
        </w:rPr>
        <w:t>000</w:t>
      </w:r>
      <w:r w:rsidRPr="00A04E56">
        <w:rPr>
          <w:rFonts w:ascii="Calibri" w:hAnsi="Calibri" w:cs="Calibri"/>
          <w:szCs w:val="20"/>
        </w:rPr>
        <w:t> </w:t>
      </w:r>
      <w:r w:rsidRPr="00A04E56">
        <w:rPr>
          <w:szCs w:val="20"/>
        </w:rPr>
        <w:t>000 megawatt</w:t>
      </w:r>
      <w:r w:rsidR="00034EF1">
        <w:rPr>
          <w:szCs w:val="20"/>
        </w:rPr>
        <w:t xml:space="preserve"> </w:t>
      </w:r>
      <w:r w:rsidRPr="00A04E56">
        <w:rPr>
          <w:szCs w:val="20"/>
        </w:rPr>
        <w:t>hours per year, which represents the average annual electricity consumption of about 280</w:t>
      </w:r>
      <w:r w:rsidRPr="00A04E56">
        <w:rPr>
          <w:rFonts w:ascii="Calibri" w:hAnsi="Calibri" w:cs="Calibri"/>
          <w:szCs w:val="20"/>
        </w:rPr>
        <w:t> </w:t>
      </w:r>
      <w:r w:rsidRPr="00A04E56">
        <w:rPr>
          <w:szCs w:val="20"/>
        </w:rPr>
        <w:t>000 homes; (4) reducing</w:t>
      </w:r>
      <w:r w:rsidR="00C6157D" w:rsidRPr="00A04E56">
        <w:rPr>
          <w:szCs w:val="20"/>
        </w:rPr>
        <w:t xml:space="preserve"> the amount of waste not appropriately managed by</w:t>
      </w:r>
      <w:r w:rsidRPr="00A04E56">
        <w:rPr>
          <w:szCs w:val="20"/>
        </w:rPr>
        <w:t xml:space="preserve"> around 1</w:t>
      </w:r>
      <w:r w:rsidRPr="00A04E56">
        <w:rPr>
          <w:rFonts w:cs="Calibri"/>
          <w:szCs w:val="20"/>
        </w:rPr>
        <w:t> </w:t>
      </w:r>
      <w:r w:rsidRPr="00A04E56">
        <w:rPr>
          <w:szCs w:val="20"/>
        </w:rPr>
        <w:t>million tonnes/year. This corresponds approximately to the total municipal waste of Slovenia in 2016.</w:t>
      </w:r>
    </w:p>
    <w:p w14:paraId="7340B515" w14:textId="4913243D" w:rsidR="008331F6" w:rsidRPr="00A04E56" w:rsidRDefault="008331F6" w:rsidP="00C257BF">
      <w:pPr>
        <w:pStyle w:val="BOX3BluedashedborderBluetext"/>
        <w:rPr>
          <w:szCs w:val="20"/>
        </w:rPr>
      </w:pPr>
      <w:r w:rsidRPr="00A04E56">
        <w:t xml:space="preserve">In the framework of the LIFE programme, the </w:t>
      </w:r>
      <w:r w:rsidRPr="00A04E56">
        <w:rPr>
          <w:szCs w:val="20"/>
        </w:rPr>
        <w:t xml:space="preserve">first-ever EU initiative to </w:t>
      </w:r>
      <w:r w:rsidRPr="00A04E56">
        <w:rPr>
          <w:rStyle w:val="BOLDLIGHTBLUEReport"/>
          <w:rFonts w:eastAsia="Calibri"/>
        </w:rPr>
        <w:t>address the decline of wild pollinating insects</w:t>
      </w:r>
      <w:r w:rsidRPr="00A04E56">
        <w:rPr>
          <w:szCs w:val="20"/>
        </w:rPr>
        <w:t xml:space="preserve"> was launched </w:t>
      </w:r>
      <w:r w:rsidR="008C1D39" w:rsidRPr="00A04E56">
        <w:rPr>
          <w:i/>
          <w:szCs w:val="20"/>
          <w:u w:val="single"/>
        </w:rPr>
        <w:t>in 2018</w:t>
      </w:r>
      <w:r w:rsidRPr="00A04E56">
        <w:rPr>
          <w:szCs w:val="20"/>
        </w:rPr>
        <w:t>. The initiative sets strategic objectives and a set of actions to be taken by the EU and its Member States to address the decline of pollinators in the EU and contribute to global conservation efforts.</w:t>
      </w:r>
    </w:p>
    <w:p w14:paraId="146FC950" w14:textId="77777777" w:rsidR="008331F6" w:rsidRPr="00A04E56" w:rsidRDefault="008331F6" w:rsidP="00AE1DE0">
      <w:pPr>
        <w:pStyle w:val="BodyText1spacebeforeandafter"/>
      </w:pPr>
      <w:r w:rsidRPr="00A04E56">
        <w:t xml:space="preserve">Following the calls for </w:t>
      </w:r>
      <w:r w:rsidRPr="00A04E56">
        <w:rPr>
          <w:rStyle w:val="BOLDLIGHTBLUEReport"/>
          <w:rFonts w:eastAsia="Calibri"/>
        </w:rPr>
        <w:t>proposals</w:t>
      </w:r>
      <w:r w:rsidRPr="00A04E56">
        <w:t xml:space="preserve"> launched in 2014-2018 for traditional projects, about 5</w:t>
      </w:r>
      <w:r w:rsidRPr="00A04E56">
        <w:rPr>
          <w:rFonts w:ascii="Calibri" w:hAnsi="Calibri" w:cs="Calibri"/>
        </w:rPr>
        <w:t> </w:t>
      </w:r>
      <w:r w:rsidRPr="00A04E56">
        <w:t xml:space="preserve">000 proposals were received leading to the financing of 588 grants: 455 financed under the environment subprogramme, and 133 under the climate action subprogramme. </w:t>
      </w:r>
      <w:r w:rsidRPr="00A04E56">
        <w:rPr>
          <w:rStyle w:val="BOLDLIGHTBLUEReport"/>
          <w:rFonts w:eastAsia="Calibri"/>
        </w:rPr>
        <w:t>Beneficiaries</w:t>
      </w:r>
      <w:r w:rsidRPr="00A04E56">
        <w:t xml:space="preserve"> range from small to large businesses (40% in total, out of which 35% are SMEs), to private non-commercial organisations (25%) and public bodies (35%). </w:t>
      </w:r>
    </w:p>
    <w:p w14:paraId="28AAF210" w14:textId="1156D2D3" w:rsidR="008331F6" w:rsidRPr="00A04E56" w:rsidRDefault="007D761A" w:rsidP="00AA0340">
      <w:pPr>
        <w:pStyle w:val="Title3NumberedReport"/>
      </w:pPr>
      <w:r w:rsidRPr="00A04E56">
        <w:t>Assessment and evaluation</w:t>
      </w:r>
    </w:p>
    <w:p w14:paraId="41151FC3" w14:textId="77777777" w:rsidR="008331F6" w:rsidRPr="00A04E56" w:rsidRDefault="008331F6" w:rsidP="00B27FD4">
      <w:pPr>
        <w:pStyle w:val="BodyText1spaceafter"/>
        <w:keepNext/>
        <w:rPr>
          <w:szCs w:val="20"/>
        </w:rPr>
      </w:pPr>
      <w:r w:rsidRPr="00A04E56">
        <w:t xml:space="preserve">The recent </w:t>
      </w:r>
      <w:r w:rsidRPr="00A04E56">
        <w:rPr>
          <w:szCs w:val="20"/>
        </w:rPr>
        <w:t>midterm evaluation of LIFE</w:t>
      </w:r>
      <w:r w:rsidRPr="00A04E56">
        <w:rPr>
          <w:rStyle w:val="fnRef"/>
          <w:rFonts w:ascii="Calibri" w:hAnsi="Calibri" w:cs="Calibri"/>
        </w:rPr>
        <w:t> </w:t>
      </w:r>
      <w:r w:rsidRPr="00A04E56">
        <w:rPr>
          <w:rStyle w:val="fnRef"/>
        </w:rPr>
        <w:t>(</w:t>
      </w:r>
      <w:r w:rsidRPr="00A04E56">
        <w:rPr>
          <w:rStyle w:val="fnRefNo"/>
        </w:rPr>
        <w:footnoteReference w:id="186"/>
      </w:r>
      <w:r w:rsidRPr="00A04E56">
        <w:rPr>
          <w:rStyle w:val="fnRef"/>
        </w:rPr>
        <w:t>)</w:t>
      </w:r>
      <w:r w:rsidRPr="00A04E56">
        <w:rPr>
          <w:szCs w:val="20"/>
        </w:rPr>
        <w:t xml:space="preserve"> confirmed that the current programme is on track and that it is providing a contribution to the Europe 2020 strategy. Furthermore, most stakeholders see LIFE as being a very important instrument for addressing environmental and climate priorities.</w:t>
      </w:r>
    </w:p>
    <w:p w14:paraId="62704E69" w14:textId="4F72D38A" w:rsidR="008331F6" w:rsidRPr="00A04E56" w:rsidRDefault="008331F6" w:rsidP="008331F6">
      <w:pPr>
        <w:pStyle w:val="BodyText1spaceafter"/>
        <w:rPr>
          <w:szCs w:val="20"/>
        </w:rPr>
      </w:pPr>
      <w:r w:rsidRPr="00A04E56">
        <w:t xml:space="preserve">However, the evaluation also identified </w:t>
      </w:r>
      <w:r w:rsidRPr="00A04E56">
        <w:rPr>
          <w:rStyle w:val="BOLDLIGHTBLUEReport"/>
          <w:rFonts w:eastAsia="Calibri"/>
        </w:rPr>
        <w:t>opportunities</w:t>
      </w:r>
      <w:r w:rsidRPr="00A04E56">
        <w:rPr>
          <w:b/>
          <w:szCs w:val="20"/>
        </w:rPr>
        <w:t xml:space="preserve"> </w:t>
      </w:r>
      <w:r w:rsidRPr="00A04E56">
        <w:rPr>
          <w:szCs w:val="20"/>
        </w:rPr>
        <w:t xml:space="preserve">to further enhance the programme’s overall effectiveness, to improve consistency between the LIFE programme and other EU funds and to enhance the catalytic role of the programme. Further opportunities for improvements </w:t>
      </w:r>
      <w:r w:rsidR="005366CA" w:rsidRPr="00A04E56">
        <w:rPr>
          <w:szCs w:val="20"/>
        </w:rPr>
        <w:t xml:space="preserve">concern the strategic focus of the programme </w:t>
      </w:r>
      <w:r w:rsidRPr="00A04E56">
        <w:rPr>
          <w:szCs w:val="20"/>
        </w:rPr>
        <w:t xml:space="preserve">as well as </w:t>
      </w:r>
      <w:r w:rsidR="005366CA" w:rsidRPr="00A04E56">
        <w:rPr>
          <w:szCs w:val="20"/>
        </w:rPr>
        <w:t xml:space="preserve">the increase of </w:t>
      </w:r>
      <w:r w:rsidRPr="00A04E56">
        <w:rPr>
          <w:szCs w:val="20"/>
        </w:rPr>
        <w:t xml:space="preserve">efficiency and simplify </w:t>
      </w:r>
      <w:r w:rsidR="005366CA" w:rsidRPr="00A04E56">
        <w:rPr>
          <w:szCs w:val="20"/>
        </w:rPr>
        <w:t xml:space="preserve">of </w:t>
      </w:r>
      <w:r w:rsidRPr="00A04E56">
        <w:rPr>
          <w:szCs w:val="20"/>
        </w:rPr>
        <w:t xml:space="preserve">the management of LIFE. </w:t>
      </w:r>
    </w:p>
    <w:p w14:paraId="66B36594" w14:textId="2FB9758E" w:rsidR="005366CA" w:rsidRPr="0045569A" w:rsidRDefault="005366CA" w:rsidP="00472FEC">
      <w:pPr>
        <w:pStyle w:val="BodyText1spaceafter"/>
        <w:rPr>
          <w:spacing w:val="-2"/>
          <w:szCs w:val="20"/>
        </w:rPr>
      </w:pPr>
      <w:r w:rsidRPr="0045569A">
        <w:rPr>
          <w:spacing w:val="-2"/>
          <w:szCs w:val="20"/>
        </w:rPr>
        <w:t>While activities under the LIFE programme for 2014 to 2020 tackle certain problems directly on the ground, the programme's main impact is indirect through its catalytic role: the support for small-scale actions intended to initiate, expand or accelerate sustainable production, distribution and consumption practices, and protection of natural capital, by: — facilitating the</w:t>
      </w:r>
      <w:r w:rsidRPr="0045569A">
        <w:rPr>
          <w:spacing w:val="-2"/>
          <w:sz w:val="23"/>
          <w:szCs w:val="23"/>
        </w:rPr>
        <w:t xml:space="preserve"> </w:t>
      </w:r>
      <w:r w:rsidRPr="0045569A">
        <w:rPr>
          <w:spacing w:val="-2"/>
          <w:szCs w:val="20"/>
        </w:rPr>
        <w:t>development and exchange of best practices and knowledge; — building up the capacities and speeding up the implementation of environmental and climate legislation and policies and facilitating a clean energy transition; — helping stakeholders to test small-scale technologies and solutions, and — mobilising funding from other sources to promote overall sustainable finance investments.</w:t>
      </w:r>
    </w:p>
    <w:p w14:paraId="653372A7" w14:textId="0F8DF208" w:rsidR="005366CA" w:rsidRPr="00A04E56" w:rsidRDefault="005366CA" w:rsidP="00472FEC">
      <w:pPr>
        <w:pStyle w:val="BodyText1spaceafter"/>
        <w:rPr>
          <w:szCs w:val="20"/>
        </w:rPr>
      </w:pPr>
      <w:r w:rsidRPr="00A04E56">
        <w:rPr>
          <w:szCs w:val="20"/>
        </w:rPr>
        <w:t>This approach will be further pursued under the multiannual financial framework for the period 2021 to 2027.</w:t>
      </w:r>
    </w:p>
    <w:p w14:paraId="097CF26E" w14:textId="36406AF8" w:rsidR="008331F6" w:rsidRPr="00A04E56" w:rsidRDefault="008331F6" w:rsidP="008331F6">
      <w:pPr>
        <w:pStyle w:val="BodyText1spaceafter"/>
        <w:rPr>
          <w:szCs w:val="20"/>
        </w:rPr>
      </w:pPr>
      <w:r w:rsidRPr="00A04E56">
        <w:t>The proposal for LIFE for after 2020</w:t>
      </w:r>
      <w:r w:rsidRPr="00A04E56">
        <w:rPr>
          <w:rStyle w:val="fnRef"/>
          <w:rFonts w:ascii="Calibri" w:hAnsi="Calibri" w:cs="Calibri"/>
        </w:rPr>
        <w:t> </w:t>
      </w:r>
      <w:r w:rsidRPr="00A04E56">
        <w:rPr>
          <w:rStyle w:val="fnRef"/>
        </w:rPr>
        <w:t>(</w:t>
      </w:r>
      <w:r w:rsidRPr="00A04E56">
        <w:rPr>
          <w:rStyle w:val="fnRefNo"/>
        </w:rPr>
        <w:footnoteReference w:id="187"/>
      </w:r>
      <w:r w:rsidRPr="00A04E56">
        <w:rPr>
          <w:rStyle w:val="fnRef"/>
        </w:rPr>
        <w:t>)</w:t>
      </w:r>
      <w:r w:rsidRPr="00A04E56">
        <w:rPr>
          <w:szCs w:val="20"/>
        </w:rPr>
        <w:t xml:space="preserve"> focus</w:t>
      </w:r>
      <w:r w:rsidR="00472FEC" w:rsidRPr="00A04E56">
        <w:rPr>
          <w:szCs w:val="20"/>
        </w:rPr>
        <w:t>es</w:t>
      </w:r>
      <w:r w:rsidRPr="00A04E56">
        <w:rPr>
          <w:szCs w:val="20"/>
        </w:rPr>
        <w:t xml:space="preserve"> on developing and implementing innovative ways to respond to environment and climate challenges thereby catalysing changes in policy development, implementation and enforcement. It will also ensure sufficient flexibility to address new and critical priorities as they emerge during the programme’s duration. </w:t>
      </w:r>
      <w:r w:rsidR="00472FEC" w:rsidRPr="00A04E56">
        <w:rPr>
          <w:szCs w:val="20"/>
        </w:rPr>
        <w:t>The implementation of the new LIFE p</w:t>
      </w:r>
      <w:r w:rsidRPr="00A04E56">
        <w:rPr>
          <w:szCs w:val="20"/>
        </w:rPr>
        <w:t>rogramme will be made easier for applicants and beneficiaries, and there will be measures to achieve a more balanced territorial coverage.</w:t>
      </w:r>
    </w:p>
    <w:p w14:paraId="0BCE7455" w14:textId="77777777" w:rsidR="008331F6" w:rsidRPr="00A04E56" w:rsidRDefault="008331F6" w:rsidP="00A87FF6">
      <w:pPr>
        <w:pStyle w:val="BodyText1spacebeforeandafter"/>
      </w:pPr>
      <w:r w:rsidRPr="00A04E56">
        <w:t>This approach will be further pursued under the multiannual financial framework for the period 2021 to 2027.</w:t>
      </w:r>
    </w:p>
    <w:p w14:paraId="63E34B1A" w14:textId="77777777" w:rsidR="005D36C6" w:rsidRPr="00A04E56" w:rsidRDefault="005D36C6" w:rsidP="005D36C6">
      <w:pPr>
        <w:pStyle w:val="TITLE1Report"/>
      </w:pPr>
      <w:bookmarkStart w:id="132" w:name="SecurityandCitizenship"/>
      <w:bookmarkStart w:id="133" w:name="_Toc4603944"/>
      <w:bookmarkStart w:id="134" w:name="_Toc4603975"/>
      <w:bookmarkStart w:id="135" w:name="_Toc4680732"/>
      <w:bookmarkStart w:id="136" w:name="_Toc4683006"/>
      <w:bookmarkStart w:id="137" w:name="_Toc4683096"/>
      <w:r w:rsidRPr="00A04E56">
        <w:t>Security and Citizenship</w:t>
      </w:r>
      <w:bookmarkEnd w:id="132"/>
      <w:r w:rsidRPr="00A04E56">
        <w:t xml:space="preserve"> (budget heading</w:t>
      </w:r>
      <w:r w:rsidRPr="00A04E56">
        <w:rPr>
          <w:rFonts w:ascii="Arial" w:hAnsi="Arial" w:cs="Arial"/>
        </w:rPr>
        <w:t> </w:t>
      </w:r>
      <w:r w:rsidRPr="00A04E56">
        <w:t>3)</w:t>
      </w:r>
      <w:bookmarkEnd w:id="133"/>
      <w:bookmarkEnd w:id="134"/>
      <w:bookmarkEnd w:id="135"/>
      <w:bookmarkEnd w:id="136"/>
      <w:bookmarkEnd w:id="137"/>
    </w:p>
    <w:p w14:paraId="21D134DA" w14:textId="15839393" w:rsidR="005D36C6" w:rsidRPr="00A04E56" w:rsidRDefault="005D36C6" w:rsidP="005D36C6">
      <w:pPr>
        <w:pStyle w:val="BodyText1spaceafter"/>
      </w:pPr>
      <w:r w:rsidRPr="00A04E56">
        <w:t xml:space="preserve">It is one of the most basic and universal rights to feel safe and secure. The Juncker Commission made security a top priority from day one. But over recent years security threats have evolved. EU Member States have already worked together to ensure an effective response to diverse security threats — including new forms of terrorist attacks, radicalisation, new types of organised crime and cybersecurity threats. They will need to continue doing so in the future. </w:t>
      </w:r>
    </w:p>
    <w:p w14:paraId="05329B87" w14:textId="22A9A17A" w:rsidR="005D36C6" w:rsidRPr="00A04E56" w:rsidRDefault="005D36C6" w:rsidP="009A646E">
      <w:pPr>
        <w:pStyle w:val="BodyText1spaceafter"/>
      </w:pPr>
      <w:r w:rsidRPr="00A04E56">
        <w:t>Security threats know no borders and are becoming increasingly international. The complex nature of these challenges is such that no Member State can or should be made to meet them on its own. The EU budget supports Member States in their responsibilities and efforts. The programmes in heading 3 of the EU budget (</w:t>
      </w:r>
      <w:r w:rsidRPr="00A04E56" w:rsidDel="00717F2A">
        <w:t>EUR</w:t>
      </w:r>
      <w:r w:rsidRPr="00A04E56">
        <w:rPr>
          <w:rFonts w:ascii="Calibri" w:hAnsi="Calibri" w:cs="Calibri"/>
        </w:rPr>
        <w:t> </w:t>
      </w:r>
      <w:r w:rsidRPr="00A04E56">
        <w:t>3.</w:t>
      </w:r>
      <w:r w:rsidR="00011F5F" w:rsidRPr="00A04E56" w:rsidDel="00011F5F">
        <w:t xml:space="preserve"> </w:t>
      </w:r>
      <w:r w:rsidR="00011F5F">
        <w:t>5</w:t>
      </w:r>
      <w:r w:rsidRPr="00A04E56">
        <w:rPr>
          <w:rFonts w:ascii="Calibri" w:hAnsi="Calibri" w:cs="Calibri"/>
        </w:rPr>
        <w:t> </w:t>
      </w:r>
      <w:r w:rsidRPr="00A04E56">
        <w:t>billion representing 2% of the total 2018 EU budget ) deal with key political challenges such as security, asylum, the migration and integration of non-EU (‘third’)-country nationals, health and consumer protection, as well as culture and dialogue with citizens.</w:t>
      </w:r>
    </w:p>
    <w:p w14:paraId="018544DE" w14:textId="7B656A2F" w:rsidR="005D36C6" w:rsidRPr="00A04E56" w:rsidRDefault="00064C43" w:rsidP="009A646E">
      <w:pPr>
        <w:pStyle w:val="BodyText"/>
        <w:keepNext/>
        <w:rPr>
          <w:lang w:eastAsia="fr-BE"/>
        </w:rPr>
      </w:pPr>
      <w:r w:rsidRPr="00064C43">
        <w:rPr>
          <w:noProof/>
          <w:lang w:val="fr-BE" w:eastAsia="fr-BE"/>
        </w:rPr>
        <w:drawing>
          <wp:inline distT="0" distB="0" distL="0" distR="0" wp14:anchorId="088FF44A" wp14:editId="0F56436D">
            <wp:extent cx="5753100" cy="3599815"/>
            <wp:effectExtent l="0" t="0" r="0" b="63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a:extLst>
                        <a:ext uri="{28A0092B-C50C-407E-A947-70E740481C1C}">
                          <a14:useLocalDpi xmlns:a14="http://schemas.microsoft.com/office/drawing/2010/main"/>
                        </a:ext>
                      </a:extLst>
                    </a:blip>
                    <a:srcRect/>
                    <a:stretch>
                      <a:fillRect/>
                    </a:stretch>
                  </pic:blipFill>
                  <pic:spPr bwMode="auto">
                    <a:xfrm>
                      <a:off x="0" y="0"/>
                      <a:ext cx="5753100" cy="3599815"/>
                    </a:xfrm>
                    <a:prstGeom prst="rect">
                      <a:avLst/>
                    </a:prstGeom>
                    <a:noFill/>
                    <a:ln>
                      <a:noFill/>
                    </a:ln>
                  </pic:spPr>
                </pic:pic>
              </a:graphicData>
            </a:graphic>
          </wp:inline>
        </w:drawing>
      </w:r>
    </w:p>
    <w:p w14:paraId="505A65B4" w14:textId="65246400" w:rsidR="0095613D" w:rsidRPr="00A04E56" w:rsidRDefault="0095613D" w:rsidP="00D206C2">
      <w:pPr>
        <w:pStyle w:val="Source-Table-Chart-PhotoCaption"/>
      </w:pPr>
      <w:r w:rsidRPr="00A04E56">
        <w:rPr>
          <w:rStyle w:val="italics"/>
        </w:rPr>
        <w:t>Chart:</w:t>
      </w:r>
      <w:r w:rsidRPr="00A04E56">
        <w:t xml:space="preserve"> Main programmes financed in 2018 under heading 3, Security </w:t>
      </w:r>
      <w:r w:rsidR="00CA3BB6" w:rsidRPr="00A04E56">
        <w:t>and c</w:t>
      </w:r>
      <w:r w:rsidRPr="00A04E56">
        <w:t>itizenship. All amounts in EUR million. The category ‘other programmes’ includes among other</w:t>
      </w:r>
      <w:r w:rsidR="00AE4B2D" w:rsidRPr="00A04E56">
        <w:t>s</w:t>
      </w:r>
      <w:r w:rsidRPr="00A04E56">
        <w:t xml:space="preserve"> </w:t>
      </w:r>
      <w:r w:rsidR="00AE4B2D" w:rsidRPr="00A04E56">
        <w:t>consu</w:t>
      </w:r>
      <w:r w:rsidRPr="00A04E56">
        <w:t xml:space="preserve">mer, Instrument for Emergency Support within the </w:t>
      </w:r>
      <w:r w:rsidR="00C6157D" w:rsidRPr="00A04E56">
        <w:t>E</w:t>
      </w:r>
      <w:r w:rsidRPr="00A04E56">
        <w:t xml:space="preserve">U (IES), IT systems, </w:t>
      </w:r>
      <w:r w:rsidR="00AE4B2D" w:rsidRPr="00A04E56">
        <w:t>justice, rights, equality and citizenship</w:t>
      </w:r>
      <w:r w:rsidRPr="00A04E56">
        <w:t xml:space="preserve">, </w:t>
      </w:r>
      <w:r w:rsidR="00AE4B2D" w:rsidRPr="00A04E56">
        <w:t>E</w:t>
      </w:r>
      <w:r w:rsidRPr="00A04E56">
        <w:t xml:space="preserve">U Civil </w:t>
      </w:r>
      <w:r w:rsidR="003D55F2" w:rsidRPr="00A04E56">
        <w:t>Protection Mechanism</w:t>
      </w:r>
      <w:r w:rsidRPr="00A04E56">
        <w:t xml:space="preserve">, Europe for Citizens, </w:t>
      </w:r>
      <w:r w:rsidR="00AE4B2D" w:rsidRPr="00A04E56">
        <w:t xml:space="preserve">health, decentralised agencies, pilot projects and preparatory actions, actions </w:t>
      </w:r>
      <w:r w:rsidRPr="00A04E56">
        <w:t>financed under the prerogatives of the Commission and specific competences conferred to the Commission</w:t>
      </w:r>
    </w:p>
    <w:p w14:paraId="47A15553" w14:textId="5864798C" w:rsidR="00EA712C" w:rsidRPr="00A04E56" w:rsidRDefault="00EA712C" w:rsidP="00D206C2">
      <w:pPr>
        <w:pStyle w:val="Source-Table-Chart-PhotoCaption"/>
      </w:pPr>
      <w:r w:rsidRPr="00A04E56">
        <w:rPr>
          <w:rStyle w:val="italics"/>
        </w:rPr>
        <w:t>Source:</w:t>
      </w:r>
      <w:r w:rsidRPr="00A04E56">
        <w:t xml:space="preserve"> European Commission</w:t>
      </w:r>
    </w:p>
    <w:p w14:paraId="1C0C9497" w14:textId="401D3123" w:rsidR="005D36C6" w:rsidRPr="00A04E56" w:rsidRDefault="005D36C6" w:rsidP="00D206C2">
      <w:pPr>
        <w:pStyle w:val="BodyText1spacebeforeandafter"/>
      </w:pPr>
      <w:r w:rsidRPr="00A04E56">
        <w:t xml:space="preserve">The challenges of migration are transnational in nature and cannot be adequately addressed by Member States acting alone. </w:t>
      </w:r>
      <w:r w:rsidR="008C1D39" w:rsidRPr="00A04E56">
        <w:rPr>
          <w:i/>
          <w:u w:val="single"/>
        </w:rPr>
        <w:t>In 2018</w:t>
      </w:r>
      <w:r w:rsidRPr="00A04E56">
        <w:t xml:space="preserve"> the EU’s </w:t>
      </w:r>
      <w:r w:rsidRPr="00A04E56">
        <w:rPr>
          <w:rStyle w:val="BOLDLIGHTBLUEReport"/>
          <w:rFonts w:eastAsia="Calibri"/>
        </w:rPr>
        <w:t>comprehensive approach on migration</w:t>
      </w:r>
      <w:r w:rsidRPr="00A04E56">
        <w:t xml:space="preserve"> continued to deliver tangible results, with a focus on deepening cooperation with partner countries, enhancing protection of the EU’s borders and better management of migratory flows in a spirit of solidarity and responsibility. </w:t>
      </w:r>
    </w:p>
    <w:p w14:paraId="29AD16AF" w14:textId="46B830BA" w:rsidR="005D36C6" w:rsidRPr="00A04E56" w:rsidRDefault="005D36C6" w:rsidP="005D36C6">
      <w:pPr>
        <w:pStyle w:val="BodyText1spaceafter"/>
      </w:pPr>
      <w:r w:rsidRPr="00A04E56">
        <w:t xml:space="preserve">The </w:t>
      </w:r>
      <w:hyperlink r:id="rId177" w:tgtFrame="_blank" w:history="1">
        <w:r w:rsidRPr="00A04E56">
          <w:rPr>
            <w:rStyle w:val="BOLDLIGHTBLUEReport"/>
            <w:rFonts w:eastAsia="Calibri"/>
          </w:rPr>
          <w:t xml:space="preserve">European </w:t>
        </w:r>
        <w:r w:rsidR="00F504A4" w:rsidRPr="00A04E56">
          <w:rPr>
            <w:rStyle w:val="BOLDLIGHTBLUEReport"/>
            <w:rFonts w:eastAsia="Calibri"/>
          </w:rPr>
          <w:t>a</w:t>
        </w:r>
        <w:r w:rsidRPr="00A04E56">
          <w:rPr>
            <w:rStyle w:val="BOLDLIGHTBLUEReport"/>
            <w:rFonts w:eastAsia="Calibri"/>
          </w:rPr>
          <w:t xml:space="preserve">genda on </w:t>
        </w:r>
        <w:r w:rsidR="00F504A4" w:rsidRPr="00A04E56">
          <w:rPr>
            <w:rStyle w:val="BOLDLIGHTBLUEReport"/>
            <w:rFonts w:eastAsia="Calibri"/>
          </w:rPr>
          <w:t>m</w:t>
        </w:r>
        <w:r w:rsidRPr="00A04E56">
          <w:rPr>
            <w:rStyle w:val="BOLDLIGHTBLUEReport"/>
            <w:rFonts w:eastAsia="Calibri"/>
          </w:rPr>
          <w:t>igration</w:t>
        </w:r>
      </w:hyperlink>
      <w:r w:rsidRPr="00A04E56">
        <w:t xml:space="preserve"> has contributed to significantly reducing the number of irregular arrivals notably in the central and eastern Mediterranean routes and</w:t>
      </w:r>
      <w:r w:rsidRPr="00A04E56" w:rsidDel="00350DC4">
        <w:t xml:space="preserve"> </w:t>
      </w:r>
      <w:r w:rsidRPr="00A04E56">
        <w:t xml:space="preserve">reducing irregular border crossings into the EU to below the 2014 figures; it has provided immediate financial and operational assistance to frontline Member States and direct help to the people in need; it has increased legal pathways and </w:t>
      </w:r>
      <w:r w:rsidR="00CF658F">
        <w:t xml:space="preserve">supported the </w:t>
      </w:r>
      <w:r w:rsidRPr="00A04E56">
        <w:t>return of those with no right to be in the EU through the negotiation of readmission agreements/arrangements.</w:t>
      </w:r>
    </w:p>
    <w:p w14:paraId="704C0965" w14:textId="076AD5A2" w:rsidR="005D36C6" w:rsidRPr="00A04E56" w:rsidRDefault="005D36C6" w:rsidP="00C65761">
      <w:pPr>
        <w:pStyle w:val="BodyText1spaceafter"/>
      </w:pPr>
      <w:r w:rsidRPr="00A04E56">
        <w:t xml:space="preserve">Just as importantly, the </w:t>
      </w:r>
      <w:r w:rsidRPr="00A04E56">
        <w:rPr>
          <w:rStyle w:val="BOLDLIGHTBLUEReport"/>
          <w:rFonts w:eastAsia="Calibri"/>
        </w:rPr>
        <w:t>European Border and Coast Guard Agency (Frontex)</w:t>
      </w:r>
      <w:r w:rsidRPr="00A04E56">
        <w:t xml:space="preserve"> </w:t>
      </w:r>
      <w:r w:rsidR="00DC1A09" w:rsidRPr="00A04E56">
        <w:t>deployed in 2018, 11 000</w:t>
      </w:r>
      <w:r w:rsidRPr="00A04E56">
        <w:t xml:space="preserve"> border guards </w:t>
      </w:r>
      <w:r w:rsidR="00DC1A09" w:rsidRPr="00A04E56">
        <w:t xml:space="preserve">in operation </w:t>
      </w:r>
      <w:r w:rsidRPr="00A04E56">
        <w:t xml:space="preserve">to help patrol the Union’s external borders </w:t>
      </w:r>
      <w:r w:rsidR="00DC1A09" w:rsidRPr="00A04E56">
        <w:t xml:space="preserve">mainly </w:t>
      </w:r>
      <w:r w:rsidRPr="00A04E56">
        <w:t xml:space="preserve">in Bulgaria, Greece, Italy and Spain. </w:t>
      </w:r>
    </w:p>
    <w:p w14:paraId="54127B31" w14:textId="2865C028" w:rsidR="00126EB7" w:rsidRPr="00A04E56" w:rsidRDefault="005D36C6" w:rsidP="00B95188">
      <w:pPr>
        <w:pStyle w:val="BodyText1spaceafter"/>
      </w:pPr>
      <w:r w:rsidRPr="00A04E56">
        <w:t xml:space="preserve">Recognising the importance of this support, in June 2018 Member States called to further strengthen the agency’s role, including cooperation with countries outside the EU, through increased resources and an enhanced mandate. In response, the Commission presented new proposals in September </w:t>
      </w:r>
      <w:r w:rsidR="00126EB7" w:rsidRPr="00A04E56">
        <w:t xml:space="preserve">2018, on which agreement was reached in March 2019 to scale up the Agency yet further and reinforce it with its own equipment and a standing corps of 5 000 border guards as of 2021 and 10 000 by 2027 at the very latest, as well as a stronger mandate to carry out returns . In addition, the Commission has proposed a new founding regulation for the European Asylum Support Office (EASO), thus enlarging its mandate. </w:t>
      </w:r>
    </w:p>
    <w:p w14:paraId="79353AA8" w14:textId="6D275F4E" w:rsidR="005178E8" w:rsidRPr="00A04E56" w:rsidRDefault="00064C43" w:rsidP="0096147F">
      <w:pPr>
        <w:pStyle w:val="BodyText"/>
        <w:keepNext/>
        <w:spacing w:after="40"/>
        <w:rPr>
          <w:lang w:eastAsia="fr-BE"/>
        </w:rPr>
      </w:pPr>
      <w:r w:rsidRPr="00064C43">
        <w:rPr>
          <w:noProof/>
          <w:lang w:val="fr-BE" w:eastAsia="fr-BE"/>
        </w:rPr>
        <w:drawing>
          <wp:inline distT="0" distB="0" distL="0" distR="0" wp14:anchorId="02C2DA85" wp14:editId="0A760841">
            <wp:extent cx="5753100" cy="362902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
                      <a:extLst>
                        <a:ext uri="{28A0092B-C50C-407E-A947-70E740481C1C}">
                          <a14:useLocalDpi xmlns:a14="http://schemas.microsoft.com/office/drawing/2010/main"/>
                        </a:ext>
                      </a:extLst>
                    </a:blip>
                    <a:srcRect/>
                    <a:stretch>
                      <a:fillRect/>
                    </a:stretch>
                  </pic:blipFill>
                  <pic:spPr bwMode="auto">
                    <a:xfrm>
                      <a:off x="0" y="0"/>
                      <a:ext cx="5753100" cy="3629025"/>
                    </a:xfrm>
                    <a:prstGeom prst="rect">
                      <a:avLst/>
                    </a:prstGeom>
                    <a:noFill/>
                    <a:ln>
                      <a:noFill/>
                    </a:ln>
                  </pic:spPr>
                </pic:pic>
              </a:graphicData>
            </a:graphic>
          </wp:inline>
        </w:drawing>
      </w:r>
    </w:p>
    <w:p w14:paraId="64BC91A5" w14:textId="70637326" w:rsidR="005D36C6" w:rsidRPr="00A04E56" w:rsidRDefault="005D36C6" w:rsidP="00957ECF">
      <w:pPr>
        <w:pStyle w:val="Source-Table-Chart-PhotoCaption"/>
      </w:pPr>
      <w:r w:rsidRPr="00A04E56">
        <w:rPr>
          <w:rStyle w:val="italics"/>
        </w:rPr>
        <w:t>Chart:</w:t>
      </w:r>
      <w:r w:rsidRPr="00A04E56">
        <w:t xml:space="preserve"> Number of irregular border crossings detected at the EU’s external borders. </w:t>
      </w:r>
    </w:p>
    <w:p w14:paraId="312C455A" w14:textId="01D266F3" w:rsidR="005D36C6" w:rsidRPr="00A04E56" w:rsidRDefault="005D36C6" w:rsidP="00957ECF">
      <w:pPr>
        <w:pStyle w:val="Source-Table-Chart-PhotoCaption"/>
      </w:pPr>
      <w:r w:rsidRPr="00A04E56">
        <w:rPr>
          <w:rStyle w:val="italics"/>
        </w:rPr>
        <w:t>Source:</w:t>
      </w:r>
      <w:r w:rsidRPr="00A04E56">
        <w:t xml:space="preserve"> European Border and Coast Guard Agency (Frontex)</w:t>
      </w:r>
      <w:r w:rsidR="00420269" w:rsidRPr="00A04E56">
        <w:t>.</w:t>
      </w:r>
    </w:p>
    <w:p w14:paraId="21664D3D" w14:textId="4D339376" w:rsidR="005D36C6" w:rsidRPr="00A04E56" w:rsidRDefault="005D36C6" w:rsidP="00957ECF">
      <w:pPr>
        <w:pStyle w:val="BodyText1spacebeforeandafter"/>
      </w:pPr>
      <w:r w:rsidRPr="00A04E56">
        <w:t>The EU</w:t>
      </w:r>
      <w:r w:rsidR="00C6157D" w:rsidRPr="00A04E56">
        <w:t>’</w:t>
      </w:r>
      <w:r w:rsidRPr="00A04E56">
        <w:t xml:space="preserve">s response to the migration crisis required a </w:t>
      </w:r>
      <w:r w:rsidRPr="00A04E56">
        <w:rPr>
          <w:rStyle w:val="BOLDLIGHTBLUEReport"/>
          <w:rFonts w:eastAsia="Calibri"/>
        </w:rPr>
        <w:t>swift and substantial action supported by the EU budget</w:t>
      </w:r>
      <w:r w:rsidRPr="00A04E56">
        <w:t xml:space="preserve">. The funding initially earmarked for security and migration in the current multiannual financial framework was doubled in order to respond to the scale of the needs. </w:t>
      </w:r>
      <w:r w:rsidRPr="00A04E56">
        <w:rPr>
          <w:rStyle w:val="BOLDLIGHTBLUEReport"/>
          <w:rFonts w:eastAsia="Calibri"/>
        </w:rPr>
        <w:t xml:space="preserve">The budget played a key role in shaping the common response by providing funding </w:t>
      </w:r>
      <w:r w:rsidRPr="00A04E56">
        <w:t xml:space="preserve">for the management of </w:t>
      </w:r>
      <w:r w:rsidR="00126EB7" w:rsidRPr="00A04E56">
        <w:t xml:space="preserve">arriving </w:t>
      </w:r>
      <w:r w:rsidRPr="00A04E56">
        <w:t>asylum seekers and migrants, developing search-and-rescue capacities to save lives, managing effective returns and providing operational support to the Member States under most pressure. Without this support, the unprecedented migratory crisis of 2015 would not have been effectively managed.</w:t>
      </w:r>
    </w:p>
    <w:p w14:paraId="6CADDBDF" w14:textId="242FA0B2" w:rsidR="005D36C6" w:rsidRPr="00A04E56" w:rsidRDefault="005D36C6" w:rsidP="005D36C6">
      <w:pPr>
        <w:pStyle w:val="BodyText1spaceafter"/>
      </w:pPr>
      <w:r w:rsidRPr="00A04E56">
        <w:t>On 18</w:t>
      </w:r>
      <w:r w:rsidR="00DA20EC" w:rsidRPr="00A04E56">
        <w:rPr>
          <w:rFonts w:ascii="Calibri" w:hAnsi="Calibri" w:cs="Calibri"/>
        </w:rPr>
        <w:t> </w:t>
      </w:r>
      <w:r w:rsidRPr="00A04E56">
        <w:t>March</w:t>
      </w:r>
      <w:r w:rsidR="00DA20EC" w:rsidRPr="00A04E56">
        <w:rPr>
          <w:rFonts w:ascii="Calibri" w:hAnsi="Calibri" w:cs="Calibri"/>
        </w:rPr>
        <w:t> </w:t>
      </w:r>
      <w:r w:rsidRPr="00A04E56">
        <w:t xml:space="preserve">2016, EU Heads of State or Government </w:t>
      </w:r>
      <w:r w:rsidR="00126EB7" w:rsidRPr="00A04E56">
        <w:t xml:space="preserve">of the EU </w:t>
      </w:r>
      <w:r w:rsidRPr="00A04E56">
        <w:t xml:space="preserve">and Turkey agreed on the EU-Turkey </w:t>
      </w:r>
      <w:r w:rsidR="00AE4B2D" w:rsidRPr="00A04E56">
        <w:t>s</w:t>
      </w:r>
      <w:r w:rsidRPr="00A04E56">
        <w:t xml:space="preserve">tatement to end irregular migration flows from Turkey to the EU, ensure improved reception conditions for refugees in Turkey and open up organised, safe and legal channels to Europe for Syrian refugees. Two </w:t>
      </w:r>
      <w:r w:rsidR="00126EB7" w:rsidRPr="00A04E56">
        <w:t>and a half</w:t>
      </w:r>
      <w:r w:rsidRPr="00A04E56">
        <w:t xml:space="preserve"> year later, irregular arrivals </w:t>
      </w:r>
      <w:r w:rsidR="00126EB7" w:rsidRPr="00A04E56">
        <w:t>to the Aegean islands</w:t>
      </w:r>
      <w:r w:rsidRPr="00A04E56">
        <w:t xml:space="preserve"> remain 9</w:t>
      </w:r>
      <w:r w:rsidR="00126EB7" w:rsidRPr="00A04E56">
        <w:t>6</w:t>
      </w:r>
      <w:r w:rsidR="00E971D9" w:rsidRPr="00A04E56">
        <w:t>%</w:t>
      </w:r>
      <w:r w:rsidR="00E971D9">
        <w:rPr>
          <w:rFonts w:ascii="Calibri" w:hAnsi="Calibri" w:cs="Calibri"/>
        </w:rPr>
        <w:t> </w:t>
      </w:r>
      <w:r w:rsidR="00126EB7" w:rsidRPr="00A04E56">
        <w:t>(</w:t>
      </w:r>
      <w:r w:rsidR="00126EB7" w:rsidRPr="00277538">
        <w:rPr>
          <w:rStyle w:val="fnRefNo"/>
        </w:rPr>
        <w:footnoteReference w:id="188"/>
      </w:r>
      <w:r w:rsidR="00126EB7" w:rsidRPr="00A04E56">
        <w:t>)</w:t>
      </w:r>
      <w:r w:rsidRPr="00A04E56">
        <w:t xml:space="preserve"> lower than the period before the statement became operational, </w:t>
      </w:r>
      <w:r w:rsidR="00126EB7" w:rsidRPr="00A04E56">
        <w:t>and</w:t>
      </w:r>
      <w:r w:rsidRPr="00A04E56">
        <w:t xml:space="preserve"> the number of lives lost at sea has decreased substantially</w:t>
      </w:r>
      <w:r w:rsidR="00126EB7" w:rsidRPr="00A04E56">
        <w:t xml:space="preserve">. At the end of 2018, </w:t>
      </w:r>
      <w:r w:rsidRPr="00A04E56">
        <w:t xml:space="preserve">Member States </w:t>
      </w:r>
      <w:r w:rsidR="00126EB7" w:rsidRPr="00A04E56">
        <w:t>had resettled 18</w:t>
      </w:r>
      <w:r w:rsidR="00126EB7" w:rsidRPr="00A04E56">
        <w:rPr>
          <w:rFonts w:ascii="Calibri" w:hAnsi="Calibri" w:cs="Calibri"/>
        </w:rPr>
        <w:t xml:space="preserve"> 640 persons </w:t>
      </w:r>
      <w:r w:rsidRPr="00A04E56">
        <w:rPr>
          <w:rFonts w:ascii="Calibri" w:hAnsi="Calibri" w:cs="Calibri"/>
        </w:rPr>
        <w:t xml:space="preserve">from Turkey </w:t>
      </w:r>
      <w:r w:rsidR="00126EB7" w:rsidRPr="00A04E56">
        <w:rPr>
          <w:rFonts w:ascii="Calibri" w:hAnsi="Calibri" w:cs="Calibri"/>
        </w:rPr>
        <w:t xml:space="preserve">under the </w:t>
      </w:r>
      <w:r w:rsidRPr="00A04E56" w:rsidDel="00126EB7">
        <w:t xml:space="preserve"> </w:t>
      </w:r>
      <w:r w:rsidR="00126EB7" w:rsidRPr="00A04E56">
        <w:t xml:space="preserve">statement </w:t>
      </w:r>
      <w:r w:rsidRPr="00A04E56">
        <w:t xml:space="preserve">with the support from the Asylum Migration and Integration Fund. The EU has supported Turkey in its efforts to host refugees with the </w:t>
      </w:r>
      <w:r w:rsidR="00AE4B2D" w:rsidRPr="00A04E56">
        <w:t>f</w:t>
      </w:r>
      <w:r w:rsidRPr="00A04E56">
        <w:t xml:space="preserve">acility for </w:t>
      </w:r>
      <w:r w:rsidR="00AE4B2D" w:rsidRPr="00A04E56">
        <w:t>r</w:t>
      </w:r>
      <w:r w:rsidRPr="00A04E56">
        <w:t>efugees in Turkey. This facility is covered in heading</w:t>
      </w:r>
      <w:r w:rsidR="000D7D5A" w:rsidRPr="00A04E56">
        <w:rPr>
          <w:rFonts w:ascii="Calibri" w:hAnsi="Calibri" w:cs="Calibri"/>
        </w:rPr>
        <w:t> </w:t>
      </w:r>
      <w:r w:rsidRPr="00A04E56">
        <w:t xml:space="preserve">4, ‘global </w:t>
      </w:r>
      <w:r w:rsidR="00AE4B2D" w:rsidRPr="00A04E56">
        <w:t>E</w:t>
      </w:r>
      <w:r w:rsidRPr="00A04E56">
        <w:t xml:space="preserve">urope’ (see analysis below). </w:t>
      </w:r>
    </w:p>
    <w:p w14:paraId="64D8FB7C" w14:textId="0B07B061" w:rsidR="005D36C6" w:rsidRPr="00A04E56" w:rsidRDefault="005D36C6" w:rsidP="005D36C6">
      <w:pPr>
        <w:pStyle w:val="BodyText1spaceafter"/>
      </w:pPr>
      <w:r w:rsidRPr="00A04E56">
        <w:t>While continuous efforts need to be made by all sides and all EU Member States, and still more returns to Turkey are needed to alleviate the pressure on the Greek islands</w:t>
      </w:r>
      <w:r w:rsidR="00320112">
        <w:rPr>
          <w:rFonts w:ascii="Calibri" w:hAnsi="Calibri" w:cs="Calibri"/>
        </w:rPr>
        <w:t> </w:t>
      </w:r>
      <w:r w:rsidRPr="00A04E56">
        <w:t>(</w:t>
      </w:r>
      <w:r w:rsidRPr="00277538">
        <w:rPr>
          <w:rStyle w:val="fnRefNo"/>
        </w:rPr>
        <w:footnoteReference w:id="189"/>
      </w:r>
      <w:r w:rsidRPr="00A04E56">
        <w:t xml:space="preserve">), the EU-Turkey </w:t>
      </w:r>
      <w:r w:rsidR="00AE4B2D" w:rsidRPr="00A04E56">
        <w:t>s</w:t>
      </w:r>
      <w:r w:rsidRPr="00A04E56">
        <w:t xml:space="preserve">tatement has become an important element of the EU’s comprehensive approach on migration. The effects of the EU-Turkey </w:t>
      </w:r>
      <w:r w:rsidR="00AE4B2D" w:rsidRPr="00A04E56">
        <w:t>s</w:t>
      </w:r>
      <w:r w:rsidRPr="00A04E56">
        <w:t>tatement were immediate. Thanks notably to the cooperation with the Turkish authorities, arrivals decreased significantly</w:t>
      </w:r>
      <w:r w:rsidR="00CB6A77" w:rsidRPr="00A04E56">
        <w:t xml:space="preserve"> — </w:t>
      </w:r>
      <w:r w:rsidRPr="00A04E56">
        <w:t xml:space="preserve">showing clearly that the business model of smugglers exploiting migrants and refugees can be broken. From 10 000 in a single day in October 2015, daily crossings </w:t>
      </w:r>
      <w:r w:rsidR="00381556" w:rsidRPr="00A04E56">
        <w:t>from Turkey wend</w:t>
      </w:r>
      <w:r w:rsidRPr="00A04E56">
        <w:t xml:space="preserve"> down to an average</w:t>
      </w:r>
      <w:r w:rsidR="00955062">
        <w:rPr>
          <w:rFonts w:ascii="Calibri" w:hAnsi="Calibri" w:cs="Calibri"/>
        </w:rPr>
        <w:t> </w:t>
      </w:r>
      <w:r w:rsidR="00381556" w:rsidRPr="00A04E56">
        <w:t>(</w:t>
      </w:r>
      <w:r w:rsidR="00381556" w:rsidRPr="00277538">
        <w:rPr>
          <w:rStyle w:val="fnRefNo"/>
        </w:rPr>
        <w:footnoteReference w:id="190"/>
      </w:r>
      <w:r w:rsidR="00381556" w:rsidRPr="00A04E56">
        <w:t>)</w:t>
      </w:r>
      <w:r w:rsidRPr="00A04E56">
        <w:t xml:space="preserve"> of around </w:t>
      </w:r>
      <w:r w:rsidR="00381556" w:rsidRPr="00A04E56">
        <w:t xml:space="preserve">88 </w:t>
      </w:r>
      <w:r w:rsidR="00381556" w:rsidRPr="00A04E56">
        <w:rPr>
          <w:i/>
          <w:u w:val="single"/>
        </w:rPr>
        <w:t>during 2018.</w:t>
      </w:r>
      <w:r w:rsidRPr="00A04E56">
        <w:t xml:space="preserve"> </w:t>
      </w:r>
    </w:p>
    <w:p w14:paraId="49A1A533" w14:textId="37944FE9" w:rsidR="005D36C6" w:rsidRPr="00A04E56" w:rsidRDefault="005D36C6" w:rsidP="005D36C6">
      <w:pPr>
        <w:pStyle w:val="Title2Report"/>
      </w:pPr>
      <w:bookmarkStart w:id="138" w:name="_Toc4603976"/>
      <w:bookmarkStart w:id="139" w:name="_Toc4680733"/>
      <w:bookmarkStart w:id="140" w:name="_Toc4683007"/>
      <w:bookmarkStart w:id="141" w:name="_Toc4683097"/>
      <w:bookmarkStart w:id="142" w:name="_Toc12021020"/>
      <w:r w:rsidRPr="00A04E56">
        <w:t>Asylum, Migration and Integration Fund</w:t>
      </w:r>
      <w:bookmarkEnd w:id="138"/>
      <w:bookmarkEnd w:id="139"/>
      <w:bookmarkEnd w:id="140"/>
      <w:bookmarkEnd w:id="141"/>
      <w:bookmarkEnd w:id="142"/>
    </w:p>
    <w:p w14:paraId="594B6A45" w14:textId="77777777" w:rsidR="005D36C6" w:rsidRPr="00A04E56" w:rsidRDefault="005D36C6" w:rsidP="00AA0340">
      <w:pPr>
        <w:pStyle w:val="Title3NumberedReport"/>
      </w:pPr>
      <w:bookmarkStart w:id="143" w:name="_Toc4680734"/>
      <w:bookmarkStart w:id="144" w:name="_Toc4683008"/>
      <w:r w:rsidRPr="00A04E56">
        <w:t>Programme objectives</w:t>
      </w:r>
      <w:bookmarkEnd w:id="143"/>
      <w:bookmarkEnd w:id="144"/>
      <w:r w:rsidRPr="00A04E56">
        <w:t xml:space="preserve"> </w:t>
      </w:r>
    </w:p>
    <w:p w14:paraId="3D38C39D" w14:textId="77777777" w:rsidR="005D36C6" w:rsidRPr="00A04E56" w:rsidRDefault="005D36C6" w:rsidP="005D36C6">
      <w:pPr>
        <w:pStyle w:val="BodyText1spaceafter"/>
      </w:pPr>
      <w:r w:rsidRPr="00A04E56">
        <w:t xml:space="preserve">Solidarity and the fair sharing of responsibilities between Member States is at the heart of the common asylum, migration and external-borders policies. </w:t>
      </w:r>
      <w:r w:rsidRPr="00A04E56">
        <w:rPr>
          <w:rStyle w:val="BOLDLIGHTBLUEReport"/>
          <w:rFonts w:eastAsia="Calibri"/>
        </w:rPr>
        <w:t>The management of migratory flows and security threats cannot be dealt with by the Member States acting alone.</w:t>
      </w:r>
      <w:r w:rsidRPr="00A04E56">
        <w:t xml:space="preserve"> The Asylum, Migration and Integration Fund</w:t>
      </w:r>
      <w:r w:rsidRPr="00A04E56">
        <w:rPr>
          <w:rStyle w:val="fnRef"/>
          <w:rFonts w:ascii="Calibri" w:hAnsi="Calibri" w:cs="Calibri"/>
        </w:rPr>
        <w:t> (</w:t>
      </w:r>
      <w:r w:rsidRPr="00A04E56">
        <w:rPr>
          <w:rStyle w:val="fnRefNo"/>
        </w:rPr>
        <w:footnoteReference w:id="191"/>
      </w:r>
      <w:r w:rsidRPr="00A04E56">
        <w:rPr>
          <w:rStyle w:val="fnRef"/>
        </w:rPr>
        <w:t>)</w:t>
      </w:r>
      <w:r w:rsidRPr="00A04E56">
        <w:t xml:space="preserve"> facilitates the efficient management of migration flows and the development of a common EU approach to asylum and migration. </w:t>
      </w:r>
    </w:p>
    <w:p w14:paraId="45B5431D" w14:textId="77777777" w:rsidR="005D36C6" w:rsidRPr="00A04E56" w:rsidRDefault="005D36C6" w:rsidP="00915546">
      <w:pPr>
        <w:pStyle w:val="BodyText1"/>
        <w:keepNext/>
        <w:spacing w:after="240"/>
        <w:rPr>
          <w:b/>
          <w:color w:val="65BBC8" w:themeColor="accent1"/>
          <w:lang w:val="en-GB"/>
        </w:rPr>
      </w:pPr>
      <w:r w:rsidRPr="00A04E56">
        <w:rPr>
          <w:b/>
          <w:color w:val="65BBC8" w:themeColor="accent1"/>
          <w:lang w:val="en-GB"/>
        </w:rPr>
        <w:t>The fund pursues four specific objectives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5D36C6" w:rsidRPr="00A04E56" w14:paraId="5D74144A" w14:textId="77777777" w:rsidTr="006C54DA">
        <w:trPr>
          <w:cantSplit/>
          <w:trHeight w:val="2381"/>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14:paraId="08BFD75A" w14:textId="77777777" w:rsidR="005D36C6" w:rsidRPr="00A04E56" w:rsidRDefault="005D36C6" w:rsidP="00277538">
            <w:pPr>
              <w:keepNext/>
              <w:spacing w:line="276" w:lineRule="auto"/>
              <w:jc w:val="center"/>
              <w:rPr>
                <w:rFonts w:cstheme="minorHAnsi"/>
                <w:szCs w:val="20"/>
              </w:rPr>
            </w:pPr>
            <w:r w:rsidRPr="00A04E56">
              <w:rPr>
                <w:noProof/>
                <w:lang w:val="fr-BE" w:eastAsia="fr-BE"/>
              </w:rPr>
              <w:drawing>
                <wp:inline distT="0" distB="0" distL="0" distR="0" wp14:anchorId="4A888A75" wp14:editId="62DF46FA">
                  <wp:extent cx="468000" cy="468000"/>
                  <wp:effectExtent l="0" t="0" r="8255" b="8255"/>
                  <wp:docPr id="681" name="Picture 681" descr="G:\Production\B2 prepresse\Raimonds\2019.1745 AMPR\50 - work on images\AMPR Icons\AMPR_Icons_Send2\AMPR_Icons_Send2\Icon_31000_AMI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Production\B2 prepresse\Raimonds\2019.1745 AMPR\50 - work on images\AMPR Icons\AMPR_Icons_Send2\AMPR_Icons_Send2\Icon_31000_AMIF_01.emf"/>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42B55164" w14:textId="77777777" w:rsidR="005D36C6" w:rsidRPr="00A04E56" w:rsidRDefault="005D36C6" w:rsidP="00277538">
            <w:pPr>
              <w:keepNext/>
              <w:spacing w:line="276" w:lineRule="auto"/>
              <w:rPr>
                <w:rFonts w:cstheme="minorHAnsi"/>
                <w:szCs w:val="20"/>
              </w:rPr>
            </w:pPr>
            <w:r w:rsidRPr="00A04E56">
              <w:rPr>
                <w:rFonts w:cstheme="minorHAnsi"/>
                <w:szCs w:val="20"/>
              </w:rPr>
              <w:t>Asylum: strengthening and developing the Common European Asylum System by ensuring that EU legislation in this field is efficiently and uniformly applied.</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41003DEC" w14:textId="77777777" w:rsidR="005D36C6" w:rsidRPr="00A04E56" w:rsidRDefault="005D36C6" w:rsidP="00277538">
            <w:pPr>
              <w:keepNext/>
              <w:spacing w:line="276" w:lineRule="auto"/>
              <w:jc w:val="center"/>
              <w:rPr>
                <w:rFonts w:cstheme="minorHAnsi"/>
                <w:szCs w:val="20"/>
                <w:lang w:eastAsia="hu-HU"/>
              </w:rPr>
            </w:pPr>
            <w:r w:rsidRPr="00A04E56">
              <w:rPr>
                <w:noProof/>
                <w:lang w:val="fr-BE" w:eastAsia="fr-BE"/>
              </w:rPr>
              <w:drawing>
                <wp:inline distT="0" distB="0" distL="0" distR="0" wp14:anchorId="41920C75" wp14:editId="2AB2DA4F">
                  <wp:extent cx="468000" cy="468000"/>
                  <wp:effectExtent l="0" t="0" r="8255" b="8255"/>
                  <wp:docPr id="682" name="Picture 682" descr="G:\Production\B2 prepresse\Raimonds\2019.1745 AMPR\50 - work on images\AMPR Icons\AMPR_Icons_Send2\AMPR_Icons_Send2\Icon_31000_AMI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Production\B2 prepresse\Raimonds\2019.1745 AMPR\50 - work on images\AMPR Icons\AMPR_Icons_Send2\AMPR_Icons_Send2\Icon_31000_AMIF_02.emf"/>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41546359" w14:textId="77777777" w:rsidR="005D36C6" w:rsidRPr="00A04E56" w:rsidRDefault="005D36C6" w:rsidP="00277538">
            <w:pPr>
              <w:keepNext/>
              <w:spacing w:line="276" w:lineRule="auto"/>
              <w:rPr>
                <w:rFonts w:cstheme="minorHAnsi"/>
                <w:szCs w:val="20"/>
              </w:rPr>
            </w:pPr>
            <w:r w:rsidRPr="00A04E56">
              <w:rPr>
                <w:rFonts w:cstheme="minorHAnsi"/>
                <w:szCs w:val="20"/>
              </w:rPr>
              <w:t>Return: enhancing fair and effective return strategies, which contribute to combating irregular migration, with an emphasis on the sustainability and effectiveness of the return process.</w:t>
            </w:r>
          </w:p>
        </w:tc>
      </w:tr>
      <w:tr w:rsidR="005D36C6" w:rsidRPr="00A04E56" w14:paraId="35E6AC52" w14:textId="77777777" w:rsidTr="006C54DA">
        <w:trPr>
          <w:cantSplit/>
          <w:trHeight w:val="2041"/>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493B353F" w14:textId="77777777" w:rsidR="005D36C6" w:rsidRPr="00A04E56" w:rsidRDefault="005D36C6" w:rsidP="00277538">
            <w:pPr>
              <w:spacing w:line="276" w:lineRule="auto"/>
              <w:jc w:val="center"/>
              <w:rPr>
                <w:rFonts w:cstheme="minorHAnsi"/>
                <w:szCs w:val="20"/>
                <w:lang w:eastAsia="hu-HU"/>
              </w:rPr>
            </w:pPr>
            <w:r w:rsidRPr="00A04E56">
              <w:rPr>
                <w:noProof/>
                <w:lang w:val="fr-BE" w:eastAsia="fr-BE"/>
              </w:rPr>
              <w:drawing>
                <wp:inline distT="0" distB="0" distL="0" distR="0" wp14:anchorId="3C4DAF96" wp14:editId="2A6DDB59">
                  <wp:extent cx="468000" cy="468000"/>
                  <wp:effectExtent l="0" t="0" r="8255" b="8255"/>
                  <wp:docPr id="680" name="Picture 680" descr="G:\Production\B2 prepresse\Raimonds\2019.1745 AMPR\50 - work on images\AMPR Icons\AMPR_Icons_Send2\AMPR_Icons_Send2\Icon_31000_AMI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Production\B2 prepresse\Raimonds\2019.1745 AMPR\50 - work on images\AMPR Icons\AMPR_Icons_Send2\AMPR_Icons_Send2\Icon_31000_AMIF_03.emf"/>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7F768DF8" w14:textId="77777777" w:rsidR="005D36C6" w:rsidRPr="00A04E56" w:rsidRDefault="005D36C6" w:rsidP="00277538">
            <w:pPr>
              <w:spacing w:line="276" w:lineRule="auto"/>
              <w:rPr>
                <w:rFonts w:cstheme="minorHAnsi"/>
                <w:szCs w:val="20"/>
              </w:rPr>
            </w:pPr>
            <w:r w:rsidRPr="00A04E56">
              <w:rPr>
                <w:rFonts w:cstheme="minorHAnsi"/>
                <w:szCs w:val="20"/>
              </w:rPr>
              <w:t>Legal migration and integration: supporting legal migration to EU Member States in line with the labour-market needs and promoting the effective integration of non-EU nationals.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02316C5E" w14:textId="77777777" w:rsidR="005D36C6" w:rsidRPr="00A04E56" w:rsidRDefault="005D36C6" w:rsidP="00277538">
            <w:pPr>
              <w:spacing w:line="276" w:lineRule="auto"/>
              <w:jc w:val="center"/>
              <w:rPr>
                <w:lang w:eastAsia="hu-HU"/>
              </w:rPr>
            </w:pPr>
            <w:r w:rsidRPr="00A04E56">
              <w:rPr>
                <w:noProof/>
                <w:lang w:val="fr-BE" w:eastAsia="fr-BE"/>
              </w:rPr>
              <w:drawing>
                <wp:inline distT="0" distB="0" distL="0" distR="0" wp14:anchorId="79A3F908" wp14:editId="5384A638">
                  <wp:extent cx="468000" cy="468000"/>
                  <wp:effectExtent l="0" t="0" r="8255" b="8255"/>
                  <wp:docPr id="683" name="Picture 683" descr="G:\Production\B2 prepresse\Raimonds\2019.1745 AMPR\50 - work on images\AMPR Icons\AMPR_Icons_Send2\AMPR_Icons_Send2\Icon_31000_AMI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Production\B2 prepresse\Raimonds\2019.1745 AMPR\50 - work on images\AMPR Icons\AMPR_Icons_Send2\AMPR_Icons_Send2\Icon_31000_AMIF_04.emf"/>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3D16FCA2" w14:textId="77777777" w:rsidR="005D36C6" w:rsidRPr="00A04E56" w:rsidRDefault="005D36C6" w:rsidP="00277538">
            <w:pPr>
              <w:spacing w:line="276" w:lineRule="auto"/>
              <w:rPr>
                <w:rFonts w:cstheme="minorHAnsi"/>
                <w:szCs w:val="20"/>
              </w:rPr>
            </w:pPr>
            <w:r w:rsidRPr="00A04E56">
              <w:rPr>
                <w:rFonts w:cstheme="minorHAnsi"/>
                <w:szCs w:val="20"/>
              </w:rPr>
              <w:t>Solidarity: making sure that the EU Member States most affected by migration and asylum flows can count on solidarity from other EU Member States.</w:t>
            </w:r>
          </w:p>
        </w:tc>
      </w:tr>
    </w:tbl>
    <w:p w14:paraId="1E9237B1" w14:textId="3A6DF778" w:rsidR="005D36C6" w:rsidRPr="00A04E56" w:rsidRDefault="008C1D39" w:rsidP="00AA0340">
      <w:pPr>
        <w:pStyle w:val="Title3NumberedReport"/>
      </w:pPr>
      <w:r w:rsidRPr="00A04E56">
        <w:t>Implementation and latest achievements</w:t>
      </w:r>
    </w:p>
    <w:p w14:paraId="6A6F4E8D" w14:textId="21D9DB51" w:rsidR="005D36C6" w:rsidRPr="00A04E56" w:rsidRDefault="005D36C6" w:rsidP="005D36C6">
      <w:pPr>
        <w:pStyle w:val="BodyText1spaceafter"/>
      </w:pPr>
      <w:r w:rsidRPr="00A04E56">
        <w:t xml:space="preserve">The financial resources mobilised for the fund over the 2014-2020 period amounted to </w:t>
      </w:r>
      <w:r w:rsidR="007E29BF" w:rsidRPr="00A04E56">
        <w:t xml:space="preserve">a total of </w:t>
      </w:r>
      <w:r w:rsidRPr="00A04E56">
        <w:t>EUR</w:t>
      </w:r>
      <w:r w:rsidRPr="00A04E56">
        <w:rPr>
          <w:rFonts w:ascii="Calibri" w:hAnsi="Calibri" w:cs="Calibri"/>
        </w:rPr>
        <w:t> </w:t>
      </w:r>
      <w:r w:rsidR="007E29BF" w:rsidRPr="00A04E56">
        <w:t>7.0</w:t>
      </w:r>
      <w:r w:rsidR="001D4858" w:rsidRPr="00A04E56">
        <w:rPr>
          <w:rFonts w:ascii="Calibri" w:hAnsi="Calibri" w:cs="Calibri"/>
        </w:rPr>
        <w:t> </w:t>
      </w:r>
      <w:r w:rsidRPr="00A04E56">
        <w:t>billion</w:t>
      </w:r>
      <w:r w:rsidR="007E29BF" w:rsidRPr="00A04E56">
        <w:t>, and EUR</w:t>
      </w:r>
      <w:r w:rsidR="001D4858" w:rsidRPr="00A04E56">
        <w:rPr>
          <w:rFonts w:ascii="Calibri" w:hAnsi="Calibri" w:cs="Calibri"/>
        </w:rPr>
        <w:t> </w:t>
      </w:r>
      <w:r w:rsidR="007E29BF" w:rsidRPr="00A04E56">
        <w:t>1</w:t>
      </w:r>
      <w:r w:rsidR="001D4858" w:rsidRPr="00A04E56">
        <w:rPr>
          <w:rFonts w:ascii="Calibri" w:hAnsi="Calibri" w:cs="Calibri"/>
        </w:rPr>
        <w:t> </w:t>
      </w:r>
      <w:r w:rsidR="007E29BF" w:rsidRPr="00A04E56">
        <w:t xml:space="preserve">billion in emergency funding. </w:t>
      </w:r>
      <w:r w:rsidRPr="00A04E56">
        <w:t>In the context of solidarity and fair burden sharing with the most affected Member States, the initial budget was substantially increased through top-ups to support relocation and resettlement, integration and return (the resources provided were linked to the revision of the Dublin regulation). By the end of 2018 more than EUR</w:t>
      </w:r>
      <w:r w:rsidRPr="00A04E56">
        <w:rPr>
          <w:rFonts w:ascii="Calibri" w:hAnsi="Calibri" w:cs="Calibri"/>
        </w:rPr>
        <w:t> </w:t>
      </w:r>
      <w:r w:rsidRPr="00A04E56" w:rsidDel="00E70A16">
        <w:rPr>
          <w:rFonts w:ascii="Calibri" w:hAnsi="Calibri" w:cs="Calibri"/>
        </w:rPr>
        <w:t>5</w:t>
      </w:r>
      <w:r w:rsidRPr="00A04E56">
        <w:rPr>
          <w:rFonts w:ascii="Calibri" w:hAnsi="Calibri" w:cs="Calibri"/>
        </w:rPr>
        <w:t> </w:t>
      </w:r>
      <w:r w:rsidRPr="00A04E56">
        <w:t xml:space="preserve">billion was already </w:t>
      </w:r>
      <w:r w:rsidR="007E29BF" w:rsidRPr="00A04E56">
        <w:t xml:space="preserve">allocated </w:t>
      </w:r>
      <w:r w:rsidRPr="00A04E56">
        <w:t>under the Asylum, Migration and Integration Fund</w:t>
      </w:r>
      <w:r w:rsidRPr="00A04E56">
        <w:rPr>
          <w:rStyle w:val="fnRef"/>
          <w:rFonts w:ascii="Arial" w:hAnsi="Arial" w:cs="Arial"/>
        </w:rPr>
        <w:t> </w:t>
      </w:r>
      <w:r w:rsidRPr="00A04E56">
        <w:rPr>
          <w:rStyle w:val="fnRef"/>
        </w:rPr>
        <w:t>(</w:t>
      </w:r>
      <w:r w:rsidRPr="00A04E56">
        <w:rPr>
          <w:rStyle w:val="fnRefNo"/>
        </w:rPr>
        <w:footnoteReference w:id="192"/>
      </w:r>
      <w:r w:rsidRPr="00A04E56">
        <w:rPr>
          <w:rStyle w:val="fnRef"/>
        </w:rPr>
        <w:t>)</w:t>
      </w:r>
      <w:r w:rsidRPr="00A04E56">
        <w:t xml:space="preserve">. </w:t>
      </w:r>
    </w:p>
    <w:p w14:paraId="4B255B7A" w14:textId="0823D218" w:rsidR="005D36C6" w:rsidRPr="00A04E56" w:rsidRDefault="005D36C6" w:rsidP="005D36C6">
      <w:pPr>
        <w:pStyle w:val="BodyText1spaceafter"/>
      </w:pPr>
      <w:r w:rsidRPr="00A04E56">
        <w:t xml:space="preserve">The Asylum, Migration and Integration Fund continued to deliver </w:t>
      </w:r>
      <w:r w:rsidR="008C1D39" w:rsidRPr="00A04E56">
        <w:rPr>
          <w:i/>
          <w:u w:val="single"/>
        </w:rPr>
        <w:t>in 2018</w:t>
      </w:r>
      <w:r w:rsidRPr="00A04E56">
        <w:t xml:space="preserve"> across all the four specific objectives. </w:t>
      </w:r>
      <w:r w:rsidR="008C1D39" w:rsidRPr="00A04E56">
        <w:rPr>
          <w:i/>
          <w:u w:val="single"/>
        </w:rPr>
        <w:t>In 2018</w:t>
      </w:r>
      <w:r w:rsidRPr="00A04E56">
        <w:t xml:space="preserve"> the total number of irregular border crossings detected at the external borders was around 150</w:t>
      </w:r>
      <w:r w:rsidRPr="00A04E56">
        <w:rPr>
          <w:rFonts w:ascii="Calibri" w:hAnsi="Calibri" w:cs="Calibri"/>
        </w:rPr>
        <w:t> </w:t>
      </w:r>
      <w:r w:rsidRPr="00A04E56">
        <w:t xml:space="preserve">000, a 25% decrease compared to 2017 and the lowest level in 5 years. The total number of irregular crossings detected </w:t>
      </w:r>
      <w:r w:rsidR="008C1D39" w:rsidRPr="00A04E56">
        <w:rPr>
          <w:i/>
          <w:u w:val="single"/>
        </w:rPr>
        <w:t>in 2018</w:t>
      </w:r>
      <w:r w:rsidRPr="00A04E56">
        <w:t xml:space="preserve"> was 92% below the total for 2015, the peak year of the migratory crisis.</w:t>
      </w:r>
    </w:p>
    <w:p w14:paraId="73333281" w14:textId="613F98E4" w:rsidR="005D36C6" w:rsidRPr="00A04E56" w:rsidRDefault="005D36C6" w:rsidP="005D36C6">
      <w:pPr>
        <w:pStyle w:val="BodyText1spaceafter"/>
      </w:pPr>
      <w:r w:rsidRPr="00A04E56">
        <w:t xml:space="preserve">The EU also provided </w:t>
      </w:r>
      <w:r w:rsidRPr="00A04E56">
        <w:rPr>
          <w:rStyle w:val="BOLDLIGHTBLUEReport"/>
          <w:rFonts w:eastAsia="Calibri"/>
        </w:rPr>
        <w:t>appropriate reception</w:t>
      </w:r>
      <w:r w:rsidRPr="00A04E56">
        <w:t xml:space="preserve"> of refugees. Emergency assistance responded to immediate and basic needs, providing food, shelter and medical care for refugees and support to unaccompanied minors. The capacity of the asylum services has been strengthened to be able to cope with the large number of asylum applications.</w:t>
      </w:r>
    </w:p>
    <w:p w14:paraId="52EB3AB3" w14:textId="50840B3F" w:rsidR="005D36C6" w:rsidRPr="00A04E56" w:rsidRDefault="008C1D39" w:rsidP="00277538">
      <w:pPr>
        <w:pStyle w:val="BodyText1spaceafter"/>
        <w:spacing w:after="360"/>
      </w:pPr>
      <w:r w:rsidRPr="00A04E56">
        <w:rPr>
          <w:i/>
          <w:u w:val="single"/>
        </w:rPr>
        <w:t>In 2018</w:t>
      </w:r>
      <w:r w:rsidR="007E29BF" w:rsidRPr="00A04E56">
        <w:t>,</w:t>
      </w:r>
      <w:r w:rsidR="007E29BF" w:rsidRPr="00A04E56">
        <w:rPr>
          <w:rStyle w:val="BOLDLIGHTBLUEReport"/>
          <w:rFonts w:eastAsia="Calibri"/>
        </w:rPr>
        <w:t xml:space="preserve"> financial assistance</w:t>
      </w:r>
      <w:r w:rsidR="007E29BF" w:rsidRPr="00A04E56">
        <w:t xml:space="preserve"> to Greece contributed to improving the situation in the hotspots on the Aegean islands and more broadly in the country. To decongest the hotspots, the Asylum, Migration and Integration Fund supported the transfer of 29</w:t>
      </w:r>
      <w:r w:rsidR="007E29BF" w:rsidRPr="00A04E56">
        <w:rPr>
          <w:rFonts w:ascii="Calibri" w:hAnsi="Calibri" w:cs="Calibri"/>
        </w:rPr>
        <w:t> </w:t>
      </w:r>
      <w:r w:rsidR="007E29BF" w:rsidRPr="00A04E56">
        <w:t>540 persons to the mainland. With emergency assistance, blankets, winter jackets and other winter supply kits was provided at reception facilities, and the presence of police personnel was covered as to increase security of migrants and staff.</w:t>
      </w:r>
      <w:r w:rsidR="007E29BF" w:rsidRPr="00A04E56">
        <w:rPr>
          <w:i/>
        </w:rPr>
        <w:t xml:space="preserve"> </w:t>
      </w:r>
      <w:r w:rsidRPr="00A04E56">
        <w:rPr>
          <w:i/>
          <w:u w:val="single"/>
        </w:rPr>
        <w:t>In 2018</w:t>
      </w:r>
      <w:r w:rsidR="005D36C6" w:rsidRPr="00A04E56">
        <w:t xml:space="preserve"> the Commission </w:t>
      </w:r>
      <w:r w:rsidR="007E29BF" w:rsidRPr="00A04E56">
        <w:t xml:space="preserve">and the European Asylum Support Office </w:t>
      </w:r>
      <w:r w:rsidR="005D36C6" w:rsidRPr="00A04E56">
        <w:t xml:space="preserve">continued to support the </w:t>
      </w:r>
      <w:r w:rsidR="007E29BF" w:rsidRPr="00A04E56">
        <w:t xml:space="preserve">functioning </w:t>
      </w:r>
      <w:r w:rsidR="005D36C6" w:rsidRPr="00A04E56">
        <w:t>of the Greek asylum service</w:t>
      </w:r>
      <w:r w:rsidR="007E29BF" w:rsidRPr="00A04E56">
        <w:t xml:space="preserve"> and the appeals committees</w:t>
      </w:r>
      <w:r w:rsidR="005D36C6" w:rsidRPr="00A04E56">
        <w:t>. The support included the purchase of work equipment (IT equipment including 158 workstations), a</w:t>
      </w:r>
      <w:r w:rsidR="005D36C6" w:rsidRPr="00A04E56" w:rsidDel="00C86CE3">
        <w:t xml:space="preserve"> </w:t>
      </w:r>
      <w:r w:rsidR="005D36C6" w:rsidRPr="00A04E56">
        <w:t>pool of interpreters, training for 300 staff members, and the deployment of 20 police officers to implement the action plan provided for in the EU-Turkey statement</w:t>
      </w:r>
      <w:r w:rsidR="0096147F" w:rsidRPr="00A04E56">
        <w:rPr>
          <w:rFonts w:ascii="Calibri" w:hAnsi="Calibri" w:cs="Calibri"/>
        </w:rPr>
        <w:t> </w:t>
      </w:r>
      <w:r w:rsidR="007E29BF" w:rsidRPr="00A04E56">
        <w:t>(</w:t>
      </w:r>
      <w:r w:rsidR="005D36C6" w:rsidRPr="00277538">
        <w:rPr>
          <w:rStyle w:val="fnRefNo"/>
        </w:rPr>
        <w:footnoteReference w:id="193"/>
      </w:r>
      <w:r w:rsidR="007E29BF" w:rsidRPr="00A04E56">
        <w:t>)</w:t>
      </w:r>
      <w:r w:rsidR="005D36C6" w:rsidRPr="00A04E56">
        <w:t xml:space="preserve">. Furthermore, </w:t>
      </w:r>
      <w:r w:rsidR="005D36C6" w:rsidRPr="00A04E56" w:rsidDel="007B287D">
        <w:t>s</w:t>
      </w:r>
      <w:r w:rsidR="005D36C6" w:rsidRPr="00A04E56">
        <w:t>everal emergency-assistance projects provided support to services and activities for minors</w:t>
      </w:r>
      <w:r w:rsidR="005D36C6" w:rsidRPr="00A04E56" w:rsidDel="007B3BCD">
        <w:t>:</w:t>
      </w:r>
      <w:r w:rsidR="005D36C6" w:rsidRPr="00A04E56">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747B74" w:rsidRPr="00A04E56" w14:paraId="21AC8E55" w14:textId="77777777" w:rsidTr="006C54DA">
        <w:trPr>
          <w:cantSplit/>
          <w:trHeight w:val="107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14:paraId="59E22B37" w14:textId="38F2B127" w:rsidR="00747B74" w:rsidRPr="00A04E56" w:rsidRDefault="002673AF" w:rsidP="00277538">
            <w:pPr>
              <w:keepNext/>
              <w:spacing w:line="276" w:lineRule="auto"/>
              <w:jc w:val="center"/>
              <w:rPr>
                <w:rFonts w:cstheme="minorHAnsi"/>
                <w:szCs w:val="20"/>
              </w:rPr>
            </w:pPr>
            <w:r w:rsidRPr="00A04E56">
              <w:rPr>
                <w:noProof/>
                <w:lang w:val="fr-BE" w:eastAsia="fr-BE"/>
              </w:rPr>
              <w:drawing>
                <wp:inline distT="0" distB="0" distL="0" distR="0" wp14:anchorId="754A916A" wp14:editId="22E997B9">
                  <wp:extent cx="468000" cy="468000"/>
                  <wp:effectExtent l="0" t="0" r="8255" b="8255"/>
                  <wp:docPr id="14213" name="Picture 14213" descr="C:\Users\ertsrra\AppData\Local\Microsoft\Windows\INetCache\Content.Word\Icon_31000_AMIF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rtsrra\AppData\Local\Microsoft\Windows\INetCache\Content.Word\Icon_31000_AMIF_05.emf"/>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54A0BCF6" w14:textId="00E8F41F" w:rsidR="00747B74" w:rsidRPr="00A04E56" w:rsidRDefault="00747B74" w:rsidP="00277538">
            <w:pPr>
              <w:keepNext/>
              <w:spacing w:line="276" w:lineRule="auto"/>
              <w:rPr>
                <w:rFonts w:cstheme="minorHAnsi"/>
                <w:szCs w:val="20"/>
              </w:rPr>
            </w:pPr>
            <w:r w:rsidRPr="00A04E56">
              <w:t>520 accommodation places were operational throughout the year.</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357E1D5B" w14:textId="5182EC6D" w:rsidR="00747B74" w:rsidRPr="00A04E56" w:rsidRDefault="002673AF" w:rsidP="00277538">
            <w:pPr>
              <w:keepNext/>
              <w:spacing w:line="276" w:lineRule="auto"/>
              <w:jc w:val="center"/>
              <w:rPr>
                <w:rFonts w:cstheme="minorHAnsi"/>
                <w:szCs w:val="20"/>
                <w:lang w:eastAsia="hu-HU"/>
              </w:rPr>
            </w:pPr>
            <w:r w:rsidRPr="00A04E56">
              <w:rPr>
                <w:noProof/>
                <w:lang w:val="fr-BE" w:eastAsia="fr-BE"/>
              </w:rPr>
              <w:drawing>
                <wp:inline distT="0" distB="0" distL="0" distR="0" wp14:anchorId="5E436EB8" wp14:editId="766E64D4">
                  <wp:extent cx="468000" cy="468000"/>
                  <wp:effectExtent l="0" t="0" r="8255" b="8255"/>
                  <wp:docPr id="14612" name="Picture 14612" descr="C:\Users\ertsrra\AppData\Local\Microsoft\Windows\INetCache\Content.Word\Icon_31000_AMIF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rtsrra\AppData\Local\Microsoft\Windows\INetCache\Content.Word\Icon_31000_AMIF_06.emf"/>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42390CCB" w14:textId="65577CA8" w:rsidR="00747B74" w:rsidRPr="00A04E56" w:rsidRDefault="00747B74" w:rsidP="00277538">
            <w:pPr>
              <w:keepNext/>
              <w:spacing w:line="276" w:lineRule="auto"/>
              <w:rPr>
                <w:rFonts w:cstheme="minorHAnsi"/>
                <w:szCs w:val="20"/>
              </w:rPr>
            </w:pPr>
            <w:r w:rsidRPr="00A04E56">
              <w:t>1</w:t>
            </w:r>
            <w:r w:rsidRPr="00A04E56">
              <w:rPr>
                <w:rFonts w:ascii="Calibri" w:hAnsi="Calibri" w:cs="Calibri"/>
              </w:rPr>
              <w:t> </w:t>
            </w:r>
            <w:r w:rsidRPr="00A04E56" w:rsidDel="006B6F86">
              <w:t>845</w:t>
            </w:r>
            <w:r w:rsidRPr="00A04E56">
              <w:t xml:space="preserve"> children were transported to state schools.</w:t>
            </w:r>
          </w:p>
        </w:tc>
      </w:tr>
      <w:tr w:rsidR="00747B74" w:rsidRPr="00A04E56" w14:paraId="0C22A0EC" w14:textId="77777777" w:rsidTr="006C54DA">
        <w:trPr>
          <w:cantSplit/>
          <w:trHeight w:val="113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73DD0A66" w14:textId="26B4E179" w:rsidR="00747B74" w:rsidRPr="00A04E56" w:rsidRDefault="002673AF" w:rsidP="00277538">
            <w:pPr>
              <w:keepNext/>
              <w:spacing w:line="276" w:lineRule="auto"/>
              <w:jc w:val="center"/>
              <w:rPr>
                <w:rFonts w:cstheme="minorHAnsi"/>
                <w:szCs w:val="20"/>
                <w:lang w:eastAsia="hu-HU"/>
              </w:rPr>
            </w:pPr>
            <w:r w:rsidRPr="00A04E56">
              <w:rPr>
                <w:noProof/>
                <w:lang w:val="fr-BE" w:eastAsia="fr-BE"/>
              </w:rPr>
              <w:drawing>
                <wp:inline distT="0" distB="0" distL="0" distR="0" wp14:anchorId="08FA1F54" wp14:editId="041F03F1">
                  <wp:extent cx="468000" cy="468000"/>
                  <wp:effectExtent l="0" t="0" r="8255" b="8255"/>
                  <wp:docPr id="14613" name="Picture 14613" descr="C:\Users\ertsrra\AppData\Local\Microsoft\Windows\INetCache\Content.Word\Icon_31000_AMIF_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rtsrra\AppData\Local\Microsoft\Windows\INetCache\Content.Word\Icon_31000_AMIF_07.emf"/>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01E4DBC0" w14:textId="20AFE84A" w:rsidR="00747B74" w:rsidRPr="00A04E56" w:rsidRDefault="00747B74" w:rsidP="00277538">
            <w:pPr>
              <w:keepNext/>
              <w:spacing w:line="276" w:lineRule="auto"/>
              <w:rPr>
                <w:rFonts w:cstheme="minorHAnsi"/>
                <w:szCs w:val="20"/>
              </w:rPr>
            </w:pPr>
            <w:r w:rsidRPr="00A04E56">
              <w:t>784 benefited from accommodation and protection services.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43CF0F6B" w14:textId="02EF9780" w:rsidR="00747B74" w:rsidRPr="00A04E56" w:rsidRDefault="00747B74" w:rsidP="00277538">
            <w:pPr>
              <w:keepNext/>
              <w:spacing w:line="276" w:lineRule="auto"/>
              <w:rPr>
                <w:lang w:eastAsia="hu-HU"/>
              </w:rPr>
            </w:pP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798F5E53" w14:textId="27902733" w:rsidR="00747B74" w:rsidRPr="00A04E56" w:rsidRDefault="00747B74" w:rsidP="00277538">
            <w:pPr>
              <w:keepNext/>
              <w:spacing w:line="276" w:lineRule="auto"/>
              <w:rPr>
                <w:rFonts w:cstheme="minorHAnsi"/>
                <w:szCs w:val="20"/>
              </w:rPr>
            </w:pPr>
          </w:p>
        </w:tc>
      </w:tr>
    </w:tbl>
    <w:p w14:paraId="79FBAB1E" w14:textId="7136C293" w:rsidR="00747B74" w:rsidRPr="00A04E56" w:rsidRDefault="00CA318E" w:rsidP="00D32F00">
      <w:pPr>
        <w:pStyle w:val="Source-Table-Chart-PhotoCaption"/>
      </w:pPr>
      <w:r w:rsidRPr="00A04E56">
        <w:rPr>
          <w:rStyle w:val="italics"/>
        </w:rPr>
        <w:t>Source:</w:t>
      </w:r>
      <w:r w:rsidRPr="00A04E56">
        <w:t xml:space="preserve"> Programme statement</w:t>
      </w:r>
      <w:r w:rsidR="0035735C" w:rsidRPr="00A04E56">
        <w:t xml:space="preserve"> 2018</w:t>
      </w:r>
      <w:r w:rsidRPr="00A04E56">
        <w:t>, p. 3.</w:t>
      </w:r>
    </w:p>
    <w:p w14:paraId="05E94848" w14:textId="77777777" w:rsidR="005D36C6" w:rsidRPr="00A04E56" w:rsidRDefault="005D36C6" w:rsidP="00277538">
      <w:pPr>
        <w:pStyle w:val="BodyText1spacebeforeandafter"/>
        <w:spacing w:before="360"/>
      </w:pPr>
      <w:r w:rsidRPr="00A04E56">
        <w:t xml:space="preserve">For Italy, projects focused on ensuring effective and coordinated psychosocial protection services for the benefit of unaccompanied minors in hotspots; providing accommodation and reception services for relocation candidates; supporting the asylum sections of immigration and border police offices; and carrying out assisted voluntary returns from Italy and reintegration in migrants’ home countries. </w:t>
      </w:r>
    </w:p>
    <w:p w14:paraId="05E90564" w14:textId="4986A691" w:rsidR="005D36C6" w:rsidRPr="00A04E56" w:rsidRDefault="003F1A41">
      <w:pPr>
        <w:pStyle w:val="BodyText1spaceafter"/>
      </w:pPr>
      <w:r w:rsidRPr="00A04E56">
        <w:rPr>
          <w:rStyle w:val="BOLDLIGHTBLUEReport"/>
          <w:rFonts w:eastAsia="Calibri"/>
        </w:rPr>
        <w:t>Resettlement</w:t>
      </w:r>
      <w:r w:rsidRPr="00A04E56">
        <w:rPr>
          <w:rStyle w:val="fnRef"/>
          <w:rFonts w:ascii="Calibri" w:hAnsi="Calibri"/>
        </w:rPr>
        <w:t> </w:t>
      </w:r>
      <w:r w:rsidR="005D36C6" w:rsidRPr="00A04E56">
        <w:rPr>
          <w:rStyle w:val="fnRef"/>
        </w:rPr>
        <w:t>(</w:t>
      </w:r>
      <w:r w:rsidR="005D36C6" w:rsidRPr="00A04E56">
        <w:rPr>
          <w:rStyle w:val="fnRefNo"/>
        </w:rPr>
        <w:footnoteReference w:id="194"/>
      </w:r>
      <w:r w:rsidR="005D36C6" w:rsidRPr="00A04E56">
        <w:rPr>
          <w:rStyle w:val="fnRef"/>
        </w:rPr>
        <w:t>)</w:t>
      </w:r>
      <w:r w:rsidRPr="00A04E56">
        <w:rPr>
          <w:rFonts w:eastAsiaTheme="minorHAnsi"/>
        </w:rPr>
        <w:t xml:space="preserve"> </w:t>
      </w:r>
      <w:r w:rsidR="005011A7" w:rsidRPr="00A04E56">
        <w:t xml:space="preserve">offers </w:t>
      </w:r>
      <w:r w:rsidR="005D36C6" w:rsidRPr="00A04E56">
        <w:t>safe and legal pathway</w:t>
      </w:r>
      <w:r w:rsidR="005011A7" w:rsidRPr="00A04E56">
        <w:t>s</w:t>
      </w:r>
      <w:r w:rsidR="005D36C6" w:rsidRPr="00A04E56">
        <w:t xml:space="preserve"> to those in need of international protection. </w:t>
      </w:r>
      <w:r w:rsidR="006254A0" w:rsidRPr="00A04E56">
        <w:t xml:space="preserve">From </w:t>
      </w:r>
      <w:r w:rsidR="005D36C6" w:rsidRPr="00A04E56">
        <w:t xml:space="preserve">2015 </w:t>
      </w:r>
      <w:r w:rsidR="006254A0" w:rsidRPr="00A04E56">
        <w:t>until the end of 2018,</w:t>
      </w:r>
      <w:r w:rsidR="005D36C6" w:rsidRPr="00A04E56">
        <w:t xml:space="preserve"> different EU resettlement </w:t>
      </w:r>
      <w:r w:rsidR="005011A7" w:rsidRPr="00A04E56">
        <w:t xml:space="preserve">schemes </w:t>
      </w:r>
      <w:r w:rsidR="005D36C6" w:rsidRPr="00A04E56">
        <w:t xml:space="preserve">have helped over 48 700 of the most vulnerable find shelter in the EU. This includes almost </w:t>
      </w:r>
      <w:r w:rsidR="005011A7" w:rsidRPr="00A04E56">
        <w:t>21 000</w:t>
      </w:r>
      <w:r w:rsidR="005D36C6" w:rsidRPr="00A04E56">
        <w:t xml:space="preserve"> individuals, whom Member States resettled </w:t>
      </w:r>
      <w:r w:rsidR="008C1D39" w:rsidRPr="00A04E56">
        <w:rPr>
          <w:i/>
          <w:u w:val="single"/>
        </w:rPr>
        <w:t>in 2018</w:t>
      </w:r>
      <w:r w:rsidR="005713A6" w:rsidRPr="00A04E56">
        <w:rPr>
          <w:rStyle w:val="fnRef"/>
          <w:rFonts w:ascii="Calibri" w:hAnsi="Calibri"/>
        </w:rPr>
        <w:t> </w:t>
      </w:r>
      <w:r w:rsidR="005011A7" w:rsidRPr="00A04E56">
        <w:rPr>
          <w:rStyle w:val="fnRef"/>
        </w:rPr>
        <w:t>(</w:t>
      </w:r>
      <w:r w:rsidR="005011A7" w:rsidRPr="00A04E56">
        <w:rPr>
          <w:rStyle w:val="fnRefNo"/>
        </w:rPr>
        <w:footnoteReference w:id="195"/>
      </w:r>
      <w:r w:rsidR="005011A7" w:rsidRPr="00A04E56">
        <w:rPr>
          <w:rStyle w:val="fnRef"/>
        </w:rPr>
        <w:t>)</w:t>
      </w:r>
      <w:r w:rsidR="005011A7" w:rsidRPr="00A04E56">
        <w:rPr>
          <w:rFonts w:ascii="Times New Roman" w:hAnsi="Times New Roman"/>
          <w:sz w:val="24"/>
          <w:szCs w:val="24"/>
          <w:lang w:eastAsia="en-GB"/>
        </w:rPr>
        <w:t xml:space="preserve"> </w:t>
      </w:r>
      <w:r w:rsidR="005D36C6" w:rsidRPr="00A04E56">
        <w:t>as part of a common pledge to resettle more than 50</w:t>
      </w:r>
      <w:r w:rsidR="005D36C6" w:rsidRPr="00A04E56">
        <w:rPr>
          <w:rFonts w:ascii="Calibri" w:hAnsi="Calibri" w:cs="Calibri"/>
        </w:rPr>
        <w:t> </w:t>
      </w:r>
      <w:r w:rsidR="005D36C6" w:rsidRPr="00A04E56">
        <w:t>000 persons in need of protection by the end of October 2019 — the largest EU resettlement scheme to date.</w:t>
      </w:r>
    </w:p>
    <w:p w14:paraId="4B8AA110" w14:textId="543E05A6" w:rsidR="005D36C6" w:rsidRPr="00A04E56" w:rsidRDefault="005D36C6" w:rsidP="0025312D">
      <w:pPr>
        <w:pStyle w:val="BodyText1spacebeforeandafter"/>
      </w:pPr>
      <w:r w:rsidRPr="00A04E56">
        <w:t xml:space="preserve">The </w:t>
      </w:r>
      <w:r w:rsidR="00AD1067" w:rsidRPr="00A04E56">
        <w:t>relocation</w:t>
      </w:r>
      <w:r w:rsidR="00AD1067" w:rsidRPr="00A04E56">
        <w:rPr>
          <w:rStyle w:val="fnRef"/>
          <w:rFonts w:ascii="Calibri" w:hAnsi="Calibri"/>
        </w:rPr>
        <w:t> </w:t>
      </w:r>
      <w:r w:rsidRPr="00A04E56">
        <w:rPr>
          <w:rStyle w:val="fnRef"/>
        </w:rPr>
        <w:t>(</w:t>
      </w:r>
      <w:r w:rsidRPr="00A04E56">
        <w:rPr>
          <w:rStyle w:val="fnRefNo"/>
        </w:rPr>
        <w:footnoteReference w:id="196"/>
      </w:r>
      <w:r w:rsidRPr="00A04E56">
        <w:rPr>
          <w:rStyle w:val="fnRef"/>
        </w:rPr>
        <w:t>)</w:t>
      </w:r>
      <w:r w:rsidRPr="00A04E56">
        <w:t xml:space="preserve"> scheme ended </w:t>
      </w:r>
      <w:r w:rsidR="008C1D39" w:rsidRPr="00A04E56">
        <w:rPr>
          <w:i/>
          <w:u w:val="single"/>
        </w:rPr>
        <w:t>in 2018</w:t>
      </w:r>
      <w:r w:rsidRPr="00A04E56">
        <w:t xml:space="preserve">. Thanks to concerted efforts by the Member States and other relevant stakeholders, by the end of 2018, 34 709 persons had been </w:t>
      </w:r>
      <w:r w:rsidRPr="00A04E56">
        <w:rPr>
          <w:rStyle w:val="BOLDLIGHTBLUEReport"/>
          <w:rFonts w:eastAsia="Calibri"/>
        </w:rPr>
        <w:t xml:space="preserve">relocated </w:t>
      </w:r>
      <w:r w:rsidRPr="00A04E56">
        <w:t>(12 710 from Italy and 21</w:t>
      </w:r>
      <w:r w:rsidRPr="00A04E56">
        <w:rPr>
          <w:rFonts w:ascii="Calibri" w:hAnsi="Calibri" w:cs="Calibri"/>
        </w:rPr>
        <w:t> </w:t>
      </w:r>
      <w:r w:rsidRPr="00A04E56">
        <w:t xml:space="preserve">999 from Greece), which represents over 95% of all eligible and registered candidates for relocation in Italy and Greece under the 2015 Council Decisions. Out of these, 1 556 persons were relocated </w:t>
      </w:r>
      <w:r w:rsidR="008C1D39" w:rsidRPr="00A04E56">
        <w:rPr>
          <w:i/>
          <w:u w:val="single"/>
        </w:rPr>
        <w:t>in 2018</w:t>
      </w:r>
      <w:r w:rsidRPr="00A04E56">
        <w:t xml:space="preserve">. </w:t>
      </w:r>
    </w:p>
    <w:p w14:paraId="7A57A8FE" w14:textId="3EED6C43" w:rsidR="005D36C6" w:rsidRPr="00A04E56" w:rsidRDefault="005D36C6" w:rsidP="007221BB">
      <w:pPr>
        <w:pStyle w:val="BodyText1spaceafter"/>
      </w:pPr>
      <w:r w:rsidRPr="00A04E56">
        <w:t xml:space="preserve">In the area of </w:t>
      </w:r>
      <w:r w:rsidRPr="00A04E56">
        <w:rPr>
          <w:rStyle w:val="BOLDLIGHTBLUEReport"/>
          <w:rFonts w:eastAsia="Calibri"/>
        </w:rPr>
        <w:t>integration,</w:t>
      </w:r>
      <w:r w:rsidRPr="00A04E56">
        <w:t xml:space="preserve"> </w:t>
      </w:r>
      <w:r w:rsidR="008C1D39" w:rsidRPr="00A04E56">
        <w:rPr>
          <w:i/>
          <w:u w:val="single"/>
        </w:rPr>
        <w:t>in 2018</w:t>
      </w:r>
      <w:r w:rsidRPr="00A04E56">
        <w:t>, two</w:t>
      </w:r>
      <w:r w:rsidRPr="00A04E56">
        <w:rPr>
          <w:rFonts w:ascii="Calibri" w:hAnsi="Calibri" w:cs="Calibri"/>
        </w:rPr>
        <w:t> million</w:t>
      </w:r>
      <w:r w:rsidRPr="00A04E56">
        <w:t xml:space="preserve"> third-country nationals were assisted through integration measures as part of national, local and regional strategies, reaching a cumulative number of </w:t>
      </w:r>
      <w:r w:rsidR="0087228F" w:rsidRPr="00A04E56">
        <w:t>5.38</w:t>
      </w:r>
      <w:r w:rsidRPr="00A04E56">
        <w:rPr>
          <w:rFonts w:ascii="Calibri" w:hAnsi="Calibri" w:cs="Calibri"/>
        </w:rPr>
        <w:t> million</w:t>
      </w:r>
      <w:r w:rsidRPr="00A04E56">
        <w:t xml:space="preserve"> covering the period 2014</w:t>
      </w:r>
      <w:r w:rsidRPr="00A04E56">
        <w:rPr>
          <w:rFonts w:eastAsia="Times New Roman"/>
          <w:szCs w:val="20"/>
          <w:lang w:eastAsia="en-GB"/>
        </w:rPr>
        <w:t>-2018. The actions consisted in education and training, including language training and preparatory actions to facilitate</w:t>
      </w:r>
      <w:r w:rsidRPr="00A04E56">
        <w:t xml:space="preserve"> access to the labour market. Furthermore, advice and assistance were provided in the area of housing, means of subsistence and administrative and legal guidance, medical and psychological care.</w:t>
      </w:r>
    </w:p>
    <w:p w14:paraId="2E121BA3" w14:textId="59365312" w:rsidR="005D36C6" w:rsidRPr="00A04E56" w:rsidRDefault="008C1D39" w:rsidP="002E6B1C">
      <w:pPr>
        <w:pStyle w:val="BodyText1spaceafter"/>
      </w:pPr>
      <w:r w:rsidRPr="00A04E56">
        <w:rPr>
          <w:i/>
          <w:u w:val="single"/>
        </w:rPr>
        <w:t>In 2018</w:t>
      </w:r>
      <w:r w:rsidR="005D36C6" w:rsidRPr="00A04E56">
        <w:t xml:space="preserve">, </w:t>
      </w:r>
      <w:r w:rsidR="005011A7" w:rsidRPr="00A04E56">
        <w:t xml:space="preserve">39 </w:t>
      </w:r>
      <w:r w:rsidR="00452268">
        <w:t>500</w:t>
      </w:r>
      <w:r w:rsidR="00042D3B" w:rsidRPr="00A04E56">
        <w:rPr>
          <w:rStyle w:val="fnRef"/>
          <w:rFonts w:ascii="Calibri" w:hAnsi="Calibri"/>
        </w:rPr>
        <w:t> </w:t>
      </w:r>
      <w:r w:rsidR="00E83CEA" w:rsidRPr="00A04E56">
        <w:rPr>
          <w:rStyle w:val="fnRef"/>
        </w:rPr>
        <w:t>(</w:t>
      </w:r>
      <w:r w:rsidR="00E83CEA" w:rsidRPr="00A04E56">
        <w:rPr>
          <w:rStyle w:val="fnRefNo"/>
        </w:rPr>
        <w:footnoteReference w:id="197"/>
      </w:r>
      <w:r w:rsidR="00E83CEA" w:rsidRPr="00A04E56">
        <w:rPr>
          <w:rStyle w:val="fnRef"/>
        </w:rPr>
        <w:t>)</w:t>
      </w:r>
      <w:r w:rsidR="00E83CEA" w:rsidRPr="00A04E56">
        <w:rPr>
          <w:rFonts w:ascii="Times New Roman" w:hAnsi="Times New Roman"/>
          <w:sz w:val="24"/>
          <w:szCs w:val="24"/>
          <w:lang w:eastAsia="en-GB"/>
        </w:rPr>
        <w:t xml:space="preserve"> </w:t>
      </w:r>
      <w:r w:rsidR="005D36C6" w:rsidRPr="00A04E56">
        <w:t xml:space="preserve">persons  (16 049 in the 2017) were </w:t>
      </w:r>
      <w:r w:rsidR="005D36C6" w:rsidRPr="00A04E56">
        <w:rPr>
          <w:rStyle w:val="BOLDLIGHTBLUEReport"/>
          <w:rFonts w:eastAsia="Calibri"/>
        </w:rPr>
        <w:t>voluntarily returned</w:t>
      </w:r>
      <w:r w:rsidR="005D36C6" w:rsidRPr="00A04E56">
        <w:t xml:space="preserve"> </w:t>
      </w:r>
      <w:r w:rsidR="005011A7" w:rsidRPr="00A04E56">
        <w:t xml:space="preserve">from the EU </w:t>
      </w:r>
      <w:r w:rsidR="005D36C6" w:rsidRPr="00A04E56">
        <w:t xml:space="preserve">with support of the </w:t>
      </w:r>
      <w:r w:rsidR="005011A7" w:rsidRPr="00A04E56">
        <w:t>Asylum, Migration and Integration F</w:t>
      </w:r>
      <w:r w:rsidR="005D36C6" w:rsidRPr="00A04E56">
        <w:t xml:space="preserve">und. Out of the total number of returnees, </w:t>
      </w:r>
      <w:r w:rsidR="00E83CEA" w:rsidRPr="00A04E56">
        <w:t xml:space="preserve">23 843 </w:t>
      </w:r>
      <w:r w:rsidR="005D36C6" w:rsidRPr="00A04E56">
        <w:t xml:space="preserve">persons received pre- or post-return reintegration assistance co-financed by the </w:t>
      </w:r>
      <w:r w:rsidR="00AE4B2D" w:rsidRPr="00A04E56">
        <w:t>fund</w:t>
      </w:r>
      <w:r w:rsidR="005D36C6" w:rsidRPr="00A04E56">
        <w:t>.</w:t>
      </w:r>
      <w:r w:rsidR="005D36C6" w:rsidRPr="00A04E56" w:rsidDel="007F294B">
        <w:t xml:space="preserve"> </w:t>
      </w:r>
      <w:r w:rsidR="005D36C6" w:rsidRPr="00A04E56">
        <w:t xml:space="preserve">Some </w:t>
      </w:r>
      <w:r w:rsidR="00AF17EA" w:rsidRPr="00A04E56">
        <w:t xml:space="preserve">9 </w:t>
      </w:r>
      <w:r w:rsidR="00916BD5" w:rsidRPr="00A04E56">
        <w:t>260</w:t>
      </w:r>
      <w:r w:rsidR="005D36C6" w:rsidRPr="00A04E56">
        <w:t xml:space="preserve"> employees benefited from capacity-building training in return-related topics. To ensure the compliance of removals with the human rights and the dignity of the returnees, 3 510 removal operations were monitored with the financial support of the fund. These rates of </w:t>
      </w:r>
      <w:r w:rsidR="00E83CEA" w:rsidRPr="00A04E56">
        <w:t xml:space="preserve">voluntary </w:t>
      </w:r>
      <w:r w:rsidR="005D36C6" w:rsidRPr="00A04E56">
        <w:t>return are still lower than those envisaged</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198"/>
      </w:r>
      <w:r w:rsidR="005D36C6" w:rsidRPr="00A04E56">
        <w:rPr>
          <w:rStyle w:val="fnRef"/>
        </w:rPr>
        <w:t>)</w:t>
      </w:r>
      <w:r w:rsidR="005D36C6" w:rsidRPr="00A04E56">
        <w:t>.</w:t>
      </w:r>
      <w:r w:rsidR="00E83CEA" w:rsidRPr="00A04E56">
        <w:t xml:space="preserve">To increase the overall return rate, there is an </w:t>
      </w:r>
      <w:r w:rsidR="005D36C6" w:rsidRPr="00A04E56">
        <w:t xml:space="preserve">urgent need to work in parallel on the internal and external aspects of the migration policy, by improving the legal framework of returns and increasing the number of readmission agreements with non-EU (‘third’) countries. The swift adoption of the proposal to revise the </w:t>
      </w:r>
      <w:r w:rsidR="00AE4B2D" w:rsidRPr="00A04E56">
        <w:t>return directive</w:t>
      </w:r>
      <w:r w:rsidR="00AE4B2D" w:rsidRPr="00A04E56">
        <w:rPr>
          <w:rStyle w:val="fnRef"/>
          <w:rFonts w:ascii="Calibri" w:hAnsi="Calibri" w:cs="Calibri"/>
        </w:rPr>
        <w:t> </w:t>
      </w:r>
      <w:r w:rsidR="005D36C6" w:rsidRPr="00A04E56">
        <w:rPr>
          <w:rStyle w:val="fnRef"/>
        </w:rPr>
        <w:t>(</w:t>
      </w:r>
      <w:r w:rsidR="005D36C6" w:rsidRPr="00A04E56">
        <w:rPr>
          <w:rStyle w:val="fnRefNo"/>
        </w:rPr>
        <w:footnoteReference w:id="199"/>
      </w:r>
      <w:r w:rsidR="005D36C6" w:rsidRPr="00A04E56">
        <w:rPr>
          <w:rStyle w:val="fnRef"/>
        </w:rPr>
        <w:t xml:space="preserve">) </w:t>
      </w:r>
      <w:r w:rsidR="005D36C6" w:rsidRPr="00A04E56">
        <w:t xml:space="preserve">will improve and speed up the procedures, </w:t>
      </w:r>
      <w:r w:rsidR="005D36C6" w:rsidRPr="00A04E56" w:rsidDel="00A477EA">
        <w:t xml:space="preserve">will </w:t>
      </w:r>
      <w:r w:rsidR="005D36C6" w:rsidRPr="00A04E56">
        <w:t>reduce the possibilities of absconding and unauthorised secondary movements, and will contribute to return decisions turning into effective returns.</w:t>
      </w:r>
    </w:p>
    <w:p w14:paraId="2FF940DF" w14:textId="6B599EF4" w:rsidR="005D36C6" w:rsidRPr="00A04E56" w:rsidRDefault="00B25BA2" w:rsidP="00AA0340">
      <w:pPr>
        <w:pStyle w:val="Title3NumberedReport"/>
      </w:pPr>
      <w:r w:rsidRPr="00A04E56">
        <w:t>Assessment and evaluation</w:t>
      </w:r>
    </w:p>
    <w:p w14:paraId="083A6F33" w14:textId="22E12BD8" w:rsidR="005D36C6" w:rsidRPr="00A04E56" w:rsidRDefault="005D36C6" w:rsidP="005D36C6">
      <w:pPr>
        <w:pStyle w:val="BodyText1spaceafter"/>
      </w:pPr>
      <w:r w:rsidRPr="00A04E56">
        <w:t xml:space="preserve">An </w:t>
      </w:r>
      <w:r w:rsidRPr="00A04E56">
        <w:rPr>
          <w:rFonts w:eastAsiaTheme="minorHAnsi"/>
        </w:rPr>
        <w:t>evaluation</w:t>
      </w:r>
      <w:r w:rsidRPr="00A04E56">
        <w:rPr>
          <w:rStyle w:val="fnRef"/>
          <w:rFonts w:ascii="Calibri" w:hAnsi="Calibri" w:cs="Calibri"/>
        </w:rPr>
        <w:t> </w:t>
      </w:r>
      <w:r w:rsidRPr="00A04E56">
        <w:rPr>
          <w:rStyle w:val="fnRef"/>
        </w:rPr>
        <w:t>(</w:t>
      </w:r>
      <w:r w:rsidRPr="00A04E56">
        <w:rPr>
          <w:rStyle w:val="fnRefNo"/>
        </w:rPr>
        <w:footnoteReference w:id="200"/>
      </w:r>
      <w:r w:rsidRPr="00A04E56">
        <w:rPr>
          <w:rStyle w:val="fnRef"/>
        </w:rPr>
        <w:t>)</w:t>
      </w:r>
      <w:r w:rsidRPr="00A04E56">
        <w:t xml:space="preserve"> of the predece</w:t>
      </w:r>
      <w:r w:rsidR="00AE4B2D" w:rsidRPr="00A04E56">
        <w:t>ssor funds</w:t>
      </w:r>
      <w:r w:rsidR="00AE4B2D" w:rsidRPr="00A04E56">
        <w:rPr>
          <w:rStyle w:val="fnRef"/>
          <w:rFonts w:ascii="Calibri" w:hAnsi="Calibri" w:cs="Calibri"/>
        </w:rPr>
        <w:t> </w:t>
      </w:r>
      <w:r w:rsidRPr="00A04E56">
        <w:rPr>
          <w:rStyle w:val="fnRef"/>
        </w:rPr>
        <w:t>(</w:t>
      </w:r>
      <w:r w:rsidRPr="00A04E56">
        <w:rPr>
          <w:rStyle w:val="fnRefNo"/>
        </w:rPr>
        <w:footnoteReference w:id="201"/>
      </w:r>
      <w:r w:rsidRPr="00A04E56">
        <w:rPr>
          <w:rStyle w:val="fnRef"/>
        </w:rPr>
        <w:t>)</w:t>
      </w:r>
      <w:r w:rsidRPr="00A04E56">
        <w:t xml:space="preserve"> and the interim evaluation</w:t>
      </w:r>
      <w:r w:rsidRPr="00A04E56">
        <w:rPr>
          <w:rStyle w:val="fnRef"/>
          <w:rFonts w:ascii="Calibri" w:hAnsi="Calibri" w:cs="Calibri"/>
        </w:rPr>
        <w:t> </w:t>
      </w:r>
      <w:r w:rsidRPr="00A04E56">
        <w:rPr>
          <w:rStyle w:val="fnRef"/>
        </w:rPr>
        <w:t>(</w:t>
      </w:r>
      <w:r w:rsidRPr="00A04E56">
        <w:rPr>
          <w:rStyle w:val="fnRefNo"/>
        </w:rPr>
        <w:footnoteReference w:id="202"/>
      </w:r>
      <w:r w:rsidRPr="00A04E56">
        <w:rPr>
          <w:rStyle w:val="fnRef"/>
        </w:rPr>
        <w:t>)</w:t>
      </w:r>
      <w:r w:rsidRPr="00A04E56">
        <w:t xml:space="preserve"> of the current </w:t>
      </w:r>
      <w:r w:rsidR="00AE4B2D" w:rsidRPr="00A04E56">
        <w:t>fund</w:t>
      </w:r>
      <w:r w:rsidR="00E83CEA" w:rsidRPr="00A04E56">
        <w:t xml:space="preserve"> </w:t>
      </w:r>
      <w:r w:rsidRPr="00A04E56">
        <w:t xml:space="preserve">concluded that, overall, the instruments have supported Member States to better implement the EU policies on asylum and migration, despite diverse national needs. The funds have played an important role in improving the asylum systems and strengthening reception capacity in the Member States. </w:t>
      </w:r>
    </w:p>
    <w:p w14:paraId="44C8B63E" w14:textId="3EDA2FFD" w:rsidR="005D36C6" w:rsidRPr="00A04E56" w:rsidRDefault="005D36C6" w:rsidP="007221BB">
      <w:pPr>
        <w:pStyle w:val="BodyText1spaceafter"/>
      </w:pPr>
      <w:r w:rsidRPr="00A04E56">
        <w:t xml:space="preserve">The interim evaluation showed that, overall, the </w:t>
      </w:r>
      <w:r w:rsidR="00AE4B2D" w:rsidRPr="00A04E56">
        <w:t>fund</w:t>
      </w:r>
      <w:r w:rsidR="00E83CEA" w:rsidRPr="00A04E56">
        <w:t xml:space="preserve"> </w:t>
      </w:r>
      <w:r w:rsidRPr="00A04E56">
        <w:t>has been instrumental in handling the difficult situation related to migration challenges and has achieved significant simplification compared with its predecessors. A number of key cross</w:t>
      </w:r>
      <w:r w:rsidRPr="00A04E56" w:rsidDel="002F1008">
        <w:t>cutting</w:t>
      </w:r>
      <w:r w:rsidRPr="00A04E56">
        <w:t xml:space="preserve"> aspects identified as shortcomings by the evaluation of predecessor instruments have been addressed with the Asylum, Migration and Integration Fund: reducing administrative burden by consolidating three funds into one; introducing a multiannual approach, developing an initial monitoring and evaluation framework, increasing the flexibility of the allocation mechanism with the introduction of a considerable allocation for emergency assistance and improving the solidarity-principle engagement among Member States for resettlement and intra-EU transfer of beneficiaries of international protection. Despite these significant improvements applied on the creation of the Asylum, Migration and Integration Fund, the interim evaluation still identified a number of shortcomings such as the continued need to increase the flexibility both of the fund and of the funding-distribution system, to reduce the fragmentation of the national programmes and to strengthen the consistency (‘coherence’) and coordination with other EU funds. In addition, the interim evaluation found that the monitoring and evaluation system needed further improvement by including better-defined indicators and simplified processes.</w:t>
      </w:r>
    </w:p>
    <w:tbl>
      <w:tblPr>
        <w:tblW w:w="0" w:type="auto"/>
        <w:tblBorders>
          <w:bottom w:val="single" w:sz="12" w:space="0" w:color="65BBC8" w:themeColor="accent1"/>
        </w:tblBorders>
        <w:tblLook w:val="04A0" w:firstRow="1" w:lastRow="0" w:firstColumn="1" w:lastColumn="0" w:noHBand="0" w:noVBand="1"/>
      </w:tblPr>
      <w:tblGrid>
        <w:gridCol w:w="1926"/>
        <w:gridCol w:w="7360"/>
      </w:tblGrid>
      <w:tr w:rsidR="005D36C6" w:rsidRPr="00A04E56" w14:paraId="5FD382DD" w14:textId="77777777" w:rsidTr="00D03F49">
        <w:tc>
          <w:tcPr>
            <w:tcW w:w="1843" w:type="dxa"/>
          </w:tcPr>
          <w:p w14:paraId="35A39942" w14:textId="60C09B98" w:rsidR="005D36C6" w:rsidRPr="00A04E56" w:rsidRDefault="008D6A1C" w:rsidP="00FC5564">
            <w:pPr>
              <w:pStyle w:val="BodyText1"/>
              <w:rPr>
                <w:lang w:val="en-GB"/>
              </w:rPr>
            </w:pPr>
            <w:r>
              <w:rPr>
                <w:lang w:val="fr-BE"/>
              </w:rPr>
              <w:drawing>
                <wp:inline distT="0" distB="0" distL="0" distR="0" wp14:anchorId="72710CA9" wp14:editId="34E6EFD2">
                  <wp:extent cx="1078994" cy="1069850"/>
                  <wp:effectExtent l="0" t="0" r="698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quote blue - scaled down.png"/>
                          <pic:cNvPicPr/>
                        </pic:nvPicPr>
                        <pic:blipFill>
                          <a:blip r:embed="rId120" cstate="email">
                            <a:extLst>
                              <a:ext uri="{28A0092B-C50C-407E-A947-70E740481C1C}">
                                <a14:useLocalDpi xmlns:a14="http://schemas.microsoft.com/office/drawing/2010/main"/>
                              </a:ext>
                            </a:extLst>
                          </a:blip>
                          <a:stretch>
                            <a:fillRect/>
                          </a:stretch>
                        </pic:blipFill>
                        <pic:spPr>
                          <a:xfrm>
                            <a:off x="0" y="0"/>
                            <a:ext cx="1078994" cy="1069850"/>
                          </a:xfrm>
                          <a:prstGeom prst="rect">
                            <a:avLst/>
                          </a:prstGeom>
                        </pic:spPr>
                      </pic:pic>
                    </a:graphicData>
                  </a:graphic>
                </wp:inline>
              </w:drawing>
            </w:r>
          </w:p>
        </w:tc>
        <w:tc>
          <w:tcPr>
            <w:tcW w:w="7443" w:type="dxa"/>
            <w:vAlign w:val="center"/>
          </w:tcPr>
          <w:p w14:paraId="4C180316" w14:textId="77777777" w:rsidR="005D36C6" w:rsidRDefault="005D36C6" w:rsidP="00FC5564">
            <w:pPr>
              <w:pStyle w:val="QuoteReport"/>
              <w:rPr>
                <w:rFonts w:ascii="Calibri" w:hAnsi="Calibri" w:cs="Calibri"/>
                <w:lang w:val="en-GB"/>
              </w:rPr>
            </w:pPr>
            <w:r w:rsidRPr="00A04E56">
              <w:rPr>
                <w:lang w:val="en-GB"/>
              </w:rPr>
              <w:t>We cannot continue to squabble to find ad hoc solutions each time a new ship arrives. Temporary solidarity is not good enough. We need lasting solidarity — today and forevermore.</w:t>
            </w:r>
            <w:r w:rsidRPr="00161EB0">
              <w:rPr>
                <w:rFonts w:ascii="Calibri" w:hAnsi="Calibri" w:cs="Calibri"/>
                <w:i w:val="0"/>
                <w:lang w:val="en-GB"/>
              </w:rPr>
              <w:t> (</w:t>
            </w:r>
            <w:r w:rsidRPr="00161EB0">
              <w:rPr>
                <w:rStyle w:val="fnRefNo"/>
                <w:i w:val="0"/>
                <w:lang w:val="en-GB"/>
              </w:rPr>
              <w:footnoteReference w:id="203"/>
            </w:r>
            <w:r w:rsidRPr="00161EB0">
              <w:rPr>
                <w:rFonts w:ascii="Calibri" w:hAnsi="Calibri" w:cs="Calibri"/>
                <w:i w:val="0"/>
                <w:lang w:val="en-GB"/>
              </w:rPr>
              <w:t>)</w:t>
            </w:r>
          </w:p>
          <w:p w14:paraId="603B5908" w14:textId="2E8008C8" w:rsidR="00D34F35" w:rsidRPr="00107DA0" w:rsidRDefault="00D34F35" w:rsidP="00107DA0">
            <w:pPr>
              <w:pStyle w:val="QuoteReport"/>
              <w:jc w:val="right"/>
              <w:rPr>
                <w:i w:val="0"/>
                <w:sz w:val="16"/>
                <w:szCs w:val="16"/>
                <w:lang w:val="en-GB"/>
              </w:rPr>
            </w:pPr>
            <w:r w:rsidRPr="00107DA0">
              <w:rPr>
                <w:i w:val="0"/>
                <w:sz w:val="16"/>
                <w:szCs w:val="16"/>
                <w:lang w:val="en-GB"/>
              </w:rPr>
              <w:t>President Jean-Claude Juncker</w:t>
            </w:r>
          </w:p>
        </w:tc>
      </w:tr>
    </w:tbl>
    <w:p w14:paraId="300A2283" w14:textId="6DDF0732" w:rsidR="005D36C6" w:rsidRPr="00A04E56" w:rsidRDefault="005D36C6" w:rsidP="007221BB">
      <w:pPr>
        <w:pStyle w:val="BodyText1spacebeforeandafter"/>
      </w:pPr>
      <w:r w:rsidRPr="00A04E56">
        <w:t>The Court of Auditors has announced its intention to also look at the issue of migration and how it is managed by the EU</w:t>
      </w:r>
      <w:r w:rsidRPr="00A04E56">
        <w:rPr>
          <w:rStyle w:val="fnRef"/>
          <w:rFonts w:ascii="Calibri" w:hAnsi="Calibri" w:cs="Calibri"/>
        </w:rPr>
        <w:t> </w:t>
      </w:r>
      <w:r w:rsidRPr="00A04E56">
        <w:rPr>
          <w:rStyle w:val="fnRef"/>
        </w:rPr>
        <w:t>(</w:t>
      </w:r>
      <w:r w:rsidRPr="00A04E56">
        <w:rPr>
          <w:rStyle w:val="fnRefNo"/>
        </w:rPr>
        <w:footnoteReference w:id="204"/>
      </w:r>
      <w:r w:rsidRPr="00A04E56">
        <w:rPr>
          <w:rStyle w:val="fnRef"/>
        </w:rPr>
        <w:t>)</w:t>
      </w:r>
      <w:r w:rsidRPr="00A04E56">
        <w:t xml:space="preserve">. In </w:t>
      </w:r>
      <w:r w:rsidRPr="00A04E56">
        <w:rPr>
          <w:color w:val="auto"/>
        </w:rPr>
        <w:t>particular</w:t>
      </w:r>
      <w:r w:rsidRPr="00A04E56">
        <w:t>, the audit will seek to determine whether EU support for Greece and Italy achieved its objectives, and whether the asylum, relocation and return proce</w:t>
      </w:r>
      <w:r w:rsidR="00EF7FC2" w:rsidRPr="00A04E56">
        <w:t>dures were effective and swift.</w:t>
      </w:r>
    </w:p>
    <w:p w14:paraId="0FDAD5F5" w14:textId="77777777" w:rsidR="005D36C6" w:rsidRPr="00A04E56" w:rsidRDefault="005D36C6" w:rsidP="005D36C6">
      <w:pPr>
        <w:pStyle w:val="BodyText1spaceafter"/>
        <w:rPr>
          <w:szCs w:val="20"/>
        </w:rPr>
      </w:pPr>
      <w:r w:rsidRPr="00A04E56">
        <w:t>The Commission took full account of the findings of the different evaluations in the proposal for a strengthened Asylum and Migration Fund for the post-2020 multiannual financial framework</w:t>
      </w:r>
      <w:r w:rsidRPr="00A04E56">
        <w:rPr>
          <w:rStyle w:val="fnRef"/>
          <w:rFonts w:ascii="Calibri" w:hAnsi="Calibri" w:cs="Calibri"/>
        </w:rPr>
        <w:t> </w:t>
      </w:r>
      <w:r w:rsidRPr="00A04E56">
        <w:rPr>
          <w:rStyle w:val="fnRef"/>
        </w:rPr>
        <w:t>(</w:t>
      </w:r>
      <w:r w:rsidRPr="00A04E56">
        <w:rPr>
          <w:rStyle w:val="fnRefNo"/>
        </w:rPr>
        <w:footnoteReference w:id="205"/>
      </w:r>
      <w:r w:rsidRPr="00A04E56">
        <w:rPr>
          <w:rStyle w:val="fnRef"/>
        </w:rPr>
        <w:t>)</w:t>
      </w:r>
      <w:r w:rsidRPr="00A04E56">
        <w:t xml:space="preserve">. In particular, the proposal greatly increases the flexibility of the fund, given the lessons learnt from recent experience: that challenges in the area of migration are not predictable and that geopolitical developments can have direct repercussions on migration flows. Concretely, it will be possible to reallocate some of the funding </w:t>
      </w:r>
      <w:r w:rsidRPr="00A04E56">
        <w:rPr>
          <w:szCs w:val="20"/>
        </w:rPr>
        <w:t>available to address new or additional pressures on Member States</w:t>
      </w:r>
      <w:r w:rsidRPr="00A04E56" w:rsidDel="00ED7F5F">
        <w:rPr>
          <w:szCs w:val="20"/>
        </w:rPr>
        <w:t xml:space="preserve"> </w:t>
      </w:r>
      <w:r w:rsidRPr="00A04E56">
        <w:rPr>
          <w:szCs w:val="20"/>
        </w:rPr>
        <w:t>by retaining the midterm review needs-assessment procedure </w:t>
      </w:r>
      <w:r w:rsidRPr="00A04E56">
        <w:rPr>
          <w:rStyle w:val="fnRef"/>
        </w:rPr>
        <w:t>(</w:t>
      </w:r>
      <w:r w:rsidRPr="00A04E56">
        <w:rPr>
          <w:rStyle w:val="fnRefNo"/>
        </w:rPr>
        <w:footnoteReference w:id="206"/>
      </w:r>
      <w:r w:rsidRPr="00A04E56">
        <w:rPr>
          <w:rStyle w:val="fnRef"/>
        </w:rPr>
        <w:t>)</w:t>
      </w:r>
      <w:r w:rsidRPr="00A04E56">
        <w:rPr>
          <w:szCs w:val="20"/>
        </w:rPr>
        <w:t>.</w:t>
      </w:r>
    </w:p>
    <w:p w14:paraId="594ECDBA" w14:textId="2D33C234" w:rsidR="005D36C6" w:rsidRPr="00A04E56" w:rsidRDefault="005D36C6" w:rsidP="005D36C6">
      <w:pPr>
        <w:pStyle w:val="BodyText1spaceafter"/>
      </w:pPr>
      <w:r w:rsidRPr="00A04E56">
        <w:t xml:space="preserve">The proposal also includes a </w:t>
      </w:r>
      <w:r w:rsidRPr="00A04E56">
        <w:rPr>
          <w:rStyle w:val="BOLDLIGHTBLUEReport"/>
          <w:rFonts w:eastAsia="Calibri"/>
        </w:rPr>
        <w:t>major boost to funding on the external aspects of migration</w:t>
      </w:r>
      <w:r w:rsidRPr="00A04E56">
        <w:t>. There will be increased scope for</w:t>
      </w:r>
      <w:r w:rsidRPr="00A04E56" w:rsidDel="000F2BF4">
        <w:t xml:space="preserve"> </w:t>
      </w:r>
      <w:r w:rsidRPr="00A04E56">
        <w:t>programmes to support action outside the EU. A substantial share will support the areas of return, readmission and reintegration, as well as operational cooperation with third-country partners.</w:t>
      </w:r>
    </w:p>
    <w:p w14:paraId="3F373B7A" w14:textId="7AAB4D8A" w:rsidR="005D36C6" w:rsidRPr="00A04E56" w:rsidRDefault="005D36C6" w:rsidP="005D36C6">
      <w:pPr>
        <w:pStyle w:val="Title2Report"/>
      </w:pPr>
      <w:bookmarkStart w:id="145" w:name="_Toc4603977"/>
      <w:bookmarkStart w:id="146" w:name="_Toc4680737"/>
      <w:bookmarkStart w:id="147" w:name="_Toc4683011"/>
      <w:bookmarkStart w:id="148" w:name="_Toc4683098"/>
      <w:bookmarkStart w:id="149" w:name="_Toc12021021"/>
      <w:r w:rsidRPr="00A04E56">
        <w:t>Internal Security Fund</w:t>
      </w:r>
      <w:bookmarkEnd w:id="145"/>
      <w:bookmarkEnd w:id="146"/>
      <w:bookmarkEnd w:id="147"/>
      <w:bookmarkEnd w:id="148"/>
      <w:bookmarkEnd w:id="149"/>
    </w:p>
    <w:p w14:paraId="44F1882B" w14:textId="77777777" w:rsidR="005D36C6" w:rsidRPr="00A04E56" w:rsidRDefault="005D36C6" w:rsidP="00AA0340">
      <w:pPr>
        <w:pStyle w:val="Title3NumberedReport"/>
      </w:pPr>
      <w:bookmarkStart w:id="150" w:name="_Toc4680738"/>
      <w:bookmarkStart w:id="151" w:name="_Toc4683012"/>
      <w:r w:rsidRPr="00A04E56">
        <w:t>Programme objectives</w:t>
      </w:r>
      <w:bookmarkEnd w:id="150"/>
      <w:bookmarkEnd w:id="151"/>
      <w:r w:rsidRPr="00A04E56">
        <w:t xml:space="preserve"> </w:t>
      </w:r>
    </w:p>
    <w:p w14:paraId="0101B317" w14:textId="44F6C209" w:rsidR="005D36C6" w:rsidRPr="00A04E56" w:rsidRDefault="005D36C6" w:rsidP="005D36C6">
      <w:pPr>
        <w:pStyle w:val="BodyText1spaceafter"/>
      </w:pPr>
      <w:r w:rsidRPr="00A04E56">
        <w:t xml:space="preserve">The </w:t>
      </w:r>
      <w:r w:rsidRPr="00A04E56">
        <w:rPr>
          <w:rStyle w:val="BOLDLIGHTBLUEReport"/>
          <w:rFonts w:eastAsia="Calibri"/>
        </w:rPr>
        <w:t>Internal Security Fund</w:t>
      </w:r>
      <w:r w:rsidRPr="00A04E56">
        <w:rPr>
          <w:rStyle w:val="fnRef"/>
          <w:rFonts w:ascii="Calibri" w:hAnsi="Calibri" w:cs="Calibri"/>
        </w:rPr>
        <w:t> </w:t>
      </w:r>
      <w:r w:rsidRPr="00A04E56">
        <w:rPr>
          <w:rStyle w:val="fnRef"/>
        </w:rPr>
        <w:t>(</w:t>
      </w:r>
      <w:r w:rsidRPr="00A04E56">
        <w:rPr>
          <w:rStyle w:val="fnRefNo"/>
        </w:rPr>
        <w:footnoteReference w:id="207"/>
      </w:r>
      <w:r w:rsidRPr="00A04E56">
        <w:rPr>
          <w:rStyle w:val="fnRef"/>
        </w:rPr>
        <w:t>)</w:t>
      </w:r>
      <w:r w:rsidRPr="00A04E56">
        <w:t xml:space="preserve"> promotes the implementation of the Internal Security Strategy, law-enforcement cooperation and the management of </w:t>
      </w:r>
      <w:r w:rsidRPr="00A04E56" w:rsidDel="00416AC9">
        <w:t xml:space="preserve">the </w:t>
      </w:r>
      <w:r w:rsidRPr="00A04E56">
        <w:t xml:space="preserve">EU’s external borders. The fund is composed of two instruments: Internal Security Fund </w:t>
      </w:r>
      <w:r w:rsidR="00CB6A77" w:rsidRPr="00A04E56">
        <w:t>—</w:t>
      </w:r>
      <w:r w:rsidRPr="00A04E56">
        <w:t xml:space="preserve"> Borders and Visa and Internal Security Fund</w:t>
      </w:r>
      <w:r w:rsidR="00CB6A77" w:rsidRPr="00A04E56">
        <w:t xml:space="preserve"> — </w:t>
      </w:r>
      <w:r w:rsidRPr="00A04E56">
        <w:t xml:space="preserve">Police. The abolition of internal EU border controls (‘Schengen area’) makes it very necessary to ensure that the </w:t>
      </w:r>
      <w:r w:rsidRPr="00A04E56">
        <w:rPr>
          <w:rStyle w:val="BOLDLIGHTBLUEReport"/>
          <w:rFonts w:eastAsia="Calibri"/>
        </w:rPr>
        <w:t>external borders are effectively protected</w:t>
      </w:r>
      <w:r w:rsidRPr="00A04E56">
        <w:t xml:space="preserve"> and must be accompanied by common measures for the effective control of </w:t>
      </w:r>
      <w:r w:rsidRPr="00A04E56" w:rsidDel="00416AC9">
        <w:t xml:space="preserve">the </w:t>
      </w:r>
      <w:r w:rsidRPr="00A04E56">
        <w:t>EU</w:t>
      </w:r>
      <w:r w:rsidR="00C6157D" w:rsidRPr="00A04E56">
        <w:t>’</w:t>
      </w:r>
      <w:r w:rsidRPr="00A04E56">
        <w:t xml:space="preserve">s external borders. Some Member States bear a heavy burden due to their specific geographic situation and the length of the external EU border that they have to manage. </w:t>
      </w:r>
    </w:p>
    <w:p w14:paraId="6D528111" w14:textId="77777777" w:rsidR="005D36C6" w:rsidRPr="00A04E56" w:rsidRDefault="005D36C6" w:rsidP="005110B2">
      <w:pPr>
        <w:pStyle w:val="BodyText1"/>
        <w:keepNext/>
        <w:spacing w:after="120" w:line="276" w:lineRule="auto"/>
        <w:rPr>
          <w:b/>
          <w:color w:val="65BBC8" w:themeColor="accent1"/>
          <w:szCs w:val="20"/>
          <w:lang w:val="en-GB"/>
        </w:rPr>
      </w:pPr>
      <w:r w:rsidRPr="00A04E56">
        <w:rPr>
          <w:b/>
          <w:color w:val="65BBC8" w:themeColor="accent1"/>
          <w:szCs w:val="20"/>
          <w:lang w:val="en-GB"/>
        </w:rPr>
        <w:t>The Internal Security Fund, under its components, pursues the following specific objectives</w:t>
      </w:r>
    </w:p>
    <w:tbl>
      <w:tblPr>
        <w:tblW w:w="9072" w:type="dxa"/>
        <w:jc w:val="center"/>
        <w:shd w:val="clear" w:color="auto" w:fill="E5F6FA" w:themeFill="accent2" w:themeFillTint="33"/>
        <w:tblCellMar>
          <w:top w:w="142" w:type="dxa"/>
          <w:left w:w="170" w:type="dxa"/>
          <w:bottom w:w="142" w:type="dxa"/>
          <w:right w:w="170" w:type="dxa"/>
        </w:tblCellMar>
        <w:tblLook w:val="04A0" w:firstRow="1" w:lastRow="0" w:firstColumn="1" w:lastColumn="0" w:noHBand="0" w:noVBand="1"/>
      </w:tblPr>
      <w:tblGrid>
        <w:gridCol w:w="1361"/>
        <w:gridCol w:w="3175"/>
        <w:gridCol w:w="1361"/>
        <w:gridCol w:w="3175"/>
      </w:tblGrid>
      <w:tr w:rsidR="00794239" w:rsidRPr="00A04E56" w14:paraId="3C3FE367" w14:textId="77777777" w:rsidTr="00277538">
        <w:trPr>
          <w:cantSplit/>
          <w:jc w:val="center"/>
        </w:trPr>
        <w:tc>
          <w:tcPr>
            <w:tcW w:w="9072" w:type="dxa"/>
            <w:gridSpan w:val="4"/>
            <w:tcBorders>
              <w:bottom w:val="single" w:sz="8" w:space="0" w:color="FFFFFF" w:themeColor="background1"/>
            </w:tcBorders>
            <w:shd w:val="clear" w:color="auto" w:fill="E5F6FA" w:themeFill="accent2" w:themeFillTint="33"/>
          </w:tcPr>
          <w:p w14:paraId="112E675C" w14:textId="7EFFC074" w:rsidR="00794239" w:rsidRPr="00A04E56" w:rsidRDefault="00794239" w:rsidP="00277538">
            <w:pPr>
              <w:pStyle w:val="BodyText1"/>
              <w:keepNext/>
              <w:spacing w:line="276" w:lineRule="auto"/>
              <w:rPr>
                <w:rFonts w:cstheme="minorHAnsi"/>
                <w:b/>
                <w:szCs w:val="20"/>
                <w:lang w:val="en-GB"/>
              </w:rPr>
            </w:pPr>
            <w:r w:rsidRPr="00A04E56">
              <w:rPr>
                <w:b/>
                <w:color w:val="65BBC8" w:themeColor="accent1"/>
                <w:szCs w:val="20"/>
                <w:lang w:val="en-GB"/>
              </w:rPr>
              <w:t>Internal Security Fund — Police</w:t>
            </w:r>
          </w:p>
        </w:tc>
      </w:tr>
      <w:tr w:rsidR="00794239" w:rsidRPr="00A04E56" w14:paraId="0D782850" w14:textId="77777777" w:rsidTr="00277538">
        <w:trPr>
          <w:cantSplit/>
          <w:jc w:val="center"/>
        </w:trPr>
        <w:tc>
          <w:tcPr>
            <w:tcW w:w="1361" w:type="dxa"/>
            <w:tcBorders>
              <w:top w:val="single" w:sz="8" w:space="0" w:color="FFFFFF" w:themeColor="background1"/>
              <w:bottom w:val="single" w:sz="8" w:space="0" w:color="FFFFFF" w:themeColor="background1"/>
            </w:tcBorders>
            <w:shd w:val="clear" w:color="auto" w:fill="E5F6FA" w:themeFill="accent2" w:themeFillTint="33"/>
            <w:vAlign w:val="center"/>
          </w:tcPr>
          <w:p w14:paraId="7A03BBFC" w14:textId="77777777" w:rsidR="005D36C6" w:rsidRPr="00A04E56" w:rsidRDefault="005D36C6" w:rsidP="00277538">
            <w:pPr>
              <w:keepNext/>
              <w:spacing w:line="276" w:lineRule="auto"/>
              <w:jc w:val="center"/>
              <w:rPr>
                <w:rFonts w:cstheme="minorHAnsi"/>
                <w:szCs w:val="20"/>
              </w:rPr>
            </w:pPr>
            <w:r w:rsidRPr="00A04E56">
              <w:rPr>
                <w:noProof/>
                <w:lang w:val="fr-BE" w:eastAsia="fr-BE"/>
              </w:rPr>
              <w:drawing>
                <wp:inline distT="0" distB="0" distL="0" distR="0" wp14:anchorId="44BEED71" wp14:editId="1A8B18C4">
                  <wp:extent cx="468000" cy="468000"/>
                  <wp:effectExtent l="0" t="0" r="8255" b="8255"/>
                  <wp:docPr id="684" name="Picture 684" descr="G:\Production\B2 prepresse\Raimonds\2019.1745 AMPR\50 - work on images\AMPR Icons\AMPR_Icons_Send2\AMPR_Icons_Send2\Icon_32000_ISF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Production\B2 prepresse\Raimonds\2019.1745 AMPR\50 - work on images\AMPR Icons\AMPR_Icons_Send2\AMPR_Icons_Send2\Icon_32000_ISF_01.emf"/>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bottom w:val="single" w:sz="8" w:space="0" w:color="FFFFFF" w:themeColor="background1"/>
              <w:right w:val="single" w:sz="8" w:space="0" w:color="FFFFFF" w:themeColor="background1"/>
            </w:tcBorders>
            <w:shd w:val="clear" w:color="auto" w:fill="E5F6FA" w:themeFill="accent2" w:themeFillTint="33"/>
            <w:vAlign w:val="center"/>
            <w:hideMark/>
          </w:tcPr>
          <w:p w14:paraId="7C4F9D04" w14:textId="77777777" w:rsidR="005D36C6" w:rsidRPr="00A04E56" w:rsidRDefault="005D36C6" w:rsidP="00277538">
            <w:pPr>
              <w:keepNext/>
              <w:spacing w:line="276" w:lineRule="auto"/>
              <w:rPr>
                <w:rFonts w:cstheme="minorHAnsi"/>
                <w:szCs w:val="20"/>
              </w:rPr>
            </w:pPr>
            <w:r w:rsidRPr="00A04E56">
              <w:rPr>
                <w:rFonts w:cstheme="minorHAnsi"/>
                <w:szCs w:val="20"/>
              </w:rPr>
              <w:t>Fight against crime: crime prevention, combating cross-border, serious and organised crime, including terrorism.</w:t>
            </w:r>
          </w:p>
        </w:tc>
        <w:tc>
          <w:tcPr>
            <w:tcW w:w="1361" w:type="dxa"/>
            <w:tcBorders>
              <w:top w:val="single" w:sz="8" w:space="0" w:color="FFFFFF" w:themeColor="background1"/>
              <w:left w:val="single" w:sz="8" w:space="0" w:color="FFFFFF" w:themeColor="background1"/>
              <w:bottom w:val="single" w:sz="8" w:space="0" w:color="FFFFFF" w:themeColor="background1"/>
            </w:tcBorders>
            <w:shd w:val="clear" w:color="auto" w:fill="E5F6FA" w:themeFill="accent2" w:themeFillTint="33"/>
            <w:vAlign w:val="center"/>
          </w:tcPr>
          <w:p w14:paraId="1547A701" w14:textId="77777777" w:rsidR="005D36C6" w:rsidRPr="00A04E56" w:rsidRDefault="005D36C6" w:rsidP="00277538">
            <w:pPr>
              <w:keepNext/>
              <w:spacing w:line="276" w:lineRule="auto"/>
              <w:jc w:val="center"/>
              <w:rPr>
                <w:rFonts w:cstheme="minorHAnsi"/>
                <w:szCs w:val="20"/>
                <w:lang w:eastAsia="hu-HU"/>
              </w:rPr>
            </w:pPr>
            <w:r w:rsidRPr="00A04E56">
              <w:rPr>
                <w:noProof/>
                <w:lang w:val="fr-BE" w:eastAsia="fr-BE"/>
              </w:rPr>
              <w:drawing>
                <wp:inline distT="0" distB="0" distL="0" distR="0" wp14:anchorId="2058931C" wp14:editId="6541E9FF">
                  <wp:extent cx="468000" cy="468000"/>
                  <wp:effectExtent l="0" t="0" r="8255" b="8255"/>
                  <wp:docPr id="685" name="Picture 685" descr="G:\Production\B2 prepresse\Raimonds\2019.1745 AMPR\50 - work on images\AMPR Icons\AMPR_Icons_Send2\AMPR_Icons_Send2\Icon_32000_ISF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Production\B2 prepresse\Raimonds\2019.1745 AMPR\50 - work on images\AMPR Icons\AMPR_Icons_Send2\AMPR_Icons_Send2\Icon_32000_ISF_02.emf"/>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bottom w:val="single" w:sz="8" w:space="0" w:color="FFFFFF" w:themeColor="background1"/>
            </w:tcBorders>
            <w:shd w:val="clear" w:color="auto" w:fill="E5F6FA" w:themeFill="accent2" w:themeFillTint="33"/>
            <w:vAlign w:val="center"/>
            <w:hideMark/>
          </w:tcPr>
          <w:p w14:paraId="78DE9146" w14:textId="77777777" w:rsidR="005D36C6" w:rsidRPr="00A04E56" w:rsidRDefault="005D36C6" w:rsidP="00277538">
            <w:pPr>
              <w:keepNext/>
              <w:spacing w:line="276" w:lineRule="auto"/>
              <w:rPr>
                <w:rFonts w:cstheme="minorHAnsi"/>
                <w:szCs w:val="20"/>
              </w:rPr>
            </w:pPr>
            <w:r w:rsidRPr="00A04E56">
              <w:rPr>
                <w:rFonts w:cstheme="minorHAnsi"/>
                <w:szCs w:val="20"/>
              </w:rPr>
              <w:t>Managing risk and crisis: enhancing the capacity of Member States and the EU for effectively managing security-related risks and crises.</w:t>
            </w:r>
          </w:p>
        </w:tc>
      </w:tr>
      <w:tr w:rsidR="00794239" w:rsidRPr="00A04E56" w14:paraId="3EFECD75" w14:textId="77777777" w:rsidTr="00277538">
        <w:trPr>
          <w:cantSplit/>
          <w:trHeight w:val="219"/>
          <w:jc w:val="center"/>
        </w:trPr>
        <w:tc>
          <w:tcPr>
            <w:tcW w:w="9072" w:type="dxa"/>
            <w:gridSpan w:val="4"/>
            <w:tcBorders>
              <w:top w:val="single" w:sz="8" w:space="0" w:color="FFFFFF" w:themeColor="background1"/>
              <w:bottom w:val="single" w:sz="8" w:space="0" w:color="FFFFFF" w:themeColor="background1"/>
            </w:tcBorders>
            <w:shd w:val="clear" w:color="auto" w:fill="E5F6FA" w:themeFill="accent2" w:themeFillTint="33"/>
          </w:tcPr>
          <w:p w14:paraId="55AF3E88" w14:textId="735ED63D" w:rsidR="00794239" w:rsidRPr="00107DA0" w:rsidRDefault="00794239" w:rsidP="00277538">
            <w:pPr>
              <w:pStyle w:val="BodyText1"/>
              <w:keepNext/>
              <w:spacing w:before="240" w:line="276" w:lineRule="auto"/>
              <w:rPr>
                <w:b/>
                <w:color w:val="65BBC8" w:themeColor="accent1"/>
                <w:szCs w:val="20"/>
              </w:rPr>
            </w:pPr>
            <w:r w:rsidRPr="00107DA0">
              <w:rPr>
                <w:b/>
                <w:color w:val="65BBC8" w:themeColor="accent1"/>
                <w:szCs w:val="20"/>
                <w:lang w:val="en-GB"/>
              </w:rPr>
              <w:t>Internal Security</w:t>
            </w:r>
            <w:r w:rsidRPr="00107DA0" w:rsidDel="00CA398A">
              <w:rPr>
                <w:b/>
                <w:color w:val="65BBC8" w:themeColor="accent1"/>
                <w:szCs w:val="20"/>
                <w:lang w:val="en-GB"/>
              </w:rPr>
              <w:t xml:space="preserve"> </w:t>
            </w:r>
            <w:r w:rsidRPr="00107DA0">
              <w:rPr>
                <w:b/>
                <w:color w:val="65BBC8" w:themeColor="accent1"/>
                <w:szCs w:val="20"/>
                <w:lang w:val="en-GB"/>
              </w:rPr>
              <w:t>Borders and Visa Fund</w:t>
            </w:r>
          </w:p>
        </w:tc>
      </w:tr>
      <w:tr w:rsidR="00794239" w:rsidRPr="00A04E56" w14:paraId="360DC877" w14:textId="77777777" w:rsidTr="00277538">
        <w:trPr>
          <w:cantSplit/>
          <w:trHeight w:val="400"/>
          <w:jc w:val="center"/>
        </w:trPr>
        <w:tc>
          <w:tcPr>
            <w:tcW w:w="1361" w:type="dxa"/>
            <w:tcBorders>
              <w:top w:val="single" w:sz="8" w:space="0" w:color="FFFFFF" w:themeColor="background1"/>
            </w:tcBorders>
            <w:shd w:val="clear" w:color="auto" w:fill="E5F6FA" w:themeFill="accent2" w:themeFillTint="33"/>
            <w:vAlign w:val="center"/>
          </w:tcPr>
          <w:p w14:paraId="501CEA7A" w14:textId="77777777" w:rsidR="005D36C6" w:rsidRPr="00A04E56" w:rsidRDefault="005D36C6" w:rsidP="00277538">
            <w:pPr>
              <w:spacing w:line="276" w:lineRule="auto"/>
              <w:jc w:val="center"/>
              <w:rPr>
                <w:rFonts w:cstheme="minorHAnsi"/>
                <w:szCs w:val="20"/>
                <w:lang w:eastAsia="hu-HU"/>
              </w:rPr>
            </w:pPr>
            <w:r w:rsidRPr="00A04E56">
              <w:rPr>
                <w:noProof/>
                <w:lang w:val="fr-BE" w:eastAsia="fr-BE"/>
              </w:rPr>
              <w:drawing>
                <wp:inline distT="0" distB="0" distL="0" distR="0" wp14:anchorId="6AD4BCE7" wp14:editId="2CBAD0D3">
                  <wp:extent cx="468000" cy="468000"/>
                  <wp:effectExtent l="0" t="0" r="8255" b="8255"/>
                  <wp:docPr id="686" name="Picture 686" descr="G:\Production\B2 prepresse\Raimonds\2019.1745 AMPR\50 - work on images\AMPR Icons\AMPR_Icons_Send2\AMPR_Icons_Send2\Icon_32000_ISF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Production\B2 prepresse\Raimonds\2019.1745 AMPR\50 - work on images\AMPR Icons\AMPR_Icons_Send2\AMPR_Icons_Send2\Icon_32000_ISF_03.emf"/>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right w:val="single" w:sz="8" w:space="0" w:color="FFFFFF" w:themeColor="background1"/>
            </w:tcBorders>
            <w:shd w:val="clear" w:color="auto" w:fill="E5F6FA" w:themeFill="accent2" w:themeFillTint="33"/>
            <w:vAlign w:val="center"/>
            <w:hideMark/>
          </w:tcPr>
          <w:p w14:paraId="005C3685" w14:textId="77777777" w:rsidR="005D36C6" w:rsidRPr="00A04E56" w:rsidRDefault="005D36C6" w:rsidP="00277538">
            <w:pPr>
              <w:spacing w:line="276" w:lineRule="auto"/>
              <w:rPr>
                <w:rFonts w:cstheme="minorHAnsi"/>
                <w:szCs w:val="20"/>
              </w:rPr>
            </w:pPr>
            <w:r w:rsidRPr="00A04E56">
              <w:rPr>
                <w:rFonts w:cstheme="minorHAnsi"/>
                <w:szCs w:val="20"/>
              </w:rPr>
              <w:t>Visas: the effective processing of Schengen visas by supporting a common visa policy.</w:t>
            </w:r>
          </w:p>
        </w:tc>
        <w:tc>
          <w:tcPr>
            <w:tcW w:w="1361" w:type="dxa"/>
            <w:tcBorders>
              <w:top w:val="single" w:sz="8" w:space="0" w:color="FFFFFF" w:themeColor="background1"/>
              <w:left w:val="single" w:sz="8" w:space="0" w:color="FFFFFF" w:themeColor="background1"/>
            </w:tcBorders>
            <w:shd w:val="clear" w:color="auto" w:fill="E5F6FA" w:themeFill="accent2" w:themeFillTint="33"/>
            <w:vAlign w:val="center"/>
          </w:tcPr>
          <w:p w14:paraId="6CA44AE1" w14:textId="77777777" w:rsidR="005D36C6" w:rsidRPr="00A04E56" w:rsidRDefault="005D36C6" w:rsidP="00277538">
            <w:pPr>
              <w:spacing w:line="276" w:lineRule="auto"/>
              <w:jc w:val="center"/>
              <w:rPr>
                <w:lang w:eastAsia="hu-HU"/>
              </w:rPr>
            </w:pPr>
            <w:r w:rsidRPr="00A04E56">
              <w:rPr>
                <w:noProof/>
                <w:lang w:val="fr-BE" w:eastAsia="fr-BE"/>
              </w:rPr>
              <w:drawing>
                <wp:inline distT="0" distB="0" distL="0" distR="0" wp14:anchorId="3F8BD139" wp14:editId="15EA0BCB">
                  <wp:extent cx="468000" cy="468000"/>
                  <wp:effectExtent l="0" t="0" r="8255" b="8255"/>
                  <wp:docPr id="687" name="Picture 687" descr="G:\Production\B2 prepresse\Raimonds\2019.1745 AMPR\50 - work on images\AMPR Icons\AMPR_Icons_Send2\AMPR_Icons_Send2\Icon_32000_ISF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Production\B2 prepresse\Raimonds\2019.1745 AMPR\50 - work on images\AMPR Icons\AMPR_Icons_Send2\AMPR_Icons_Send2\Icon_32000_ISF_04.emf"/>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tcBorders>
            <w:shd w:val="clear" w:color="auto" w:fill="E5F6FA" w:themeFill="accent2" w:themeFillTint="33"/>
            <w:vAlign w:val="center"/>
            <w:hideMark/>
          </w:tcPr>
          <w:p w14:paraId="75D98D47" w14:textId="77777777" w:rsidR="005D36C6" w:rsidRPr="00A04E56" w:rsidRDefault="005D36C6" w:rsidP="00277538">
            <w:pPr>
              <w:spacing w:line="276" w:lineRule="auto"/>
              <w:rPr>
                <w:rFonts w:cstheme="minorHAnsi"/>
                <w:szCs w:val="20"/>
              </w:rPr>
            </w:pPr>
            <w:r w:rsidRPr="00A04E56">
              <w:rPr>
                <w:rFonts w:cstheme="minorHAnsi"/>
                <w:szCs w:val="20"/>
              </w:rPr>
              <w:t>Borders: achieving a uniform and high level of control of the EU external borders by supporting integrated border management.</w:t>
            </w:r>
          </w:p>
        </w:tc>
      </w:tr>
    </w:tbl>
    <w:p w14:paraId="58C5DDEB" w14:textId="10F4F43B" w:rsidR="005D36C6" w:rsidRPr="00A04E56" w:rsidRDefault="008C1D39">
      <w:pPr>
        <w:pStyle w:val="Title3NumberedReport"/>
      </w:pPr>
      <w:bookmarkStart w:id="152" w:name="_Toc4680739"/>
      <w:bookmarkStart w:id="153" w:name="_Toc4683013"/>
      <w:r w:rsidRPr="00A04E56">
        <w:t xml:space="preserve">Implementation and latest </w:t>
      </w:r>
      <w:r w:rsidR="007A5C32" w:rsidRPr="00A04E56">
        <w:t>achievements</w:t>
      </w:r>
      <w:r w:rsidR="007A5C32" w:rsidRPr="007A5C32">
        <w:rPr>
          <w:rFonts w:ascii="Calibri" w:hAnsi="Calibri" w:cs="Calibri"/>
          <w:b w:val="0"/>
        </w:rPr>
        <w:t> </w:t>
      </w:r>
      <w:r w:rsidR="005D36C6" w:rsidRPr="00A04E56">
        <w:rPr>
          <w:rStyle w:val="fnRef"/>
          <w:b w:val="0"/>
        </w:rPr>
        <w:t>(</w:t>
      </w:r>
      <w:r w:rsidR="005D36C6" w:rsidRPr="007A5C32">
        <w:rPr>
          <w:rStyle w:val="fnRefNo"/>
          <w:b w:val="0"/>
        </w:rPr>
        <w:footnoteReference w:id="208"/>
      </w:r>
      <w:r w:rsidR="005D36C6" w:rsidRPr="00A04E56">
        <w:rPr>
          <w:rStyle w:val="fnRef"/>
          <w:b w:val="0"/>
        </w:rPr>
        <w:t>)</w:t>
      </w:r>
      <w:bookmarkEnd w:id="152"/>
      <w:bookmarkEnd w:id="153"/>
    </w:p>
    <w:p w14:paraId="39DF56EA" w14:textId="17B0A061" w:rsidR="005D36C6" w:rsidRPr="00A04E56" w:rsidRDefault="005D36C6" w:rsidP="005D36C6">
      <w:pPr>
        <w:pStyle w:val="BodyText1spaceafter"/>
      </w:pPr>
      <w:r w:rsidRPr="00A04E56">
        <w:t xml:space="preserve">The resources mobilised for the Internal Security Fund </w:t>
      </w:r>
      <w:r w:rsidRPr="00A04E56">
        <w:rPr>
          <w:rStyle w:val="BOLDLIGHTBLUEReport"/>
          <w:rFonts w:eastAsia="Calibri"/>
        </w:rPr>
        <w:t>over the 2014-2020 period amounted to EUR</w:t>
      </w:r>
      <w:r w:rsidRPr="00A04E56">
        <w:rPr>
          <w:rStyle w:val="BOLDLIGHTBLUEReport"/>
          <w:rFonts w:ascii="Calibri" w:eastAsia="Calibri" w:hAnsi="Calibri" w:cs="Calibri"/>
        </w:rPr>
        <w:t> </w:t>
      </w:r>
      <w:r w:rsidRPr="00A04E56">
        <w:rPr>
          <w:rStyle w:val="BOLDLIGHTBLUEReport"/>
          <w:rFonts w:eastAsia="Calibri"/>
        </w:rPr>
        <w:t>3.9</w:t>
      </w:r>
      <w:r w:rsidRPr="00A04E56">
        <w:rPr>
          <w:rStyle w:val="BOLDLIGHTBLUEReport"/>
          <w:rFonts w:ascii="Calibri" w:eastAsia="Calibri" w:hAnsi="Calibri" w:cs="Calibri"/>
        </w:rPr>
        <w:t> </w:t>
      </w:r>
      <w:r w:rsidRPr="00A04E56">
        <w:rPr>
          <w:rStyle w:val="BOLDLIGHTBLUEReport"/>
          <w:rFonts w:eastAsia="Calibri"/>
        </w:rPr>
        <w:t>billion</w:t>
      </w:r>
      <w:r w:rsidRPr="00A04E56">
        <w:t>, with EUR</w:t>
      </w:r>
      <w:r w:rsidRPr="00A04E56">
        <w:rPr>
          <w:rFonts w:ascii="Calibri" w:hAnsi="Calibri" w:cs="Calibri"/>
        </w:rPr>
        <w:t> </w:t>
      </w:r>
      <w:r w:rsidRPr="00A04E56">
        <w:t>2.7</w:t>
      </w:r>
      <w:r w:rsidRPr="00A04E56">
        <w:rPr>
          <w:rFonts w:ascii="Calibri" w:hAnsi="Calibri" w:cs="Calibri"/>
        </w:rPr>
        <w:t> billion</w:t>
      </w:r>
      <w:r w:rsidRPr="00A04E56">
        <w:t xml:space="preserve"> for borders and visas and EUR</w:t>
      </w:r>
      <w:r w:rsidRPr="00A04E56">
        <w:rPr>
          <w:rFonts w:ascii="Calibri" w:hAnsi="Calibri" w:cs="Calibri"/>
        </w:rPr>
        <w:t> </w:t>
      </w:r>
      <w:r w:rsidRPr="00A04E56">
        <w:t>1</w:t>
      </w:r>
      <w:r w:rsidR="00E83CEA" w:rsidRPr="00A04E56">
        <w:t>.</w:t>
      </w:r>
      <w:r w:rsidRPr="00A04E56">
        <w:t>2</w:t>
      </w:r>
      <w:r w:rsidRPr="00A04E56">
        <w:rPr>
          <w:rFonts w:ascii="Calibri" w:hAnsi="Calibri" w:cs="Calibri"/>
        </w:rPr>
        <w:t> </w:t>
      </w:r>
      <w:r w:rsidR="00E83CEA" w:rsidRPr="00A04E56">
        <w:rPr>
          <w:rFonts w:ascii="Calibri" w:hAnsi="Calibri" w:cs="Calibri"/>
        </w:rPr>
        <w:t>b</w:t>
      </w:r>
      <w:r w:rsidRPr="00A04E56">
        <w:rPr>
          <w:rFonts w:ascii="Calibri" w:hAnsi="Calibri" w:cs="Calibri"/>
        </w:rPr>
        <w:t>illion</w:t>
      </w:r>
      <w:r w:rsidRPr="00A04E56">
        <w:t xml:space="preserve"> for police cooperation. Out of the total amount, EUR</w:t>
      </w:r>
      <w:r w:rsidRPr="00A04E56">
        <w:rPr>
          <w:rFonts w:ascii="Calibri" w:hAnsi="Calibri" w:cs="Calibri"/>
        </w:rPr>
        <w:t> </w:t>
      </w:r>
      <w:r w:rsidRPr="00A04E56">
        <w:t>390.2</w:t>
      </w:r>
      <w:r w:rsidRPr="00A04E56">
        <w:rPr>
          <w:rFonts w:ascii="Calibri" w:hAnsi="Calibri" w:cs="Calibri"/>
        </w:rPr>
        <w:t> million</w:t>
      </w:r>
      <w:r w:rsidRPr="00A04E56">
        <w:t xml:space="preserve"> was emergency funding. </w:t>
      </w:r>
    </w:p>
    <w:p w14:paraId="481620FB" w14:textId="7A84DEC5" w:rsidR="005D36C6" w:rsidRPr="00A04E56" w:rsidRDefault="008C1D39" w:rsidP="005D36C6">
      <w:pPr>
        <w:pStyle w:val="BodyText1spaceafter"/>
      </w:pPr>
      <w:r w:rsidRPr="00A04E56">
        <w:rPr>
          <w:i/>
          <w:u w:val="single"/>
        </w:rPr>
        <w:t>In 2018</w:t>
      </w:r>
      <w:r w:rsidR="005D36C6" w:rsidRPr="00A04E56">
        <w:t xml:space="preserve">, </w:t>
      </w:r>
      <w:r w:rsidR="005D36C6" w:rsidRPr="00A04E56">
        <w:rPr>
          <w:rStyle w:val="BOLDLIGHTBLUEReport"/>
          <w:rFonts w:eastAsia="Calibri"/>
        </w:rPr>
        <w:t>the Internal Security Fund</w:t>
      </w:r>
      <w:r w:rsidR="005D36C6" w:rsidRPr="00A04E56">
        <w:rPr>
          <w:rStyle w:val="Emphasis"/>
          <w:bCs/>
          <w:i w:val="0"/>
          <w:szCs w:val="20"/>
        </w:rPr>
        <w:t xml:space="preserve"> — </w:t>
      </w:r>
      <w:r w:rsidR="005D36C6" w:rsidRPr="00A04E56">
        <w:rPr>
          <w:rStyle w:val="BOLDLIGHTBLUEReport"/>
          <w:rFonts w:eastAsia="Calibri"/>
        </w:rPr>
        <w:t>police</w:t>
      </w:r>
      <w:r w:rsidR="005D36C6" w:rsidRPr="00A04E56">
        <w:rPr>
          <w:rStyle w:val="Emphasis"/>
          <w:bCs/>
          <w:szCs w:val="20"/>
        </w:rPr>
        <w:t xml:space="preserve"> </w:t>
      </w:r>
      <w:r w:rsidR="005D36C6" w:rsidRPr="00A04E56">
        <w:t xml:space="preserve">continued to support the prevention and fight against security-related risks and crises (including terrorism), in order to ensure a high level of security in </w:t>
      </w:r>
      <w:r w:rsidR="005D36C6" w:rsidRPr="00A04E56" w:rsidDel="00416AC9">
        <w:t xml:space="preserve">the </w:t>
      </w:r>
      <w:r w:rsidR="005D36C6" w:rsidRPr="00A04E56">
        <w:t xml:space="preserve">EU. </w:t>
      </w:r>
      <w:r w:rsidRPr="00A04E56">
        <w:rPr>
          <w:i/>
          <w:u w:val="single"/>
        </w:rPr>
        <w:t>In</w:t>
      </w:r>
      <w:r w:rsidR="00EF7FC2" w:rsidRPr="00A04E56">
        <w:rPr>
          <w:rFonts w:ascii="Calibri" w:hAnsi="Calibri" w:cs="Calibri"/>
          <w:i/>
          <w:u w:val="single"/>
        </w:rPr>
        <w:t> </w:t>
      </w:r>
      <w:r w:rsidRPr="00A04E56">
        <w:rPr>
          <w:i/>
          <w:u w:val="single"/>
        </w:rPr>
        <w:t>2018</w:t>
      </w:r>
      <w:r w:rsidR="005D36C6" w:rsidRPr="00A04E56">
        <w:t xml:space="preserve"> the Member State-financed actions in this area reached a total of </w:t>
      </w:r>
      <w:r w:rsidR="005D36C6" w:rsidRPr="00A04E56" w:rsidDel="00717F2A">
        <w:t>EUR</w:t>
      </w:r>
      <w:r w:rsidR="005D36C6" w:rsidRPr="00A04E56">
        <w:rPr>
          <w:rFonts w:ascii="Calibri" w:hAnsi="Calibri" w:cs="Calibri"/>
        </w:rPr>
        <w:t> </w:t>
      </w:r>
      <w:r w:rsidR="00E1109F" w:rsidRPr="00A04E56">
        <w:t>150</w:t>
      </w:r>
      <w:r w:rsidR="00E1109F" w:rsidRPr="00A04E56">
        <w:rPr>
          <w:rFonts w:ascii="Calibri" w:hAnsi="Calibri" w:cs="Calibri"/>
        </w:rPr>
        <w:t> </w:t>
      </w:r>
      <w:r w:rsidR="005D36C6" w:rsidRPr="00A04E56">
        <w:rPr>
          <w:rFonts w:ascii="Calibri" w:hAnsi="Calibri" w:cs="Calibri"/>
        </w:rPr>
        <w:t>million</w:t>
      </w:r>
      <w:r w:rsidR="005D36C6" w:rsidRPr="00A04E56">
        <w:t xml:space="preserve"> EU funding, which is </w:t>
      </w:r>
      <w:r w:rsidR="00E1109F" w:rsidRPr="00A04E56">
        <w:t>55</w:t>
      </w:r>
      <w:r w:rsidR="005D36C6" w:rsidRPr="00A04E56">
        <w:t xml:space="preserve">% higher than </w:t>
      </w:r>
      <w:r w:rsidRPr="00277538">
        <w:t>in 2017</w:t>
      </w:r>
      <w:r w:rsidR="005D36C6" w:rsidRPr="00A04E56">
        <w:t xml:space="preserve">. </w:t>
      </w:r>
    </w:p>
    <w:p w14:paraId="13FC0C16" w14:textId="0C940FE3" w:rsidR="005D36C6" w:rsidRPr="00A04E56" w:rsidRDefault="005D36C6" w:rsidP="005D36C6">
      <w:pPr>
        <w:pStyle w:val="BodyText1spaceafter"/>
      </w:pPr>
      <w:r w:rsidRPr="00A04E56">
        <w:t xml:space="preserve">Under the </w:t>
      </w:r>
      <w:r w:rsidR="00AE4B2D" w:rsidRPr="00A04E56">
        <w:t>f</w:t>
      </w:r>
      <w:r w:rsidRPr="00A04E56">
        <w:t xml:space="preserve">und, </w:t>
      </w:r>
      <w:r w:rsidRPr="00A04E56">
        <w:rPr>
          <w:rStyle w:val="BOLDLIGHTBLUEReport"/>
          <w:rFonts w:eastAsia="Calibri"/>
        </w:rPr>
        <w:t xml:space="preserve">exchange of information was further developed </w:t>
      </w:r>
      <w:r w:rsidR="008C1D39" w:rsidRPr="00A04E56">
        <w:rPr>
          <w:rStyle w:val="BOLDLIGHTBLUEReport"/>
          <w:rFonts w:eastAsia="Calibri"/>
          <w:i/>
          <w:u w:val="single"/>
        </w:rPr>
        <w:t>in 2018</w:t>
      </w:r>
      <w:r w:rsidRPr="00A04E56">
        <w:rPr>
          <w:rStyle w:val="BOLDLIGHTBLUEReport"/>
          <w:rFonts w:eastAsia="Calibri"/>
        </w:rPr>
        <w:t xml:space="preserve"> as well as operations</w:t>
      </w:r>
      <w:r w:rsidRPr="00A04E56">
        <w:t xml:space="preserve">. </w:t>
      </w:r>
      <w:r w:rsidR="008C1D39" w:rsidRPr="00A04E56">
        <w:rPr>
          <w:i/>
          <w:u w:val="single"/>
        </w:rPr>
        <w:t>In 2018</w:t>
      </w:r>
      <w:r w:rsidRPr="00A04E56">
        <w:t>, 413 joint</w:t>
      </w:r>
      <w:r w:rsidR="002B5F47" w:rsidRPr="00A04E56">
        <w:t>-</w:t>
      </w:r>
      <w:r w:rsidRPr="00A04E56">
        <w:t>investigation teams and the European Multidisciplinary Platform against Criminal Threats were established using fund support. In addition to this,</w:t>
      </w:r>
      <w:r w:rsidR="003D48BB" w:rsidRPr="00A04E56">
        <w:t xml:space="preserve"> </w:t>
      </w:r>
      <w:r w:rsidR="003D48BB" w:rsidRPr="00277538">
        <w:t>as of 31</w:t>
      </w:r>
      <w:r w:rsidR="00DA20EC" w:rsidRPr="00277538">
        <w:rPr>
          <w:rFonts w:ascii="Calibri" w:hAnsi="Calibri" w:cs="Calibri"/>
        </w:rPr>
        <w:t> </w:t>
      </w:r>
      <w:r w:rsidR="00DA20EC" w:rsidRPr="00277538">
        <w:t>March</w:t>
      </w:r>
      <w:r w:rsidR="00DA20EC" w:rsidRPr="00277538">
        <w:rPr>
          <w:rFonts w:ascii="Calibri" w:hAnsi="Calibri" w:cs="Calibri"/>
        </w:rPr>
        <w:t> </w:t>
      </w:r>
      <w:r w:rsidR="00DA20EC" w:rsidRPr="00277538">
        <w:t>2019</w:t>
      </w:r>
      <w:r w:rsidR="003D48BB" w:rsidRPr="00A04E56">
        <w:t>,</w:t>
      </w:r>
      <w:r w:rsidRPr="00A04E56">
        <w:t xml:space="preserve"> 164 projects worked on crime prevention and </w:t>
      </w:r>
      <w:r w:rsidR="00E83CEA" w:rsidRPr="00A04E56">
        <w:t xml:space="preserve">69 </w:t>
      </w:r>
      <w:r w:rsidRPr="00A04E56">
        <w:t>projects contributed to improving law-enforcement-information exchanges related to Europol systems: this is</w:t>
      </w:r>
      <w:r w:rsidRPr="00A04E56" w:rsidDel="00075518">
        <w:t xml:space="preserve"> </w:t>
      </w:r>
      <w:r w:rsidRPr="00A04E56">
        <w:t xml:space="preserve">an increase of </w:t>
      </w:r>
      <w:r w:rsidR="00E83CEA" w:rsidRPr="00A04E56">
        <w:t>13</w:t>
      </w:r>
      <w:r w:rsidRPr="00A04E56">
        <w:t xml:space="preserve">% compared to the number of similar projects reported </w:t>
      </w:r>
      <w:r w:rsidR="008C1D39" w:rsidRPr="00277538">
        <w:t>in 2017</w:t>
      </w:r>
      <w:r w:rsidRPr="00A04E56">
        <w:t xml:space="preserve">. The Member States intensified training activities so that the number of law-enforcement staff trained on cross-border-related topics </w:t>
      </w:r>
      <w:r w:rsidR="008C1D39" w:rsidRPr="00A04E56">
        <w:rPr>
          <w:i/>
          <w:u w:val="single"/>
        </w:rPr>
        <w:t>in 2018</w:t>
      </w:r>
      <w:r w:rsidRPr="00A04E56">
        <w:t xml:space="preserve"> reached </w:t>
      </w:r>
      <w:r w:rsidRPr="00A04E56">
        <w:rPr>
          <w:color w:val="auto"/>
        </w:rPr>
        <w:t>more than 27</w:t>
      </w:r>
      <w:r w:rsidRPr="00A04E56">
        <w:rPr>
          <w:rFonts w:ascii="Calibri" w:hAnsi="Calibri" w:cs="Calibri"/>
          <w:color w:val="auto"/>
        </w:rPr>
        <w:t> </w:t>
      </w:r>
      <w:r w:rsidR="00E83CEA" w:rsidRPr="00A04E56">
        <w:rPr>
          <w:color w:val="auto"/>
        </w:rPr>
        <w:t>52</w:t>
      </w:r>
      <w:r w:rsidR="003D48BB" w:rsidRPr="00A04E56">
        <w:rPr>
          <w:color w:val="auto"/>
        </w:rPr>
        <w:t>6</w:t>
      </w:r>
      <w:r w:rsidRPr="00A04E56">
        <w:t>, an increase of 230% compared to 2017.</w:t>
      </w:r>
    </w:p>
    <w:p w14:paraId="476865BC" w14:textId="27323D3A" w:rsidR="005D36C6" w:rsidRPr="00A04E56" w:rsidRDefault="005D36C6" w:rsidP="005D36C6">
      <w:pPr>
        <w:pStyle w:val="BodyText1spaceafter"/>
        <w:rPr>
          <w:iCs/>
        </w:rPr>
      </w:pPr>
      <w:r w:rsidRPr="00A04E56">
        <w:t xml:space="preserve">In support of efforts to </w:t>
      </w:r>
      <w:r w:rsidRPr="00A04E56">
        <w:rPr>
          <w:rStyle w:val="BOLDLIGHTBLUEReport"/>
          <w:rFonts w:eastAsia="Calibri"/>
        </w:rPr>
        <w:t>combat terrorist financing</w:t>
      </w:r>
      <w:r w:rsidRPr="00A04E56">
        <w:t xml:space="preserve">, the Internal Security Fund — police funded activities to counter new terrorist ways of operating and to support the development of collaborative actions and partnerships between public authorities and private entities. Three new projects were selected </w:t>
      </w:r>
      <w:r w:rsidR="008C1D39" w:rsidRPr="00A04E56">
        <w:rPr>
          <w:i/>
          <w:u w:val="single"/>
        </w:rPr>
        <w:t>in 2018</w:t>
      </w:r>
      <w:r w:rsidRPr="00A04E56">
        <w:t xml:space="preserve"> for </w:t>
      </w:r>
      <w:r w:rsidRPr="00A04E56" w:rsidDel="00717F2A">
        <w:t>EUR</w:t>
      </w:r>
      <w:r w:rsidRPr="00A04E56">
        <w:rPr>
          <w:rFonts w:ascii="Calibri" w:hAnsi="Calibri" w:cs="Calibri"/>
        </w:rPr>
        <w:t> </w:t>
      </w:r>
      <w:r w:rsidRPr="00A04E56">
        <w:t>2.6</w:t>
      </w:r>
      <w:r w:rsidRPr="00A04E56">
        <w:rPr>
          <w:rFonts w:ascii="Calibri" w:hAnsi="Calibri" w:cs="Calibri"/>
        </w:rPr>
        <w:t> million of funding</w:t>
      </w:r>
      <w:r w:rsidRPr="00A04E56">
        <w:t xml:space="preserve">. </w:t>
      </w:r>
      <w:r w:rsidRPr="00A04E56">
        <w:rPr>
          <w:iCs/>
        </w:rPr>
        <w:t>The Internal Security Fund — police also supported with EUR</w:t>
      </w:r>
      <w:r w:rsidRPr="00A04E56">
        <w:rPr>
          <w:rFonts w:ascii="Calibri" w:hAnsi="Calibri" w:cs="Calibri"/>
          <w:iCs/>
        </w:rPr>
        <w:t> </w:t>
      </w:r>
      <w:r w:rsidRPr="00A04E56">
        <w:rPr>
          <w:iCs/>
        </w:rPr>
        <w:t>6</w:t>
      </w:r>
      <w:r w:rsidRPr="00A04E56">
        <w:rPr>
          <w:rFonts w:ascii="Calibri" w:hAnsi="Calibri" w:cs="Calibri"/>
          <w:iCs/>
        </w:rPr>
        <w:t> million</w:t>
      </w:r>
      <w:r w:rsidRPr="00A04E56">
        <w:rPr>
          <w:iCs/>
        </w:rPr>
        <w:t xml:space="preserve"> the operation of the Radicalisation Awareness Network, which connects around 5</w:t>
      </w:r>
      <w:r w:rsidRPr="00A04E56">
        <w:rPr>
          <w:rFonts w:ascii="Calibri" w:hAnsi="Calibri" w:cs="Calibri"/>
          <w:iCs/>
        </w:rPr>
        <w:t> </w:t>
      </w:r>
      <w:r w:rsidRPr="00A04E56">
        <w:rPr>
          <w:iCs/>
        </w:rPr>
        <w:t>000 practitioners from the Member States.</w:t>
      </w:r>
      <w:r w:rsidR="00F7786E" w:rsidRPr="00A04E56">
        <w:rPr>
          <w:color w:val="FF0000"/>
        </w:rPr>
        <w:t xml:space="preserve"> </w:t>
      </w:r>
      <w:r w:rsidR="00F7786E" w:rsidRPr="00A04E56">
        <w:rPr>
          <w:iCs/>
        </w:rPr>
        <w:t>Moreover, with a view to support cities in their efforts to better protect public spaces, the Internal Security Fund — police funded several projects led by cities that are looking at innovative ways of protecting their inhabitants and public spaces.</w:t>
      </w:r>
    </w:p>
    <w:p w14:paraId="0B13AA8D" w14:textId="43A7EFB4" w:rsidR="005D36C6" w:rsidRPr="00A04E56" w:rsidRDefault="005D36C6" w:rsidP="005D36C6">
      <w:pPr>
        <w:pStyle w:val="BodyText1spaceafter"/>
      </w:pPr>
      <w:r w:rsidRPr="00A04E56">
        <w:t xml:space="preserve">The total amount of </w:t>
      </w:r>
      <w:r w:rsidRPr="00A04E56" w:rsidDel="00717F2A">
        <w:t>EUR</w:t>
      </w:r>
      <w:r w:rsidRPr="00A04E56">
        <w:rPr>
          <w:rFonts w:ascii="Calibri" w:hAnsi="Calibri" w:cs="Calibri"/>
        </w:rPr>
        <w:t> </w:t>
      </w:r>
      <w:r w:rsidR="00E1109F" w:rsidRPr="00A04E56">
        <w:t>2</w:t>
      </w:r>
      <w:r w:rsidR="00F7786E" w:rsidRPr="00A04E56">
        <w:t>34</w:t>
      </w:r>
      <w:r w:rsidR="00E1109F" w:rsidRPr="00A04E56">
        <w:rPr>
          <w:rFonts w:ascii="Calibri" w:hAnsi="Calibri" w:cs="Calibri"/>
        </w:rPr>
        <w:t> </w:t>
      </w:r>
      <w:r w:rsidRPr="00A04E56">
        <w:rPr>
          <w:rFonts w:ascii="Calibri" w:hAnsi="Calibri" w:cs="Calibri"/>
        </w:rPr>
        <w:t>million</w:t>
      </w:r>
      <w:r w:rsidRPr="00A04E56">
        <w:t xml:space="preserve"> EU funding was spent in the financial year 2018 under the </w:t>
      </w:r>
      <w:r w:rsidRPr="00A04E56">
        <w:rPr>
          <w:rStyle w:val="BOLDLIGHTBLUEReport"/>
          <w:rFonts w:eastAsia="Calibri"/>
        </w:rPr>
        <w:t>Internal Security Fund — borders and visas</w:t>
      </w:r>
      <w:r w:rsidRPr="00A04E56">
        <w:t xml:space="preserve">, </w:t>
      </w:r>
      <w:r w:rsidR="00F7786E" w:rsidRPr="00A04E56">
        <w:t xml:space="preserve">which is 13% higher than </w:t>
      </w:r>
      <w:r w:rsidR="008C1D39" w:rsidRPr="00277538">
        <w:t>in 2017</w:t>
      </w:r>
      <w:r w:rsidRPr="00A04E56">
        <w:t>.</w:t>
      </w:r>
    </w:p>
    <w:p w14:paraId="0C82A11E" w14:textId="155EEE45" w:rsidR="005D36C6" w:rsidRPr="00A04E56" w:rsidRDefault="008C1D39" w:rsidP="005D36C6">
      <w:pPr>
        <w:pStyle w:val="BodyText1spaceafter"/>
      </w:pPr>
      <w:r w:rsidRPr="00A04E56">
        <w:rPr>
          <w:i/>
          <w:u w:val="single"/>
        </w:rPr>
        <w:t>In 2018</w:t>
      </w:r>
      <w:r w:rsidR="005D36C6" w:rsidRPr="00A04E56">
        <w:t xml:space="preserve">, in the framework of </w:t>
      </w:r>
      <w:r w:rsidR="005D36C6" w:rsidRPr="00A04E56">
        <w:rPr>
          <w:rStyle w:val="BOLDLIGHTBLUEReport"/>
          <w:rFonts w:eastAsia="Calibri"/>
        </w:rPr>
        <w:t>European Border Surveillance System</w:t>
      </w:r>
      <w:r w:rsidR="005D36C6" w:rsidRPr="00A04E56">
        <w:t xml:space="preserve"> — </w:t>
      </w:r>
      <w:r w:rsidR="002D5D51" w:rsidRPr="00A04E56">
        <w:t>Eurosur</w:t>
      </w:r>
      <w:r w:rsidR="002D5D51" w:rsidRPr="00A04E56">
        <w:rPr>
          <w:rStyle w:val="fnRef"/>
          <w:rFonts w:ascii="Calibri" w:hAnsi="Calibri"/>
        </w:rPr>
        <w:t> </w:t>
      </w:r>
      <w:r w:rsidR="005D36C6" w:rsidRPr="00A04E56">
        <w:rPr>
          <w:rStyle w:val="fnRef"/>
        </w:rPr>
        <w:t>(</w:t>
      </w:r>
      <w:r w:rsidR="005D36C6" w:rsidRPr="00A04E56">
        <w:rPr>
          <w:rStyle w:val="fnRefNo"/>
        </w:rPr>
        <w:footnoteReference w:id="209"/>
      </w:r>
      <w:r w:rsidR="005D36C6" w:rsidRPr="00A04E56">
        <w:rPr>
          <w:rStyle w:val="fnRef"/>
        </w:rPr>
        <w:t>)</w:t>
      </w:r>
      <w:r w:rsidR="005D36C6" w:rsidRPr="00A04E56">
        <w:t xml:space="preserve">, Member States spent a total amount of </w:t>
      </w:r>
      <w:r w:rsidR="005D36C6" w:rsidRPr="00A04E56" w:rsidDel="00717F2A">
        <w:t>EUR</w:t>
      </w:r>
      <w:r w:rsidR="005D36C6" w:rsidRPr="00A04E56">
        <w:rPr>
          <w:rFonts w:ascii="Calibri" w:hAnsi="Calibri" w:cs="Calibri"/>
        </w:rPr>
        <w:t> </w:t>
      </w:r>
      <w:r w:rsidR="00F7786E" w:rsidRPr="00A04E56">
        <w:t>234</w:t>
      </w:r>
      <w:r w:rsidR="006A5FEF" w:rsidRPr="00A04E56">
        <w:rPr>
          <w:rFonts w:ascii="Calibri" w:hAnsi="Calibri" w:cs="Calibri"/>
        </w:rPr>
        <w:t> </w:t>
      </w:r>
      <w:r w:rsidR="005D36C6" w:rsidRPr="00A04E56">
        <w:rPr>
          <w:rFonts w:ascii="Calibri" w:hAnsi="Calibri" w:cs="Calibri"/>
        </w:rPr>
        <w:t>million</w:t>
      </w:r>
      <w:r w:rsidR="005D36C6" w:rsidRPr="00A04E56">
        <w:t xml:space="preserve"> of EU funding, allocated to the national programmes from the Internal Security Fund </w:t>
      </w:r>
      <w:r w:rsidR="005D36C6" w:rsidRPr="00A04E56">
        <w:rPr>
          <w:i/>
        </w:rPr>
        <w:t xml:space="preserve">— </w:t>
      </w:r>
      <w:r w:rsidR="005D36C6" w:rsidRPr="00A04E56">
        <w:t>borders and visas. The number of crossings of the EU external borders through the automated border control gates (funded by borders and visas)</w:t>
      </w:r>
      <w:r w:rsidR="005D36C6" w:rsidRPr="00A04E56" w:rsidDel="00E4456A">
        <w:t xml:space="preserve"> </w:t>
      </w:r>
      <w:r w:rsidR="005D36C6" w:rsidRPr="00A04E56">
        <w:t>has consistently increased, reaching almost 21</w:t>
      </w:r>
      <w:r w:rsidR="005D36C6" w:rsidRPr="00A04E56">
        <w:rPr>
          <w:rFonts w:ascii="Calibri" w:hAnsi="Calibri" w:cs="Calibri"/>
        </w:rPr>
        <w:t> million</w:t>
      </w:r>
      <w:r w:rsidR="005D36C6" w:rsidRPr="00A04E56">
        <w:t xml:space="preserve"> crossings </w:t>
      </w:r>
      <w:r w:rsidRPr="00A04E56">
        <w:rPr>
          <w:i/>
          <w:u w:val="single"/>
        </w:rPr>
        <w:t>in 2018</w:t>
      </w:r>
      <w:r w:rsidR="005D36C6" w:rsidRPr="00A04E56">
        <w:t>.</w:t>
      </w:r>
    </w:p>
    <w:tbl>
      <w:tblPr>
        <w:tblStyle w:val="TableGrid"/>
        <w:tblW w:w="0" w:type="auto"/>
        <w:tblBorders>
          <w:top w:val="dashSmallGap" w:sz="12" w:space="0" w:color="65BBC8"/>
          <w:left w:val="dashSmallGap" w:sz="12" w:space="0" w:color="65BBC8"/>
          <w:bottom w:val="dashSmallGap" w:sz="12" w:space="0" w:color="65BBC8"/>
          <w:right w:val="dashSmallGap" w:sz="12" w:space="0" w:color="65BBC8"/>
          <w:insideH w:val="none" w:sz="0" w:space="0" w:color="auto"/>
          <w:insideV w:val="none" w:sz="0" w:space="0" w:color="auto"/>
        </w:tblBorders>
        <w:tblCellMar>
          <w:top w:w="34" w:type="dxa"/>
          <w:left w:w="136" w:type="dxa"/>
          <w:bottom w:w="34" w:type="dxa"/>
          <w:right w:w="136" w:type="dxa"/>
        </w:tblCellMar>
        <w:tblLook w:val="04A0" w:firstRow="1" w:lastRow="0" w:firstColumn="1" w:lastColumn="0" w:noHBand="0" w:noVBand="1"/>
      </w:tblPr>
      <w:tblGrid>
        <w:gridCol w:w="4644"/>
        <w:gridCol w:w="4644"/>
      </w:tblGrid>
      <w:tr w:rsidR="007862BE" w:rsidRPr="00A04E56" w14:paraId="38F3CA75" w14:textId="77777777" w:rsidTr="00C257BF">
        <w:tc>
          <w:tcPr>
            <w:tcW w:w="9288" w:type="dxa"/>
            <w:gridSpan w:val="2"/>
            <w:vAlign w:val="center"/>
          </w:tcPr>
          <w:p w14:paraId="1D149062" w14:textId="133E08D5" w:rsidR="007862BE" w:rsidRPr="00A04E56" w:rsidRDefault="007862BE" w:rsidP="00C257BF">
            <w:pPr>
              <w:pStyle w:val="BOX3builtastableBluedashedborderBluetext-Bold"/>
              <w:keepNext/>
            </w:pPr>
            <w:bookmarkStart w:id="154" w:name="_Toc4680740"/>
            <w:bookmarkStart w:id="155" w:name="_Toc4683014"/>
            <w:r w:rsidRPr="00A04E56">
              <w:t>Emergency assistance</w:t>
            </w:r>
            <w:r w:rsidRPr="00A04E56">
              <w:rPr>
                <w:rStyle w:val="fnRef"/>
                <w:rFonts w:ascii="Calibri" w:hAnsi="Calibri" w:cs="Calibri"/>
                <w:b w:val="0"/>
              </w:rPr>
              <w:t> </w:t>
            </w:r>
            <w:r w:rsidRPr="00A04E56">
              <w:rPr>
                <w:rStyle w:val="fnRef"/>
                <w:b w:val="0"/>
              </w:rPr>
              <w:t>(</w:t>
            </w:r>
            <w:r w:rsidRPr="00A04E56">
              <w:rPr>
                <w:rStyle w:val="fnRefNo"/>
                <w:b w:val="0"/>
              </w:rPr>
              <w:footnoteReference w:id="210"/>
            </w:r>
            <w:r w:rsidRPr="00A04E56">
              <w:rPr>
                <w:rStyle w:val="fnRef"/>
                <w:b w:val="0"/>
              </w:rPr>
              <w:t>)</w:t>
            </w:r>
          </w:p>
        </w:tc>
      </w:tr>
      <w:tr w:rsidR="007862BE" w:rsidRPr="00A04E56" w14:paraId="5C30C665" w14:textId="5DE1687C" w:rsidTr="00C257BF">
        <w:tc>
          <w:tcPr>
            <w:tcW w:w="4644" w:type="dxa"/>
          </w:tcPr>
          <w:p w14:paraId="40496EE9" w14:textId="3EAA2514" w:rsidR="007862BE" w:rsidRPr="00A04E56" w:rsidRDefault="007862BE" w:rsidP="008D24EA">
            <w:pPr>
              <w:pStyle w:val="BOX3builtastableBluedashedborderBluetext"/>
            </w:pPr>
            <w:r w:rsidRPr="00A04E56">
              <w:t>Under the Internal Security Fund, Greece implemented an emergency</w:t>
            </w:r>
            <w:r w:rsidR="00C6111C" w:rsidRPr="00A04E56">
              <w:t>-assistance</w:t>
            </w:r>
            <w:r w:rsidRPr="00A04E56">
              <w:t xml:space="preserve"> project (EUR</w:t>
            </w:r>
            <w:r w:rsidRPr="00A04E56">
              <w:rPr>
                <w:rFonts w:ascii="Calibri" w:hAnsi="Calibri" w:cs="Calibri"/>
              </w:rPr>
              <w:t> </w:t>
            </w:r>
            <w:r w:rsidRPr="00A04E56">
              <w:t>7.1</w:t>
            </w:r>
            <w:r w:rsidRPr="00A04E56">
              <w:rPr>
                <w:rFonts w:ascii="Calibri" w:hAnsi="Calibri" w:cs="Calibri"/>
              </w:rPr>
              <w:t> million)</w:t>
            </w:r>
            <w:r w:rsidRPr="00A04E56">
              <w:t xml:space="preserve"> for additional reception-and-identification-service staff. It covered the presence of Greek national (Hellenic) police personnel in the five hotspots to </w:t>
            </w:r>
            <w:r w:rsidRPr="00A04E56">
              <w:rPr>
                <w:rStyle w:val="BOLDLIGHTBLUEReport"/>
                <w:rFonts w:eastAsia="Calibri"/>
              </w:rPr>
              <w:t>increase the security of migrants and staff</w:t>
            </w:r>
            <w:r w:rsidRPr="00A04E56">
              <w:t>.</w:t>
            </w:r>
          </w:p>
        </w:tc>
        <w:tc>
          <w:tcPr>
            <w:tcW w:w="4644" w:type="dxa"/>
            <w:vAlign w:val="center"/>
          </w:tcPr>
          <w:p w14:paraId="2B72365D" w14:textId="097CCC8C" w:rsidR="007862BE" w:rsidRPr="00A04E56" w:rsidRDefault="008C1D39" w:rsidP="008D24EA">
            <w:pPr>
              <w:pStyle w:val="BOX3builtastableBluedashedborderBluetext"/>
            </w:pPr>
            <w:r w:rsidRPr="00A04E56">
              <w:rPr>
                <w:i/>
                <w:u w:val="single"/>
              </w:rPr>
              <w:t>In 2018</w:t>
            </w:r>
            <w:r w:rsidR="007862BE" w:rsidRPr="00A04E56">
              <w:t xml:space="preserve"> Italy implemented projects (EU contribution EUR</w:t>
            </w:r>
            <w:r w:rsidR="007862BE" w:rsidRPr="00A04E56">
              <w:rPr>
                <w:rFonts w:ascii="Calibri" w:hAnsi="Calibri" w:cs="Calibri"/>
              </w:rPr>
              <w:t> </w:t>
            </w:r>
            <w:r w:rsidR="007862BE" w:rsidRPr="00A04E56">
              <w:t>62.9</w:t>
            </w:r>
            <w:r w:rsidR="007862BE" w:rsidRPr="00A04E56">
              <w:rPr>
                <w:rFonts w:ascii="Calibri" w:hAnsi="Calibri" w:cs="Calibri"/>
              </w:rPr>
              <w:t> million)</w:t>
            </w:r>
            <w:r w:rsidR="007862BE" w:rsidRPr="00A04E56">
              <w:t xml:space="preserve"> related to </w:t>
            </w:r>
            <w:r w:rsidR="007862BE" w:rsidRPr="00A04E56">
              <w:rPr>
                <w:rStyle w:val="BOLDLIGHTBLUEReport"/>
                <w:rFonts w:eastAsia="Calibri"/>
              </w:rPr>
              <w:t>hotspots and other disembarkation areas</w:t>
            </w:r>
            <w:r w:rsidR="007862BE" w:rsidRPr="00A04E56">
              <w:rPr>
                <w:b/>
              </w:rPr>
              <w:t xml:space="preserve">. </w:t>
            </w:r>
            <w:r w:rsidR="007862BE" w:rsidRPr="00A04E56">
              <w:t>These projects included the procurement of equipment for border checks, interpretation/inter</w:t>
            </w:r>
            <w:r w:rsidR="003B6127" w:rsidRPr="00A04E56">
              <w:t>cultural</w:t>
            </w:r>
            <w:r w:rsidR="007862BE" w:rsidRPr="00A04E56">
              <w:t xml:space="preserve"> mediation services, as well as the upgrading and running of border-surveillance assets. Furthermore, </w:t>
            </w:r>
            <w:r w:rsidRPr="00A04E56">
              <w:rPr>
                <w:i/>
                <w:u w:val="single"/>
              </w:rPr>
              <w:t>in 2018</w:t>
            </w:r>
            <w:r w:rsidR="007862BE" w:rsidRPr="00A04E56">
              <w:t xml:space="preserve">, under emergency assistance an additional </w:t>
            </w:r>
            <w:r w:rsidR="007862BE" w:rsidRPr="00A04E56">
              <w:rPr>
                <w:b/>
              </w:rPr>
              <w:t>EUR</w:t>
            </w:r>
            <w:r w:rsidR="007862BE" w:rsidRPr="00A04E56">
              <w:rPr>
                <w:rFonts w:ascii="Calibri" w:hAnsi="Calibri" w:cs="Calibri"/>
                <w:b/>
              </w:rPr>
              <w:t> </w:t>
            </w:r>
            <w:r w:rsidR="007862BE" w:rsidRPr="00A04E56">
              <w:rPr>
                <w:b/>
              </w:rPr>
              <w:t>4.41</w:t>
            </w:r>
            <w:r w:rsidR="007862BE" w:rsidRPr="00A04E56">
              <w:rPr>
                <w:rFonts w:ascii="Calibri" w:hAnsi="Calibri" w:cs="Calibri"/>
                <w:b/>
              </w:rPr>
              <w:t> million</w:t>
            </w:r>
            <w:r w:rsidR="007862BE" w:rsidRPr="00A04E56">
              <w:rPr>
                <w:b/>
              </w:rPr>
              <w:t xml:space="preserve"> </w:t>
            </w:r>
            <w:r w:rsidR="007862BE" w:rsidRPr="00A04E56">
              <w:t>was granted to Italy.</w:t>
            </w:r>
          </w:p>
        </w:tc>
      </w:tr>
      <w:tr w:rsidR="007862BE" w:rsidRPr="00A04E56" w14:paraId="1660FB51" w14:textId="77777777" w:rsidTr="001D50DF">
        <w:tc>
          <w:tcPr>
            <w:tcW w:w="9288" w:type="dxa"/>
            <w:gridSpan w:val="2"/>
          </w:tcPr>
          <w:p w14:paraId="6C41C121" w14:textId="4BAFF1A8" w:rsidR="007862BE" w:rsidRPr="00A04E56" w:rsidRDefault="007862BE" w:rsidP="00C257BF">
            <w:pPr>
              <w:pStyle w:val="BOX3builtastableBluedashedborderBluetext"/>
              <w:keepNext/>
              <w:keepLines/>
            </w:pPr>
            <w:r w:rsidRPr="00A04E56">
              <w:rPr>
                <w:rStyle w:val="BOLDLIGHTBLUEReport"/>
                <w:rFonts w:eastAsia="Calibri"/>
              </w:rPr>
              <w:t>Large-scale IT systems:</w:t>
            </w:r>
            <w:r w:rsidRPr="00A04E56">
              <w:t xml:space="preserve"> In recent years the EU has been developing large-scale centralised IT information systems for collecting, processing and sharing information relevant to security, migration and external-border management. These systems are vital for security cooperation, as well as for the management of external borders and migration in the EU.</w:t>
            </w:r>
          </w:p>
          <w:p w14:paraId="00D6D6DB" w14:textId="3DD1F016" w:rsidR="007862BE" w:rsidRPr="00A04E56" w:rsidRDefault="007862BE" w:rsidP="00C257BF">
            <w:pPr>
              <w:pStyle w:val="BOX3builtastableBluedashedborderBluebullet"/>
            </w:pPr>
            <w:r w:rsidRPr="00A04E56">
              <w:t xml:space="preserve">The </w:t>
            </w:r>
            <w:r w:rsidRPr="00A04E56">
              <w:rPr>
                <w:rStyle w:val="BOLDLIGHTBLUEReport"/>
                <w:rFonts w:eastAsia="Calibri"/>
              </w:rPr>
              <w:t>Schengen information system</w:t>
            </w:r>
            <w:r w:rsidRPr="00A04E56">
              <w:rPr>
                <w:i/>
              </w:rPr>
              <w:t xml:space="preserve"> </w:t>
            </w:r>
            <w:r w:rsidRPr="00A04E56">
              <w:t xml:space="preserve">is an EU-wide, large-scale information system that stores, alerts and provides information on certain categories of wanted or missing persons or objects. </w:t>
            </w:r>
            <w:r w:rsidR="008C1D39" w:rsidRPr="00A04E56">
              <w:rPr>
                <w:i/>
                <w:u w:val="single"/>
              </w:rPr>
              <w:t>In 2018</w:t>
            </w:r>
            <w:r w:rsidRPr="00A04E56">
              <w:t xml:space="preserve"> the system was consulted </w:t>
            </w:r>
            <w:r w:rsidR="00F7786E" w:rsidRPr="00A04E56">
              <w:t>6</w:t>
            </w:r>
            <w:r w:rsidRPr="00A04E56">
              <w:rPr>
                <w:rFonts w:ascii="Calibri" w:hAnsi="Calibri" w:cs="Calibri"/>
              </w:rPr>
              <w:t> </w:t>
            </w:r>
            <w:r w:rsidRPr="00A04E56" w:rsidDel="0047720B">
              <w:t>billion</w:t>
            </w:r>
            <w:r w:rsidRPr="00A04E56">
              <w:t xml:space="preserve"> times</w:t>
            </w:r>
            <w:r w:rsidRPr="00A04E56">
              <w:rPr>
                <w:rStyle w:val="fnRef"/>
                <w:rFonts w:ascii="Calibri" w:hAnsi="Calibri" w:cs="Calibri"/>
              </w:rPr>
              <w:t> </w:t>
            </w:r>
            <w:r w:rsidRPr="00A04E56">
              <w:t xml:space="preserve">compared to </w:t>
            </w:r>
            <w:r w:rsidR="00196819">
              <w:t>5</w:t>
            </w:r>
            <w:r w:rsidR="00916BD5" w:rsidRPr="00A04E56">
              <w:rPr>
                <w:rFonts w:ascii="Calibri" w:hAnsi="Calibri" w:cs="Calibri"/>
              </w:rPr>
              <w:t> </w:t>
            </w:r>
            <w:r w:rsidRPr="00A04E56">
              <w:t xml:space="preserve">billion times </w:t>
            </w:r>
            <w:r w:rsidR="008C1D39" w:rsidRPr="00277538">
              <w:t>in 2017</w:t>
            </w:r>
            <w:r w:rsidRPr="00A04E56">
              <w:t>. This reduces the chance that people who pose a security threat, including returning EU nationals, cross borders unnoticed.</w:t>
            </w:r>
          </w:p>
          <w:p w14:paraId="04B8CE44" w14:textId="77777777" w:rsidR="007862BE" w:rsidRPr="00A04E56" w:rsidRDefault="007862BE" w:rsidP="00C257BF">
            <w:pPr>
              <w:pStyle w:val="BOX3builtastableBluedashedborderBluebullet"/>
            </w:pPr>
            <w:r w:rsidRPr="00A04E56">
              <w:rPr>
                <w:color w:val="65BBC8" w:themeColor="accent1"/>
                <w:szCs w:val="20"/>
              </w:rPr>
              <w:t xml:space="preserve">The </w:t>
            </w:r>
            <w:r w:rsidRPr="00A04E56">
              <w:rPr>
                <w:rStyle w:val="BOLDLIGHTBLUEReport"/>
                <w:rFonts w:eastAsia="Calibri"/>
              </w:rPr>
              <w:t>automated fingerprint identification system</w:t>
            </w:r>
            <w:r w:rsidRPr="00A04E56">
              <w:rPr>
                <w:i/>
                <w:color w:val="65BBC8" w:themeColor="accent1"/>
                <w:szCs w:val="20"/>
              </w:rPr>
              <w:t xml:space="preserve"> </w:t>
            </w:r>
            <w:r w:rsidRPr="00A04E56">
              <w:rPr>
                <w:color w:val="65BBC8" w:themeColor="accent1"/>
                <w:szCs w:val="20"/>
              </w:rPr>
              <w:t>helps identify criminals and terrorists entering and moving across the Schengen area under false identities.</w:t>
            </w:r>
          </w:p>
          <w:p w14:paraId="6625FA44" w14:textId="009138D3" w:rsidR="007862BE" w:rsidRPr="00A04E56" w:rsidRDefault="007862BE" w:rsidP="00C257BF">
            <w:pPr>
              <w:pStyle w:val="BOX3builtastableBluedashedborderBluebullet"/>
            </w:pPr>
            <w:r w:rsidRPr="00A04E56">
              <w:rPr>
                <w:color w:val="65BBC8" w:themeColor="accent1"/>
                <w:szCs w:val="20"/>
              </w:rPr>
              <w:t xml:space="preserve">Two regulations were adopted </w:t>
            </w:r>
            <w:r w:rsidR="008C1D39" w:rsidRPr="00A04E56">
              <w:rPr>
                <w:i/>
                <w:color w:val="65BBC8" w:themeColor="accent1"/>
                <w:szCs w:val="20"/>
                <w:u w:val="single"/>
              </w:rPr>
              <w:t>in 2018</w:t>
            </w:r>
            <w:r w:rsidRPr="00A04E56">
              <w:rPr>
                <w:rStyle w:val="fnRef"/>
                <w:rFonts w:ascii="Calibri" w:hAnsi="Calibri" w:cs="Calibri"/>
              </w:rPr>
              <w:t> </w:t>
            </w:r>
            <w:r w:rsidRPr="00A04E56">
              <w:rPr>
                <w:rStyle w:val="fnRef"/>
              </w:rPr>
              <w:t>(</w:t>
            </w:r>
            <w:r w:rsidRPr="00A04E56">
              <w:rPr>
                <w:rStyle w:val="fnRefNo"/>
              </w:rPr>
              <w:footnoteReference w:id="211"/>
            </w:r>
            <w:r w:rsidRPr="00A04E56">
              <w:rPr>
                <w:rStyle w:val="fnRef"/>
              </w:rPr>
              <w:t>)</w:t>
            </w:r>
            <w:r w:rsidRPr="00A04E56">
              <w:rPr>
                <w:color w:val="65BBC8" w:themeColor="accent1"/>
                <w:szCs w:val="20"/>
              </w:rPr>
              <w:t xml:space="preserve"> for a </w:t>
            </w:r>
            <w:r w:rsidRPr="00A04E56">
              <w:rPr>
                <w:rStyle w:val="BOLDLIGHTBLUEReport"/>
                <w:rFonts w:eastAsia="Calibri"/>
              </w:rPr>
              <w:t>European Travel Information and Authorisation System</w:t>
            </w:r>
            <w:r w:rsidRPr="00A04E56">
              <w:rPr>
                <w:color w:val="65BBC8" w:themeColor="accent1"/>
                <w:szCs w:val="20"/>
              </w:rPr>
              <w:t xml:space="preserve"> (ETIAS), funded under the Internal Security Fund. The system will gather information on all persons who are travelling visa-free to Europe. It will ensure that any possible security and irregular migration concerns are identified before travel to the Schengen area. This will contribute to</w:t>
            </w:r>
            <w:r w:rsidRPr="00A04E56" w:rsidDel="00C061EC">
              <w:rPr>
                <w:color w:val="65BBC8" w:themeColor="accent1"/>
                <w:szCs w:val="20"/>
              </w:rPr>
              <w:t xml:space="preserve"> </w:t>
            </w:r>
            <w:r w:rsidRPr="00A04E56">
              <w:rPr>
                <w:color w:val="65BBC8" w:themeColor="accent1"/>
                <w:szCs w:val="20"/>
              </w:rPr>
              <w:t>more efficient management of the EU’s external borders, improving internal EU security and facilitating better management of irregular migration.</w:t>
            </w:r>
          </w:p>
          <w:p w14:paraId="3C514F6E" w14:textId="07CDAF9E" w:rsidR="007862BE" w:rsidRPr="00A04E56" w:rsidRDefault="007862BE" w:rsidP="00C257BF">
            <w:pPr>
              <w:pStyle w:val="BOX3builtastableBluedashedborderBluebullet"/>
            </w:pPr>
            <w:r w:rsidRPr="00A04E56">
              <w:rPr>
                <w:color w:val="65BBC8" w:themeColor="accent1"/>
                <w:szCs w:val="20"/>
              </w:rPr>
              <w:t xml:space="preserve">The development of the </w:t>
            </w:r>
            <w:r w:rsidR="00AF678F" w:rsidRPr="00A04E56">
              <w:rPr>
                <w:rStyle w:val="BOLDLIGHTBLUEReport"/>
                <w:rFonts w:eastAsia="Calibri"/>
              </w:rPr>
              <w:t>E</w:t>
            </w:r>
            <w:r w:rsidRPr="00A04E56">
              <w:rPr>
                <w:rStyle w:val="BOLDLIGHTBLUEReport"/>
                <w:rFonts w:eastAsia="Calibri"/>
              </w:rPr>
              <w:t>ntry/</w:t>
            </w:r>
            <w:r w:rsidR="00AF678F" w:rsidRPr="00A04E56">
              <w:rPr>
                <w:rStyle w:val="BOLDLIGHTBLUEReport"/>
                <w:rFonts w:eastAsia="Calibri"/>
              </w:rPr>
              <w:t>E</w:t>
            </w:r>
            <w:r w:rsidRPr="00A04E56">
              <w:rPr>
                <w:rStyle w:val="BOLDLIGHTBLUEReport"/>
                <w:rFonts w:eastAsia="Calibri"/>
              </w:rPr>
              <w:t xml:space="preserve">xit </w:t>
            </w:r>
            <w:r w:rsidR="00AF678F" w:rsidRPr="00A04E56">
              <w:rPr>
                <w:rStyle w:val="BOLDLIGHTBLUEReport"/>
                <w:rFonts w:eastAsia="Calibri"/>
              </w:rPr>
              <w:t>S</w:t>
            </w:r>
            <w:r w:rsidRPr="00A04E56">
              <w:rPr>
                <w:rStyle w:val="BOLDLIGHTBLUEReport"/>
                <w:rFonts w:eastAsia="Calibri"/>
              </w:rPr>
              <w:t>ystem</w:t>
            </w:r>
            <w:r w:rsidRPr="00A04E56">
              <w:rPr>
                <w:color w:val="65BBC8" w:themeColor="accent1"/>
                <w:szCs w:val="20"/>
              </w:rPr>
              <w:t xml:space="preserve"> started end-2018</w:t>
            </w:r>
            <w:r w:rsidR="00AF678F" w:rsidRPr="00A04E56">
              <w:rPr>
                <w:color w:val="65BBC8" w:themeColor="accent1"/>
                <w:szCs w:val="20"/>
              </w:rPr>
              <w:t xml:space="preserve"> funded by the Internal Security Fund</w:t>
            </w:r>
            <w:r w:rsidR="00F7786E" w:rsidRPr="00A04E56">
              <w:rPr>
                <w:color w:val="65BBC8" w:themeColor="accent1"/>
                <w:szCs w:val="20"/>
              </w:rPr>
              <w:t>.</w:t>
            </w:r>
            <w:r w:rsidRPr="00A04E56">
              <w:rPr>
                <w:color w:val="65BBC8" w:themeColor="accent1"/>
                <w:szCs w:val="20"/>
              </w:rPr>
              <w:t xml:space="preserve"> The system will modernise EU external-border management by replacing the manual stamping of passports with the electronic recording of the identity data of non-EU nationals (as well as the time, date and place of their entry and exit).</w:t>
            </w:r>
          </w:p>
        </w:tc>
      </w:tr>
    </w:tbl>
    <w:bookmarkEnd w:id="154"/>
    <w:bookmarkEnd w:id="155"/>
    <w:p w14:paraId="7B48BC49" w14:textId="348988BD" w:rsidR="005D36C6" w:rsidRPr="00A04E56" w:rsidRDefault="00B25BA2" w:rsidP="00AA0340">
      <w:pPr>
        <w:pStyle w:val="Title3NumberedReport"/>
      </w:pPr>
      <w:r w:rsidRPr="00A04E56">
        <w:t>Assessment and evaluation</w:t>
      </w:r>
    </w:p>
    <w:p w14:paraId="306C2D4A" w14:textId="77777777" w:rsidR="005D36C6" w:rsidRPr="00A04E56" w:rsidRDefault="005D36C6" w:rsidP="005D36C6">
      <w:pPr>
        <w:pStyle w:val="BodyText1spaceafter"/>
      </w:pPr>
      <w:r w:rsidRPr="00A04E56">
        <w:t xml:space="preserve">The </w:t>
      </w:r>
      <w:r w:rsidRPr="00A04E56">
        <w:rPr>
          <w:rStyle w:val="BOLDLIGHTBLUEReport"/>
          <w:rFonts w:eastAsia="Calibri"/>
        </w:rPr>
        <w:t>midterm evaluation</w:t>
      </w:r>
      <w:r w:rsidRPr="00A04E56">
        <w:rPr>
          <w:rStyle w:val="fnRef"/>
          <w:rFonts w:ascii="Calibri" w:hAnsi="Calibri" w:cs="Calibri"/>
        </w:rPr>
        <w:t> </w:t>
      </w:r>
      <w:r w:rsidRPr="00A04E56">
        <w:rPr>
          <w:rStyle w:val="fnRef"/>
        </w:rPr>
        <w:t>(</w:t>
      </w:r>
      <w:r w:rsidRPr="00A04E56">
        <w:rPr>
          <w:rStyle w:val="fnRefNo"/>
        </w:rPr>
        <w:footnoteReference w:id="212"/>
      </w:r>
      <w:r w:rsidRPr="00A04E56">
        <w:rPr>
          <w:rStyle w:val="fnRef"/>
        </w:rPr>
        <w:t>)</w:t>
      </w:r>
      <w:r w:rsidRPr="00A04E56">
        <w:t xml:space="preserve"> confirmed that the Internal Security Fund responded well to the changing needs emerging as a consequence of the migration and security crisis and enabled the shifting of resources to the Member States affected.</w:t>
      </w:r>
    </w:p>
    <w:p w14:paraId="41123198" w14:textId="56B60789" w:rsidR="005D36C6" w:rsidRPr="00A04E56" w:rsidRDefault="005D36C6" w:rsidP="005D36C6">
      <w:pPr>
        <w:pStyle w:val="BodyText1spaceafter"/>
      </w:pPr>
      <w:r w:rsidRPr="00A04E56">
        <w:t>The findings of the evaluation demonstrated the importance of the</w:t>
      </w:r>
      <w:r w:rsidRPr="00A04E56">
        <w:rPr>
          <w:rStyle w:val="BOLDLIGHTBLUEReport"/>
          <w:rFonts w:eastAsia="Calibri"/>
        </w:rPr>
        <w:t xml:space="preserve"> Internal Security Fund</w:t>
      </w:r>
      <w:r w:rsidRPr="00A04E56">
        <w:t xml:space="preserve"> </w:t>
      </w:r>
      <w:r w:rsidRPr="00A04E56">
        <w:rPr>
          <w:rStyle w:val="BOLDLIGHTBLUEReport"/>
          <w:rFonts w:eastAsia="Calibri"/>
        </w:rPr>
        <w:t>— borders and visas</w:t>
      </w:r>
      <w:r w:rsidRPr="00A04E56">
        <w:t xml:space="preserve"> to ensure effective integrated border management through a more extended exchange of information and cooperation, including with the European Border and Coast Guard Agency. This helped in developing border-surveillance and border-management IT systems. The evaluation pointed out that the </w:t>
      </w:r>
      <w:r w:rsidRPr="00A04E56">
        <w:rPr>
          <w:rStyle w:val="BOLDLIGHTBLUEReport"/>
          <w:rFonts w:eastAsia="Calibri"/>
        </w:rPr>
        <w:t xml:space="preserve">Internal Security Fund — police </w:t>
      </w:r>
      <w:r w:rsidRPr="00A04E56">
        <w:t xml:space="preserve">was essential in improving the capacity of Member States to address security threats which have a transnational dimension such as terrorism, organised crime and corruption. The </w:t>
      </w:r>
      <w:r w:rsidR="00AE4B2D" w:rsidRPr="00A04E56">
        <w:t>fund</w:t>
      </w:r>
      <w:r w:rsidR="00F7786E" w:rsidRPr="00A04E56">
        <w:t xml:space="preserve"> </w:t>
      </w:r>
      <w:r w:rsidRPr="00A04E56">
        <w:t>has promoted law-enforcement cooperation at European level through the exchange of information and dissemination of best practice, the</w:t>
      </w:r>
      <w:r w:rsidRPr="00A04E56" w:rsidDel="00181604">
        <w:t xml:space="preserve"> </w:t>
      </w:r>
      <w:r w:rsidRPr="00A04E56">
        <w:t xml:space="preserve">establishing of transnational networks and projects and the participation of Member States in joint-investigation teams. </w:t>
      </w:r>
    </w:p>
    <w:p w14:paraId="72057985" w14:textId="2BB3A3F0" w:rsidR="005D36C6" w:rsidRPr="00A04E56" w:rsidRDefault="005D36C6" w:rsidP="005D36C6">
      <w:pPr>
        <w:pStyle w:val="BodyText1spaceafter"/>
      </w:pPr>
      <w:r w:rsidRPr="00A04E56">
        <w:t xml:space="preserve">The </w:t>
      </w:r>
      <w:r w:rsidRPr="00A04E56">
        <w:rPr>
          <w:rStyle w:val="BOLDLIGHTBLUEReport"/>
          <w:rFonts w:eastAsia="Calibri"/>
        </w:rPr>
        <w:t>main lessons to be learnt</w:t>
      </w:r>
      <w:r w:rsidRPr="00A04E56">
        <w:t xml:space="preserve"> from the evaluation relate to the need to increase the sustainability of the </w:t>
      </w:r>
      <w:r w:rsidR="00AE4B2D" w:rsidRPr="00A04E56">
        <w:t>fund</w:t>
      </w:r>
      <w:r w:rsidR="00F7786E" w:rsidRPr="00A04E56">
        <w:t xml:space="preserve"> </w:t>
      </w:r>
      <w:r w:rsidRPr="00A04E56">
        <w:t xml:space="preserve">as the continuity of the actions relies to a large extent on the EU funding. Further measures should be taken to alleviate the administrative burden while the evaluation and monitoring framework could be improved by better defining indicators, which should be in place right from the start. The reporting calendars should be synchronised with those of the Member States. Most Member States point to a need for additional guidance from the Commission on the implementation of the </w:t>
      </w:r>
      <w:r w:rsidR="00AE4B2D" w:rsidRPr="00A04E56">
        <w:t>fund</w:t>
      </w:r>
      <w:r w:rsidRPr="00A04E56">
        <w:t>. For the Internal Security Fund</w:t>
      </w:r>
      <w:r w:rsidRPr="00A04E56" w:rsidDel="00606440">
        <w:t xml:space="preserve"> </w:t>
      </w:r>
      <w:r w:rsidRPr="00A04E56">
        <w:t>— borders and visas, greater EU added value could have been expected in the areas of consular cooperation and cooperation with non-EU countries. For the Internal Security Fund — police, progress is still to be pursued in improving Member States’ ability to protect critical infrastructure, developing training schemes and exchange programmes, and to take action with non-EU countries and international organisations. Member States are encouraged to improve the flexibility in the design of the national programmes and allocation of funding</w:t>
      </w:r>
      <w:r w:rsidRPr="00A04E56">
        <w:rPr>
          <w:rFonts w:ascii="Calibri" w:hAnsi="Calibri" w:cs="Calibri"/>
        </w:rPr>
        <w:t> </w:t>
      </w:r>
      <w:r w:rsidRPr="00A04E56">
        <w:rPr>
          <w:rStyle w:val="fnRef"/>
        </w:rPr>
        <w:t>(</w:t>
      </w:r>
      <w:r w:rsidRPr="00A04E56">
        <w:rPr>
          <w:rStyle w:val="fnRefNo"/>
        </w:rPr>
        <w:footnoteReference w:id="213"/>
      </w:r>
      <w:r w:rsidRPr="00A04E56">
        <w:rPr>
          <w:rStyle w:val="fnRef"/>
        </w:rPr>
        <w:t>)</w:t>
      </w:r>
      <w:r w:rsidRPr="00A04E56">
        <w:t>.</w:t>
      </w:r>
    </w:p>
    <w:p w14:paraId="5713D355" w14:textId="536FC5BD" w:rsidR="005D36C6" w:rsidRPr="00A04E56" w:rsidRDefault="005D36C6" w:rsidP="005D36C6">
      <w:pPr>
        <w:pStyle w:val="BodyText1spaceafter"/>
      </w:pPr>
      <w:r w:rsidRPr="00A04E56">
        <w:t xml:space="preserve">The Commission took full account of the findings of the evaluation in the proposal for </w:t>
      </w:r>
      <w:r w:rsidRPr="00A04E56">
        <w:rPr>
          <w:rStyle w:val="BOLDLIGHTBLUEReport"/>
          <w:rFonts w:eastAsia="Calibri"/>
        </w:rPr>
        <w:t>a strengthened Internal Security Fund</w:t>
      </w:r>
      <w:r w:rsidRPr="00A04E56">
        <w:rPr>
          <w:rStyle w:val="fnRef"/>
          <w:rFonts w:ascii="Calibri" w:hAnsi="Calibri" w:cs="Calibri"/>
        </w:rPr>
        <w:t> </w:t>
      </w:r>
      <w:r w:rsidRPr="00A04E56">
        <w:rPr>
          <w:rStyle w:val="fnRef"/>
        </w:rPr>
        <w:t>(</w:t>
      </w:r>
      <w:r w:rsidRPr="00A04E56">
        <w:rPr>
          <w:rStyle w:val="fnRefNo"/>
        </w:rPr>
        <w:footnoteReference w:id="214"/>
      </w:r>
      <w:r w:rsidRPr="00A04E56">
        <w:rPr>
          <w:rStyle w:val="fnRef"/>
        </w:rPr>
        <w:t>)</w:t>
      </w:r>
      <w:r w:rsidRPr="00A04E56">
        <w:t xml:space="preserve">. In particular, the proposal includes a new set of objectives which will support Member States in a more flexible and effective way to deliver on priority security areas: the fight against terrorism and radicalisation; serious and organised crime; cybercrime; and the protection of victims of crime. The proposal increases the flexibility of the </w:t>
      </w:r>
      <w:r w:rsidR="00AE4B2D" w:rsidRPr="00A04E56">
        <w:t>fund</w:t>
      </w:r>
      <w:r w:rsidR="00F7786E" w:rsidRPr="00A04E56">
        <w:t xml:space="preserve"> </w:t>
      </w:r>
      <w:r w:rsidRPr="00A04E56">
        <w:t xml:space="preserve">by reserving a substantial part of funding for unforeseen security challenges, allowing for rapid response to emergencies and the channelling of funds to the Member States that need them most. As security is a global issue which depends on our actions beyond EU borders and a crosscutting issue requiring a coordinated EU response, the improved </w:t>
      </w:r>
      <w:r w:rsidR="00F7786E" w:rsidRPr="00A04E56">
        <w:t xml:space="preserve">Fund </w:t>
      </w:r>
      <w:r w:rsidRPr="00A04E56">
        <w:t xml:space="preserve">will continue to support measures in non-EU countries, while ensuring full complementarity with </w:t>
      </w:r>
      <w:r w:rsidRPr="00A04E56" w:rsidDel="00416AC9">
        <w:t xml:space="preserve">the </w:t>
      </w:r>
      <w:r w:rsidRPr="00A04E56">
        <w:t>EU</w:t>
      </w:r>
      <w:r w:rsidR="00C6157D" w:rsidRPr="00A04E56">
        <w:t>’</w:t>
      </w:r>
      <w:r w:rsidRPr="00A04E56">
        <w:t xml:space="preserve">s internal security priorities and overall objectives in those countries. It will also work more effectively with other EU </w:t>
      </w:r>
      <w:r w:rsidR="00AE4B2D" w:rsidRPr="00A04E56">
        <w:t>funds</w:t>
      </w:r>
      <w:r w:rsidRPr="00A04E56">
        <w:t xml:space="preserve">, including the </w:t>
      </w:r>
      <w:r w:rsidR="00F504A4" w:rsidRPr="00A04E56">
        <w:t xml:space="preserve">Cohesion Policy Funds </w:t>
      </w:r>
      <w:r w:rsidRPr="00A04E56">
        <w:t>and Horizon Europe, as well as the Integrated Border Management Fund and the Asylum and Migration Fund to maximise the EU response to security challenges on all fronts.</w:t>
      </w:r>
    </w:p>
    <w:p w14:paraId="2E9F5300" w14:textId="77777777" w:rsidR="005D36C6" w:rsidRPr="00A04E56" w:rsidRDefault="005D36C6" w:rsidP="005D36C6">
      <w:pPr>
        <w:pStyle w:val="BodyText1spaceafter"/>
      </w:pPr>
      <w:r w:rsidRPr="00A04E56">
        <w:t xml:space="preserve">To ensure better and more-integrated management of the EU’s external borders, </w:t>
      </w:r>
      <w:r w:rsidRPr="00A04E56">
        <w:rPr>
          <w:rStyle w:val="BOLDLIGHTBLUEReport"/>
          <w:rFonts w:eastAsia="Calibri"/>
        </w:rPr>
        <w:t>the current Borders and Visa Fund will be moved from the Internal Security Fund to the new Integrated Border Management Fund</w:t>
      </w:r>
      <w:r w:rsidRPr="00A04E56">
        <w:rPr>
          <w:rStyle w:val="fnRef"/>
          <w:rFonts w:ascii="Calibri" w:hAnsi="Calibri" w:cs="Calibri"/>
        </w:rPr>
        <w:t> </w:t>
      </w:r>
      <w:r w:rsidRPr="00A04E56">
        <w:rPr>
          <w:rStyle w:val="fnRef"/>
        </w:rPr>
        <w:t>(</w:t>
      </w:r>
      <w:r w:rsidRPr="00A04E56">
        <w:rPr>
          <w:rStyle w:val="fnRefNo"/>
        </w:rPr>
        <w:footnoteReference w:id="215"/>
      </w:r>
      <w:r w:rsidRPr="00A04E56">
        <w:rPr>
          <w:rStyle w:val="fnRef"/>
        </w:rPr>
        <w:t>)</w:t>
      </w:r>
      <w:r w:rsidRPr="00A04E56">
        <w:t xml:space="preserve">. The Integrated Border Management Fund will contribute to the further development of the common visa policy and ensure European integrated border management at the EU external borders with a view to managing the efficient crossing of the EU external borders. The key for the distribution of funding will be flexibility. It will enable determining the right delivery mode and the themes to which funding should be allocated, while maintaining a critical mass of upfront funding for structural and large multiannual investments in line with Member States’ needs. The allocation will also take fully into account the need for Member States to focus investments on key EU priorities according to the body of EU law (the ‘Union </w:t>
      </w:r>
      <w:r w:rsidRPr="00A04E56">
        <w:rPr>
          <w:i/>
        </w:rPr>
        <w:t>acquis</w:t>
      </w:r>
      <w:r w:rsidRPr="00A04E56">
        <w:t>’).</w:t>
      </w:r>
    </w:p>
    <w:p w14:paraId="7BD2534A" w14:textId="1583B8F2" w:rsidR="005D36C6" w:rsidRPr="00A04E56" w:rsidRDefault="005D36C6" w:rsidP="005D36C6">
      <w:pPr>
        <w:pStyle w:val="Title2Report"/>
      </w:pPr>
      <w:bookmarkStart w:id="156" w:name="_Toc12021022"/>
      <w:r w:rsidRPr="00A04E56">
        <w:t xml:space="preserve">Health </w:t>
      </w:r>
      <w:r w:rsidR="004951CC" w:rsidRPr="00A04E56">
        <w:t>p</w:t>
      </w:r>
      <w:r w:rsidRPr="00A04E56">
        <w:t>rogramme</w:t>
      </w:r>
      <w:bookmarkEnd w:id="156"/>
    </w:p>
    <w:p w14:paraId="4ED229C7" w14:textId="77777777" w:rsidR="005D36C6" w:rsidRPr="00A04E56" w:rsidRDefault="005D36C6" w:rsidP="005D36C6">
      <w:pPr>
        <w:pStyle w:val="BodyText1spaceafter"/>
      </w:pPr>
      <w:r w:rsidRPr="00A04E56">
        <w:t>The aim of the Health Programme is to complement, support and add value to the policies of Member States in improving the health of the public and reducing health inequalities, encouraging innovation in health and increasing the sustainability of health systems.</w:t>
      </w:r>
    </w:p>
    <w:p w14:paraId="6F99A6B5" w14:textId="5B990F44" w:rsidR="005D36C6" w:rsidRPr="00A04E56" w:rsidRDefault="008C1D39" w:rsidP="005D36C6">
      <w:pPr>
        <w:pStyle w:val="BodyText1spaceafter"/>
      </w:pPr>
      <w:r w:rsidRPr="00A04E56">
        <w:rPr>
          <w:i/>
          <w:u w:val="single"/>
        </w:rPr>
        <w:t>In 2018</w:t>
      </w:r>
      <w:r w:rsidR="005D36C6" w:rsidRPr="00A04E56">
        <w:t xml:space="preserve"> a total of </w:t>
      </w:r>
      <w:r w:rsidR="005D36C6" w:rsidRPr="00A04E56" w:rsidDel="00717F2A">
        <w:t>EUR</w:t>
      </w:r>
      <w:r w:rsidR="005D36C6" w:rsidRPr="00A04E56">
        <w:rPr>
          <w:rFonts w:ascii="Calibri" w:hAnsi="Calibri" w:cs="Calibri"/>
        </w:rPr>
        <w:t> </w:t>
      </w:r>
      <w:r w:rsidR="005D36C6" w:rsidRPr="00A04E56">
        <w:t>60.7</w:t>
      </w:r>
      <w:r w:rsidR="005D36C6" w:rsidRPr="00A04E56">
        <w:rPr>
          <w:rFonts w:ascii="Calibri" w:hAnsi="Calibri" w:cs="Calibri"/>
        </w:rPr>
        <w:t> million</w:t>
      </w:r>
      <w:r w:rsidR="005D36C6" w:rsidRPr="00A04E56">
        <w:t xml:space="preserve"> was allocated to allow the EU to continue supporting Member State health activities. The budget available over the 2014-2020 period amounts to </w:t>
      </w:r>
      <w:r w:rsidR="005D36C6" w:rsidRPr="00A04E56" w:rsidDel="00717F2A">
        <w:t>EUR</w:t>
      </w:r>
      <w:r w:rsidR="005D36C6" w:rsidRPr="00A04E56">
        <w:rPr>
          <w:rFonts w:ascii="Calibri" w:hAnsi="Calibri" w:cs="Calibri"/>
        </w:rPr>
        <w:t> </w:t>
      </w:r>
      <w:r w:rsidR="005D36C6" w:rsidRPr="00A04E56">
        <w:t>449.4</w:t>
      </w:r>
      <w:r w:rsidR="005D36C6" w:rsidRPr="00A04E56">
        <w:rPr>
          <w:rFonts w:ascii="Calibri" w:hAnsi="Calibri" w:cs="Calibri"/>
        </w:rPr>
        <w:t> </w:t>
      </w:r>
      <w:r w:rsidR="005D36C6" w:rsidRPr="00A04E56" w:rsidDel="00374320">
        <w:rPr>
          <w:rFonts w:ascii="Calibri" w:hAnsi="Calibri" w:cs="Calibri"/>
        </w:rPr>
        <w:t>million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16"/>
      </w:r>
      <w:r w:rsidR="005D36C6" w:rsidRPr="00A04E56">
        <w:rPr>
          <w:rStyle w:val="fnRef"/>
        </w:rPr>
        <w:t>)</w:t>
      </w:r>
      <w:r w:rsidR="005D36C6" w:rsidRPr="00A04E56">
        <w:t>.</w:t>
      </w:r>
      <w:r w:rsidR="005D36C6" w:rsidRPr="00A04E56" w:rsidDel="00133825">
        <w:t xml:space="preserve"> </w:t>
      </w:r>
      <w:r w:rsidRPr="00A04E56">
        <w:rPr>
          <w:i/>
          <w:u w:val="single"/>
        </w:rPr>
        <w:t>In 2018</w:t>
      </w:r>
      <w:r w:rsidR="005D36C6" w:rsidRPr="00A04E56">
        <w:t xml:space="preserve"> this covered</w:t>
      </w:r>
      <w:r w:rsidR="005D36C6" w:rsidRPr="00A04E56">
        <w:rPr>
          <w:rFonts w:eastAsia="MS Mincho"/>
          <w:lang w:eastAsia="ja-JP"/>
        </w:rPr>
        <w:t>:</w:t>
      </w:r>
      <w:r w:rsidR="005D36C6" w:rsidRPr="00A04E56" w:rsidDel="00717F2A">
        <w:rPr>
          <w:rFonts w:eastAsia="MS Mincho"/>
          <w:lang w:eastAsia="ja-JP"/>
        </w:rPr>
        <w:t xml:space="preserve"> </w:t>
      </w:r>
      <w:r w:rsidR="005D36C6" w:rsidRPr="00A04E56">
        <w:rPr>
          <w:rFonts w:eastAsia="MS Mincho"/>
          <w:lang w:eastAsia="ja-JP"/>
        </w:rPr>
        <w:t>EUR</w:t>
      </w:r>
      <w:r w:rsidR="005D36C6" w:rsidRPr="00A04E56">
        <w:rPr>
          <w:rFonts w:ascii="Calibri" w:eastAsia="MS Mincho" w:hAnsi="Calibri" w:cs="Calibri"/>
          <w:lang w:eastAsia="ja-JP"/>
        </w:rPr>
        <w:t> </w:t>
      </w:r>
      <w:r w:rsidR="005D36C6" w:rsidRPr="00A04E56">
        <w:rPr>
          <w:rFonts w:eastAsia="MS Mincho"/>
          <w:lang w:eastAsia="ja-JP"/>
        </w:rPr>
        <w:t>6.9</w:t>
      </w:r>
      <w:r w:rsidR="005D36C6" w:rsidRPr="00A04E56">
        <w:rPr>
          <w:rFonts w:ascii="Calibri" w:eastAsia="MS Mincho" w:hAnsi="Calibri" w:cs="Calibri"/>
          <w:lang w:eastAsia="ja-JP"/>
        </w:rPr>
        <w:t> million</w:t>
      </w:r>
      <w:r w:rsidR="005D36C6" w:rsidRPr="00A04E56">
        <w:rPr>
          <w:rFonts w:eastAsia="MS Mincho"/>
          <w:lang w:eastAsia="ja-JP"/>
        </w:rPr>
        <w:t xml:space="preserve"> for serious cross-border health threats;</w:t>
      </w:r>
      <w:r w:rsidR="005D36C6" w:rsidRPr="00A04E56" w:rsidDel="00717F2A">
        <w:rPr>
          <w:rFonts w:eastAsia="MS Mincho"/>
          <w:lang w:eastAsia="ja-JP"/>
        </w:rPr>
        <w:t xml:space="preserve"> </w:t>
      </w:r>
      <w:r w:rsidR="005D36C6" w:rsidRPr="00A04E56">
        <w:rPr>
          <w:rFonts w:eastAsia="MS Mincho"/>
          <w:lang w:eastAsia="ja-JP"/>
        </w:rPr>
        <w:t>EUR</w:t>
      </w:r>
      <w:r w:rsidR="005D36C6" w:rsidRPr="00A04E56">
        <w:rPr>
          <w:rFonts w:ascii="Calibri" w:eastAsia="MS Mincho" w:hAnsi="Calibri" w:cs="Calibri"/>
          <w:lang w:eastAsia="ja-JP"/>
        </w:rPr>
        <w:t> </w:t>
      </w:r>
      <w:r w:rsidR="005D36C6" w:rsidRPr="00A04E56">
        <w:rPr>
          <w:rFonts w:eastAsia="MS Mincho"/>
          <w:lang w:eastAsia="ja-JP"/>
        </w:rPr>
        <w:t>7.4</w:t>
      </w:r>
      <w:r w:rsidR="005D36C6" w:rsidRPr="00A04E56">
        <w:rPr>
          <w:rFonts w:ascii="Calibri" w:eastAsia="MS Mincho" w:hAnsi="Calibri" w:cs="Calibri"/>
          <w:lang w:eastAsia="ja-JP"/>
        </w:rPr>
        <w:t> million</w:t>
      </w:r>
      <w:r w:rsidR="005D36C6" w:rsidRPr="00A04E56">
        <w:rPr>
          <w:rFonts w:eastAsia="MS Mincho"/>
          <w:lang w:eastAsia="ja-JP"/>
        </w:rPr>
        <w:t xml:space="preserve"> for e</w:t>
      </w:r>
      <w:r w:rsidR="005D36C6" w:rsidRPr="00A04E56">
        <w:t>ffective, accessible and resilient health</w:t>
      </w:r>
      <w:r w:rsidR="003B6127" w:rsidRPr="00A04E56">
        <w:t>-care</w:t>
      </w:r>
      <w:r w:rsidR="005D36C6" w:rsidRPr="00A04E56">
        <w:t xml:space="preserve"> systems</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17"/>
      </w:r>
      <w:r w:rsidR="005D36C6" w:rsidRPr="00A04E56">
        <w:rPr>
          <w:rStyle w:val="fnRef"/>
        </w:rPr>
        <w:t>)</w:t>
      </w:r>
      <w:r w:rsidR="005D36C6" w:rsidRPr="00A04E56">
        <w:rPr>
          <w:rFonts w:eastAsia="MS Mincho"/>
          <w:lang w:eastAsia="ja-JP"/>
        </w:rPr>
        <w:t>;</w:t>
      </w:r>
      <w:r w:rsidR="005D36C6" w:rsidRPr="00A04E56" w:rsidDel="00717F2A">
        <w:rPr>
          <w:rFonts w:eastAsia="MS Mincho"/>
          <w:lang w:eastAsia="ja-JP"/>
        </w:rPr>
        <w:t xml:space="preserve"> </w:t>
      </w:r>
      <w:r w:rsidR="005D36C6" w:rsidRPr="00A04E56">
        <w:rPr>
          <w:rFonts w:eastAsia="MS Mincho"/>
          <w:lang w:eastAsia="ja-JP"/>
        </w:rPr>
        <w:t>EUR</w:t>
      </w:r>
      <w:r w:rsidR="005D36C6" w:rsidRPr="00A04E56">
        <w:rPr>
          <w:rFonts w:ascii="Calibri" w:eastAsia="MS Mincho" w:hAnsi="Calibri" w:cs="Calibri"/>
          <w:lang w:eastAsia="ja-JP"/>
        </w:rPr>
        <w:t> </w:t>
      </w:r>
      <w:r w:rsidR="005D36C6" w:rsidRPr="00A04E56">
        <w:rPr>
          <w:rFonts w:eastAsia="MS Mincho"/>
          <w:lang w:eastAsia="ja-JP"/>
        </w:rPr>
        <w:t>22</w:t>
      </w:r>
      <w:r w:rsidR="005D36C6" w:rsidRPr="00A04E56">
        <w:rPr>
          <w:rFonts w:ascii="Calibri" w:eastAsia="MS Mincho" w:hAnsi="Calibri" w:cs="Calibri"/>
          <w:lang w:eastAsia="ja-JP"/>
        </w:rPr>
        <w:t> million</w:t>
      </w:r>
      <w:r w:rsidR="005D36C6" w:rsidRPr="00A04E56">
        <w:rPr>
          <w:rFonts w:eastAsia="MS Mincho"/>
          <w:lang w:eastAsia="ja-JP"/>
        </w:rPr>
        <w:t xml:space="preserve"> for </w:t>
      </w:r>
      <w:r w:rsidR="005D36C6" w:rsidRPr="00A04E56">
        <w:t>increased access to medical expertise and information for specific conditions.</w:t>
      </w:r>
    </w:p>
    <w:p w14:paraId="749D71C6" w14:textId="7CD4114A" w:rsidR="005D36C6" w:rsidRPr="00A04E56" w:rsidRDefault="005D36C6" w:rsidP="005D36C6">
      <w:pPr>
        <w:pStyle w:val="BodyText1spaceafter"/>
      </w:pPr>
      <w:r w:rsidRPr="00A04E56">
        <w:t xml:space="preserve">Six joint actions were signed with Member States </w:t>
      </w:r>
      <w:r w:rsidR="008C1D39" w:rsidRPr="00A04E56">
        <w:rPr>
          <w:i/>
          <w:u w:val="single"/>
        </w:rPr>
        <w:t>in 2018</w:t>
      </w:r>
      <w:r w:rsidRPr="00A04E56">
        <w:t xml:space="preserve">: on (a) health inequalities, (b) the </w:t>
      </w:r>
      <w:r w:rsidR="00F504A4" w:rsidRPr="00A04E56">
        <w:t>innovative partnership on action against cancer</w:t>
      </w:r>
      <w:r w:rsidRPr="00A04E56">
        <w:t>, (c) vaccination, (d)</w:t>
      </w:r>
      <w:r w:rsidRPr="00A04E56">
        <w:rPr>
          <w:rFonts w:ascii="Calibri" w:hAnsi="Calibri" w:cs="Calibri"/>
        </w:rPr>
        <w:t> </w:t>
      </w:r>
      <w:r w:rsidRPr="00A04E56">
        <w:t xml:space="preserve">preparedness and action at points of entry (air, maritime and ground crossings), </w:t>
      </w:r>
      <w:r w:rsidR="00F504A4" w:rsidRPr="00A04E56">
        <w:t>(e)</w:t>
      </w:r>
      <w:r w:rsidRPr="00A04E56">
        <w:t xml:space="preserve"> action supporting the eHealth network, and (f) health information towards a sustainable EU health-information system supporting country knowledge, health research and policymaking.</w:t>
      </w:r>
      <w:r w:rsidRPr="00A04E56">
        <w:rPr>
          <w:rStyle w:val="fnRef"/>
          <w:rFonts w:ascii="Calibri" w:hAnsi="Calibri" w:cs="Calibri"/>
        </w:rPr>
        <w:t> </w:t>
      </w:r>
      <w:r w:rsidRPr="00A04E56">
        <w:rPr>
          <w:rStyle w:val="fnRef"/>
        </w:rPr>
        <w:t>(</w:t>
      </w:r>
      <w:r w:rsidRPr="00A04E56">
        <w:rPr>
          <w:rStyle w:val="fnRefNo"/>
        </w:rPr>
        <w:footnoteReference w:id="218"/>
      </w:r>
      <w:r w:rsidRPr="00A04E56">
        <w:rPr>
          <w:rStyle w:val="fnRef"/>
        </w:rPr>
        <w:t>)</w:t>
      </w:r>
    </w:p>
    <w:p w14:paraId="5722BB3B" w14:textId="4948A627" w:rsidR="005D36C6" w:rsidRPr="00A04E56" w:rsidRDefault="005D36C6" w:rsidP="00277538">
      <w:pPr>
        <w:pStyle w:val="BodyText1spaceafter"/>
        <w:spacing w:after="360"/>
      </w:pPr>
      <w:r w:rsidRPr="00A04E56">
        <w:t xml:space="preserve">The </w:t>
      </w:r>
      <w:r w:rsidRPr="00A04E56">
        <w:rPr>
          <w:rStyle w:val="BOLDLIGHTBLUEReport"/>
          <w:rFonts w:eastAsia="Calibri"/>
        </w:rPr>
        <w:t>Joint Action on Vaccination (2018-2021)</w:t>
      </w:r>
      <w:r w:rsidRPr="00A04E56">
        <w:t xml:space="preserve"> involves 20 countries, the European Centre for Disease Prevention and Control, the World Health Organisation, industry and stakeholders. The </w:t>
      </w:r>
      <w:r w:rsidR="004951CC" w:rsidRPr="00A04E56">
        <w:t>j</w:t>
      </w:r>
      <w:r w:rsidRPr="00A04E56">
        <w:t xml:space="preserve">oint </w:t>
      </w:r>
      <w:r w:rsidR="004951CC" w:rsidRPr="00A04E56">
        <w:t>a</w:t>
      </w:r>
      <w:r w:rsidRPr="00A04E56">
        <w:t>ction is coordinated by France's national institute of health and medical research. By sharing tools for stronger national responses to vaccination challenges, the joint action aims to spur long</w:t>
      </w:r>
      <w:r w:rsidRPr="00A04E56">
        <w:rPr>
          <w:rFonts w:ascii="Cambria Math" w:hAnsi="Cambria Math" w:cs="Cambria Math"/>
        </w:rPr>
        <w:t>‐</w:t>
      </w:r>
      <w:r w:rsidRPr="00A04E56">
        <w:t>lasting European cooperation on vaccine</w:t>
      </w:r>
      <w:r w:rsidRPr="00A04E56">
        <w:rPr>
          <w:rFonts w:ascii="Cambria Math" w:hAnsi="Cambria Math" w:cs="Cambria Math"/>
        </w:rPr>
        <w:t>‐</w:t>
      </w:r>
      <w:r w:rsidRPr="00A04E56">
        <w:t>preventable diseases.</w:t>
      </w:r>
      <w:r w:rsidRPr="00A04E56">
        <w:rPr>
          <w:rStyle w:val="fnRef"/>
          <w:rFonts w:ascii="Calibri" w:hAnsi="Calibri" w:cs="Calibri"/>
        </w:rPr>
        <w:t> </w:t>
      </w:r>
      <w:r w:rsidRPr="00A04E56">
        <w:rPr>
          <w:rStyle w:val="fnRef"/>
        </w:rPr>
        <w:t>(</w:t>
      </w:r>
      <w:r w:rsidRPr="00A04E56">
        <w:rPr>
          <w:rStyle w:val="fnRefNo"/>
        </w:rPr>
        <w:footnoteReference w:id="219"/>
      </w:r>
      <w:r w:rsidRPr="00A04E56">
        <w:rPr>
          <w:rStyle w:val="fnRef"/>
        </w:rPr>
        <w:t>)</w:t>
      </w:r>
    </w:p>
    <w:tbl>
      <w:tblPr>
        <w:tblStyle w:val="Simpletable9"/>
        <w:tblW w:w="7196" w:type="dxa"/>
        <w:jc w:val="center"/>
        <w:tblLayout w:type="fixed"/>
        <w:tblLook w:val="04A0" w:firstRow="1" w:lastRow="0" w:firstColumn="1" w:lastColumn="0" w:noHBand="0" w:noVBand="1"/>
      </w:tblPr>
      <w:tblGrid>
        <w:gridCol w:w="3598"/>
        <w:gridCol w:w="567"/>
        <w:gridCol w:w="993"/>
        <w:gridCol w:w="2038"/>
      </w:tblGrid>
      <w:tr w:rsidR="00A36589" w:rsidRPr="00A04E56" w14:paraId="59D7A9C5" w14:textId="77777777" w:rsidTr="00B810FF">
        <w:trPr>
          <w:trHeight w:val="964"/>
          <w:jc w:val="center"/>
        </w:trPr>
        <w:tc>
          <w:tcPr>
            <w:tcW w:w="7196" w:type="dxa"/>
            <w:gridSpan w:val="4"/>
            <w:tcBorders>
              <w:top w:val="nil"/>
              <w:left w:val="nil"/>
              <w:bottom w:val="nil"/>
              <w:right w:val="nil"/>
            </w:tcBorders>
            <w:shd w:val="clear" w:color="auto" w:fill="D1EFF7"/>
            <w:vAlign w:val="center"/>
          </w:tcPr>
          <w:p w14:paraId="16551A1E" w14:textId="0D60494B" w:rsidR="00A36589" w:rsidRPr="00A04E56" w:rsidRDefault="00A36589" w:rsidP="00C257BF">
            <w:pPr>
              <w:keepNext/>
              <w:jc w:val="center"/>
              <w:rPr>
                <w:rFonts w:eastAsia="Calibri"/>
                <w:b/>
                <w:sz w:val="22"/>
              </w:rPr>
            </w:pPr>
            <w:r w:rsidRPr="00A04E56">
              <w:rPr>
                <w:rFonts w:eastAsia="Calibri"/>
                <w:b/>
                <w:color w:val="3FB296"/>
                <w:sz w:val="28"/>
              </w:rPr>
              <w:t>P</w:t>
            </w:r>
            <w:r w:rsidR="00B36E29" w:rsidRPr="00A04E56">
              <w:rPr>
                <w:rFonts w:eastAsia="Calibri"/>
                <w:b/>
                <w:color w:val="3FB296"/>
                <w:sz w:val="28"/>
              </w:rPr>
              <w:t>rotecting health, saving lives</w:t>
            </w:r>
            <w:r w:rsidRPr="00A04E56">
              <w:rPr>
                <w:rFonts w:eastAsia="Calibri"/>
                <w:sz w:val="28"/>
              </w:rPr>
              <w:br/>
            </w:r>
            <w:r w:rsidRPr="00A04E56">
              <w:rPr>
                <w:rFonts w:eastAsia="Calibri"/>
                <w:b/>
                <w:color w:val="595959"/>
                <w:sz w:val="18"/>
              </w:rPr>
              <w:t>EU cooperation against vaccine-preventable diseases</w:t>
            </w:r>
          </w:p>
        </w:tc>
      </w:tr>
      <w:tr w:rsidR="00A36589" w:rsidRPr="00A04E56" w14:paraId="2B29009D" w14:textId="77777777" w:rsidTr="00B810FF">
        <w:trPr>
          <w:trHeight w:val="815"/>
          <w:jc w:val="center"/>
        </w:trPr>
        <w:tc>
          <w:tcPr>
            <w:tcW w:w="3598" w:type="dxa"/>
            <w:vMerge w:val="restart"/>
            <w:tcBorders>
              <w:top w:val="nil"/>
              <w:left w:val="nil"/>
              <w:bottom w:val="nil"/>
              <w:right w:val="nil"/>
            </w:tcBorders>
            <w:shd w:val="clear" w:color="auto" w:fill="D1EFF7"/>
            <w:vAlign w:val="center"/>
          </w:tcPr>
          <w:p w14:paraId="4198BF3C" w14:textId="1D4454C7" w:rsidR="00A36589" w:rsidRPr="00A04E56" w:rsidRDefault="00A36589" w:rsidP="00C257BF">
            <w:pPr>
              <w:keepNext/>
              <w:jc w:val="center"/>
              <w:rPr>
                <w:rFonts w:eastAsia="Calibri"/>
                <w:b/>
                <w:color w:val="595959"/>
                <w:sz w:val="28"/>
              </w:rPr>
            </w:pPr>
            <w:r w:rsidRPr="00A04E56">
              <w:rPr>
                <w:rFonts w:eastAsia="Calibri"/>
                <w:b/>
                <w:color w:val="595959"/>
                <w:sz w:val="28"/>
              </w:rPr>
              <w:t>W</w:t>
            </w:r>
            <w:r w:rsidR="00B36E29" w:rsidRPr="00A04E56">
              <w:rPr>
                <w:rFonts w:eastAsia="Calibri"/>
                <w:b/>
                <w:color w:val="595959"/>
                <w:sz w:val="28"/>
              </w:rPr>
              <w:t xml:space="preserve">orldwide, </w:t>
            </w:r>
            <w:r w:rsidR="00B36E29" w:rsidRPr="00A04E56">
              <w:rPr>
                <w:rFonts w:eastAsia="Calibri"/>
                <w:b/>
                <w:color w:val="595959"/>
                <w:sz w:val="28"/>
              </w:rPr>
              <w:br/>
              <w:t>vaccines prevent</w:t>
            </w:r>
          </w:p>
          <w:p w14:paraId="1BED4461" w14:textId="66DB847F" w:rsidR="00A36589" w:rsidRPr="00A04E56" w:rsidRDefault="00B36E29" w:rsidP="00C257BF">
            <w:pPr>
              <w:keepNext/>
              <w:jc w:val="center"/>
              <w:rPr>
                <w:rFonts w:eastAsia="Calibri"/>
                <w:b/>
                <w:sz w:val="22"/>
              </w:rPr>
            </w:pPr>
            <w:r w:rsidRPr="00A04E56">
              <w:rPr>
                <w:rFonts w:eastAsia="Calibri"/>
                <w:b/>
                <w:color w:val="595959"/>
                <w:sz w:val="28"/>
              </w:rPr>
              <w:t>cases every year</w:t>
            </w:r>
          </w:p>
        </w:tc>
        <w:tc>
          <w:tcPr>
            <w:tcW w:w="567" w:type="dxa"/>
            <w:vMerge w:val="restart"/>
            <w:tcBorders>
              <w:top w:val="nil"/>
              <w:left w:val="nil"/>
              <w:bottom w:val="nil"/>
              <w:right w:val="nil"/>
            </w:tcBorders>
            <w:shd w:val="clear" w:color="auto" w:fill="D1EFF7"/>
            <w:vAlign w:val="center"/>
          </w:tcPr>
          <w:p w14:paraId="78650012" w14:textId="77777777" w:rsidR="00A36589" w:rsidRPr="00A04E56" w:rsidRDefault="00A36589" w:rsidP="00C257BF">
            <w:pPr>
              <w:keepNext/>
              <w:jc w:val="center"/>
              <w:rPr>
                <w:rFonts w:ascii="EC Square Sans Pro Thin" w:eastAsia="Calibri" w:hAnsi="EC Square Sans Pro Thin"/>
                <w:sz w:val="22"/>
              </w:rPr>
            </w:pPr>
            <w:r w:rsidRPr="00A04E56">
              <w:rPr>
                <w:rFonts w:ascii="EC Square Sans Pro Thin" w:eastAsia="Calibri" w:hAnsi="EC Square Sans Pro Thin"/>
                <w:color w:val="3FB296"/>
                <w:sz w:val="200"/>
              </w:rPr>
              <w:t>{</w:t>
            </w:r>
          </w:p>
        </w:tc>
        <w:tc>
          <w:tcPr>
            <w:tcW w:w="993" w:type="dxa"/>
            <w:tcBorders>
              <w:top w:val="nil"/>
              <w:left w:val="nil"/>
              <w:bottom w:val="nil"/>
              <w:right w:val="nil"/>
            </w:tcBorders>
            <w:shd w:val="clear" w:color="auto" w:fill="D1EFF7"/>
            <w:vAlign w:val="center"/>
          </w:tcPr>
          <w:p w14:paraId="55C0B3A4" w14:textId="77777777" w:rsidR="00A36589" w:rsidRPr="00A04E56" w:rsidRDefault="00A36589" w:rsidP="00C257BF">
            <w:pPr>
              <w:keepNext/>
              <w:jc w:val="center"/>
              <w:rPr>
                <w:rFonts w:eastAsia="Calibri"/>
                <w:b/>
                <w:sz w:val="22"/>
              </w:rPr>
            </w:pPr>
            <w:r w:rsidRPr="00A04E56">
              <w:rPr>
                <w:rFonts w:eastAsia="Calibri"/>
                <w:b/>
                <w:noProof/>
                <w:sz w:val="22"/>
                <w:lang w:val="fr-BE" w:eastAsia="fr-BE"/>
              </w:rPr>
              <mc:AlternateContent>
                <mc:Choice Requires="wps">
                  <w:drawing>
                    <wp:inline distT="0" distB="0" distL="0" distR="0" wp14:anchorId="33C0C2B3" wp14:editId="4ED315C1">
                      <wp:extent cx="360000" cy="360000"/>
                      <wp:effectExtent l="0" t="0" r="2540" b="2540"/>
                      <wp:docPr id="24" name="Oval 24"/>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3FB296"/>
                              </a:solidFill>
                              <a:ln w="25400" cap="flat" cmpd="sng" algn="ctr">
                                <a:noFill/>
                                <a:prstDash val="solid"/>
                              </a:ln>
                              <a:effectLst/>
                            </wps:spPr>
                            <wps:txbx>
                              <w:txbxContent>
                                <w:p w14:paraId="1236D9B4" w14:textId="77777777" w:rsidR="003C0461" w:rsidRPr="006F6965" w:rsidRDefault="003C0461" w:rsidP="00A36589">
                                  <w:pPr>
                                    <w:jc w:val="center"/>
                                    <w:rPr>
                                      <w:b/>
                                    </w:rPr>
                                  </w:pPr>
                                  <w:r w:rsidRPr="006F6965">
                                    <w:rPr>
                                      <w:b/>
                                    </w:rPr>
                                    <w:t>2.7</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33C0C2B3" id="Oval 24" o:spid="_x0000_s1127"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" fillcolor="#3fb296" stroked="f" strokeweight="2pt">
                      <v:textbox inset="0,1mm,0,0">
                        <w:txbxContent>
                          <w:p w14:paraId="1236D9B4" w14:textId="77777777" w:rsidR="003C0461" w:rsidRPr="006F6965" w:rsidRDefault="003C0461" w:rsidP="00A36589">
                            <w:pPr>
                              <w:jc w:val="center"/>
                              <w:rPr>
                                <w:b/>
                              </w:rPr>
                            </w:pPr>
                            <w:r w:rsidRPr="006F6965">
                              <w:rPr>
                                <w:b/>
                              </w:rPr>
                              <w:t>2.7</w:t>
                            </w:r>
                          </w:p>
                        </w:txbxContent>
                      </v:textbox>
                      <w10:anchorlock/>
                    </v:oval>
                  </w:pict>
                </mc:Fallback>
              </mc:AlternateContent>
            </w:r>
          </w:p>
        </w:tc>
        <w:tc>
          <w:tcPr>
            <w:tcW w:w="2038" w:type="dxa"/>
            <w:tcBorders>
              <w:top w:val="nil"/>
              <w:left w:val="nil"/>
              <w:bottom w:val="nil"/>
              <w:right w:val="nil"/>
            </w:tcBorders>
            <w:shd w:val="clear" w:color="auto" w:fill="D1EFF7"/>
            <w:vAlign w:val="center"/>
          </w:tcPr>
          <w:p w14:paraId="5CB87338" w14:textId="77777777" w:rsidR="00A36589" w:rsidRPr="00A04E56" w:rsidRDefault="00A36589" w:rsidP="00C257BF">
            <w:pPr>
              <w:keepNext/>
              <w:spacing w:line="180" w:lineRule="auto"/>
              <w:rPr>
                <w:rFonts w:eastAsia="Calibri"/>
                <w:b/>
                <w:sz w:val="22"/>
              </w:rPr>
            </w:pPr>
            <w:r w:rsidRPr="00A04E56">
              <w:rPr>
                <w:rFonts w:eastAsia="Calibri"/>
                <w:sz w:val="22"/>
              </w:rPr>
              <w:t>million</w:t>
            </w:r>
            <w:r w:rsidRPr="00A04E56">
              <w:rPr>
                <w:rFonts w:eastAsia="Calibri"/>
                <w:b/>
                <w:sz w:val="22"/>
              </w:rPr>
              <w:br/>
            </w:r>
            <w:r w:rsidRPr="00A04E56">
              <w:rPr>
                <w:rFonts w:eastAsia="Calibri"/>
                <w:b/>
                <w:color w:val="3FB296"/>
                <w:sz w:val="22"/>
              </w:rPr>
              <w:t>MEASLES</w:t>
            </w:r>
          </w:p>
        </w:tc>
      </w:tr>
      <w:tr w:rsidR="00A36589" w:rsidRPr="00A04E56" w14:paraId="26B8543A" w14:textId="77777777" w:rsidTr="00B810FF">
        <w:trPr>
          <w:trHeight w:val="815"/>
          <w:jc w:val="center"/>
        </w:trPr>
        <w:tc>
          <w:tcPr>
            <w:tcW w:w="3598" w:type="dxa"/>
            <w:vMerge/>
            <w:tcBorders>
              <w:top w:val="nil"/>
              <w:left w:val="nil"/>
              <w:bottom w:val="nil"/>
              <w:right w:val="nil"/>
            </w:tcBorders>
            <w:shd w:val="clear" w:color="auto" w:fill="D1EFF7"/>
          </w:tcPr>
          <w:p w14:paraId="5F0955A2" w14:textId="77777777" w:rsidR="00A36589" w:rsidRPr="00A04E56" w:rsidRDefault="00A36589" w:rsidP="00C257BF">
            <w:pPr>
              <w:keepNext/>
              <w:rPr>
                <w:rFonts w:ascii="Calibri" w:eastAsia="Calibri" w:hAnsi="Calibri"/>
                <w:b/>
                <w:sz w:val="22"/>
              </w:rPr>
            </w:pPr>
          </w:p>
        </w:tc>
        <w:tc>
          <w:tcPr>
            <w:tcW w:w="567" w:type="dxa"/>
            <w:vMerge/>
            <w:tcBorders>
              <w:top w:val="nil"/>
              <w:left w:val="nil"/>
              <w:bottom w:val="nil"/>
              <w:right w:val="nil"/>
            </w:tcBorders>
            <w:shd w:val="clear" w:color="auto" w:fill="D1EFF7"/>
          </w:tcPr>
          <w:p w14:paraId="04271673" w14:textId="77777777" w:rsidR="00A36589" w:rsidRPr="00A04E56" w:rsidRDefault="00A36589" w:rsidP="00C257BF">
            <w:pPr>
              <w:keepNext/>
              <w:rPr>
                <w:rFonts w:ascii="Calibri" w:eastAsia="Calibri" w:hAnsi="Calibri"/>
                <w:b/>
                <w:sz w:val="22"/>
              </w:rPr>
            </w:pPr>
          </w:p>
        </w:tc>
        <w:tc>
          <w:tcPr>
            <w:tcW w:w="993" w:type="dxa"/>
            <w:tcBorders>
              <w:top w:val="nil"/>
              <w:left w:val="nil"/>
              <w:bottom w:val="nil"/>
              <w:right w:val="nil"/>
            </w:tcBorders>
            <w:shd w:val="clear" w:color="auto" w:fill="D1EFF7"/>
            <w:vAlign w:val="center"/>
          </w:tcPr>
          <w:p w14:paraId="6A94F126" w14:textId="77777777" w:rsidR="00A36589" w:rsidRPr="00A04E56" w:rsidRDefault="00A36589" w:rsidP="00C257BF">
            <w:pPr>
              <w:keepNext/>
              <w:jc w:val="center"/>
              <w:rPr>
                <w:rFonts w:ascii="Calibri" w:eastAsia="Calibri" w:hAnsi="Calibri"/>
                <w:b/>
                <w:sz w:val="22"/>
              </w:rPr>
            </w:pPr>
            <w:r w:rsidRPr="00A04E56">
              <w:rPr>
                <w:rFonts w:ascii="Calibri" w:eastAsia="Calibri" w:hAnsi="Calibri"/>
                <w:b/>
                <w:noProof/>
                <w:sz w:val="22"/>
                <w:lang w:val="fr-BE" w:eastAsia="fr-BE"/>
              </w:rPr>
              <mc:AlternateContent>
                <mc:Choice Requires="wps">
                  <w:drawing>
                    <wp:inline distT="0" distB="0" distL="0" distR="0" wp14:anchorId="08030EBE" wp14:editId="12F670FF">
                      <wp:extent cx="360000" cy="360000"/>
                      <wp:effectExtent l="0" t="0" r="2540" b="2540"/>
                      <wp:docPr id="214" name="Oval 214"/>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3FB296"/>
                              </a:solidFill>
                              <a:ln w="25400" cap="flat" cmpd="sng" algn="ctr">
                                <a:noFill/>
                                <a:prstDash val="solid"/>
                              </a:ln>
                              <a:effectLst/>
                            </wps:spPr>
                            <wps:txbx>
                              <w:txbxContent>
                                <w:p w14:paraId="0FC3A38C" w14:textId="77777777" w:rsidR="003C0461" w:rsidRPr="006F6965" w:rsidRDefault="003C0461" w:rsidP="00A36589">
                                  <w:pPr>
                                    <w:jc w:val="center"/>
                                    <w:rPr>
                                      <w:b/>
                                    </w:rPr>
                                  </w:pPr>
                                  <w:r>
                                    <w:rPr>
                                      <w:b/>
                                    </w:rPr>
                                    <w:t>2</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08030EBE" id="Oval 214" o:spid="_x0000_s1128"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" fillcolor="#3fb296" stroked="f" strokeweight="2pt">
                      <v:textbox inset="0,1mm,0,0">
                        <w:txbxContent>
                          <w:p w14:paraId="0FC3A38C" w14:textId="77777777" w:rsidR="003C0461" w:rsidRPr="006F6965" w:rsidRDefault="003C0461" w:rsidP="00A36589">
                            <w:pPr>
                              <w:jc w:val="center"/>
                              <w:rPr>
                                <w:b/>
                              </w:rPr>
                            </w:pPr>
                            <w:r>
                              <w:rPr>
                                <w:b/>
                              </w:rPr>
                              <w:t>2</w:t>
                            </w:r>
                          </w:p>
                        </w:txbxContent>
                      </v:textbox>
                      <w10:anchorlock/>
                    </v:oval>
                  </w:pict>
                </mc:Fallback>
              </mc:AlternateContent>
            </w:r>
          </w:p>
        </w:tc>
        <w:tc>
          <w:tcPr>
            <w:tcW w:w="2038" w:type="dxa"/>
            <w:tcBorders>
              <w:top w:val="nil"/>
              <w:left w:val="nil"/>
              <w:bottom w:val="nil"/>
              <w:right w:val="nil"/>
            </w:tcBorders>
            <w:shd w:val="clear" w:color="auto" w:fill="D1EFF7"/>
            <w:vAlign w:val="center"/>
          </w:tcPr>
          <w:p w14:paraId="6EF4218F" w14:textId="77777777" w:rsidR="00A36589" w:rsidRPr="00A04E56" w:rsidRDefault="00A36589" w:rsidP="00C257BF">
            <w:pPr>
              <w:keepNext/>
              <w:spacing w:line="180" w:lineRule="auto"/>
              <w:rPr>
                <w:rFonts w:eastAsia="Calibri"/>
                <w:b/>
                <w:sz w:val="22"/>
              </w:rPr>
            </w:pPr>
            <w:r w:rsidRPr="00A04E56">
              <w:rPr>
                <w:rFonts w:eastAsia="Calibri"/>
                <w:sz w:val="22"/>
              </w:rPr>
              <w:t>million</w:t>
            </w:r>
            <w:r w:rsidRPr="00A04E56">
              <w:rPr>
                <w:rFonts w:eastAsia="Calibri"/>
                <w:b/>
                <w:sz w:val="22"/>
              </w:rPr>
              <w:br/>
            </w:r>
            <w:r w:rsidRPr="00A04E56">
              <w:rPr>
                <w:rFonts w:eastAsia="Calibri"/>
                <w:b/>
                <w:color w:val="3FB296"/>
                <w:sz w:val="22"/>
              </w:rPr>
              <w:t>NEONATAL</w:t>
            </w:r>
            <w:r w:rsidRPr="00A04E56">
              <w:rPr>
                <w:rFonts w:eastAsia="Calibri"/>
                <w:b/>
                <w:color w:val="3FB296"/>
                <w:sz w:val="22"/>
              </w:rPr>
              <w:br/>
              <w:t>TETANUS</w:t>
            </w:r>
          </w:p>
        </w:tc>
      </w:tr>
      <w:tr w:rsidR="00A36589" w:rsidRPr="00A04E56" w14:paraId="5CAEAA1B" w14:textId="77777777" w:rsidTr="00B810FF">
        <w:trPr>
          <w:trHeight w:val="815"/>
          <w:jc w:val="center"/>
        </w:trPr>
        <w:tc>
          <w:tcPr>
            <w:tcW w:w="3598" w:type="dxa"/>
            <w:vMerge/>
            <w:tcBorders>
              <w:top w:val="nil"/>
              <w:left w:val="nil"/>
              <w:bottom w:val="nil"/>
              <w:right w:val="nil"/>
            </w:tcBorders>
            <w:shd w:val="clear" w:color="auto" w:fill="D1EFF7"/>
          </w:tcPr>
          <w:p w14:paraId="0883F07E" w14:textId="77777777" w:rsidR="00A36589" w:rsidRPr="00A04E56" w:rsidRDefault="00A36589" w:rsidP="00C257BF">
            <w:pPr>
              <w:keepNext/>
              <w:rPr>
                <w:rFonts w:ascii="Calibri" w:eastAsia="Calibri" w:hAnsi="Calibri"/>
                <w:b/>
                <w:sz w:val="22"/>
              </w:rPr>
            </w:pPr>
          </w:p>
        </w:tc>
        <w:tc>
          <w:tcPr>
            <w:tcW w:w="567" w:type="dxa"/>
            <w:vMerge/>
            <w:tcBorders>
              <w:top w:val="nil"/>
              <w:left w:val="nil"/>
              <w:bottom w:val="nil"/>
              <w:right w:val="nil"/>
            </w:tcBorders>
            <w:shd w:val="clear" w:color="auto" w:fill="D1EFF7"/>
          </w:tcPr>
          <w:p w14:paraId="48ADC6D3" w14:textId="77777777" w:rsidR="00A36589" w:rsidRPr="00A04E56" w:rsidRDefault="00A36589" w:rsidP="00C257BF">
            <w:pPr>
              <w:keepNext/>
              <w:rPr>
                <w:rFonts w:ascii="Calibri" w:eastAsia="Calibri" w:hAnsi="Calibri"/>
                <w:b/>
                <w:sz w:val="22"/>
              </w:rPr>
            </w:pPr>
          </w:p>
        </w:tc>
        <w:tc>
          <w:tcPr>
            <w:tcW w:w="993" w:type="dxa"/>
            <w:tcBorders>
              <w:top w:val="nil"/>
              <w:left w:val="nil"/>
              <w:bottom w:val="nil"/>
              <w:right w:val="nil"/>
            </w:tcBorders>
            <w:shd w:val="clear" w:color="auto" w:fill="D1EFF7"/>
            <w:vAlign w:val="center"/>
          </w:tcPr>
          <w:p w14:paraId="4DB15735" w14:textId="77777777" w:rsidR="00A36589" w:rsidRPr="00A04E56" w:rsidRDefault="00A36589" w:rsidP="00C257BF">
            <w:pPr>
              <w:keepNext/>
              <w:jc w:val="center"/>
              <w:rPr>
                <w:rFonts w:ascii="Calibri" w:eastAsia="Calibri" w:hAnsi="Calibri"/>
                <w:b/>
                <w:sz w:val="22"/>
              </w:rPr>
            </w:pPr>
            <w:r w:rsidRPr="00A04E56">
              <w:rPr>
                <w:rFonts w:ascii="Calibri" w:eastAsia="Calibri" w:hAnsi="Calibri"/>
                <w:b/>
                <w:noProof/>
                <w:sz w:val="22"/>
                <w:lang w:val="fr-BE" w:eastAsia="fr-BE"/>
              </w:rPr>
              <mc:AlternateContent>
                <mc:Choice Requires="wps">
                  <w:drawing>
                    <wp:inline distT="0" distB="0" distL="0" distR="0" wp14:anchorId="14A0AB6F" wp14:editId="13599EFC">
                      <wp:extent cx="360000" cy="360000"/>
                      <wp:effectExtent l="0" t="0" r="2540" b="2540"/>
                      <wp:docPr id="14640" name="Oval 14640"/>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3FB296"/>
                              </a:solidFill>
                              <a:ln w="25400" cap="flat" cmpd="sng" algn="ctr">
                                <a:noFill/>
                                <a:prstDash val="solid"/>
                              </a:ln>
                              <a:effectLst/>
                            </wps:spPr>
                            <wps:txbx>
                              <w:txbxContent>
                                <w:p w14:paraId="626F6DAC" w14:textId="77777777" w:rsidR="003C0461" w:rsidRPr="006F6965" w:rsidRDefault="003C0461" w:rsidP="00A36589">
                                  <w:pPr>
                                    <w:jc w:val="center"/>
                                    <w:rPr>
                                      <w:b/>
                                    </w:rPr>
                                  </w:pPr>
                                  <w:r>
                                    <w:rPr>
                                      <w:b/>
                                    </w:rPr>
                                    <w:t>1</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inline>
                  </w:drawing>
                </mc:Choice>
                <mc:Fallback>
                  <w:pict>
                    <v:oval w14:anchorId="14A0AB6F" id="Oval 14640" o:spid="_x0000_s1129" style="width:28.3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" fillcolor="#3fb296" stroked="f" strokeweight="2pt">
                      <v:textbox inset="0,1mm,0,0">
                        <w:txbxContent>
                          <w:p w14:paraId="626F6DAC" w14:textId="77777777" w:rsidR="003C0461" w:rsidRPr="006F6965" w:rsidRDefault="003C0461" w:rsidP="00A36589">
                            <w:pPr>
                              <w:jc w:val="center"/>
                              <w:rPr>
                                <w:b/>
                              </w:rPr>
                            </w:pPr>
                            <w:r>
                              <w:rPr>
                                <w:b/>
                              </w:rPr>
                              <w:t>1</w:t>
                            </w:r>
                          </w:p>
                        </w:txbxContent>
                      </v:textbox>
                      <w10:anchorlock/>
                    </v:oval>
                  </w:pict>
                </mc:Fallback>
              </mc:AlternateContent>
            </w:r>
          </w:p>
        </w:tc>
        <w:tc>
          <w:tcPr>
            <w:tcW w:w="2038" w:type="dxa"/>
            <w:tcBorders>
              <w:top w:val="nil"/>
              <w:left w:val="nil"/>
              <w:bottom w:val="nil"/>
              <w:right w:val="nil"/>
            </w:tcBorders>
            <w:shd w:val="clear" w:color="auto" w:fill="D1EFF7"/>
            <w:vAlign w:val="center"/>
          </w:tcPr>
          <w:p w14:paraId="276B5BD4" w14:textId="77777777" w:rsidR="00A36589" w:rsidRPr="00A04E56" w:rsidRDefault="00A36589" w:rsidP="00C257BF">
            <w:pPr>
              <w:keepNext/>
              <w:spacing w:line="180" w:lineRule="auto"/>
              <w:rPr>
                <w:rFonts w:eastAsia="Calibri"/>
                <w:b/>
                <w:sz w:val="22"/>
              </w:rPr>
            </w:pPr>
            <w:r w:rsidRPr="00A04E56">
              <w:rPr>
                <w:rFonts w:eastAsia="Calibri"/>
                <w:sz w:val="22"/>
              </w:rPr>
              <w:t>million</w:t>
            </w:r>
            <w:r w:rsidRPr="00A04E56">
              <w:rPr>
                <w:rFonts w:eastAsia="Calibri"/>
                <w:b/>
                <w:sz w:val="22"/>
              </w:rPr>
              <w:br/>
            </w:r>
            <w:r w:rsidRPr="00A04E56">
              <w:rPr>
                <w:rFonts w:eastAsia="Calibri"/>
                <w:b/>
                <w:color w:val="3FB296"/>
                <w:sz w:val="22"/>
              </w:rPr>
              <w:t>PERTUSSIS</w:t>
            </w:r>
          </w:p>
        </w:tc>
      </w:tr>
    </w:tbl>
    <w:p w14:paraId="77FA1E57" w14:textId="406E84DE" w:rsidR="00747341" w:rsidRPr="00A04E56" w:rsidRDefault="00747341" w:rsidP="00EB1554">
      <w:pPr>
        <w:pStyle w:val="Source-Table-Chart-PhotoCaption"/>
        <w:ind w:left="907"/>
        <w:rPr>
          <w:szCs w:val="20"/>
        </w:rPr>
      </w:pPr>
      <w:r w:rsidRPr="00A04E56">
        <w:rPr>
          <w:rStyle w:val="italics"/>
        </w:rPr>
        <w:t>Source:</w:t>
      </w:r>
      <w:r w:rsidRPr="00A04E56">
        <w:t xml:space="preserve"> European Commission.</w:t>
      </w:r>
    </w:p>
    <w:p w14:paraId="3CDA7761" w14:textId="77777777" w:rsidR="005D36C6" w:rsidRPr="00A04E56" w:rsidRDefault="005D36C6" w:rsidP="00277538">
      <w:pPr>
        <w:pStyle w:val="BodyText1spacebeforeandafter"/>
        <w:spacing w:before="360"/>
      </w:pPr>
      <w:r w:rsidRPr="00A04E56">
        <w:t xml:space="preserve">The 2019 implementation of the health programme, takes into account both the recommendations stemming from the </w:t>
      </w:r>
      <w:r w:rsidRPr="00A04E56">
        <w:rPr>
          <w:i/>
        </w:rPr>
        <w:t>ex post</w:t>
      </w:r>
      <w:r w:rsidRPr="00A04E56">
        <w:t xml:space="preserve"> evaluation of th</w:t>
      </w:r>
      <w:r w:rsidRPr="00A04E56">
        <w:rPr>
          <w:vertAlign w:val="superscript"/>
        </w:rPr>
        <w:t xml:space="preserve">e </w:t>
      </w:r>
      <w:r w:rsidRPr="00A04E56">
        <w:t>2nd health programme 2008-2013, as well as those resulting from the midterm evaluation of th</w:t>
      </w:r>
      <w:r w:rsidRPr="00A04E56">
        <w:rPr>
          <w:vertAlign w:val="superscript"/>
        </w:rPr>
        <w:t xml:space="preserve">e </w:t>
      </w:r>
      <w:r w:rsidRPr="00A04E56">
        <w:t>3rd health programme, namely: improving the monitoring of the programme and ensuring a more proactive dissemination of the results, as well as promoting better cross-Commission collaboration.</w:t>
      </w:r>
    </w:p>
    <w:p w14:paraId="242298D6" w14:textId="3DF9D4CA" w:rsidR="005D36C6" w:rsidRPr="00A04E56" w:rsidRDefault="005D36C6" w:rsidP="005D36C6">
      <w:pPr>
        <w:pStyle w:val="BodyText1spaceafter"/>
      </w:pPr>
      <w:r w:rsidRPr="00A04E56">
        <w:t>For the 2021-2027 budgetary period, the Commission has proposed to integrate the health programme into</w:t>
      </w:r>
      <w:r w:rsidRPr="00A04E56" w:rsidDel="00C82643">
        <w:t xml:space="preserve"> </w:t>
      </w:r>
      <w:r w:rsidRPr="00A04E56">
        <w:t>a streamlined comprehensive European Social Fund+ programme</w:t>
      </w:r>
      <w:r w:rsidRPr="00A04E56">
        <w:rPr>
          <w:rStyle w:val="fnRef"/>
          <w:rFonts w:ascii="Calibri" w:hAnsi="Calibri" w:cs="Calibri"/>
        </w:rPr>
        <w:t> </w:t>
      </w:r>
      <w:r w:rsidRPr="00A04E56">
        <w:rPr>
          <w:rStyle w:val="fnRef"/>
        </w:rPr>
        <w:t>(</w:t>
      </w:r>
      <w:r w:rsidRPr="00A04E56">
        <w:rPr>
          <w:rStyle w:val="fnRefNo"/>
        </w:rPr>
        <w:footnoteReference w:id="220"/>
      </w:r>
      <w:r w:rsidRPr="00A04E56">
        <w:rPr>
          <w:rStyle w:val="fnRef"/>
        </w:rPr>
        <w:t>)</w:t>
      </w:r>
      <w:r w:rsidRPr="00A04E56">
        <w:t>. The programme will address the resilience and effectiveness of health</w:t>
      </w:r>
      <w:r w:rsidR="003B6127" w:rsidRPr="00A04E56">
        <w:t>-care</w:t>
      </w:r>
      <w:r w:rsidRPr="00A04E56">
        <w:t xml:space="preserve"> systems and public-health policies, the inequalities in access to public health and the quality of health care among Member States, as well as the protection from serious cross-border health threats. </w:t>
      </w:r>
    </w:p>
    <w:p w14:paraId="71627A3A" w14:textId="2AA48DA6" w:rsidR="005D36C6" w:rsidRPr="00A04E56" w:rsidRDefault="005D36C6" w:rsidP="005D36C6">
      <w:pPr>
        <w:pStyle w:val="Title2Report"/>
      </w:pPr>
      <w:bookmarkStart w:id="157" w:name="_Toc12021023"/>
      <w:r w:rsidRPr="00A04E56">
        <w:t xml:space="preserve">Food and </w:t>
      </w:r>
      <w:r w:rsidR="004951CC" w:rsidRPr="00A04E56">
        <w:t>f</w:t>
      </w:r>
      <w:r w:rsidRPr="00A04E56">
        <w:t>eed</w:t>
      </w:r>
      <w:bookmarkEnd w:id="157"/>
    </w:p>
    <w:p w14:paraId="69F803CB" w14:textId="77777777" w:rsidR="005D36C6" w:rsidRPr="00A04E56" w:rsidRDefault="005D36C6" w:rsidP="00AA0340">
      <w:pPr>
        <w:pStyle w:val="Title3NumberedReport"/>
      </w:pPr>
      <w:bookmarkStart w:id="158" w:name="_Toc4680742"/>
      <w:bookmarkStart w:id="159" w:name="_Toc4683016"/>
      <w:r w:rsidRPr="00A04E56">
        <w:t>Programme objectives</w:t>
      </w:r>
      <w:bookmarkEnd w:id="158"/>
      <w:bookmarkEnd w:id="159"/>
      <w:r w:rsidRPr="00A04E56">
        <w:t xml:space="preserve"> </w:t>
      </w:r>
    </w:p>
    <w:p w14:paraId="6AB68558" w14:textId="77777777" w:rsidR="005D36C6" w:rsidRPr="00A04E56" w:rsidRDefault="005D36C6" w:rsidP="005D36C6">
      <w:pPr>
        <w:pStyle w:val="BodyText1spaceafter"/>
      </w:pPr>
      <w:r w:rsidRPr="00A04E56">
        <w:t xml:space="preserve">The aim of the food and feed programme is to contribute to a high level of </w:t>
      </w:r>
      <w:r w:rsidRPr="00A04E56">
        <w:rPr>
          <w:rStyle w:val="BOLDLIGHTBLUEReport"/>
          <w:rFonts w:eastAsia="Calibri"/>
        </w:rPr>
        <w:t>health</w:t>
      </w:r>
      <w:r w:rsidRPr="00A04E56">
        <w:t xml:space="preserve"> for </w:t>
      </w:r>
      <w:r w:rsidRPr="00A04E56">
        <w:rPr>
          <w:rStyle w:val="BOLDLIGHTBLUEReport"/>
          <w:rFonts w:eastAsia="Calibri"/>
        </w:rPr>
        <w:t>humans, animals</w:t>
      </w:r>
      <w:r w:rsidRPr="00A04E56">
        <w:t xml:space="preserve"> and </w:t>
      </w:r>
      <w:r w:rsidRPr="00A04E56">
        <w:rPr>
          <w:rStyle w:val="BOLDLIGHTBLUEReport"/>
          <w:rFonts w:eastAsia="Calibri"/>
        </w:rPr>
        <w:t>plants</w:t>
      </w:r>
      <w:r w:rsidRPr="00A04E56">
        <w:t xml:space="preserve"> along the food chain and in related areas, by </w:t>
      </w:r>
      <w:r w:rsidRPr="00A04E56">
        <w:rPr>
          <w:rStyle w:val="BOLDLIGHTBLUEReport"/>
          <w:rFonts w:eastAsia="Calibri"/>
        </w:rPr>
        <w:t>preventing and eradicating diseases and pests</w:t>
      </w:r>
      <w:r w:rsidRPr="00A04E56">
        <w:t xml:space="preserve"> and by ensuring a high level of protection for consumers and the environment, while </w:t>
      </w:r>
      <w:r w:rsidRPr="00A04E56">
        <w:rPr>
          <w:rStyle w:val="BOLDLIGHTBLUEReport"/>
          <w:rFonts w:eastAsia="Calibri"/>
        </w:rPr>
        <w:t>enhancing</w:t>
      </w:r>
      <w:r w:rsidRPr="00A04E56">
        <w:t xml:space="preserve"> the </w:t>
      </w:r>
      <w:r w:rsidRPr="00A04E56">
        <w:rPr>
          <w:rStyle w:val="BOLDLIGHTBLUEReport"/>
          <w:rFonts w:eastAsia="Calibri"/>
        </w:rPr>
        <w:t>competitiveness</w:t>
      </w:r>
      <w:r w:rsidRPr="00A04E56">
        <w:t xml:space="preserve"> of </w:t>
      </w:r>
      <w:r w:rsidRPr="00A04E56" w:rsidDel="00416AC9">
        <w:t xml:space="preserve">the </w:t>
      </w:r>
      <w:r w:rsidRPr="00A04E56">
        <w:t xml:space="preserve">EU </w:t>
      </w:r>
      <w:r w:rsidRPr="00A04E56">
        <w:rPr>
          <w:rStyle w:val="BOLDLIGHTBLUEReport"/>
          <w:rFonts w:eastAsia="Calibri"/>
        </w:rPr>
        <w:t>food and feed industry</w:t>
      </w:r>
      <w:r w:rsidRPr="00A04E56">
        <w:t xml:space="preserve"> and favouring the creation of jobs.</w:t>
      </w:r>
    </w:p>
    <w:p w14:paraId="18E9012C" w14:textId="70BFE92A" w:rsidR="005D36C6" w:rsidRPr="00A04E56" w:rsidRDefault="008C1D39" w:rsidP="00AA0340">
      <w:pPr>
        <w:pStyle w:val="Title3NumberedReport"/>
      </w:pPr>
      <w:bookmarkStart w:id="160" w:name="_Toc4680743"/>
      <w:bookmarkStart w:id="161" w:name="_Toc4683017"/>
      <w:r w:rsidRPr="00A04E56">
        <w:rPr>
          <w:i/>
        </w:rPr>
        <w:t>Implementation and latest achievements</w:t>
      </w:r>
      <w:r w:rsidR="005D36C6" w:rsidRPr="00A04E56">
        <w:rPr>
          <w:rStyle w:val="fnRef"/>
          <w:rFonts w:ascii="Calibri" w:hAnsi="Calibri" w:cs="Calibri"/>
          <w:b w:val="0"/>
        </w:rPr>
        <w:t> </w:t>
      </w:r>
      <w:r w:rsidR="005D36C6" w:rsidRPr="00A04E56">
        <w:rPr>
          <w:rStyle w:val="fnRef"/>
          <w:b w:val="0"/>
        </w:rPr>
        <w:t>(</w:t>
      </w:r>
      <w:r w:rsidR="005D36C6" w:rsidRPr="00A04E56">
        <w:rPr>
          <w:rStyle w:val="fnRefNo"/>
          <w:b w:val="0"/>
        </w:rPr>
        <w:footnoteReference w:id="221"/>
      </w:r>
      <w:r w:rsidR="005D36C6" w:rsidRPr="00A04E56">
        <w:rPr>
          <w:rStyle w:val="fnRef"/>
          <w:b w:val="0"/>
        </w:rPr>
        <w:t>)</w:t>
      </w:r>
      <w:bookmarkEnd w:id="160"/>
      <w:bookmarkEnd w:id="161"/>
    </w:p>
    <w:p w14:paraId="3DDEA8E9" w14:textId="303E0AEA" w:rsidR="005D36C6" w:rsidRPr="00A04E56" w:rsidRDefault="008C1D39" w:rsidP="005D36C6">
      <w:pPr>
        <w:pStyle w:val="BodyText1spaceafter"/>
      </w:pPr>
      <w:r w:rsidRPr="00A04E56">
        <w:t>In 2018</w:t>
      </w:r>
      <w:r w:rsidR="005D36C6" w:rsidRPr="00A04E56">
        <w:rPr>
          <w:rStyle w:val="BOLDLIGHTBLUEReport"/>
          <w:rFonts w:eastAsia="Calibri"/>
        </w:rPr>
        <w:t xml:space="preserve"> a total of </w:t>
      </w:r>
      <w:r w:rsidR="005D36C6" w:rsidRPr="00A04E56" w:rsidDel="00717F2A">
        <w:rPr>
          <w:rStyle w:val="BOLDLIGHTBLUEReport"/>
          <w:rFonts w:eastAsia="Calibri"/>
        </w:rPr>
        <w:t>EUR</w:t>
      </w:r>
      <w:r w:rsidR="005D36C6" w:rsidRPr="00A04E56">
        <w:rPr>
          <w:rStyle w:val="BOLDLIGHTBLUEReport"/>
          <w:rFonts w:ascii="Calibri" w:eastAsia="Calibri" w:hAnsi="Calibri" w:cs="Calibri"/>
        </w:rPr>
        <w:t> </w:t>
      </w:r>
      <w:r w:rsidR="00FA6CF3">
        <w:rPr>
          <w:rStyle w:val="BOLDLIGHTBLUEReport"/>
          <w:rFonts w:eastAsia="Calibri"/>
        </w:rPr>
        <w:t>282.2</w:t>
      </w:r>
      <w:r w:rsidR="005D36C6" w:rsidRPr="00A04E56">
        <w:rPr>
          <w:rStyle w:val="BOLDLIGHTBLUEReport"/>
          <w:rFonts w:ascii="Calibri" w:eastAsia="Calibri" w:hAnsi="Calibri" w:cs="Calibri"/>
        </w:rPr>
        <w:t> million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22"/>
      </w:r>
      <w:r w:rsidR="005D36C6" w:rsidRPr="00A04E56">
        <w:rPr>
          <w:rStyle w:val="fnRef"/>
        </w:rPr>
        <w:t>)</w:t>
      </w:r>
      <w:r w:rsidR="005D36C6" w:rsidRPr="00A04E56">
        <w:t xml:space="preserve"> was allocated to allow the EU to continue its work on food and feed safety. The budget available over the 2014-2020 period amounts to </w:t>
      </w:r>
      <w:r w:rsidR="005D36C6" w:rsidRPr="00A04E56" w:rsidDel="00717F2A">
        <w:t>EUR</w:t>
      </w:r>
      <w:r w:rsidR="005D36C6" w:rsidRPr="00A04E56">
        <w:rPr>
          <w:rFonts w:ascii="Calibri" w:hAnsi="Calibri" w:cs="Calibri"/>
        </w:rPr>
        <w:t> </w:t>
      </w:r>
      <w:r w:rsidR="005D36C6" w:rsidRPr="00A04E56">
        <w:t>1 892</w:t>
      </w:r>
      <w:r w:rsidR="005D36C6" w:rsidRPr="00A04E56">
        <w:rPr>
          <w:rFonts w:ascii="Calibri" w:hAnsi="Calibri" w:cs="Calibri"/>
        </w:rPr>
        <w:t> </w:t>
      </w:r>
      <w:r w:rsidR="005D36C6" w:rsidRPr="00A04E56">
        <w:t>million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23"/>
      </w:r>
      <w:r w:rsidR="005D36C6" w:rsidRPr="00A04E56">
        <w:rPr>
          <w:rStyle w:val="fnRef"/>
        </w:rPr>
        <w:t>)</w:t>
      </w:r>
      <w:r w:rsidR="005D36C6" w:rsidRPr="00A04E56">
        <w:t>. These covered grants for Member States to eradicate animal disease (</w:t>
      </w:r>
      <w:r w:rsidR="005D36C6" w:rsidRPr="00A04E56" w:rsidDel="00717F2A">
        <w:t>EUR</w:t>
      </w:r>
      <w:r w:rsidR="005D36C6" w:rsidRPr="00A04E56">
        <w:rPr>
          <w:rFonts w:ascii="Calibri" w:hAnsi="Calibri" w:cs="Calibri"/>
        </w:rPr>
        <w:t> </w:t>
      </w:r>
      <w:r w:rsidR="005D36C6" w:rsidRPr="00A04E56">
        <w:t>137.6</w:t>
      </w:r>
      <w:r w:rsidR="005D36C6" w:rsidRPr="00A04E56">
        <w:rPr>
          <w:rFonts w:ascii="Calibri" w:hAnsi="Calibri" w:cs="Calibri"/>
        </w:rPr>
        <w:t> million</w:t>
      </w:r>
      <w:r w:rsidR="005D36C6" w:rsidRPr="00A04E56">
        <w:t>), for veterinary emergency funds (</w:t>
      </w:r>
      <w:r w:rsidR="005D36C6" w:rsidRPr="00A04E56" w:rsidDel="00717F2A">
        <w:t>EUR</w:t>
      </w:r>
      <w:r w:rsidR="005D36C6" w:rsidRPr="00A04E56">
        <w:rPr>
          <w:rFonts w:ascii="Calibri" w:hAnsi="Calibri" w:cs="Calibri"/>
        </w:rPr>
        <w:t> </w:t>
      </w:r>
      <w:r w:rsidR="00FA6CF3">
        <w:t>48.4</w:t>
      </w:r>
      <w:r w:rsidR="005D36C6" w:rsidRPr="00A04E56">
        <w:rPr>
          <w:rFonts w:ascii="Calibri" w:hAnsi="Calibri" w:cs="Calibri"/>
        </w:rPr>
        <w:t> million)</w:t>
      </w:r>
      <w:r w:rsidR="005D36C6" w:rsidRPr="00A04E56">
        <w:t>, to ensure plant health (</w:t>
      </w:r>
      <w:r w:rsidR="005D36C6" w:rsidRPr="00A04E56" w:rsidDel="00717F2A">
        <w:t>EUR</w:t>
      </w:r>
      <w:r w:rsidR="005D36C6" w:rsidRPr="00A04E56">
        <w:rPr>
          <w:rFonts w:ascii="Calibri" w:hAnsi="Calibri" w:cs="Calibri"/>
        </w:rPr>
        <w:t> </w:t>
      </w:r>
      <w:r w:rsidR="005D36C6" w:rsidRPr="00A04E56">
        <w:t>15.</w:t>
      </w:r>
      <w:r w:rsidR="00FA6CF3">
        <w:t>6</w:t>
      </w:r>
      <w:r w:rsidR="00FA6CF3" w:rsidRPr="00A04E56">
        <w:rPr>
          <w:rFonts w:ascii="Calibri" w:hAnsi="Calibri" w:cs="Calibri"/>
        </w:rPr>
        <w:t> </w:t>
      </w:r>
      <w:r w:rsidR="005D36C6" w:rsidRPr="00A04E56">
        <w:rPr>
          <w:rFonts w:ascii="Calibri" w:hAnsi="Calibri" w:cs="Calibri"/>
        </w:rPr>
        <w:t>million</w:t>
      </w:r>
      <w:r w:rsidR="00FA6CF3">
        <w:rPr>
          <w:rFonts w:ascii="Calibri" w:hAnsi="Calibri" w:cs="Calibri"/>
        </w:rPr>
        <w:t>(</w:t>
      </w:r>
      <w:r w:rsidR="00FA6CF3">
        <w:rPr>
          <w:rStyle w:val="FootnoteReference"/>
          <w:rFonts w:cs="Calibri"/>
        </w:rPr>
        <w:footnoteReference w:id="224"/>
      </w:r>
      <w:r w:rsidR="00FA6CF3">
        <w:rPr>
          <w:rFonts w:ascii="Calibri" w:hAnsi="Calibri" w:cs="Calibri"/>
        </w:rPr>
        <w:t>)</w:t>
      </w:r>
      <w:r w:rsidR="005D36C6" w:rsidRPr="00A04E56">
        <w:rPr>
          <w:rFonts w:ascii="Calibri" w:hAnsi="Calibri" w:cs="Calibri"/>
        </w:rPr>
        <w:t>)</w:t>
      </w:r>
      <w:r w:rsidR="005D36C6" w:rsidRPr="00A04E56">
        <w:t>, and for other support measures (</w:t>
      </w:r>
      <w:r w:rsidR="005D36C6" w:rsidRPr="00A04E56" w:rsidDel="00717F2A">
        <w:t>EUR</w:t>
      </w:r>
      <w:r w:rsidR="005D36C6" w:rsidRPr="00A04E56">
        <w:rPr>
          <w:rFonts w:ascii="Calibri" w:hAnsi="Calibri" w:cs="Calibri"/>
        </w:rPr>
        <w:t> </w:t>
      </w:r>
      <w:r w:rsidR="00FA6CF3">
        <w:t>74.6</w:t>
      </w:r>
      <w:r w:rsidR="005D36C6" w:rsidRPr="00A04E56">
        <w:rPr>
          <w:rFonts w:ascii="Calibri" w:hAnsi="Calibri" w:cs="Calibri"/>
        </w:rPr>
        <w:t> million)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25"/>
      </w:r>
      <w:r w:rsidR="005D36C6" w:rsidRPr="00A04E56">
        <w:rPr>
          <w:rStyle w:val="fnRef"/>
        </w:rPr>
        <w:t>).</w:t>
      </w:r>
    </w:p>
    <w:p w14:paraId="2202C7C4" w14:textId="38FF59D2" w:rsidR="005D36C6" w:rsidRPr="00A04E56" w:rsidRDefault="005D36C6" w:rsidP="005D36C6">
      <w:pPr>
        <w:pStyle w:val="BodyText1spaceafter"/>
      </w:pPr>
      <w:r w:rsidRPr="00A04E56">
        <w:t>The programme co-funded 13</w:t>
      </w:r>
      <w:r w:rsidR="00FA6CF3">
        <w:t>9</w:t>
      </w:r>
      <w:r w:rsidRPr="00A04E56">
        <w:t xml:space="preserve"> national veterinary programmes for the control and eradication of animal diseases including those that can spread to humans. For example, since 2014 </w:t>
      </w:r>
      <w:r w:rsidRPr="00A04E56">
        <w:rPr>
          <w:rStyle w:val="BOLDLIGHTBLUEReport"/>
          <w:rFonts w:eastAsia="Calibri"/>
        </w:rPr>
        <w:t>African swine fever</w:t>
      </w:r>
      <w:r w:rsidRPr="00A04E56">
        <w:t xml:space="preserve"> (a devastating disease for pigs and wild boar) </w:t>
      </w:r>
      <w:r w:rsidR="00AD3E37" w:rsidRPr="00A04E56">
        <w:t>has been</w:t>
      </w:r>
      <w:r w:rsidRPr="00A04E56">
        <w:t xml:space="preserve"> spreading from non-EU eastern Europe to eastern-bordering EU countries. The viral disease is spread by wild boar, infected pigs or infected material such as vehicles and boots. </w:t>
      </w:r>
      <w:r w:rsidR="008C1D39" w:rsidRPr="00A04E56">
        <w:t>In 2018</w:t>
      </w:r>
      <w:r w:rsidRPr="00A04E56">
        <w:t xml:space="preserve"> </w:t>
      </w:r>
      <w:r w:rsidR="00FA6CF3">
        <w:t>nine</w:t>
      </w:r>
      <w:r w:rsidR="00FA6CF3" w:rsidRPr="00A04E56">
        <w:t xml:space="preserve"> </w:t>
      </w:r>
      <w:r w:rsidRPr="00A04E56">
        <w:t xml:space="preserve">Member States had EU-approved national programmes in place for the control and eradication of African swine fever. A total of </w:t>
      </w:r>
      <w:r w:rsidRPr="00A04E56" w:rsidDel="00717F2A">
        <w:t>EUR</w:t>
      </w:r>
      <w:r w:rsidRPr="00A04E56">
        <w:rPr>
          <w:rFonts w:ascii="Calibri" w:hAnsi="Calibri" w:cs="Calibri"/>
        </w:rPr>
        <w:t> </w:t>
      </w:r>
      <w:r w:rsidRPr="00A04E56">
        <w:t>13.7</w:t>
      </w:r>
      <w:r w:rsidRPr="00A04E56">
        <w:rPr>
          <w:rFonts w:ascii="Calibri" w:hAnsi="Calibri" w:cs="Calibri"/>
        </w:rPr>
        <w:t> </w:t>
      </w:r>
      <w:r w:rsidRPr="00A04E56" w:rsidDel="00374320">
        <w:rPr>
          <w:rFonts w:ascii="Calibri" w:hAnsi="Calibri" w:cs="Calibri"/>
        </w:rPr>
        <w:t>million</w:t>
      </w:r>
      <w:r w:rsidRPr="00A04E56">
        <w:t xml:space="preserve"> was spent on those programmes. Emergency measures were co-funded with </w:t>
      </w:r>
      <w:r w:rsidRPr="00A04E56" w:rsidDel="00717F2A">
        <w:t>EUR</w:t>
      </w:r>
      <w:r w:rsidRPr="00A04E56">
        <w:rPr>
          <w:rFonts w:ascii="Calibri" w:hAnsi="Calibri" w:cs="Calibri"/>
        </w:rPr>
        <w:t> </w:t>
      </w:r>
      <w:r w:rsidRPr="00A04E56">
        <w:t>36.1</w:t>
      </w:r>
      <w:r w:rsidRPr="00A04E56">
        <w:rPr>
          <w:rFonts w:ascii="Calibri" w:hAnsi="Calibri" w:cs="Calibri"/>
        </w:rPr>
        <w:t> million</w:t>
      </w:r>
      <w:r w:rsidRPr="00A04E56">
        <w:t xml:space="preserve">. In addition two neighbouring non-EU countries (Moldova) and Ukraine were supported financially. The number of Member States detecting infections increased from six to ten </w:t>
      </w:r>
      <w:r w:rsidR="008C1D39" w:rsidRPr="00A04E56">
        <w:t>in 2018</w:t>
      </w:r>
      <w:r w:rsidRPr="00A04E56">
        <w:t>.</w:t>
      </w:r>
    </w:p>
    <w:p w14:paraId="5FB66ADD" w14:textId="77777777" w:rsidR="005D36C6" w:rsidRPr="00A04E56" w:rsidRDefault="005D36C6" w:rsidP="005D36C6">
      <w:pPr>
        <w:pStyle w:val="BodyText1spaceafter"/>
      </w:pPr>
      <w:r w:rsidRPr="00A04E56">
        <w:t xml:space="preserve">The programme co-funded 24 national plant-health-survey programmes. These ensure the early detection and eradication of pest outbreaks in plants. For example, the programme is financing measures against the plant bacterium </w:t>
      </w:r>
      <w:r w:rsidRPr="00A04E56">
        <w:rPr>
          <w:i/>
        </w:rPr>
        <w:t>Xylella fastidiosa</w:t>
      </w:r>
      <w:r w:rsidRPr="00A04E56">
        <w:t xml:space="preserve"> that is infecting olive trees and stone fruit</w:t>
      </w:r>
      <w:r w:rsidRPr="00A04E56">
        <w:rPr>
          <w:rStyle w:val="fnRef"/>
          <w:rFonts w:ascii="Calibri" w:hAnsi="Calibri" w:cs="Calibri"/>
        </w:rPr>
        <w:t> </w:t>
      </w:r>
      <w:r w:rsidRPr="00A04E56">
        <w:rPr>
          <w:rStyle w:val="fnRef"/>
        </w:rPr>
        <w:t>(</w:t>
      </w:r>
      <w:r w:rsidRPr="00A04E56">
        <w:rPr>
          <w:rStyle w:val="fnRefNo"/>
        </w:rPr>
        <w:footnoteReference w:id="226"/>
      </w:r>
      <w:r w:rsidRPr="00A04E56">
        <w:rPr>
          <w:rStyle w:val="fnRef"/>
        </w:rPr>
        <w:t>)</w:t>
      </w:r>
      <w:r w:rsidRPr="00A04E56">
        <w:t>. Since 2017 the EU contributes financially to the</w:t>
      </w:r>
      <w:r w:rsidRPr="00A04E56" w:rsidDel="00C51B7B">
        <w:t xml:space="preserve"> </w:t>
      </w:r>
      <w:r w:rsidRPr="00A04E56">
        <w:t>compensation of the owners for the value of the plants destroyed.</w:t>
      </w:r>
    </w:p>
    <w:p w14:paraId="742E971E" w14:textId="0408E879" w:rsidR="005D36C6" w:rsidRPr="00A04E56" w:rsidRDefault="005D36C6" w:rsidP="005D36C6">
      <w:pPr>
        <w:pStyle w:val="BodyText1spaceafter"/>
      </w:pPr>
      <w:r w:rsidRPr="00A04E56">
        <w:t xml:space="preserve">The programme supports the enforcement of EU food and feed legislation through two actions: food inspectors are trained via the 'Better </w:t>
      </w:r>
      <w:r w:rsidR="006A5FEF" w:rsidRPr="00A04E56">
        <w:t xml:space="preserve">Training </w:t>
      </w:r>
      <w:r w:rsidRPr="00A04E56">
        <w:t>for safer food' (</w:t>
      </w:r>
      <w:r w:rsidR="006A5FEF" w:rsidRPr="00A04E56">
        <w:t xml:space="preserve">160 </w:t>
      </w:r>
      <w:r w:rsidR="00685C70" w:rsidRPr="00A04E56">
        <w:t xml:space="preserve">classroom-based </w:t>
      </w:r>
      <w:r w:rsidRPr="00A04E56">
        <w:t xml:space="preserve">training courses with </w:t>
      </w:r>
      <w:r w:rsidR="006A5FEF" w:rsidRPr="00A04E56">
        <w:t xml:space="preserve">more than 500 </w:t>
      </w:r>
      <w:r w:rsidRPr="00A04E56">
        <w:t>participants</w:t>
      </w:r>
      <w:r w:rsidR="006A5FEF" w:rsidRPr="00A04E56">
        <w:t xml:space="preserve"> and around 6</w:t>
      </w:r>
      <w:r w:rsidR="00685C70" w:rsidRPr="00A04E56">
        <w:rPr>
          <w:rFonts w:ascii="Calibri" w:hAnsi="Calibri" w:cs="Calibri"/>
        </w:rPr>
        <w:t> </w:t>
      </w:r>
      <w:r w:rsidR="006A5FEF" w:rsidRPr="00A04E56">
        <w:t>500 participants in e-learning courses)</w:t>
      </w:r>
      <w:r w:rsidRPr="00A04E56">
        <w:t xml:space="preserve"> and national enforcement laboratories are supported by 46 European reference laboratories (</w:t>
      </w:r>
      <w:r w:rsidRPr="00A04E56" w:rsidDel="00717F2A">
        <w:t>EUR</w:t>
      </w:r>
      <w:r w:rsidRPr="00A04E56">
        <w:rPr>
          <w:rFonts w:ascii="Calibri" w:hAnsi="Calibri" w:cs="Calibri"/>
        </w:rPr>
        <w:t> </w:t>
      </w:r>
      <w:r w:rsidRPr="00A04E56">
        <w:t>16.9</w:t>
      </w:r>
      <w:r w:rsidRPr="00A04E56">
        <w:rPr>
          <w:rFonts w:ascii="Calibri" w:hAnsi="Calibri" w:cs="Calibri"/>
        </w:rPr>
        <w:t> </w:t>
      </w:r>
      <w:r w:rsidRPr="00A04E56" w:rsidDel="00374320">
        <w:rPr>
          <w:rFonts w:ascii="Calibri" w:hAnsi="Calibri" w:cs="Calibri"/>
        </w:rPr>
        <w:t>million</w:t>
      </w:r>
      <w:r w:rsidRPr="00A04E56">
        <w:t>). These reference laboratories provide technical support and coordinated assistance to the EU Member States in carrying out official food and feed audits (‘controls’). Both actions help to ensure uniform enforcement and eventually a level playing field in the single market.</w:t>
      </w:r>
    </w:p>
    <w:p w14:paraId="3A685D40" w14:textId="612086E1" w:rsidR="005D36C6" w:rsidRPr="00A04E56" w:rsidRDefault="00B25BA2" w:rsidP="00AA0340">
      <w:pPr>
        <w:pStyle w:val="Title3NumberedReport"/>
      </w:pPr>
      <w:r w:rsidRPr="00A04E56">
        <w:t>Assessment and evaluation</w:t>
      </w:r>
    </w:p>
    <w:p w14:paraId="50CE23C2" w14:textId="63C469C4" w:rsidR="005D36C6" w:rsidRPr="00A04E56" w:rsidRDefault="005D36C6" w:rsidP="005D36C6">
      <w:pPr>
        <w:pStyle w:val="BodyText1spaceafter"/>
      </w:pPr>
      <w:r w:rsidRPr="00A04E56">
        <w:t xml:space="preserve">The midterm evaluation of the programme fed into the development of the food and feed strand in the proposal for a </w:t>
      </w:r>
      <w:r w:rsidR="00835302" w:rsidRPr="00A04E56">
        <w:t>s</w:t>
      </w:r>
      <w:r w:rsidRPr="00A04E56">
        <w:t xml:space="preserve">ingle </w:t>
      </w:r>
      <w:r w:rsidR="00835302" w:rsidRPr="00A04E56">
        <w:t>m</w:t>
      </w:r>
      <w:r w:rsidRPr="00A04E56">
        <w:t xml:space="preserve">arket </w:t>
      </w:r>
      <w:r w:rsidR="00835302" w:rsidRPr="00A04E56">
        <w:t>p</w:t>
      </w:r>
      <w:r w:rsidRPr="00A04E56">
        <w:t>rogramme</w:t>
      </w:r>
      <w:r w:rsidRPr="00A04E56">
        <w:rPr>
          <w:rStyle w:val="fnRef"/>
          <w:rFonts w:ascii="Calibri" w:hAnsi="Calibri" w:cs="Calibri"/>
        </w:rPr>
        <w:t> </w:t>
      </w:r>
      <w:r w:rsidRPr="00A04E56">
        <w:rPr>
          <w:rStyle w:val="fnRef"/>
        </w:rPr>
        <w:t>(</w:t>
      </w:r>
      <w:r w:rsidRPr="00A04E56">
        <w:rPr>
          <w:rStyle w:val="fnRefNo"/>
        </w:rPr>
        <w:footnoteReference w:id="227"/>
      </w:r>
      <w:r w:rsidRPr="00A04E56">
        <w:rPr>
          <w:rStyle w:val="fnRef"/>
        </w:rPr>
        <w:t>)</w:t>
      </w:r>
      <w:r w:rsidRPr="00A04E56">
        <w:t xml:space="preserve">. The </w:t>
      </w:r>
      <w:r w:rsidRPr="00A04E56">
        <w:rPr>
          <w:rFonts w:eastAsia="Times New Roman"/>
          <w:lang w:eastAsia="en-GB"/>
        </w:rPr>
        <w:t>food</w:t>
      </w:r>
      <w:r w:rsidR="00DF0116" w:rsidRPr="00A04E56">
        <w:rPr>
          <w:rFonts w:eastAsia="Times New Roman"/>
          <w:lang w:eastAsia="en-GB"/>
        </w:rPr>
        <w:t>-</w:t>
      </w:r>
      <w:r w:rsidRPr="00A04E56">
        <w:rPr>
          <w:rFonts w:eastAsia="Times New Roman"/>
          <w:lang w:eastAsia="en-GB"/>
        </w:rPr>
        <w:t xml:space="preserve">chain actions supported under the proposed programme, such as veterinary and phytosanitary measures to promote a high level of animal health and welfare, a high level of plant health and to prevent animal- and plant-health crises, are to a large extent </w:t>
      </w:r>
      <w:r w:rsidRPr="00A04E56">
        <w:t>continuing the existing programme.</w:t>
      </w:r>
    </w:p>
    <w:p w14:paraId="0F3EBC92" w14:textId="77777777" w:rsidR="005D36C6" w:rsidRPr="00A04E56" w:rsidRDefault="005D36C6" w:rsidP="005D36C6">
      <w:pPr>
        <w:pStyle w:val="BodyText1spaceafter"/>
      </w:pPr>
      <w:r w:rsidRPr="00A04E56">
        <w:t>A food and feed programme shortcoming identified in the midterm evaluation</w:t>
      </w:r>
      <w:r w:rsidRPr="00A04E56">
        <w:rPr>
          <w:rStyle w:val="fnRef"/>
          <w:rFonts w:ascii="Calibri" w:hAnsi="Calibri" w:cs="Calibri"/>
        </w:rPr>
        <w:t> </w:t>
      </w:r>
      <w:r w:rsidRPr="00A04E56">
        <w:rPr>
          <w:rStyle w:val="fnRef"/>
        </w:rPr>
        <w:t>(</w:t>
      </w:r>
      <w:r w:rsidRPr="00A04E56">
        <w:rPr>
          <w:rStyle w:val="fnRefNo"/>
        </w:rPr>
        <w:footnoteReference w:id="228"/>
      </w:r>
      <w:r w:rsidRPr="00A04E56">
        <w:rPr>
          <w:rStyle w:val="fnRef"/>
        </w:rPr>
        <w:t>)</w:t>
      </w:r>
      <w:r w:rsidRPr="00A04E56">
        <w:t>and included in a Court of Auditors recommendation was a lack of indicators allowing for a cost-effectiveness assessment.</w:t>
      </w:r>
    </w:p>
    <w:p w14:paraId="74D4E083" w14:textId="009C3CB7" w:rsidR="005D36C6" w:rsidRPr="00A04E56" w:rsidRDefault="008C1D39" w:rsidP="005D36C6">
      <w:pPr>
        <w:pStyle w:val="BodyText1spaceafter"/>
      </w:pPr>
      <w:r w:rsidRPr="00A04E56">
        <w:t>In 2018</w:t>
      </w:r>
      <w:r w:rsidR="005D36C6" w:rsidRPr="00A04E56">
        <w:t xml:space="preserve"> the Commission worked on developing and implementing a comprehensive set of cost-effectiveness indicators for the main spending areas covered by the food and feed programme. These will be applied in the </w:t>
      </w:r>
      <w:r w:rsidR="005D36C6" w:rsidRPr="00A04E56">
        <w:rPr>
          <w:i/>
        </w:rPr>
        <w:t>ex post</w:t>
      </w:r>
      <w:r w:rsidR="005D36C6" w:rsidRPr="00A04E56">
        <w:t xml:space="preserve"> evaluation of the programme. They will also form the basis of the monitoring framework of the food and feed strand in the </w:t>
      </w:r>
      <w:r w:rsidR="00835302" w:rsidRPr="00A04E56">
        <w:t>s</w:t>
      </w:r>
      <w:r w:rsidR="005D36C6" w:rsidRPr="00A04E56">
        <w:t xml:space="preserve">ingle </w:t>
      </w:r>
      <w:r w:rsidR="00835302" w:rsidRPr="00A04E56">
        <w:t>m</w:t>
      </w:r>
      <w:r w:rsidR="005D36C6" w:rsidRPr="00A04E56">
        <w:t xml:space="preserve">arket </w:t>
      </w:r>
      <w:r w:rsidR="00835302" w:rsidRPr="00A04E56">
        <w:t>p</w:t>
      </w:r>
      <w:r w:rsidR="005D36C6" w:rsidRPr="00A04E56">
        <w:t xml:space="preserve">rogramme under the future multinnual financial framework. </w:t>
      </w:r>
    </w:p>
    <w:p w14:paraId="513648AA" w14:textId="21F09E7F" w:rsidR="005D36C6" w:rsidRPr="00A04E56" w:rsidRDefault="005D36C6" w:rsidP="005D36C6">
      <w:pPr>
        <w:pStyle w:val="Title2Report"/>
      </w:pPr>
      <w:bookmarkStart w:id="162" w:name="_Toc12021024"/>
      <w:r w:rsidRPr="00A04E56">
        <w:t>Consumer Programme</w:t>
      </w:r>
      <w:bookmarkEnd w:id="162"/>
    </w:p>
    <w:p w14:paraId="2A8E7DEC" w14:textId="01B825D0" w:rsidR="005D36C6" w:rsidRPr="00A04E56" w:rsidRDefault="005D36C6" w:rsidP="005D36C6">
      <w:pPr>
        <w:pStyle w:val="BodyText1spaceafter"/>
      </w:pPr>
      <w:r w:rsidRPr="00A04E56">
        <w:t xml:space="preserve">The </w:t>
      </w:r>
      <w:r w:rsidRPr="00A04E56">
        <w:rPr>
          <w:rStyle w:val="BOLDLIGHTBLUEReport"/>
          <w:rFonts w:eastAsia="Calibri"/>
        </w:rPr>
        <w:t>Consumer Programme</w:t>
      </w:r>
      <w:r w:rsidRPr="00A04E56">
        <w:rPr>
          <w:rStyle w:val="fnRef"/>
          <w:rFonts w:ascii="Calibri" w:hAnsi="Calibri" w:cs="Calibri"/>
        </w:rPr>
        <w:t> </w:t>
      </w:r>
      <w:r w:rsidRPr="00A04E56">
        <w:rPr>
          <w:rStyle w:val="fnRef"/>
        </w:rPr>
        <w:t>(</w:t>
      </w:r>
      <w:r w:rsidRPr="00A04E56">
        <w:rPr>
          <w:rStyle w:val="fnRefNo"/>
        </w:rPr>
        <w:footnoteReference w:id="229"/>
      </w:r>
      <w:r w:rsidRPr="00A04E56">
        <w:rPr>
          <w:rStyle w:val="fnRef"/>
        </w:rPr>
        <w:t>)</w:t>
      </w:r>
      <w:r w:rsidRPr="00A04E56">
        <w:t xml:space="preserve"> supports EU consumer policy by helping the public to fully enjoy their consumer rights and actively participate in the </w:t>
      </w:r>
      <w:r w:rsidR="00835302" w:rsidRPr="00A04E56">
        <w:t>s</w:t>
      </w:r>
      <w:r w:rsidRPr="00A04E56">
        <w:t xml:space="preserve">ingle </w:t>
      </w:r>
      <w:r w:rsidR="00835302" w:rsidRPr="00A04E56">
        <w:t>m</w:t>
      </w:r>
      <w:r w:rsidRPr="00A04E56">
        <w:t xml:space="preserve">arket. It is thus supporting growth, innovation and meeting the objectives of Europe 2020. </w:t>
      </w:r>
    </w:p>
    <w:p w14:paraId="2E56AF79" w14:textId="77777777" w:rsidR="00B9714E" w:rsidRPr="00A04E56" w:rsidRDefault="00B9714E" w:rsidP="00C257BF">
      <w:pPr>
        <w:pStyle w:val="BOX3BluedashedborderBluetext-Bold"/>
        <w:keepNext/>
      </w:pPr>
      <w:r w:rsidRPr="00A04E56">
        <w:t>Telecommunication and other digital-services websites sweep</w:t>
      </w:r>
    </w:p>
    <w:p w14:paraId="4E966FDA" w14:textId="77777777" w:rsidR="00B9714E" w:rsidRPr="00A04E56" w:rsidRDefault="00B9714E" w:rsidP="00C257BF">
      <w:pPr>
        <w:pStyle w:val="BOX3BluedashedborderBluetext"/>
      </w:pPr>
      <w:r w:rsidRPr="00A04E56">
        <w:t>Under the Consumer Cooperation Network, the authorities of 21 EU Member States plus Norway and Iceland screened 207 websites from operators offering services such as access to fixed and mobile telephony, internet, audio and video streaming.</w:t>
      </w:r>
    </w:p>
    <w:p w14:paraId="7C4DCF30" w14:textId="77777777" w:rsidR="00B9714E" w:rsidRPr="00A04E56" w:rsidRDefault="00B9714E" w:rsidP="00C257BF">
      <w:pPr>
        <w:pStyle w:val="BOX3BluedashedborderBluetext"/>
      </w:pPr>
      <w:r w:rsidRPr="00A04E56">
        <w:t>The screening revealed irregularities and two thirds of the websites were flagged for further investigation. The top problem was the absence of clear information on complaints handling. Authorities have asked the websites concerned to bring their practices in line with EU consumer legislation. Detailed results of the screening can be found online</w:t>
      </w:r>
    </w:p>
    <w:p w14:paraId="34B2BEE5" w14:textId="2DB39FFA" w:rsidR="00B9714E" w:rsidRPr="00A04E56" w:rsidRDefault="00B9714E" w:rsidP="00C257BF">
      <w:pPr>
        <w:pStyle w:val="BOX3BluedashedborderBluetext"/>
      </w:pPr>
      <w:r w:rsidRPr="00A04E56">
        <w:t>(</w:t>
      </w:r>
      <w:hyperlink r:id="rId190" w:history="1">
        <w:r w:rsidRPr="00A04E56">
          <w:rPr>
            <w:rStyle w:val="italics"/>
          </w:rPr>
          <w:t>https://ec.europa.eu/info/sites/info/files/results_of_2017_-_telecommunication_sweep_0.pdf</w:t>
        </w:r>
      </w:hyperlink>
      <w:r w:rsidRPr="00A04E56">
        <w:t>)</w:t>
      </w:r>
    </w:p>
    <w:p w14:paraId="1072F8BD" w14:textId="6680EB85" w:rsidR="005D36C6" w:rsidRPr="00A04E56" w:rsidRDefault="005D36C6" w:rsidP="005D36C6">
      <w:pPr>
        <w:pStyle w:val="BodyText1spacebeforeandafter"/>
      </w:pPr>
      <w:r w:rsidRPr="00A04E56">
        <w:t>The preliminary result of the interim evaluation</w:t>
      </w:r>
      <w:r w:rsidRPr="00A04E56">
        <w:rPr>
          <w:rStyle w:val="fnRef"/>
          <w:rFonts w:ascii="Calibri" w:hAnsi="Calibri" w:cs="Calibri"/>
        </w:rPr>
        <w:t> </w:t>
      </w:r>
      <w:r w:rsidRPr="00A04E56">
        <w:rPr>
          <w:rStyle w:val="fnRef"/>
        </w:rPr>
        <w:t>(</w:t>
      </w:r>
      <w:r w:rsidRPr="00A04E56">
        <w:rPr>
          <w:rStyle w:val="fnRefNo"/>
        </w:rPr>
        <w:footnoteReference w:id="230"/>
      </w:r>
      <w:r w:rsidRPr="00A04E56">
        <w:rPr>
          <w:rStyle w:val="fnRef"/>
        </w:rPr>
        <w:t>)</w:t>
      </w:r>
      <w:r w:rsidRPr="00A04E56">
        <w:t xml:space="preserve"> concludes that the Consumer Programme is playing a crucial role in underpinning EU consumer policy and delivering concrete benefits for European consumers and other stakeholders. Overall, the activities funded under the Consumer Programme 2014-2020 achieved progress towards meeting the progra</w:t>
      </w:r>
      <w:r w:rsidR="00C6157D" w:rsidRPr="00A04E56">
        <w:t>’</w:t>
      </w:r>
      <w:r w:rsidRPr="00A04E56">
        <w:t>me's specific objectives in the areas of safety, consumer information and education, rights, redress and enforcement, and brings EU added value. However, the evaluation also identified room for improvement in the programme, related mainly to simplification and the administrative burden (assessed as high by the stakeholders). Also, the programme decision-making evidence-base uptake could be improved. The evaluation concludes that in the future the progra</w:t>
      </w:r>
      <w:r w:rsidR="00C6157D" w:rsidRPr="00A04E56">
        <w:t>’</w:t>
      </w:r>
      <w:r w:rsidRPr="00A04E56">
        <w:t>me's ability to react to new challenges related to market developments, digitalisation and new policy demands should be strengthened.</w:t>
      </w:r>
    </w:p>
    <w:p w14:paraId="25BD32AB" w14:textId="5F66BAFB" w:rsidR="005D36C6" w:rsidRPr="00A04E56" w:rsidRDefault="005D36C6" w:rsidP="005D36C6">
      <w:pPr>
        <w:pStyle w:val="BodyText1spaceafter"/>
      </w:pPr>
      <w:r w:rsidRPr="00A04E56">
        <w:t xml:space="preserve">The evaluation results were reflected in the new proposal for a new </w:t>
      </w:r>
      <w:r w:rsidR="00835302" w:rsidRPr="00A04E56">
        <w:rPr>
          <w:rStyle w:val="BOLDLIGHTBLUEReport"/>
          <w:rFonts w:eastAsia="Calibri"/>
        </w:rPr>
        <w:t>s</w:t>
      </w:r>
      <w:r w:rsidRPr="00A04E56">
        <w:rPr>
          <w:rStyle w:val="BOLDLIGHTBLUEReport"/>
          <w:rFonts w:eastAsia="Calibri"/>
        </w:rPr>
        <w:t xml:space="preserve">ingle </w:t>
      </w:r>
      <w:r w:rsidR="00835302" w:rsidRPr="00A04E56">
        <w:rPr>
          <w:rStyle w:val="BOLDLIGHTBLUEReport"/>
          <w:rFonts w:eastAsia="Calibri"/>
        </w:rPr>
        <w:t>m</w:t>
      </w:r>
      <w:r w:rsidRPr="00A04E56">
        <w:rPr>
          <w:rStyle w:val="BOLDLIGHTBLUEReport"/>
          <w:rFonts w:eastAsia="Calibri"/>
        </w:rPr>
        <w:t xml:space="preserve">arket </w:t>
      </w:r>
      <w:r w:rsidR="00835302" w:rsidRPr="00A04E56">
        <w:rPr>
          <w:rStyle w:val="BOLDLIGHTBLUEReport"/>
          <w:rFonts w:eastAsia="Calibri"/>
        </w:rPr>
        <w:t>p</w:t>
      </w:r>
      <w:r w:rsidRPr="00A04E56">
        <w:rPr>
          <w:rStyle w:val="BOLDLIGHTBLUEReport"/>
          <w:rFonts w:eastAsia="Calibri"/>
        </w:rPr>
        <w:t xml:space="preserve">rogramme </w:t>
      </w:r>
      <w:r w:rsidRPr="00A04E56">
        <w:t>under the future multiannual financial framework, which includes a consumers strand, notably to empower and protect consumers. The new programme will guarantee the enforcement of consumer rights, ensure a high level of consumer protection and product safety and assist consumers when they encounter problems, for example when shopping online. It will also facilitate consum</w:t>
      </w:r>
      <w:r w:rsidR="00C6157D" w:rsidRPr="00A04E56">
        <w:t>’</w:t>
      </w:r>
      <w:r w:rsidRPr="00A04E56">
        <w:t>rs' access to redress, as proposed in the new deal for consumers</w:t>
      </w:r>
      <w:r w:rsidRPr="00A04E56">
        <w:rPr>
          <w:rStyle w:val="fnRef"/>
          <w:rFonts w:ascii="Calibri" w:hAnsi="Calibri" w:cs="Calibri"/>
        </w:rPr>
        <w:t> </w:t>
      </w:r>
      <w:r w:rsidRPr="00A04E56">
        <w:rPr>
          <w:rStyle w:val="fnRef"/>
        </w:rPr>
        <w:t>(</w:t>
      </w:r>
      <w:r w:rsidRPr="00A04E56">
        <w:rPr>
          <w:rStyle w:val="fnRefNo"/>
        </w:rPr>
        <w:footnoteReference w:id="231"/>
      </w:r>
      <w:r w:rsidRPr="00A04E56">
        <w:rPr>
          <w:rStyle w:val="fnRef"/>
        </w:rPr>
        <w:t>)</w:t>
      </w:r>
      <w:r w:rsidRPr="00A04E56">
        <w:t xml:space="preserve">. By supporting activities on consumer policy the future </w:t>
      </w:r>
      <w:r w:rsidR="00835302" w:rsidRPr="00A04E56">
        <w:t>s</w:t>
      </w:r>
      <w:r w:rsidRPr="00A04E56">
        <w:t xml:space="preserve">ingle </w:t>
      </w:r>
      <w:r w:rsidR="00835302" w:rsidRPr="00A04E56">
        <w:t>m</w:t>
      </w:r>
      <w:r w:rsidRPr="00A04E56">
        <w:t xml:space="preserve">arket </w:t>
      </w:r>
      <w:r w:rsidR="00835302" w:rsidRPr="00A04E56">
        <w:t>p</w:t>
      </w:r>
      <w:r w:rsidRPr="00A04E56">
        <w:t>rogramme will also develop mutual benefits with the Justice, Rights and Values Fund to ensure consumer laws are complied with.</w:t>
      </w:r>
    </w:p>
    <w:p w14:paraId="490B6365" w14:textId="12D48DA9" w:rsidR="005D36C6" w:rsidRPr="00A04E56" w:rsidRDefault="005D36C6" w:rsidP="005D36C6">
      <w:pPr>
        <w:pStyle w:val="Title2Report"/>
      </w:pPr>
      <w:bookmarkStart w:id="163" w:name="_Toc12021025"/>
      <w:r w:rsidRPr="00A04E56">
        <w:t>Creative Europe</w:t>
      </w:r>
      <w:bookmarkEnd w:id="163"/>
    </w:p>
    <w:p w14:paraId="54F101D7" w14:textId="77777777" w:rsidR="005D36C6" w:rsidRPr="00A04E56" w:rsidRDefault="005D36C6" w:rsidP="00AA0340">
      <w:pPr>
        <w:pStyle w:val="Title3NumberedReport"/>
      </w:pPr>
      <w:r w:rsidRPr="00A04E56">
        <w:t xml:space="preserve">Programme objectives </w:t>
      </w:r>
    </w:p>
    <w:p w14:paraId="3CE08161" w14:textId="5814ECF7" w:rsidR="005D36C6" w:rsidRPr="00A04E56" w:rsidRDefault="005D36C6" w:rsidP="007221BB">
      <w:pPr>
        <w:pStyle w:val="BodyText1spaceafter"/>
        <w:rPr>
          <w:rStyle w:val="Bodytext2"/>
          <w:b/>
          <w:sz w:val="20"/>
          <w:szCs w:val="20"/>
        </w:rPr>
      </w:pPr>
      <w:r w:rsidRPr="00A04E56">
        <w:rPr>
          <w:rStyle w:val="Bodytext2"/>
          <w:sz w:val="20"/>
          <w:szCs w:val="20"/>
        </w:rPr>
        <w:t>Creative Europe is the European Commiss</w:t>
      </w:r>
      <w:r w:rsidR="00C6157D" w:rsidRPr="00A04E56">
        <w:rPr>
          <w:rStyle w:val="Bodytext2"/>
          <w:sz w:val="20"/>
          <w:szCs w:val="20"/>
        </w:rPr>
        <w:t>’</w:t>
      </w:r>
      <w:r w:rsidRPr="00A04E56">
        <w:rPr>
          <w:rStyle w:val="Bodytext2"/>
          <w:sz w:val="20"/>
          <w:szCs w:val="20"/>
        </w:rPr>
        <w:t>on's framework programme for supporting</w:t>
      </w:r>
      <w:r w:rsidRPr="00A04E56" w:rsidDel="009F5C72">
        <w:rPr>
          <w:rStyle w:val="Bodytext2"/>
          <w:sz w:val="20"/>
          <w:szCs w:val="20"/>
        </w:rPr>
        <w:t xml:space="preserve"> </w:t>
      </w:r>
      <w:r w:rsidRPr="00A04E56">
        <w:rPr>
          <w:rStyle w:val="Bodytext2"/>
          <w:sz w:val="20"/>
          <w:szCs w:val="20"/>
        </w:rPr>
        <w:t>Eur</w:t>
      </w:r>
      <w:r w:rsidR="00950FF5" w:rsidRPr="00A04E56">
        <w:rPr>
          <w:rStyle w:val="Bodytext2"/>
          <w:sz w:val="20"/>
          <w:szCs w:val="20"/>
        </w:rPr>
        <w:t>o</w:t>
      </w:r>
      <w:r w:rsidRPr="00A04E56">
        <w:rPr>
          <w:rStyle w:val="Bodytext2"/>
          <w:sz w:val="20"/>
          <w:szCs w:val="20"/>
        </w:rPr>
        <w:t>pe's culture and audiovisual sectors. The programme is divided into two sub-programmes, Culture and MEDIA</w:t>
      </w:r>
      <w:r w:rsidR="002609B1" w:rsidRPr="00A04E56">
        <w:rPr>
          <w:rStyle w:val="Bodytext2"/>
          <w:sz w:val="20"/>
          <w:szCs w:val="20"/>
        </w:rPr>
        <w:t xml:space="preserve"> and a cross-sectoral strand.</w:t>
      </w:r>
      <w:r w:rsidRPr="00A04E56">
        <w:rPr>
          <w:rStyle w:val="Bodytext2"/>
          <w:sz w:val="20"/>
          <w:szCs w:val="20"/>
        </w:rPr>
        <w:t xml:space="preserve"> Its objectives are to promote cultural and linguistic diversity and enhance the competitiveness of these sectors, by </w:t>
      </w:r>
      <w:r w:rsidR="002609B1" w:rsidRPr="00A04E56">
        <w:rPr>
          <w:rStyle w:val="Bodytext2"/>
          <w:sz w:val="20"/>
          <w:szCs w:val="20"/>
        </w:rPr>
        <w:t xml:space="preserve">building the capacity to operate at the transnational level through support to </w:t>
      </w:r>
      <w:r w:rsidRPr="00A04E56">
        <w:rPr>
          <w:rStyle w:val="Bodytext2"/>
          <w:sz w:val="20"/>
          <w:szCs w:val="20"/>
        </w:rPr>
        <w:t>independent production and distribution companies in the audiovisual field as well as a wide range of businesses in the cultural field.</w:t>
      </w:r>
    </w:p>
    <w:p w14:paraId="4C2C13FC" w14:textId="79ABE498" w:rsidR="005D36C6" w:rsidRPr="00A04E56" w:rsidRDefault="008C1D39" w:rsidP="00AA0340">
      <w:pPr>
        <w:pStyle w:val="Title3NumberedReport"/>
      </w:pPr>
      <w:r w:rsidRPr="00A04E56">
        <w:t>Implementation and latest achievements</w:t>
      </w:r>
    </w:p>
    <w:p w14:paraId="5E9F7A98" w14:textId="4455B185" w:rsidR="002609B1" w:rsidRPr="00A04E56" w:rsidRDefault="002609B1" w:rsidP="002609B1">
      <w:pPr>
        <w:pStyle w:val="BodyText1spaceafter"/>
      </w:pPr>
      <w:r w:rsidRPr="00A04E56">
        <w:t>MEDIA supports the strengthened regulatory framework enabling the cross-border circulation of works. New rules will contribute to a wider distribution of audiovisual works across the EU: the revised</w:t>
      </w:r>
      <w:r w:rsidR="00AE4B2D" w:rsidRPr="00A04E56">
        <w:t xml:space="preserve"> audiovisual media service directive </w:t>
      </w:r>
      <w:r w:rsidRPr="00A04E56">
        <w:t xml:space="preserve">reinforces the obligations of on-demand service providers to promote European works; the </w:t>
      </w:r>
      <w:r w:rsidR="00835302" w:rsidRPr="00A04E56">
        <w:t>re</w:t>
      </w:r>
      <w:r w:rsidRPr="00A04E56">
        <w:t xml:space="preserve">gulation on cross-border portability of online content services allows Europeans to enjoy online content services when travelling in the EU; the </w:t>
      </w:r>
      <w:r w:rsidR="00AE4B2D" w:rsidRPr="00A04E56">
        <w:t>directive</w:t>
      </w:r>
      <w:r w:rsidRPr="00A04E56">
        <w:t xml:space="preserve"> on online transmissions and retransmissions of radio and TV programmes; the new </w:t>
      </w:r>
      <w:r w:rsidR="00AE4B2D" w:rsidRPr="00A04E56">
        <w:t xml:space="preserve">directive on copyright in the digital single market </w:t>
      </w:r>
      <w:r w:rsidRPr="00A04E56">
        <w:t xml:space="preserve">aims to ensure more cross-border and online access to copyright-protected content, in particular by facilitating the licensing of audiovisual and out-of-commerce works. MEDIA accompanies this evolving regulatory framework by fostering collaboration across the value chain in order to support projects with high circulation potential. </w:t>
      </w:r>
    </w:p>
    <w:p w14:paraId="52078835" w14:textId="4B2DCD65" w:rsidR="005D36C6" w:rsidRPr="00A04E56" w:rsidRDefault="005D36C6" w:rsidP="00775D33">
      <w:pPr>
        <w:jc w:val="both"/>
        <w:rPr>
          <w:rFonts w:eastAsia="Calibri"/>
          <w:noProof/>
          <w:color w:val="000000" w:themeColor="text1"/>
          <w:lang w:eastAsia="fr-BE"/>
        </w:rPr>
      </w:pPr>
      <w:r w:rsidRPr="00A04E56">
        <w:t xml:space="preserve">A major contribution to cultural cooperation at EU level, and a key achievement </w:t>
      </w:r>
      <w:r w:rsidR="008C1D39" w:rsidRPr="00A04E56">
        <w:rPr>
          <w:i/>
          <w:u w:val="single"/>
        </w:rPr>
        <w:t>in 2018</w:t>
      </w:r>
      <w:r w:rsidRPr="00A04E56">
        <w:t xml:space="preserve">, was the adoption of a </w:t>
      </w:r>
      <w:r w:rsidRPr="00A04E56">
        <w:rPr>
          <w:rStyle w:val="BOLDLIGHTBLUEReport"/>
          <w:rFonts w:eastAsia="Calibri"/>
        </w:rPr>
        <w:t xml:space="preserve">New European </w:t>
      </w:r>
      <w:r w:rsidR="00F504A4" w:rsidRPr="00A04E56">
        <w:rPr>
          <w:rStyle w:val="BOLDLIGHTBLUEReport"/>
          <w:rFonts w:eastAsia="Calibri"/>
        </w:rPr>
        <w:t>agenda for culture</w:t>
      </w:r>
      <w:r w:rsidR="00F504A4" w:rsidRPr="00A04E56">
        <w:rPr>
          <w:rStyle w:val="fnRef"/>
          <w:rFonts w:ascii="Calibri" w:hAnsi="Calibri" w:cs="Calibri"/>
        </w:rPr>
        <w:t> </w:t>
      </w:r>
      <w:r w:rsidRPr="00A04E56">
        <w:rPr>
          <w:rStyle w:val="fnRef"/>
        </w:rPr>
        <w:t>(</w:t>
      </w:r>
      <w:r w:rsidRPr="00A04E56">
        <w:rPr>
          <w:rStyle w:val="fnRefNo"/>
        </w:rPr>
        <w:footnoteReference w:id="232"/>
      </w:r>
      <w:r w:rsidRPr="00A04E56">
        <w:rPr>
          <w:rStyle w:val="fnRef"/>
        </w:rPr>
        <w:t>)</w:t>
      </w:r>
      <w:r w:rsidRPr="00A04E56">
        <w:t xml:space="preserve">. The new agenda aims to respond to the social and economic challenges the EU is facing by using culture to build a fairer, more inclusive union supporting innovation, creativity and sustainable jobs and growth. The new agenda sets out over </w:t>
      </w:r>
      <w:r w:rsidRPr="00A04E56">
        <w:rPr>
          <w:rStyle w:val="BOLDLIGHTBLUEReport"/>
          <w:rFonts w:eastAsia="Calibri"/>
        </w:rPr>
        <w:t>25 actions across five dimensions</w:t>
      </w:r>
      <w:r w:rsidRPr="00A04E56">
        <w:t xml:space="preserve"> (social, economic, external, cultural heritage, digital4culture) and proposes a stronger involvement of Member States in policy collaboration and the implementation of policy results through joint projects, including with international cultural organisations and national cultural institutes in third countries</w:t>
      </w:r>
      <w:r w:rsidRPr="00A04E56">
        <w:rPr>
          <w:rFonts w:eastAsia="Calibri"/>
          <w:noProof/>
          <w:color w:val="000000" w:themeColor="text1"/>
          <w:lang w:eastAsia="fr-BE"/>
        </w:rPr>
        <w:t>.</w:t>
      </w:r>
    </w:p>
    <w:p w14:paraId="0601350C" w14:textId="6F61966B" w:rsidR="005D36C6" w:rsidRPr="00A04E56" w:rsidRDefault="008C1D39" w:rsidP="00C257BF">
      <w:pPr>
        <w:pStyle w:val="BodyText1spacebeforeandafter"/>
      </w:pPr>
      <w:r w:rsidRPr="00A04E56">
        <w:rPr>
          <w:i/>
          <w:u w:val="single"/>
        </w:rPr>
        <w:t>In 2018</w:t>
      </w:r>
      <w:r w:rsidR="005D36C6" w:rsidRPr="00A04E56">
        <w:t>, a total of 5</w:t>
      </w:r>
      <w:r w:rsidR="005D36C6" w:rsidRPr="00A04E56">
        <w:rPr>
          <w:rFonts w:ascii="Calibri" w:hAnsi="Calibri" w:cs="Calibri"/>
        </w:rPr>
        <w:t> </w:t>
      </w:r>
      <w:r w:rsidR="005D36C6" w:rsidRPr="00A04E56">
        <w:t>290 applications were submitted under the Creative Europe programme (748 under Culture and 4</w:t>
      </w:r>
      <w:r w:rsidR="005D36C6" w:rsidRPr="00A04E56">
        <w:rPr>
          <w:rFonts w:ascii="Calibri" w:hAnsi="Calibri" w:cs="Calibri"/>
        </w:rPr>
        <w:t> </w:t>
      </w:r>
      <w:r w:rsidR="005D36C6" w:rsidRPr="00A04E56">
        <w:t>542 under MEDIA), of which 2</w:t>
      </w:r>
      <w:r w:rsidR="005D36C6" w:rsidRPr="00A04E56">
        <w:rPr>
          <w:rFonts w:ascii="Calibri" w:hAnsi="Calibri" w:cs="Calibri"/>
        </w:rPr>
        <w:t> </w:t>
      </w:r>
      <w:r w:rsidR="005D36C6" w:rsidRPr="00A04E56">
        <w:t>429 were selected for funding (234 for Culture and 2</w:t>
      </w:r>
      <w:r w:rsidR="005D36C6" w:rsidRPr="00A04E56">
        <w:rPr>
          <w:rFonts w:ascii="Calibri" w:hAnsi="Calibri" w:cs="Calibri"/>
        </w:rPr>
        <w:t> </w:t>
      </w:r>
      <w:r w:rsidR="005D36C6" w:rsidRPr="00A04E56">
        <w:t>195 for MEDIA).</w:t>
      </w:r>
    </w:p>
    <w:p w14:paraId="775CAE06" w14:textId="6CA1E00F" w:rsidR="005D36C6" w:rsidRPr="00A04E56" w:rsidRDefault="005D36C6" w:rsidP="00775D33">
      <w:pPr>
        <w:jc w:val="both"/>
      </w:pPr>
      <w:r w:rsidRPr="00A04E56" w:rsidDel="008C1D39">
        <w:rPr>
          <w:i/>
          <w:u w:val="single"/>
        </w:rPr>
        <w:t>In 2018</w:t>
      </w:r>
      <w:r w:rsidR="00AF17EA" w:rsidRPr="00A04E56">
        <w:t>,</w:t>
      </w:r>
      <w:r w:rsidRPr="00A04E56">
        <w:t xml:space="preserve"> MEDIA also shared stories across channels by reaching 122</w:t>
      </w:r>
      <w:r w:rsidRPr="00A04E56">
        <w:rPr>
          <w:rFonts w:ascii="Calibri" w:hAnsi="Calibri" w:cs="Calibri"/>
        </w:rPr>
        <w:t> </w:t>
      </w:r>
      <w:r w:rsidRPr="00A04E56">
        <w:t>million people through cinema (55</w:t>
      </w:r>
      <w:r w:rsidRPr="00A04E56" w:rsidDel="00374320">
        <w:rPr>
          <w:rFonts w:ascii="Calibri" w:hAnsi="Calibri" w:cs="Calibri"/>
        </w:rPr>
        <w:t> </w:t>
      </w:r>
      <w:r w:rsidRPr="00A04E56" w:rsidDel="00374320">
        <w:t>million</w:t>
      </w:r>
      <w:r w:rsidRPr="00A04E56">
        <w:t>), TV (57</w:t>
      </w:r>
      <w:r w:rsidRPr="00A04E56" w:rsidDel="00374320">
        <w:rPr>
          <w:rFonts w:ascii="Calibri" w:hAnsi="Calibri" w:cs="Calibri"/>
        </w:rPr>
        <w:t> </w:t>
      </w:r>
      <w:r w:rsidRPr="00A04E56" w:rsidDel="00374320">
        <w:t>million</w:t>
      </w:r>
      <w:r w:rsidRPr="00A04E56">
        <w:t>), festivals and events (8.5</w:t>
      </w:r>
      <w:r w:rsidRPr="00A04E56" w:rsidDel="00374320">
        <w:rPr>
          <w:rFonts w:ascii="Calibri" w:hAnsi="Calibri" w:cs="Calibri"/>
        </w:rPr>
        <w:t> </w:t>
      </w:r>
      <w:r w:rsidRPr="00A04E56" w:rsidDel="00374320">
        <w:t>million</w:t>
      </w:r>
      <w:r w:rsidRPr="00A04E56">
        <w:t>) and video-on-demand (VOD) (1.82</w:t>
      </w:r>
      <w:r w:rsidRPr="00A04E56" w:rsidDel="00374320">
        <w:rPr>
          <w:rFonts w:ascii="Calibri" w:hAnsi="Calibri" w:cs="Calibri"/>
        </w:rPr>
        <w:t> </w:t>
      </w:r>
      <w:r w:rsidRPr="00A04E56" w:rsidDel="00374320">
        <w:t>million</w:t>
      </w:r>
      <w:r w:rsidRPr="00A04E56">
        <w:t>).</w:t>
      </w:r>
    </w:p>
    <w:p w14:paraId="398D23E0" w14:textId="014C0E6D" w:rsidR="005D36C6" w:rsidRPr="00A04E56" w:rsidRDefault="005D36C6" w:rsidP="00C257BF">
      <w:pPr>
        <w:pStyle w:val="BodyText1spacebeforeandafter"/>
      </w:pPr>
      <w:r w:rsidRPr="00A04E56">
        <w:t xml:space="preserve">MEDIA makes an essential contribution to making European films available beyond their domestic markets. Overall, MEDIA supported the theatrical release of 563 films across borders </w:t>
      </w:r>
      <w:r w:rsidRPr="00A04E56" w:rsidDel="008C1D39">
        <w:t>in 2018</w:t>
      </w:r>
      <w:r w:rsidRPr="00A04E56">
        <w:t>. Targeted support was given to 19 individual films for distribution across an average of 25</w:t>
      </w:r>
      <w:r w:rsidRPr="00A04E56">
        <w:rPr>
          <w:rFonts w:ascii="Calibri" w:hAnsi="Calibri" w:cs="Calibri"/>
        </w:rPr>
        <w:t> </w:t>
      </w:r>
      <w:r w:rsidRPr="00A04E56">
        <w:t>territories, through a consortia of distributors, in order to promote cross-border access.</w:t>
      </w:r>
    </w:p>
    <w:p w14:paraId="76A6206A" w14:textId="731EF91C" w:rsidR="005D36C6" w:rsidRPr="00A04E56" w:rsidRDefault="005D36C6" w:rsidP="00775D33">
      <w:pPr>
        <w:jc w:val="both"/>
      </w:pPr>
      <w:r w:rsidRPr="00A04E56">
        <w:t>Under the Culture sub</w:t>
      </w:r>
      <w:r w:rsidR="00235BA3">
        <w:t>-</w:t>
      </w:r>
      <w:r w:rsidR="003B6127" w:rsidRPr="00A04E56">
        <w:t>programme</w:t>
      </w:r>
      <w:r w:rsidRPr="00A04E56">
        <w:t xml:space="preserve">, </w:t>
      </w:r>
      <w:r w:rsidR="008C1D39" w:rsidRPr="00A04E56">
        <w:t>in 2018</w:t>
      </w:r>
      <w:r w:rsidRPr="00A04E56">
        <w:t>, support resulted in 132 European cooperation projects, out of which 29 related to a special cultural-heritage call as a contribution to the European Year of Cultural Heritage. These projects stress Eur</w:t>
      </w:r>
      <w:r w:rsidR="00950FF5" w:rsidRPr="00A04E56">
        <w:t>o</w:t>
      </w:r>
      <w:r w:rsidRPr="00A04E56">
        <w:t>pe's cultural diversity, and bring about economic benefits to small and medium-sized enterprises and microbusinesses active in cultural sectors such as music, publishing and design.</w:t>
      </w:r>
    </w:p>
    <w:p w14:paraId="5E366CC1" w14:textId="29F945EA" w:rsidR="005D36C6" w:rsidRPr="00A04E56" w:rsidRDefault="005D36C6" w:rsidP="007221BB">
      <w:pPr>
        <w:pStyle w:val="BodyText1spaceafter"/>
      </w:pPr>
      <w:r w:rsidRPr="00A04E56">
        <w:t xml:space="preserve">An </w:t>
      </w:r>
      <w:r w:rsidRPr="00A04E56">
        <w:rPr>
          <w:rStyle w:val="BOLDLIGHTBLUEReport"/>
          <w:rFonts w:eastAsia="Calibri"/>
        </w:rPr>
        <w:t>amendment to the Work Programme adopted in April 2018</w:t>
      </w:r>
      <w:r w:rsidRPr="00A04E56">
        <w:t xml:space="preserve"> made it possible to fund more small cooperation projects, widening participation in the competition for the European Union Prizes for Cultural Heritage and for Literature, increasing capacity-building action for future European Capitals of Culture, awarding three grants to </w:t>
      </w:r>
      <w:r w:rsidR="00C766F3" w:rsidRPr="00A04E56">
        <w:t>the United Nations Educational, Scientific and Cultural Organisation (</w:t>
      </w:r>
      <w:r w:rsidRPr="00A04E56">
        <w:t>U</w:t>
      </w:r>
      <w:r w:rsidR="00C766F3" w:rsidRPr="00A04E56">
        <w:t>nesco) international council on monuments and sites</w:t>
      </w:r>
      <w:r w:rsidRPr="00A04E56">
        <w:t xml:space="preserve"> and to the Council of Europe to implement specific objectives of the European Year of Cultural Heritage, and launching a new experimental mobility scheme for artists and creative people.</w:t>
      </w:r>
    </w:p>
    <w:p w14:paraId="6A5A198C" w14:textId="1C8F24E8" w:rsidR="005D36C6" w:rsidRPr="00A04E56" w:rsidRDefault="002609B1" w:rsidP="007221BB">
      <w:pPr>
        <w:pStyle w:val="BodyText1spaceafter"/>
      </w:pPr>
      <w:r w:rsidRPr="00A04E56">
        <w:t xml:space="preserve">Under the cross-sectoral strand, the </w:t>
      </w:r>
      <w:r w:rsidR="005D36C6" w:rsidRPr="00A04E56">
        <w:rPr>
          <w:rStyle w:val="BOLDLIGHTBLUEReport"/>
          <w:rFonts w:eastAsia="Calibri"/>
        </w:rPr>
        <w:t>cultural and creative sect</w:t>
      </w:r>
      <w:r w:rsidR="00AD5A26" w:rsidRPr="00A04E56">
        <w:rPr>
          <w:rStyle w:val="BOLDLIGHTBLUEReport"/>
          <w:rFonts w:eastAsia="Calibri"/>
        </w:rPr>
        <w:t>o</w:t>
      </w:r>
      <w:r w:rsidR="005D36C6" w:rsidRPr="00A04E56">
        <w:rPr>
          <w:rStyle w:val="BOLDLIGHTBLUEReport"/>
          <w:rFonts w:eastAsia="Calibri"/>
        </w:rPr>
        <w:t xml:space="preserve">rs' guarantee facility </w:t>
      </w:r>
      <w:r w:rsidR="005D36C6" w:rsidRPr="00A04E56">
        <w:t xml:space="preserve">is an innovative market-led instrument that addresses the financing gap for small and medium-size enterprises in these sectors. </w:t>
      </w:r>
      <w:r w:rsidR="005D36C6" w:rsidRPr="00A04E56">
        <w:rPr>
          <w:i/>
          <w:u w:val="single"/>
        </w:rPr>
        <w:t>By the end of the third quarter of 2018</w:t>
      </w:r>
      <w:r w:rsidR="005D36C6" w:rsidRPr="00A04E56">
        <w:t>, the Facility had signed 1</w:t>
      </w:r>
      <w:r w:rsidR="00945967" w:rsidRPr="00A04E56">
        <w:t>1</w:t>
      </w:r>
      <w:r w:rsidR="005D36C6" w:rsidRPr="00A04E56">
        <w:t xml:space="preserve"> guarantee agreements with </w:t>
      </w:r>
      <w:r w:rsidR="00945967" w:rsidRPr="00A04E56">
        <w:t>10</w:t>
      </w:r>
      <w:r w:rsidR="005D36C6" w:rsidRPr="00A04E56">
        <w:t xml:space="preserve"> financial intermediaries from Belgium, </w:t>
      </w:r>
      <w:r w:rsidR="00714FF2" w:rsidRPr="00A04E56">
        <w:t>Czech</w:t>
      </w:r>
      <w:r w:rsidR="00BA2926" w:rsidRPr="00A04E56">
        <w:t>ia</w:t>
      </w:r>
      <w:r w:rsidR="005D36C6" w:rsidRPr="00A04E56">
        <w:t>, Spain, France, Italy, Poland</w:t>
      </w:r>
      <w:r w:rsidR="00945967" w:rsidRPr="00A04E56">
        <w:t>, Portugal</w:t>
      </w:r>
      <w:r w:rsidR="005D36C6" w:rsidRPr="00A04E56">
        <w:t xml:space="preserve"> and Romania. Overall over 630 loans were made under the scheme to final beneficiaries, of which 60% were from the audiovisual sector and 40% from other cultural sectors. </w:t>
      </w:r>
    </w:p>
    <w:p w14:paraId="7A65756D" w14:textId="0237A2B4" w:rsidR="002609B1" w:rsidRPr="00A04E56" w:rsidRDefault="002609B1" w:rsidP="00C32B55">
      <w:pPr>
        <w:pStyle w:val="BodyText1spaceafter"/>
      </w:pPr>
      <w:r w:rsidRPr="00A04E56">
        <w:t xml:space="preserve">Also, additional appropriations to the 2018 budget made it possible to fund a cross-sectoral project, in the context of the European Year of Cultural Heritage, to promote film heritage through </w:t>
      </w:r>
      <w:r w:rsidR="00802063" w:rsidRPr="00A04E56">
        <w:t xml:space="preserve">the </w:t>
      </w:r>
      <w:r w:rsidRPr="00A04E56">
        <w:t xml:space="preserve">digitisation of classic films and </w:t>
      </w:r>
      <w:r w:rsidR="002E22CF" w:rsidRPr="00A04E56">
        <w:t xml:space="preserve">the organising of </w:t>
      </w:r>
      <w:r w:rsidRPr="00A04E56">
        <w:t>screenings in venues reflecting the richness of European architecture.</w:t>
      </w:r>
    </w:p>
    <w:p w14:paraId="2BAE6093" w14:textId="3A879B0B" w:rsidR="005D36C6" w:rsidRPr="00A04E56" w:rsidRDefault="005D36C6" w:rsidP="007221BB">
      <w:pPr>
        <w:pStyle w:val="BodyText1spaceafter"/>
        <w:rPr>
          <w:bCs/>
        </w:rPr>
      </w:pPr>
      <w:r w:rsidRPr="00A04E56">
        <w:rPr>
          <w:bCs/>
        </w:rPr>
        <w:t xml:space="preserve">The </w:t>
      </w:r>
      <w:r w:rsidRPr="00A04E56">
        <w:t>policy project ‘</w:t>
      </w:r>
      <w:r w:rsidRPr="00A04E56">
        <w:rPr>
          <w:rStyle w:val="BOLDLIGHTBLUEReport"/>
          <w:rFonts w:eastAsiaTheme="minorHAnsi"/>
        </w:rPr>
        <w:t>Cultural and Creative Spaces and Cities</w:t>
      </w:r>
      <w:r w:rsidRPr="00A04E56">
        <w:t xml:space="preserve">’ </w:t>
      </w:r>
      <w:r w:rsidRPr="00A04E56">
        <w:rPr>
          <w:i/>
          <w:u w:val="single"/>
        </w:rPr>
        <w:t>started in November 2018</w:t>
      </w:r>
      <w:r w:rsidRPr="00A04E56">
        <w:t xml:space="preserve"> and</w:t>
      </w:r>
      <w:r w:rsidR="00885FF7" w:rsidRPr="00A04E56">
        <w:t xml:space="preserve"> is </w:t>
      </w:r>
      <w:r w:rsidRPr="00A04E56">
        <w:t>ongoing until March 2021. The project intends to provide support to cultural and creative spaces as well as to other players, in particular those at the local level. The wider context of creative hubs, cultural centres and the local context will also be explored to make better use of public spaces for social regeneration through culture, to better connect urban development, social inclusion, job creation, skills development as well as innovation policies: creating a space for policy experimentation and for the support of new approaches, to test ideas on culture and the creative economy in the context of the collaborative economy. Cities and regional authorities will be actively involved in the project and the organising of a series of urban labs.</w:t>
      </w:r>
    </w:p>
    <w:p w14:paraId="4BF44493" w14:textId="1F28F53F" w:rsidR="005D36C6" w:rsidRPr="00A04E56" w:rsidRDefault="005D36C6" w:rsidP="007221BB">
      <w:pPr>
        <w:pStyle w:val="BodyText1spaceafter"/>
      </w:pPr>
      <w:r w:rsidRPr="00A04E56">
        <w:t xml:space="preserve">Through the participation of </w:t>
      </w:r>
      <w:r w:rsidRPr="00A04E56">
        <w:rPr>
          <w:rStyle w:val="BOLDLIGHTBLUEReport"/>
          <w:rFonts w:eastAsia="Calibri"/>
        </w:rPr>
        <w:t>third countries</w:t>
      </w:r>
      <w:r w:rsidRPr="00A04E56">
        <w:t xml:space="preserve"> in Creative Europe, the Commission has strengthened EU cultural cooperation in particular with the </w:t>
      </w:r>
      <w:r w:rsidR="00E13B0E" w:rsidRPr="00A04E56">
        <w:t>W</w:t>
      </w:r>
      <w:r w:rsidR="00835302" w:rsidRPr="00A04E56">
        <w:t>estern</w:t>
      </w:r>
      <w:r w:rsidRPr="00A04E56">
        <w:t xml:space="preserve"> Balkans as well as the south and east Neighbourhood, contributing to the fostering of cultural diversity and the supporting of cultural and creative industries. Two agreements have been signed for the participation of Armenia and Kosovo</w:t>
      </w:r>
      <w:r w:rsidRPr="00A04E56">
        <w:rPr>
          <w:rFonts w:ascii="Calibri" w:hAnsi="Calibri" w:cs="Calibri"/>
        </w:rPr>
        <w:t> (</w:t>
      </w:r>
      <w:r w:rsidRPr="00277538">
        <w:rPr>
          <w:rStyle w:val="fnRefNo"/>
        </w:rPr>
        <w:footnoteReference w:id="233"/>
      </w:r>
      <w:r w:rsidRPr="00A04E56">
        <w:rPr>
          <w:rFonts w:ascii="Calibri" w:hAnsi="Calibri" w:cs="Calibri"/>
        </w:rPr>
        <w:t>)</w:t>
      </w:r>
      <w:r w:rsidRPr="00A04E56">
        <w:t xml:space="preserve"> in Creative Europe, bringing the number of third countries joining the programme to 13. The participation of all </w:t>
      </w:r>
      <w:r w:rsidR="00E13B0E" w:rsidRPr="00A04E56">
        <w:t>W</w:t>
      </w:r>
      <w:r w:rsidR="00835302" w:rsidRPr="00A04E56">
        <w:t>estern</w:t>
      </w:r>
      <w:r w:rsidRPr="00A04E56">
        <w:t xml:space="preserve"> Balkan</w:t>
      </w:r>
      <w:r w:rsidR="00523470" w:rsidRPr="00A04E56">
        <w:t>s</w:t>
      </w:r>
      <w:r w:rsidRPr="00A04E56">
        <w:t xml:space="preserve"> countries (Albania, </w:t>
      </w:r>
      <w:r w:rsidR="00523470" w:rsidRPr="00A04E56">
        <w:t>North</w:t>
      </w:r>
      <w:r w:rsidRPr="00A04E56">
        <w:t xml:space="preserve"> Macedonia, Kosovo, Montenegro, Serbia, Bosnia and Herzegovina) in Creative Europe allows for a strengthening of the EU-</w:t>
      </w:r>
      <w:r w:rsidR="00E13B0E" w:rsidRPr="00A04E56">
        <w:t>W</w:t>
      </w:r>
      <w:r w:rsidR="00835302" w:rsidRPr="00A04E56">
        <w:t>estern</w:t>
      </w:r>
      <w:r w:rsidRPr="00A04E56">
        <w:t xml:space="preserve"> Balkans Strategy. </w:t>
      </w:r>
    </w:p>
    <w:p w14:paraId="5BAEDFF7" w14:textId="3FA7FDFD" w:rsidR="005D36C6" w:rsidRPr="00A04E56" w:rsidRDefault="001C57EC" w:rsidP="00AA0340">
      <w:pPr>
        <w:pStyle w:val="Title3NumberedReport"/>
      </w:pPr>
      <w:r w:rsidRPr="00A04E56">
        <w:t>Assessment and evaluation</w:t>
      </w:r>
    </w:p>
    <w:p w14:paraId="5ED2FBD8" w14:textId="2AC7ADA6" w:rsidR="005D36C6" w:rsidRPr="00A04E56" w:rsidRDefault="005D36C6" w:rsidP="005D36C6">
      <w:pPr>
        <w:pStyle w:val="BodyText1spaceafter"/>
      </w:pPr>
      <w:r w:rsidRPr="00A04E56">
        <w:t>According to the midterm evaluation</w:t>
      </w:r>
      <w:r w:rsidRPr="00A04E56">
        <w:rPr>
          <w:rStyle w:val="fnRef"/>
          <w:rFonts w:ascii="Calibri" w:hAnsi="Calibri" w:cs="Calibri"/>
        </w:rPr>
        <w:t> </w:t>
      </w:r>
      <w:r w:rsidRPr="00A04E56">
        <w:rPr>
          <w:rStyle w:val="fnRef"/>
        </w:rPr>
        <w:t>(</w:t>
      </w:r>
      <w:r w:rsidRPr="00A04E56">
        <w:rPr>
          <w:rStyle w:val="fnRefNo"/>
        </w:rPr>
        <w:footnoteReference w:id="234"/>
      </w:r>
      <w:r w:rsidRPr="00A04E56">
        <w:rPr>
          <w:rStyle w:val="fnRef"/>
        </w:rPr>
        <w:t>)</w:t>
      </w:r>
      <w:r w:rsidRPr="00A04E56">
        <w:t xml:space="preserve">, overall, the Creative Europe programme has performed well, with a high level of demand and participation from stakeholders. The Creative Europe programme remains highly relevant and addresses ongoing challenges in the sector, such as the fragmentation of markets and their increasing digitisation. By supporting the circulation of diverse content the programme has also contributed to spreading and defending European values. Creative Europe was also found relevant to the changing priorities of the sectors, to the strategies pursued by the Member States and to EU policy priorities. However, despite positive achievements, the programme needs to do more to </w:t>
      </w:r>
      <w:r w:rsidR="002609B1" w:rsidRPr="00A04E56">
        <w:t xml:space="preserve">to support the cultural and creative sectors in fully reaping </w:t>
      </w:r>
      <w:r w:rsidRPr="00A04E56">
        <w:t>the opportunities that the digital shift presents, taking into account new audience and consumption patterns and how cultural and creative works are made, produced, accessed and monetised in the digital economy.</w:t>
      </w:r>
    </w:p>
    <w:p w14:paraId="715FC7C8" w14:textId="25B1E650" w:rsidR="002609B1" w:rsidRPr="00A04E56" w:rsidRDefault="002609B1" w:rsidP="002609B1">
      <w:pPr>
        <w:pStyle w:val="BodyText1spaceafter"/>
      </w:pPr>
      <w:r w:rsidRPr="00A04E56">
        <w:t>For the next multiannual financial framework the Commission proposed to increase the funding for Creative Europe</w:t>
      </w:r>
      <w:r w:rsidRPr="00A04E56">
        <w:rPr>
          <w:rStyle w:val="fnRef"/>
          <w:rFonts w:ascii="Calibri" w:hAnsi="Calibri" w:cs="Calibri"/>
        </w:rPr>
        <w:t> </w:t>
      </w:r>
      <w:r w:rsidRPr="00A04E56">
        <w:rPr>
          <w:rStyle w:val="fnRef"/>
        </w:rPr>
        <w:t>(</w:t>
      </w:r>
      <w:r w:rsidRPr="00A04E56">
        <w:rPr>
          <w:rStyle w:val="fnRefNo"/>
        </w:rPr>
        <w:footnoteReference w:id="235"/>
      </w:r>
      <w:r w:rsidRPr="00A04E56">
        <w:rPr>
          <w:rStyle w:val="fnRef"/>
        </w:rPr>
        <w:t>)</w:t>
      </w:r>
      <w:r w:rsidRPr="00A04E56">
        <w:t xml:space="preserve">. The </w:t>
      </w:r>
      <w:r w:rsidR="00185218" w:rsidRPr="00A04E56">
        <w:t xml:space="preserve">new </w:t>
      </w:r>
      <w:r w:rsidRPr="00A04E56">
        <w:t>programme builds on the achievements of the current programme whilst strengthening the response to address the transformation of the cultural and creative sectors. The new Creative Europe programme intends to focus on the power of networks and cooperation to help scale up these sectors. It will offer opportunities for beneficiaries to develop technologically and artistically innovative European trans-border initiatives to exchange, co-create, co</w:t>
      </w:r>
      <w:r w:rsidR="00185218" w:rsidRPr="00A04E56">
        <w:t>-</w:t>
      </w:r>
      <w:r w:rsidRPr="00A04E56">
        <w:t>produce,</w:t>
      </w:r>
      <w:r w:rsidR="00AD1176" w:rsidRPr="00A04E56">
        <w:t xml:space="preserve"> </w:t>
      </w:r>
      <w:r w:rsidRPr="00A04E56">
        <w:t>distribute and promote European works and make them accessible to a wide and diverse audience. It is expected that it will intensify innovation, including through cross-sectoral collaboration, to make best use of digital technology for creation and audience development. The new programme would also support the news media sector to promote a diverse and pluralistic media, strengthening quality journalism and fostering media literacy.</w:t>
      </w:r>
      <w:r w:rsidR="00AD1176" w:rsidRPr="00A04E56">
        <w:t xml:space="preserve"> </w:t>
      </w:r>
      <w:r w:rsidRPr="00A04E56">
        <w:t>The programme implementation will also be streamlined to increase cost-effectiveness and reduce administrative burden.</w:t>
      </w:r>
    </w:p>
    <w:p w14:paraId="1095B843" w14:textId="5C83A017" w:rsidR="005D36C6" w:rsidRPr="00A04E56" w:rsidRDefault="005D36C6" w:rsidP="005D36C6">
      <w:pPr>
        <w:pStyle w:val="Title2Report"/>
      </w:pPr>
      <w:bookmarkStart w:id="164" w:name="_Toc4603979"/>
      <w:bookmarkStart w:id="165" w:name="_Toc4680745"/>
      <w:bookmarkStart w:id="166" w:name="_Toc4683019"/>
      <w:bookmarkStart w:id="167" w:name="_Toc4683100"/>
      <w:bookmarkStart w:id="168" w:name="_Toc12021026"/>
      <w:r w:rsidRPr="00A04E56">
        <w:t xml:space="preserve">Rights, </w:t>
      </w:r>
      <w:r w:rsidR="004951CC" w:rsidRPr="00A04E56">
        <w:t>equality and citizenship programme</w:t>
      </w:r>
      <w:bookmarkEnd w:id="164"/>
      <w:bookmarkEnd w:id="165"/>
      <w:bookmarkEnd w:id="166"/>
      <w:bookmarkEnd w:id="167"/>
      <w:bookmarkEnd w:id="168"/>
    </w:p>
    <w:p w14:paraId="5ACA9E35" w14:textId="0CF73392" w:rsidR="005D36C6" w:rsidRPr="00A04E56" w:rsidRDefault="005D36C6" w:rsidP="007221BB">
      <w:pPr>
        <w:pStyle w:val="BodyText1spaceafter"/>
      </w:pPr>
      <w:r w:rsidRPr="00A04E56">
        <w:t xml:space="preserve">The </w:t>
      </w:r>
      <w:r w:rsidRPr="00A04E56">
        <w:rPr>
          <w:rStyle w:val="BOLDLIGHTBLUEReport"/>
          <w:rFonts w:eastAsia="Calibri"/>
        </w:rPr>
        <w:t>Rights, Equality and Citizenship Programme</w:t>
      </w:r>
      <w:r w:rsidRPr="00A04E56">
        <w:rPr>
          <w:rStyle w:val="fnRef"/>
          <w:rFonts w:ascii="Calibri" w:hAnsi="Calibri" w:cs="Calibri"/>
        </w:rPr>
        <w:t> </w:t>
      </w:r>
      <w:r w:rsidRPr="00A04E56">
        <w:rPr>
          <w:rStyle w:val="fnRef"/>
        </w:rPr>
        <w:t>(</w:t>
      </w:r>
      <w:r w:rsidRPr="00A04E56">
        <w:rPr>
          <w:rStyle w:val="fnRefNo"/>
        </w:rPr>
        <w:footnoteReference w:id="236"/>
      </w:r>
      <w:r w:rsidRPr="00A04E56">
        <w:rPr>
          <w:rStyle w:val="fnRef"/>
        </w:rPr>
        <w:t>)</w:t>
      </w:r>
      <w:r w:rsidRPr="00A04E56">
        <w:t xml:space="preserve"> aims to contribute to the further development of an </w:t>
      </w:r>
      <w:r w:rsidR="009E4479" w:rsidRPr="00A04E56">
        <w:t xml:space="preserve">EU </w:t>
      </w:r>
      <w:r w:rsidRPr="00A04E56">
        <w:t xml:space="preserve">where equality and the rights of persons, as enshrined in the EU </w:t>
      </w:r>
      <w:r w:rsidR="00835302" w:rsidRPr="00A04E56">
        <w:t>t</w:t>
      </w:r>
      <w:r w:rsidRPr="00A04E56">
        <w:t xml:space="preserve">reaties, the Charter of Fundamental Rights and the international human rights conventions, are promoted and effectively implemented. The programme is implemented through direct management. With a budget of </w:t>
      </w:r>
      <w:r w:rsidRPr="00A04E56" w:rsidDel="00717F2A">
        <w:rPr>
          <w:rStyle w:val="BOLDLIGHTBLUEReport"/>
          <w:rFonts w:eastAsia="Calibri"/>
        </w:rPr>
        <w:t>EUR</w:t>
      </w:r>
      <w:r w:rsidRPr="00A04E56">
        <w:rPr>
          <w:rStyle w:val="BOLDLIGHTBLUEReport"/>
          <w:rFonts w:ascii="Calibri" w:eastAsia="Calibri" w:hAnsi="Calibri" w:cs="Calibri"/>
        </w:rPr>
        <w:t> </w:t>
      </w:r>
      <w:r w:rsidRPr="00A04E56">
        <w:rPr>
          <w:rStyle w:val="BOLDLIGHTBLUEReport"/>
          <w:rFonts w:eastAsia="Calibri"/>
        </w:rPr>
        <w:t>62</w:t>
      </w:r>
      <w:r w:rsidRPr="00A04E56">
        <w:rPr>
          <w:rStyle w:val="BOLDLIGHTBLUEReport"/>
          <w:rFonts w:ascii="Calibri" w:eastAsia="Calibri" w:hAnsi="Calibri" w:cs="Calibri"/>
        </w:rPr>
        <w:t> million</w:t>
      </w:r>
      <w:r w:rsidRPr="00A04E56">
        <w:rPr>
          <w:rStyle w:val="BOLDLIGHTBLUEReport"/>
          <w:rFonts w:eastAsia="Calibri"/>
        </w:rPr>
        <w:t xml:space="preserve"> </w:t>
      </w:r>
      <w:r w:rsidR="008C1D39" w:rsidRPr="00107DA0">
        <w:t>in 2018</w:t>
      </w:r>
      <w:r w:rsidRPr="00A04E56">
        <w:t>,</w:t>
      </w:r>
      <w:r w:rsidRPr="00107DA0">
        <w:t xml:space="preserve"> </w:t>
      </w:r>
      <w:r w:rsidRPr="00A04E56">
        <w:t xml:space="preserve">the programme financed actions of public authorities, universities, non-governmental organisations and other organisations that support the Commission’s fundamental-rights policies. </w:t>
      </w:r>
    </w:p>
    <w:p w14:paraId="2A24361D" w14:textId="7B5E4ABE" w:rsidR="005D36C6" w:rsidRPr="00A04E56" w:rsidRDefault="008C1D39" w:rsidP="007221BB">
      <w:pPr>
        <w:pStyle w:val="BodyText1spaceafter"/>
      </w:pPr>
      <w:r w:rsidRPr="00A04E56">
        <w:rPr>
          <w:i/>
          <w:u w:val="single"/>
        </w:rPr>
        <w:t>In 2018</w:t>
      </w:r>
      <w:r w:rsidR="005D36C6" w:rsidRPr="00A04E56">
        <w:rPr>
          <w:szCs w:val="20"/>
        </w:rPr>
        <w:t>,</w:t>
      </w:r>
      <w:r w:rsidR="005D36C6" w:rsidRPr="00A04E56">
        <w:t xml:space="preserve"> the programme funded actions </w:t>
      </w:r>
      <w:r w:rsidR="005D36C6" w:rsidRPr="00A04E56">
        <w:rPr>
          <w:rStyle w:val="BOLDLIGHTBLUEReport"/>
          <w:rFonts w:eastAsia="Calibri"/>
        </w:rPr>
        <w:t>to combat discrimination and promote equality</w:t>
      </w:r>
      <w:r w:rsidR="005D36C6" w:rsidRPr="00A04E56">
        <w:t xml:space="preserve"> such as the EU platform of diversity charters and its 2018 forum ‘Diversity in Diverse Europe’</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37"/>
      </w:r>
      <w:r w:rsidR="005D36C6" w:rsidRPr="00A04E56">
        <w:rPr>
          <w:rStyle w:val="fnRef"/>
        </w:rPr>
        <w:t>)</w:t>
      </w:r>
      <w:r w:rsidR="005D36C6" w:rsidRPr="00A04E56">
        <w:t xml:space="preserve">. To </w:t>
      </w:r>
      <w:r w:rsidR="005D36C6" w:rsidRPr="00A04E56">
        <w:rPr>
          <w:rStyle w:val="BOLDLIGHTBLUEReport"/>
          <w:rFonts w:eastAsia="Calibri"/>
        </w:rPr>
        <w:t>promote equality between women and men</w:t>
      </w:r>
      <w:r w:rsidR="005D36C6" w:rsidRPr="00A04E56">
        <w:t xml:space="preserve">, the programme funded a campaign on ‘Closing the Gender Pay Gap’ on European Equal Pay Day. The programme also promoted political discussion on women's participation in the labour market and on the future priorities for the work on gender equality by financing the European conference </w:t>
      </w:r>
      <w:r w:rsidR="00E40BAB" w:rsidRPr="00A04E56">
        <w:t>‘</w:t>
      </w:r>
      <w:r w:rsidR="005D36C6" w:rsidRPr="00A04E56">
        <w:t>Gender Equality &amp; YOU</w:t>
      </w:r>
      <w:r w:rsidR="00E40BAB" w:rsidRPr="00A04E56">
        <w:t>’</w:t>
      </w:r>
      <w:r w:rsidR="005D36C6" w:rsidRPr="00A04E56">
        <w:t xml:space="preserve"> (October 2018, Vienna). On the </w:t>
      </w:r>
      <w:r w:rsidR="005D36C6" w:rsidRPr="00A04E56">
        <w:rPr>
          <w:rStyle w:val="BOLDLIGHTBLUEReport"/>
          <w:rFonts w:eastAsia="Calibri"/>
        </w:rPr>
        <w:t>protection of privacy and personal data</w:t>
      </w:r>
      <w:r w:rsidR="005D36C6" w:rsidRPr="00A04E56">
        <w:t>, the programme helped to increase awareness of small and medium-sized enterprises, public authorities and individuals on the new data protection rules</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38"/>
      </w:r>
      <w:r w:rsidR="005D36C6" w:rsidRPr="00A04E56">
        <w:rPr>
          <w:rStyle w:val="fnRef"/>
        </w:rPr>
        <w:t>)</w:t>
      </w:r>
      <w:r w:rsidR="005D36C6" w:rsidRPr="00A04E56">
        <w:t xml:space="preserve"> through an online guidance toolkit available on the Commission website in all EU languages in addition to brochures and factsheets.</w:t>
      </w:r>
      <w:r w:rsidR="00D70986" w:rsidRPr="00A04E56">
        <w:rPr>
          <w:color w:val="002060"/>
        </w:rPr>
        <w:t xml:space="preserve"> </w:t>
      </w:r>
      <w:r w:rsidR="00D70986" w:rsidRPr="00A04E56">
        <w:t xml:space="preserve">The programme is also the main financial pillar of the Commission’s </w:t>
      </w:r>
      <w:r w:rsidR="00D70986" w:rsidRPr="00A04E56">
        <w:rPr>
          <w:rStyle w:val="BOLDLIGHTBLUEReport"/>
          <w:rFonts w:eastAsia="Calibri"/>
        </w:rPr>
        <w:t>policy for persons with disabilities</w:t>
      </w:r>
      <w:r w:rsidR="00D70986" w:rsidRPr="00A04E56">
        <w:t xml:space="preserve"> and supports the implementation of the UN Convention on the Rights of Persons with Disabilities and the European Disability Strategy.</w:t>
      </w:r>
    </w:p>
    <w:p w14:paraId="4A3CCEBA" w14:textId="77777777" w:rsidR="005D36C6" w:rsidRPr="00A04E56" w:rsidRDefault="005D36C6" w:rsidP="007221BB">
      <w:pPr>
        <w:pStyle w:val="BodyText1spaceafter"/>
      </w:pPr>
      <w:r w:rsidRPr="00A04E56">
        <w:t xml:space="preserve">The programme also supported important projects in the area of </w:t>
      </w:r>
      <w:r w:rsidRPr="00A04E56">
        <w:rPr>
          <w:rStyle w:val="BOLDLIGHTBLUEReport"/>
          <w:rFonts w:eastAsia="Calibri"/>
        </w:rPr>
        <w:t>preventing and combating racism, xenophobia and other forms of intolerance</w:t>
      </w:r>
      <w:r w:rsidRPr="00A04E56">
        <w:t xml:space="preserve">, through a focus on specific forms of intolerance such as anti-Semitism, anti-Muslim hatred, Afrophobia and anti-Black racism, homophobia and transphobia. </w:t>
      </w:r>
    </w:p>
    <w:p w14:paraId="13FB3995" w14:textId="77777777" w:rsidR="00953D1B" w:rsidRPr="00D6791E" w:rsidRDefault="00903DF5" w:rsidP="006C54DA">
      <w:pPr>
        <w:pStyle w:val="BOX3BluedashedborderBluetext-Bold"/>
        <w:keepNext/>
      </w:pPr>
      <w:hyperlink r:id="rId191" w:history="1">
        <w:r w:rsidR="00953D1B" w:rsidRPr="00D6791E">
          <w:t>Facing facts!</w:t>
        </w:r>
      </w:hyperlink>
      <w:r w:rsidR="00953D1B" w:rsidRPr="00D6791E">
        <w:t xml:space="preserve"> </w:t>
      </w:r>
    </w:p>
    <w:p w14:paraId="27DCCEF7" w14:textId="77777777" w:rsidR="00953D1B" w:rsidRPr="00A04E56" w:rsidRDefault="00953D1B">
      <w:pPr>
        <w:pStyle w:val="BOX3BluedashedborderBluetext"/>
      </w:pPr>
      <w:r w:rsidRPr="00D6791E">
        <w:t>‘Facing Facts!’ is a civil-society initiative that aims to improve the recognition and recording of (and responses to) hate crime and hate speech at national level and beyond, by working across civil society and public authorities. The project developed a series of online courses on identifying, monitoring and countering hate crime and hate speech, targeted to individual activists, civil-society organisations, law enforcement and governmental representatives.</w:t>
      </w:r>
    </w:p>
    <w:p w14:paraId="5DFE8AF4" w14:textId="572E1022" w:rsidR="005D36C6" w:rsidRPr="00A04E56" w:rsidRDefault="005D36C6" w:rsidP="005D36C6">
      <w:pPr>
        <w:pStyle w:val="BodyText1spacebeforeandafter"/>
      </w:pPr>
      <w:r w:rsidRPr="00A04E56">
        <w:t xml:space="preserve">The </w:t>
      </w:r>
      <w:r w:rsidRPr="00A04E56">
        <w:rPr>
          <w:rStyle w:val="BOLDLIGHTBLUEReport"/>
          <w:rFonts w:eastAsia="Times"/>
        </w:rPr>
        <w:t>interim evaluation</w:t>
      </w:r>
      <w:r w:rsidRPr="00A04E56">
        <w:rPr>
          <w:rStyle w:val="fnRef"/>
          <w:rFonts w:ascii="Calibri" w:hAnsi="Calibri" w:cs="Calibri"/>
        </w:rPr>
        <w:t> </w:t>
      </w:r>
      <w:r w:rsidRPr="00A04E56">
        <w:rPr>
          <w:rStyle w:val="fnRef"/>
        </w:rPr>
        <w:t>(</w:t>
      </w:r>
      <w:r w:rsidRPr="00A04E56">
        <w:rPr>
          <w:rStyle w:val="fnRefNo"/>
        </w:rPr>
        <w:footnoteReference w:id="239"/>
      </w:r>
      <w:r w:rsidRPr="00A04E56">
        <w:rPr>
          <w:rStyle w:val="fnRef"/>
        </w:rPr>
        <w:t>)</w:t>
      </w:r>
      <w:r w:rsidRPr="00A04E56">
        <w:t xml:space="preserve"> concluded that overall the programme achieved improvements in the level of knowledge of EU law and policies and of rights, values and principles underpinning the general objective of strengthening equality and the rights of persons. The evaluation showed that the performance of the programme overall is improved compared to its predecessor in terms of the focus of the activities and their efficiency. However, the evaluation also identified a need to improve such as to focus more on emerging needs e.g. e-violence, the revision of the monitoring indicators, the achievement of a more geographic balance among the beneficiaries and reducing the administrative burden (still perceived as high by the programme's stakeholders).</w:t>
      </w:r>
    </w:p>
    <w:p w14:paraId="09259DF1" w14:textId="77777777" w:rsidR="005D36C6" w:rsidRPr="00A04E56" w:rsidRDefault="005D36C6" w:rsidP="005D36C6">
      <w:pPr>
        <w:pStyle w:val="BodyText1spaceafter"/>
      </w:pPr>
      <w:r w:rsidRPr="00A04E56">
        <w:t xml:space="preserve">As part of the post-2020 multiannual financial framework, the Commission proposed a new </w:t>
      </w:r>
      <w:r w:rsidRPr="00A04E56">
        <w:rPr>
          <w:rStyle w:val="BOLDLIGHTBLUEReport"/>
          <w:rFonts w:eastAsia="Calibri"/>
        </w:rPr>
        <w:t>Justice, Rights and Values Fund</w:t>
      </w:r>
      <w:r w:rsidRPr="00A04E56">
        <w:rPr>
          <w:rStyle w:val="fnRef"/>
          <w:rFonts w:ascii="Calibri" w:hAnsi="Calibri" w:cs="Calibri"/>
        </w:rPr>
        <w:t> </w:t>
      </w:r>
      <w:r w:rsidRPr="00A04E56">
        <w:rPr>
          <w:rStyle w:val="fnRef"/>
        </w:rPr>
        <w:t>(</w:t>
      </w:r>
      <w:r w:rsidRPr="00A04E56">
        <w:rPr>
          <w:rStyle w:val="fnRefNo"/>
        </w:rPr>
        <w:footnoteReference w:id="240"/>
      </w:r>
      <w:r w:rsidRPr="00A04E56">
        <w:rPr>
          <w:rStyle w:val="fnRef"/>
        </w:rPr>
        <w:t>)</w:t>
      </w:r>
      <w:r w:rsidRPr="00A04E56">
        <w:rPr>
          <w:rStyle w:val="BOLDLIGHTBLUEReport"/>
          <w:rFonts w:eastAsia="Calibri"/>
        </w:rPr>
        <w:t>.</w:t>
      </w:r>
      <w:r w:rsidRPr="00A04E56">
        <w:t xml:space="preserve"> This fund includes two funding programmes: the </w:t>
      </w:r>
      <w:r w:rsidRPr="00A04E56">
        <w:rPr>
          <w:rStyle w:val="BOLDLIGHTBLUEReport"/>
          <w:rFonts w:eastAsia="Calibri"/>
        </w:rPr>
        <w:t>Rights and Values Programme</w:t>
      </w:r>
      <w:r w:rsidRPr="00A04E56">
        <w:rPr>
          <w:rStyle w:val="fnRef"/>
          <w:rFonts w:ascii="Calibri" w:hAnsi="Calibri" w:cs="Calibri"/>
        </w:rPr>
        <w:t> </w:t>
      </w:r>
      <w:r w:rsidRPr="00A04E56">
        <w:rPr>
          <w:rStyle w:val="fnRef"/>
        </w:rPr>
        <w:t>(</w:t>
      </w:r>
      <w:r w:rsidRPr="00A04E56">
        <w:rPr>
          <w:rStyle w:val="fnRefNo"/>
        </w:rPr>
        <w:footnoteReference w:id="241"/>
      </w:r>
      <w:r w:rsidRPr="00A04E56">
        <w:rPr>
          <w:rStyle w:val="fnRef"/>
        </w:rPr>
        <w:t>)</w:t>
      </w:r>
      <w:r w:rsidRPr="00A04E56">
        <w:t xml:space="preserve"> and </w:t>
      </w:r>
      <w:r w:rsidRPr="00A04E56">
        <w:rPr>
          <w:rStyle w:val="BOLDLIGHTBLUEReport"/>
          <w:rFonts w:eastAsia="Calibri"/>
        </w:rPr>
        <w:t>Justice Programme</w:t>
      </w:r>
      <w:r w:rsidRPr="00A04E56">
        <w:rPr>
          <w:rStyle w:val="fnRef"/>
          <w:rFonts w:ascii="Calibri" w:hAnsi="Calibri" w:cs="Calibri"/>
        </w:rPr>
        <w:t> </w:t>
      </w:r>
      <w:r w:rsidRPr="00A04E56">
        <w:rPr>
          <w:rStyle w:val="fnRef"/>
        </w:rPr>
        <w:t>(</w:t>
      </w:r>
      <w:r w:rsidRPr="00A04E56">
        <w:rPr>
          <w:rStyle w:val="fnRefNo"/>
        </w:rPr>
        <w:footnoteReference w:id="242"/>
      </w:r>
      <w:r w:rsidRPr="00A04E56">
        <w:rPr>
          <w:rStyle w:val="fnRef"/>
        </w:rPr>
        <w:t>)</w:t>
      </w:r>
      <w:r w:rsidRPr="00A04E56">
        <w:t>. With this proposal, the Commission aims to protect EU values, rights and justice in people’s day-to-day lives. The programme will focus primarily on people and entities contributing to making our common values, rights and rich diversity alive and vibrant, with the ultimate objective of nurturing and sustaining our rights-based, equal, inclusive and democratic society. Duplication of activities under this larger scale fund will be avoided, and resources may be shared between the Rights and Values Programme and the Justice Programme to develop mutual benefits while allowing for policy specificities. The implementation will also be streamlined to increase cost-effectiveness and reduce administrative burden.</w:t>
      </w:r>
    </w:p>
    <w:p w14:paraId="51E208F9" w14:textId="15AB7DD5" w:rsidR="005D36C6" w:rsidRPr="00A04E56" w:rsidRDefault="005D36C6" w:rsidP="005D36C6">
      <w:pPr>
        <w:pStyle w:val="Title2Report"/>
      </w:pPr>
      <w:bookmarkStart w:id="169" w:name="_Toc4603980"/>
      <w:bookmarkStart w:id="170" w:name="_Toc4680749"/>
      <w:bookmarkStart w:id="171" w:name="_Toc4683023"/>
      <w:bookmarkStart w:id="172" w:name="_Toc4683101"/>
      <w:bookmarkStart w:id="173" w:name="_Toc12021027"/>
      <w:r w:rsidRPr="00A04E56">
        <w:t xml:space="preserve">Justice </w:t>
      </w:r>
      <w:r w:rsidR="004951CC" w:rsidRPr="00A04E56">
        <w:t>p</w:t>
      </w:r>
      <w:r w:rsidRPr="00A04E56">
        <w:t>rogramme</w:t>
      </w:r>
      <w:bookmarkEnd w:id="169"/>
      <w:bookmarkEnd w:id="170"/>
      <w:bookmarkEnd w:id="171"/>
      <w:bookmarkEnd w:id="172"/>
      <w:bookmarkEnd w:id="173"/>
    </w:p>
    <w:p w14:paraId="677F113F" w14:textId="77777777" w:rsidR="005D36C6" w:rsidRPr="00A04E56" w:rsidRDefault="005D36C6" w:rsidP="005D36C6">
      <w:pPr>
        <w:pStyle w:val="BodyText1spaceafter"/>
      </w:pPr>
      <w:r w:rsidRPr="00A04E56">
        <w:t xml:space="preserve">The </w:t>
      </w:r>
      <w:r w:rsidRPr="00A04E56">
        <w:rPr>
          <w:rStyle w:val="BOLDLIGHTBLUEReport"/>
          <w:rFonts w:eastAsia="Calibri"/>
        </w:rPr>
        <w:t>Justice Programme</w:t>
      </w:r>
      <w:r w:rsidRPr="00A04E56">
        <w:rPr>
          <w:rStyle w:val="fnRef"/>
          <w:rFonts w:ascii="Calibri" w:hAnsi="Calibri" w:cs="Calibri"/>
        </w:rPr>
        <w:t> </w:t>
      </w:r>
      <w:r w:rsidRPr="00A04E56">
        <w:rPr>
          <w:rStyle w:val="fnRef"/>
        </w:rPr>
        <w:t>(</w:t>
      </w:r>
      <w:r w:rsidRPr="00A04E56">
        <w:rPr>
          <w:rStyle w:val="fnRefNo"/>
        </w:rPr>
        <w:footnoteReference w:id="243"/>
      </w:r>
      <w:r w:rsidRPr="00A04E56">
        <w:rPr>
          <w:rStyle w:val="fnRef"/>
        </w:rPr>
        <w:t>)</w:t>
      </w:r>
      <w:r w:rsidRPr="00A04E56">
        <w:t xml:space="preserve"> contributes to the further development of a European area of justice based on mutual recognition and mutual trust. The programme promotes both equality between women and men and the rights of the child, including by means of child-friendly justice in the implementation of all of its actions. The programme activities comply with the prohibition of discrimination based on any of the grounds listed in Article 21 of the Charter of Fundamental Rights</w:t>
      </w:r>
      <w:r w:rsidRPr="00A04E56">
        <w:rPr>
          <w:rStyle w:val="fnRef"/>
          <w:rFonts w:ascii="Calibri" w:hAnsi="Calibri" w:cs="Calibri"/>
        </w:rPr>
        <w:t> </w:t>
      </w:r>
      <w:r w:rsidRPr="00A04E56">
        <w:rPr>
          <w:rStyle w:val="fnRef"/>
        </w:rPr>
        <w:t>(</w:t>
      </w:r>
      <w:r w:rsidRPr="00A04E56">
        <w:rPr>
          <w:rStyle w:val="fnRefNo"/>
        </w:rPr>
        <w:footnoteReference w:id="244"/>
      </w:r>
      <w:r w:rsidRPr="00A04E56">
        <w:rPr>
          <w:rStyle w:val="fnRef"/>
        </w:rPr>
        <w:t>)</w:t>
      </w:r>
      <w:r w:rsidRPr="00A04E56">
        <w:t xml:space="preserve">. </w:t>
      </w:r>
    </w:p>
    <w:p w14:paraId="7195A2BC" w14:textId="3BBF40B0" w:rsidR="000C0D7B" w:rsidRPr="00A04E56" w:rsidRDefault="00FA29F9" w:rsidP="00C05213">
      <w:pPr>
        <w:pStyle w:val="BodyText1spaceafter"/>
      </w:pPr>
      <w:r w:rsidRPr="00A04E56">
        <w:t xml:space="preserve">The outputs of the Justice Programme </w:t>
      </w:r>
      <w:r w:rsidR="008C1D39" w:rsidRPr="00A04E56">
        <w:rPr>
          <w:i/>
          <w:u w:val="single"/>
        </w:rPr>
        <w:t>in 2018</w:t>
      </w:r>
      <w:r w:rsidRPr="00A04E56">
        <w:rPr>
          <w:rStyle w:val="fnRef"/>
          <w:rFonts w:ascii="Calibri" w:hAnsi="Calibri" w:cs="Calibri"/>
        </w:rPr>
        <w:t> </w:t>
      </w:r>
      <w:r w:rsidRPr="00A04E56">
        <w:rPr>
          <w:rStyle w:val="fnRef"/>
        </w:rPr>
        <w:t>(</w:t>
      </w:r>
      <w:r w:rsidRPr="00A04E56">
        <w:rPr>
          <w:rStyle w:val="fnRefNo"/>
        </w:rPr>
        <w:footnoteReference w:id="245"/>
      </w:r>
      <w:r w:rsidRPr="00A04E56">
        <w:rPr>
          <w:rStyle w:val="fnRef"/>
        </w:rPr>
        <w:t>)</w:t>
      </w:r>
      <w:r w:rsidRPr="00A04E56">
        <w:t xml:space="preserve"> are closely linked to the Commission’s activity on preparing, supporting and ensuring the correct implementation of an important number of EU legal instruments in civil and criminal law, improving their enforcement-and-remedy capacities in Member States, and ensuring appropriate cross-border and EU-level cooperation. For instance, funding has been used to support the application of the </w:t>
      </w:r>
      <w:r w:rsidRPr="00A04E56">
        <w:rPr>
          <w:rStyle w:val="BOLDLIGHTBLUEReport"/>
          <w:rFonts w:eastAsia="Calibri"/>
        </w:rPr>
        <w:t>European Arrest Warrant</w:t>
      </w:r>
      <w:r w:rsidRPr="00A04E56">
        <w:t>, which</w:t>
      </w:r>
      <w:r w:rsidR="00043719" w:rsidRPr="00A04E56">
        <w:t>,</w:t>
      </w:r>
      <w:r w:rsidRPr="00A04E56">
        <w:t xml:space="preserve"> with over 10</w:t>
      </w:r>
      <w:r w:rsidRPr="00A04E56">
        <w:rPr>
          <w:rFonts w:ascii="Calibri" w:hAnsi="Calibri" w:cs="Calibri"/>
        </w:rPr>
        <w:t> </w:t>
      </w:r>
      <w:r w:rsidRPr="00A04E56">
        <w:t>000 cases per year</w:t>
      </w:r>
      <w:r w:rsidR="00043719" w:rsidRPr="00A04E56">
        <w:t>,</w:t>
      </w:r>
      <w:r w:rsidRPr="00A04E56">
        <w:t xml:space="preserve"> is the most successful EU instrument in criminal matters. Also, the programme finances the </w:t>
      </w:r>
      <w:r w:rsidRPr="00A04E56">
        <w:rPr>
          <w:rStyle w:val="BOLDLIGHTBLUEReport"/>
          <w:rFonts w:eastAsia="Calibri"/>
        </w:rPr>
        <w:t>European Judicial Network</w:t>
      </w:r>
      <w:r w:rsidRPr="00A04E56">
        <w:t xml:space="preserve"> in civil and commercial matters, which aims to strengthen the cooperation between national judicial authorities. By improving the practical application and implementation of EU civil-justice instruments, the network contributes to building bridges and mutual trust among the Member States. The Justice Programme has supported conformity-check studies for EU legislation transposed in the EU Member States. The programme also supported judicial training and networks</w:t>
      </w:r>
      <w:r w:rsidRPr="00A04E56">
        <w:rPr>
          <w:rStyle w:val="fnRef"/>
          <w:rFonts w:ascii="Calibri" w:hAnsi="Calibri" w:cs="Calibri"/>
        </w:rPr>
        <w:t> </w:t>
      </w:r>
      <w:r w:rsidRPr="00A04E56">
        <w:rPr>
          <w:rStyle w:val="fnRef"/>
        </w:rPr>
        <w:t>(</w:t>
      </w:r>
      <w:r w:rsidRPr="00A04E56">
        <w:rPr>
          <w:rStyle w:val="fnRefNo"/>
        </w:rPr>
        <w:footnoteReference w:id="246"/>
      </w:r>
      <w:r w:rsidRPr="00A04E56">
        <w:rPr>
          <w:rStyle w:val="fnRef"/>
        </w:rPr>
        <w:t>)</w:t>
      </w:r>
      <w:r w:rsidRPr="00A04E56">
        <w:t>.</w:t>
      </w:r>
    </w:p>
    <w:p w14:paraId="75E455EE" w14:textId="77777777" w:rsidR="00FA29F9" w:rsidRPr="00A04E56" w:rsidRDefault="00FA29F9" w:rsidP="00C257BF">
      <w:pPr>
        <w:pStyle w:val="BOX3BluedashedborderBluetext-Bold"/>
        <w:keepNext/>
      </w:pPr>
      <w:r w:rsidRPr="00A04E56">
        <w:t xml:space="preserve">European e-justice portal </w:t>
      </w:r>
    </w:p>
    <w:p w14:paraId="7DBF322C" w14:textId="23E274A5" w:rsidR="00FA29F9" w:rsidRPr="00A04E56" w:rsidRDefault="00FA29F9" w:rsidP="00C257BF">
      <w:pPr>
        <w:pStyle w:val="BOX3BluedashedborderBluetext"/>
      </w:pPr>
      <w:r w:rsidRPr="00A04E56">
        <w:t xml:space="preserve">The Justice Programme finances the </w:t>
      </w:r>
      <w:r w:rsidRPr="00A04E56">
        <w:rPr>
          <w:b/>
        </w:rPr>
        <w:t>European e-justice portal</w:t>
      </w:r>
      <w:r w:rsidRPr="00A04E56">
        <w:rPr>
          <w:rStyle w:val="fnRef"/>
          <w:rFonts w:ascii="Calibri" w:hAnsi="Calibri" w:cs="Calibri"/>
          <w:b/>
        </w:rPr>
        <w:t> </w:t>
      </w:r>
      <w:r w:rsidRPr="00A04E56">
        <w:rPr>
          <w:rStyle w:val="fnRef"/>
        </w:rPr>
        <w:t>(</w:t>
      </w:r>
      <w:r w:rsidRPr="00277538">
        <w:rPr>
          <w:rStyle w:val="fnRefNo"/>
        </w:rPr>
        <w:footnoteReference w:id="247"/>
      </w:r>
      <w:r w:rsidRPr="00A04E56">
        <w:rPr>
          <w:rStyle w:val="fnRef"/>
        </w:rPr>
        <w:t>)</w:t>
      </w:r>
      <w:r w:rsidRPr="00A04E56">
        <w:t xml:space="preserve">. This is a joint initiative between the Commission and the Council of the EU and provides multilingual informational content and electronic services, such as interconnections of national registers. Over time, the portal has evolved to offer increased and wider content, to become a one-stop shop for the public, businesses, legal professionals and the judiciary. The portal has been enhanced with a large-scale search engine for European and national case-law and now allows decentralised lookups in Member State business and commercial registers. Progress has been made towards a complete revamp of the portal’s look and feel. </w:t>
      </w:r>
      <w:r w:rsidR="008C1D39" w:rsidRPr="00A04E56">
        <w:rPr>
          <w:i/>
          <w:u w:val="single"/>
        </w:rPr>
        <w:t>In 2018</w:t>
      </w:r>
      <w:r w:rsidRPr="00A04E56">
        <w:t>, the number of visits by users — close to 3</w:t>
      </w:r>
      <w:r w:rsidRPr="00A04E56">
        <w:rPr>
          <w:rFonts w:ascii="Calibri" w:hAnsi="Calibri" w:cs="Calibri"/>
        </w:rPr>
        <w:t> million</w:t>
      </w:r>
      <w:r w:rsidRPr="00A04E56">
        <w:t xml:space="preserve"> — showed more than a six-fold increase compared to the 2012 baseline.</w:t>
      </w:r>
    </w:p>
    <w:p w14:paraId="386252F5" w14:textId="7B7B1D0B" w:rsidR="005D36C6" w:rsidRPr="00A04E56" w:rsidRDefault="005D36C6" w:rsidP="005D36C6">
      <w:pPr>
        <w:pStyle w:val="BodyText1spacebeforeandafter"/>
        <w:rPr>
          <w:rFonts w:eastAsia="Times"/>
          <w:lang w:eastAsia="zh-CN"/>
        </w:rPr>
      </w:pPr>
      <w:r w:rsidRPr="00A04E56">
        <w:t xml:space="preserve">The </w:t>
      </w:r>
      <w:bookmarkStart w:id="174" w:name="top"/>
      <w:r w:rsidRPr="00A04E56">
        <w:rPr>
          <w:rStyle w:val="BOLDLIGHTBLUEReport"/>
          <w:rFonts w:eastAsia="Calibri"/>
        </w:rPr>
        <w:t>interim evaluation</w:t>
      </w:r>
      <w:r w:rsidRPr="00A04E56">
        <w:t xml:space="preserve"> of the implementation of the Justice Programme 2014-2020</w:t>
      </w:r>
      <w:bookmarkEnd w:id="174"/>
      <w:r w:rsidRPr="00A04E56">
        <w:t xml:space="preserve"> completed </w:t>
      </w:r>
      <w:r w:rsidR="008C1D39" w:rsidRPr="00A04E56">
        <w:rPr>
          <w:i/>
          <w:u w:val="single"/>
        </w:rPr>
        <w:t>in 2018</w:t>
      </w:r>
      <w:r w:rsidRPr="00A04E56">
        <w:rPr>
          <w:rStyle w:val="fnRef"/>
          <w:rFonts w:ascii="Calibri" w:hAnsi="Calibri" w:cs="Calibri"/>
        </w:rPr>
        <w:t> </w:t>
      </w:r>
      <w:r w:rsidRPr="00A04E56">
        <w:rPr>
          <w:rStyle w:val="fnRef"/>
        </w:rPr>
        <w:t>(</w:t>
      </w:r>
      <w:r w:rsidRPr="00A04E56">
        <w:rPr>
          <w:rStyle w:val="fnRefNo"/>
        </w:rPr>
        <w:footnoteReference w:id="248"/>
      </w:r>
      <w:r w:rsidRPr="00A04E56">
        <w:rPr>
          <w:rStyle w:val="fnRef"/>
        </w:rPr>
        <w:t>)</w:t>
      </w:r>
      <w:r w:rsidRPr="00A04E56">
        <w:t xml:space="preserve"> showed that the programme is sound and contributed to the achievement of a European area of justice, based on mutual recognition and mutual trust, in particular by promoting judicial cooperation in civil and criminal matters. The funding methods were found suitable for the objectives of the programme and the needs of the target groups. The programme has delivered high European added value. The evaluation also identified a series of shortcomings related mainly to the narrow scope of the target group, the imbalanced geographical distribution of beneficiaries and the monitoring indicators. Stakeholders perceived the administrative burden as high. The evaluation demonstrated that there is a need to enhance mutual benefits and collaboration with other EU initiatives. </w:t>
      </w:r>
    </w:p>
    <w:p w14:paraId="2F154BC9" w14:textId="04850EC7" w:rsidR="005D36C6" w:rsidRPr="00A04E56" w:rsidRDefault="005D36C6" w:rsidP="007221BB">
      <w:pPr>
        <w:pStyle w:val="BodyText1spaceafter"/>
      </w:pPr>
      <w:r w:rsidRPr="00A04E56">
        <w:t xml:space="preserve">For the 2021-2027 period, the Commission proposed a new </w:t>
      </w:r>
      <w:r w:rsidRPr="00A04E56">
        <w:rPr>
          <w:rStyle w:val="BOLDLIGHTBLUEReport"/>
          <w:rFonts w:eastAsia="Times"/>
        </w:rPr>
        <w:t>Justice Programme</w:t>
      </w:r>
      <w:r w:rsidRPr="00A04E56">
        <w:rPr>
          <w:rStyle w:val="fnRef"/>
          <w:rFonts w:ascii="Calibri" w:hAnsi="Calibri" w:cs="Calibri"/>
        </w:rPr>
        <w:t> </w:t>
      </w:r>
      <w:r w:rsidRPr="00A04E56">
        <w:rPr>
          <w:rStyle w:val="fnRef"/>
        </w:rPr>
        <w:t>(</w:t>
      </w:r>
      <w:r w:rsidRPr="00A04E56">
        <w:rPr>
          <w:rStyle w:val="fnRefNo"/>
        </w:rPr>
        <w:footnoteReference w:id="249"/>
      </w:r>
      <w:r w:rsidRPr="00A04E56">
        <w:rPr>
          <w:rStyle w:val="fnRef"/>
        </w:rPr>
        <w:t>)</w:t>
      </w:r>
      <w:r w:rsidRPr="00A04E56">
        <w:t xml:space="preserve"> which will form part of a new Justice, Rights and Values Fund together with the Rights and Values Programme. This architecture takes into account the findings of the interim evaluation, for example, by tackling the fragmented nature and limited resources of current EU funding programmes dedicated to values, rights, citizenship and justice, which limits the EU’s capacity to respond to existing and new challenges in sustaining open, democratic and inclusive societies in Europe</w:t>
      </w:r>
      <w:r w:rsidR="00C3761F" w:rsidRPr="00A04E56">
        <w:t>.</w:t>
      </w:r>
      <w:r w:rsidRPr="00A04E56">
        <w:t xml:space="preserve"> </w:t>
      </w:r>
    </w:p>
    <w:p w14:paraId="5F091C22" w14:textId="02859F5F" w:rsidR="005D36C6" w:rsidRPr="00A04E56" w:rsidRDefault="005D36C6" w:rsidP="005D36C6">
      <w:pPr>
        <w:pStyle w:val="Title2Report"/>
      </w:pPr>
      <w:bookmarkStart w:id="175" w:name="_Toc4603978"/>
      <w:bookmarkStart w:id="176" w:name="_Toc4680741"/>
      <w:bookmarkStart w:id="177" w:name="_Toc4683015"/>
      <w:bookmarkStart w:id="178" w:name="_Toc4683099"/>
      <w:bookmarkStart w:id="179" w:name="_Toc12021028"/>
      <w:r w:rsidRPr="00A04E56">
        <w:t>Europe for Citizens Programme</w:t>
      </w:r>
      <w:bookmarkEnd w:id="175"/>
      <w:bookmarkEnd w:id="176"/>
      <w:bookmarkEnd w:id="177"/>
      <w:bookmarkEnd w:id="178"/>
      <w:bookmarkEnd w:id="179"/>
    </w:p>
    <w:p w14:paraId="7B893471" w14:textId="3900D58F" w:rsidR="005D36C6" w:rsidRPr="00A04E56" w:rsidRDefault="005D36C6" w:rsidP="007221BB">
      <w:pPr>
        <w:pStyle w:val="BodyText1spaceafter"/>
      </w:pPr>
      <w:r w:rsidRPr="00A04E56">
        <w:t xml:space="preserve">The aim of the </w:t>
      </w:r>
      <w:r w:rsidRPr="00A04E56">
        <w:rPr>
          <w:rStyle w:val="BOLDLIGHTBLUEReport"/>
          <w:rFonts w:eastAsia="Calibri"/>
        </w:rPr>
        <w:t>Europe for Citizens Programme</w:t>
      </w:r>
      <w:r w:rsidRPr="00A04E56">
        <w:rPr>
          <w:rStyle w:val="fnRef"/>
          <w:rFonts w:ascii="Calibri" w:hAnsi="Calibri" w:cs="Calibri"/>
        </w:rPr>
        <w:t> </w:t>
      </w:r>
      <w:r w:rsidRPr="00A04E56">
        <w:rPr>
          <w:rStyle w:val="fnRef"/>
        </w:rPr>
        <w:t>(</w:t>
      </w:r>
      <w:r w:rsidRPr="00A04E56">
        <w:rPr>
          <w:rStyle w:val="fnRefNo"/>
        </w:rPr>
        <w:footnoteReference w:id="250"/>
      </w:r>
      <w:r w:rsidRPr="00A04E56">
        <w:rPr>
          <w:rStyle w:val="fnRef"/>
        </w:rPr>
        <w:t>)</w:t>
      </w:r>
      <w:r w:rsidRPr="00A04E56">
        <w:t xml:space="preserve"> is to contribute to the public’s understanding of the EU, its history and diversity, and to foster European citizenship and improve conditions for civic and democratic participation at EU level. The programme plays an important role in fostering civic participation and </w:t>
      </w:r>
      <w:r w:rsidR="00196DDE" w:rsidRPr="00A04E56">
        <w:t>th</w:t>
      </w:r>
      <w:r w:rsidR="00721DAD" w:rsidRPr="00A04E56">
        <w:t>e</w:t>
      </w:r>
      <w:r w:rsidR="00196DDE" w:rsidRPr="00A04E56">
        <w:t xml:space="preserve"> </w:t>
      </w:r>
      <w:r w:rsidRPr="00A04E56">
        <w:t>democratic engagement of citizens.</w:t>
      </w:r>
    </w:p>
    <w:p w14:paraId="59ADC910" w14:textId="3D161F64" w:rsidR="005D36C6" w:rsidRPr="00A04E56" w:rsidRDefault="005D36C6" w:rsidP="005D36C6">
      <w:pPr>
        <w:pStyle w:val="BodyText1spaceafter"/>
      </w:pPr>
      <w:r w:rsidRPr="00A04E56">
        <w:t>The programme is implemented</w:t>
      </w:r>
      <w:r w:rsidRPr="00A04E56">
        <w:rPr>
          <w:rStyle w:val="fnRef"/>
          <w:rFonts w:ascii="Calibri" w:hAnsi="Calibri" w:cs="Calibri"/>
        </w:rPr>
        <w:t> </w:t>
      </w:r>
      <w:r w:rsidRPr="00A04E56">
        <w:rPr>
          <w:rStyle w:val="fnRef"/>
        </w:rPr>
        <w:t>(</w:t>
      </w:r>
      <w:r w:rsidRPr="00A04E56">
        <w:rPr>
          <w:rStyle w:val="fnRefNo"/>
        </w:rPr>
        <w:footnoteReference w:id="251"/>
      </w:r>
      <w:r w:rsidRPr="00A04E56">
        <w:rPr>
          <w:rStyle w:val="fnRef"/>
        </w:rPr>
        <w:t>)</w:t>
      </w:r>
      <w:r w:rsidRPr="00A04E56">
        <w:t xml:space="preserve"> through action grants and operating grants to European civil</w:t>
      </w:r>
      <w:r w:rsidR="00C6111C" w:rsidRPr="00A04E56">
        <w:t>-</w:t>
      </w:r>
      <w:r w:rsidRPr="00A04E56">
        <w:t>society organisations and think tanks active in the thematic areas targeted by the programme</w:t>
      </w:r>
      <w:r w:rsidR="00891A27" w:rsidRPr="00A04E56">
        <w:t xml:space="preserve"> and by local authorities</w:t>
      </w:r>
      <w:r w:rsidRPr="00A04E56">
        <w:t>. The programme is implemented mainly through the EU Education, Audiovisual and Culture Executive Agency</w:t>
      </w:r>
      <w:r w:rsidR="00F504A4" w:rsidRPr="00A04E56">
        <w:rPr>
          <w:rFonts w:ascii="Calibri" w:hAnsi="Calibri" w:cs="Calibri"/>
        </w:rPr>
        <w:t> (EACEA)</w:t>
      </w:r>
      <w:r w:rsidRPr="00A04E56">
        <w:t>.</w:t>
      </w:r>
    </w:p>
    <w:p w14:paraId="7B0747F2" w14:textId="409B81A9" w:rsidR="005D36C6" w:rsidRPr="00A04E56" w:rsidRDefault="005D36C6" w:rsidP="00C32B55">
      <w:pPr>
        <w:pStyle w:val="BodyText1spaceafter"/>
      </w:pPr>
      <w:r w:rsidRPr="00A04E56">
        <w:t xml:space="preserve">The funding under the Europe for Citizens Programme, </w:t>
      </w:r>
      <w:r w:rsidRPr="00A04E56">
        <w:rPr>
          <w:rStyle w:val="BOLDLIGHTBLUEReport"/>
          <w:rFonts w:eastAsia="Calibri"/>
        </w:rPr>
        <w:t>EUR</w:t>
      </w:r>
      <w:r w:rsidRPr="00A04E56">
        <w:rPr>
          <w:rStyle w:val="BOLDLIGHTBLUEReport"/>
          <w:rFonts w:ascii="Calibri" w:eastAsia="Calibri" w:hAnsi="Calibri" w:cs="Calibri"/>
        </w:rPr>
        <w:t> </w:t>
      </w:r>
      <w:r w:rsidRPr="00A04E56">
        <w:rPr>
          <w:rStyle w:val="BOLDLIGHTBLUEReport"/>
          <w:rFonts w:eastAsia="Calibri"/>
        </w:rPr>
        <w:t>185.5</w:t>
      </w:r>
      <w:r w:rsidRPr="00A04E56">
        <w:rPr>
          <w:rStyle w:val="BOLDLIGHTBLUEReport"/>
          <w:rFonts w:ascii="Calibri" w:eastAsia="Calibri" w:hAnsi="Calibri" w:cs="Calibri"/>
        </w:rPr>
        <w:t> million</w:t>
      </w:r>
      <w:r w:rsidRPr="00A04E56">
        <w:rPr>
          <w:rStyle w:val="BOLDLIGHTBLUEReport"/>
          <w:rFonts w:eastAsia="Calibri"/>
        </w:rPr>
        <w:t xml:space="preserve"> for the period 2014-2020</w:t>
      </w:r>
      <w:r w:rsidR="00E958FB" w:rsidRPr="00277538">
        <w:rPr>
          <w:rStyle w:val="fnRef"/>
          <w:rFonts w:ascii="Calibri" w:hAnsi="Calibri"/>
        </w:rPr>
        <w:t> </w:t>
      </w:r>
      <w:r w:rsidR="00E958FB" w:rsidRPr="00277538">
        <w:rPr>
          <w:rStyle w:val="fnRef"/>
        </w:rPr>
        <w:t>(</w:t>
      </w:r>
      <w:r w:rsidR="00916BD5" w:rsidRPr="00277538">
        <w:rPr>
          <w:rStyle w:val="fnRefNo"/>
        </w:rPr>
        <w:footnoteReference w:id="252"/>
      </w:r>
      <w:r w:rsidR="00E958FB" w:rsidRPr="00277538">
        <w:rPr>
          <w:rStyle w:val="fnRef"/>
        </w:rPr>
        <w:t>)</w:t>
      </w:r>
      <w:r w:rsidRPr="00A04E56">
        <w:rPr>
          <w:rStyle w:val="BOLDLIGHTBLUEReport"/>
          <w:rFonts w:eastAsia="Calibri"/>
        </w:rPr>
        <w:t>,</w:t>
      </w:r>
      <w:r w:rsidRPr="00A04E56">
        <w:t xml:space="preserve"> contributes to the implementation of </w:t>
      </w:r>
      <w:r w:rsidR="00916BD5" w:rsidRPr="00A04E56">
        <w:t>three</w:t>
      </w:r>
      <w:r w:rsidRPr="00A04E56">
        <w:t xml:space="preserve"> strands. </w:t>
      </w:r>
      <w:r w:rsidR="008C1D39" w:rsidRPr="00A04E56">
        <w:rPr>
          <w:i/>
          <w:u w:val="single"/>
        </w:rPr>
        <w:t>In 2018</w:t>
      </w:r>
      <w:r w:rsidRPr="00A04E56">
        <w:t>, out of 1 796 applications received, 417</w:t>
      </w:r>
      <w:r w:rsidR="00E87512" w:rsidRPr="00A04E56">
        <w:rPr>
          <w:rFonts w:ascii="Calibri" w:hAnsi="Calibri" w:cs="Calibri"/>
        </w:rPr>
        <w:t> </w:t>
      </w:r>
      <w:r w:rsidRPr="00A04E56">
        <w:t>projects were selected and around 1</w:t>
      </w:r>
      <w:r w:rsidRPr="00A04E56">
        <w:rPr>
          <w:rFonts w:ascii="Calibri" w:hAnsi="Calibri" w:cs="Calibri"/>
        </w:rPr>
        <w:t> </w:t>
      </w:r>
      <w:r w:rsidRPr="00A04E56">
        <w:t>200</w:t>
      </w:r>
      <w:r w:rsidRPr="00A04E56">
        <w:rPr>
          <w:rFonts w:ascii="Calibri" w:hAnsi="Calibri" w:cs="Calibri"/>
        </w:rPr>
        <w:t> </w:t>
      </w:r>
      <w:r w:rsidRPr="00A04E56">
        <w:t xml:space="preserve">000 participants were expected to be involved in the activities of the programme. The programme was implemented altogether in 34 eligible participating countries. </w:t>
      </w:r>
    </w:p>
    <w:p w14:paraId="616006A6" w14:textId="586F2ADF" w:rsidR="005D36C6" w:rsidRPr="00A04E56" w:rsidRDefault="005D36C6" w:rsidP="00C32B55">
      <w:pPr>
        <w:pStyle w:val="BodyText1spaceafter"/>
      </w:pPr>
      <w:r w:rsidRPr="00A04E56">
        <w:t xml:space="preserve">Strand </w:t>
      </w:r>
      <w:r w:rsidRPr="00A04E56" w:rsidDel="00301B93">
        <w:t>1</w:t>
      </w:r>
      <w:r w:rsidRPr="00A04E56">
        <w:t xml:space="preserve">. </w:t>
      </w:r>
      <w:r w:rsidRPr="00A04E56">
        <w:rPr>
          <w:i/>
        </w:rPr>
        <w:t>Democratic engagement and civic participation</w:t>
      </w:r>
      <w:r w:rsidRPr="00A04E56">
        <w:t xml:space="preserve">, supports activities </w:t>
      </w:r>
      <w:r w:rsidR="00891A27" w:rsidRPr="00A04E56">
        <w:t xml:space="preserve">that develop citizens’ understanding of the </w:t>
      </w:r>
      <w:r w:rsidR="00C6157D" w:rsidRPr="00A04E56">
        <w:t>E</w:t>
      </w:r>
      <w:r w:rsidR="00891A27" w:rsidRPr="00A04E56">
        <w:t>U policy</w:t>
      </w:r>
      <w:r w:rsidR="00C010D2" w:rsidRPr="00A04E56">
        <w:t>making</w:t>
      </w:r>
      <w:r w:rsidR="00891A27" w:rsidRPr="00A04E56">
        <w:t xml:space="preserve"> process and promote opportunities for societal and intercultural engagement and volunteering at </w:t>
      </w:r>
      <w:r w:rsidR="00835302" w:rsidRPr="00A04E56">
        <w:t>E</w:t>
      </w:r>
      <w:r w:rsidR="00891A27" w:rsidRPr="00A04E56">
        <w:t>U level</w:t>
      </w:r>
      <w:r w:rsidRPr="00A04E56">
        <w:t xml:space="preserve">. </w:t>
      </w:r>
      <w:r w:rsidR="008C1D39" w:rsidRPr="00A04E56">
        <w:rPr>
          <w:i/>
          <w:u w:val="single"/>
        </w:rPr>
        <w:t>In 2018</w:t>
      </w:r>
      <w:r w:rsidRPr="00A04E56">
        <w:t>, 255 town-twinning projects, 35 networks of towns and 31</w:t>
      </w:r>
      <w:r w:rsidR="00E87512" w:rsidRPr="00A04E56">
        <w:rPr>
          <w:rFonts w:ascii="Calibri" w:hAnsi="Calibri" w:cs="Calibri"/>
        </w:rPr>
        <w:t> </w:t>
      </w:r>
      <w:r w:rsidRPr="00A04E56">
        <w:t>civil-society projects were selected for support and 24 civil-society organisations and think tanks were financed through operating grants.</w:t>
      </w:r>
    </w:p>
    <w:p w14:paraId="16CE22E9" w14:textId="2EC3CB66" w:rsidR="00311B03" w:rsidRPr="00A04E56" w:rsidRDefault="005D36C6" w:rsidP="00C257BF">
      <w:pPr>
        <w:pStyle w:val="BodyText1"/>
        <w:rPr>
          <w:lang w:val="en-GB"/>
        </w:rPr>
      </w:pPr>
      <w:r w:rsidRPr="00A04E56">
        <w:rPr>
          <w:lang w:val="en-GB"/>
        </w:rPr>
        <w:t xml:space="preserve">Strand </w:t>
      </w:r>
      <w:r w:rsidRPr="00A04E56" w:rsidDel="00301B93">
        <w:rPr>
          <w:lang w:val="en-GB"/>
        </w:rPr>
        <w:t>2</w:t>
      </w:r>
      <w:r w:rsidRPr="00A04E56">
        <w:rPr>
          <w:lang w:val="en-GB"/>
        </w:rPr>
        <w:t xml:space="preserve">. </w:t>
      </w:r>
      <w:r w:rsidRPr="00A04E56">
        <w:rPr>
          <w:i/>
          <w:lang w:val="en-GB"/>
        </w:rPr>
        <w:t>European Remembrance</w:t>
      </w:r>
      <w:r w:rsidRPr="00A04E56">
        <w:rPr>
          <w:lang w:val="en-GB"/>
        </w:rPr>
        <w:t xml:space="preserve">, supports activities that encourage discussion (‘reflection’) on European cultural diversity and on common values. </w:t>
      </w:r>
      <w:r w:rsidR="00891A27" w:rsidRPr="00A04E56">
        <w:rPr>
          <w:lang w:val="en-GB"/>
        </w:rPr>
        <w:t xml:space="preserve">It also supports activities to reflect on the causes of totalitarian regimes in Europe's modern history and to commemorate the victims of their crimes. </w:t>
      </w:r>
      <w:r w:rsidRPr="00A04E56">
        <w:rPr>
          <w:lang w:val="en-GB"/>
        </w:rPr>
        <w:t>A total of 37</w:t>
      </w:r>
      <w:r w:rsidR="00E87512" w:rsidRPr="00A04E56">
        <w:rPr>
          <w:rFonts w:ascii="Calibri" w:hAnsi="Calibri" w:cs="Calibri"/>
          <w:lang w:val="en-GB"/>
        </w:rPr>
        <w:t> </w:t>
      </w:r>
      <w:r w:rsidRPr="00A04E56">
        <w:rPr>
          <w:lang w:val="en-GB"/>
        </w:rPr>
        <w:t>remembrance projects were selected for support and six remembrance organisations were financed through operating grants.</w:t>
      </w:r>
    </w:p>
    <w:p w14:paraId="69F67E46" w14:textId="77777777" w:rsidR="00311B03" w:rsidRPr="00A04E56" w:rsidRDefault="00311B03" w:rsidP="00C257BF">
      <w:pPr>
        <w:pStyle w:val="BodyText"/>
      </w:pPr>
    </w:p>
    <w:p w14:paraId="080DF247" w14:textId="4EF4E774" w:rsidR="00891A27" w:rsidRPr="00A04E56" w:rsidRDefault="00891A27" w:rsidP="00C32B55">
      <w:pPr>
        <w:pStyle w:val="BodyText1spaceafter"/>
      </w:pPr>
      <w:r w:rsidRPr="00A04E56">
        <w:t xml:space="preserve">Strand 3. </w:t>
      </w:r>
      <w:r w:rsidRPr="00A04E56">
        <w:rPr>
          <w:i/>
        </w:rPr>
        <w:t>Horizontal Action Valorisation</w:t>
      </w:r>
      <w:r w:rsidRPr="00A04E56">
        <w:t>, aims to increase learning from experience, boost transferabiity of results and, as a consequence, increase lasting effects of the supported activities</w:t>
      </w:r>
      <w:r w:rsidR="00E87512" w:rsidRPr="00A04E56">
        <w:t>.</w:t>
      </w:r>
    </w:p>
    <w:p w14:paraId="3857B95F" w14:textId="50E74438" w:rsidR="00BF4752" w:rsidRPr="00A04E56" w:rsidRDefault="00BF4752" w:rsidP="008E035A">
      <w:pPr>
        <w:pStyle w:val="BOX3BluedashedborderBluetext-Bold"/>
        <w:keepNext/>
      </w:pPr>
      <w:r w:rsidRPr="00A04E56">
        <w:t>Information vs manipulation: how to stand up against propaganda?</w:t>
      </w:r>
    </w:p>
    <w:p w14:paraId="533100B8" w14:textId="7259B60F" w:rsidR="00BF4752" w:rsidRPr="00A04E56" w:rsidRDefault="00BF4752" w:rsidP="00C257BF">
      <w:pPr>
        <w:pStyle w:val="BOX3BluedashedborderBluetext"/>
      </w:pPr>
      <w:r w:rsidRPr="00A04E56">
        <w:t>This project was coordinated by the Polish Muzeum Historii Żydów Polskich POLIN</w:t>
      </w:r>
      <w:r w:rsidRPr="00A04E56">
        <w:rPr>
          <w:rFonts w:ascii="Calibri" w:hAnsi="Calibri" w:cs="Calibri"/>
        </w:rPr>
        <w:t> </w:t>
      </w:r>
      <w:r w:rsidRPr="00A04E56">
        <w:t>(</w:t>
      </w:r>
      <w:r w:rsidRPr="00A04E56">
        <w:rPr>
          <w:rStyle w:val="fnRefNo"/>
        </w:rPr>
        <w:footnoteReference w:id="253"/>
      </w:r>
      <w:r w:rsidRPr="00A04E56">
        <w:t>)</w:t>
      </w:r>
      <w:r w:rsidRPr="00A04E56">
        <w:rPr>
          <w:vertAlign w:val="superscript"/>
        </w:rPr>
        <w:t xml:space="preserve"> </w:t>
      </w:r>
      <w:r w:rsidRPr="00A04E56">
        <w:t xml:space="preserve">and addressed high-school students from </w:t>
      </w:r>
      <w:r w:rsidR="00714FF2" w:rsidRPr="00A04E56">
        <w:t>Czech</w:t>
      </w:r>
      <w:r w:rsidR="00BA2926" w:rsidRPr="00A04E56">
        <w:t>ia</w:t>
      </w:r>
      <w:r w:rsidRPr="00A04E56">
        <w:t>, Hungary and Poland aiming to have them improve their knowledge and become both critically analytical of modern media and responsible citizens in a democratic society. The mechanisms of persuasive language and propaganda were examined, based on specific historical events of 1956 in Hungary and 1968 in the former Czechoslovakia and Poland. The students learned how to conduct their own media projects, participating in workshops on exhibition design, conducting debates, collecting and documenting oral history, conducting social research, video filming and editing. In a final gala held at the POLIN Museum, they presented 10 creative school projects.</w:t>
      </w:r>
    </w:p>
    <w:p w14:paraId="72DCB901" w14:textId="186F468F" w:rsidR="00BF4752" w:rsidRPr="00A04E56" w:rsidRDefault="00BF4752" w:rsidP="00C257BF">
      <w:pPr>
        <w:pStyle w:val="BodyText1spacebeforeandafter"/>
        <w:rPr>
          <w:szCs w:val="20"/>
        </w:rPr>
      </w:pPr>
      <w:r w:rsidRPr="00A04E56">
        <w:t>This project was coordinated by the Polish Muzeum Historii Żydów Polskich POLIN</w:t>
      </w:r>
      <w:r w:rsidRPr="00A04E56">
        <w:rPr>
          <w:rStyle w:val="fnRef"/>
          <w:rFonts w:ascii="Calibri" w:hAnsi="Calibri"/>
        </w:rPr>
        <w:t> </w:t>
      </w:r>
      <w:r w:rsidRPr="00A04E56">
        <w:rPr>
          <w:rStyle w:val="fnRef"/>
        </w:rPr>
        <w:t>(</w:t>
      </w:r>
      <w:r w:rsidRPr="00A04E56">
        <w:rPr>
          <w:rStyle w:val="fnRefNo"/>
        </w:rPr>
        <w:footnoteReference w:id="254"/>
      </w:r>
      <w:r w:rsidRPr="00A04E56">
        <w:rPr>
          <w:rStyle w:val="fnRef"/>
        </w:rPr>
        <w:t>)</w:t>
      </w:r>
      <w:r w:rsidRPr="00A04E56">
        <w:t xml:space="preserve"> and addressed high-school students from Czechia, Hungary and Poland aiming to have them improve their knowledge and become both critically analytical of modern media and responsible citizens in a democratic society. The mechanisms of persuasive language and propaganda were examined, based on specific historical events of 1956 in Hungary and 1968 in the former Czechoslovakia and Poland. The students learned how to conduct their own media projects, participating in workshops on exhibition design, conducting debates, collecting and documenting oral history, conducting social research, video filming and editing. In a final gala held at the POLIN Museum, they presented 10 creative school projects.</w:t>
      </w:r>
    </w:p>
    <w:p w14:paraId="2CB9D8DE" w14:textId="0201D2C8" w:rsidR="005D36C6" w:rsidRPr="00A04E56" w:rsidRDefault="005D36C6" w:rsidP="005D36C6">
      <w:pPr>
        <w:pStyle w:val="BodyText1spaceafter"/>
        <w:rPr>
          <w:szCs w:val="20"/>
        </w:rPr>
      </w:pPr>
      <w:r w:rsidRPr="00A04E56">
        <w:rPr>
          <w:szCs w:val="20"/>
        </w:rPr>
        <w:t xml:space="preserve">The </w:t>
      </w:r>
      <w:r w:rsidRPr="00A04E56">
        <w:rPr>
          <w:rStyle w:val="BOLDLIGHTBLUEReport"/>
          <w:rFonts w:eastAsiaTheme="minorHAnsi"/>
        </w:rPr>
        <w:t>interim evaluation</w:t>
      </w:r>
      <w:r w:rsidRPr="00A04E56">
        <w:rPr>
          <w:rStyle w:val="fnRef"/>
          <w:rFonts w:ascii="Calibri" w:hAnsi="Calibri" w:cs="Calibri"/>
        </w:rPr>
        <w:t> </w:t>
      </w:r>
      <w:r w:rsidRPr="00A04E56">
        <w:rPr>
          <w:rStyle w:val="fnRef"/>
        </w:rPr>
        <w:t>(</w:t>
      </w:r>
      <w:r w:rsidRPr="00A04E56">
        <w:rPr>
          <w:rStyle w:val="fnRefNo"/>
        </w:rPr>
        <w:footnoteReference w:id="255"/>
      </w:r>
      <w:r w:rsidRPr="00A04E56">
        <w:rPr>
          <w:rStyle w:val="fnRef"/>
        </w:rPr>
        <w:t>)</w:t>
      </w:r>
      <w:r w:rsidRPr="00A04E56">
        <w:rPr>
          <w:szCs w:val="20"/>
        </w:rPr>
        <w:t xml:space="preserve"> confirmed the programme’s usefulness in promoting civic participation, strengthening the sense of belonging together and supporting mutual understanding. Its structure, with </w:t>
      </w:r>
      <w:r w:rsidR="009E4479" w:rsidRPr="00A04E56">
        <w:rPr>
          <w:szCs w:val="20"/>
        </w:rPr>
        <w:t xml:space="preserve">three </w:t>
      </w:r>
      <w:r w:rsidRPr="00A04E56">
        <w:rPr>
          <w:szCs w:val="20"/>
        </w:rPr>
        <w:t>strands and a crosscutting measure on analysis, dissemination and use of project results, worked efficiently. The</w:t>
      </w:r>
      <w:r w:rsidRPr="00A04E56">
        <w:rPr>
          <w:color w:val="000000"/>
          <w:szCs w:val="20"/>
        </w:rPr>
        <w:t xml:space="preserve"> operating and action grants helped deliver the desired outcomes. </w:t>
      </w:r>
      <w:r w:rsidRPr="00A04E56">
        <w:rPr>
          <w:szCs w:val="20"/>
        </w:rPr>
        <w:t>Europe for Citizens demonstrated its added value at EU level both in its impact on participants and its role as a complement to other EU</w:t>
      </w:r>
      <w:r w:rsidR="00DF0116" w:rsidRPr="00A04E56">
        <w:rPr>
          <w:szCs w:val="20"/>
        </w:rPr>
        <w:t xml:space="preserve"> </w:t>
      </w:r>
      <w:r w:rsidRPr="00A04E56">
        <w:rPr>
          <w:szCs w:val="20"/>
        </w:rPr>
        <w:t xml:space="preserve">funding programmes and policy initiatives </w:t>
      </w:r>
      <w:r w:rsidRPr="00A04E56">
        <w:rPr>
          <w:rFonts w:eastAsia="Times"/>
          <w:szCs w:val="20"/>
          <w:lang w:eastAsia="zh-CN"/>
        </w:rPr>
        <w:t xml:space="preserve">in the field of education, culture and EU citizenship. The evaluation identified room for improvement in </w:t>
      </w:r>
      <w:r w:rsidRPr="00A04E56">
        <w:rPr>
          <w:szCs w:val="20"/>
        </w:rPr>
        <w:t>strengthening the visibility, mutual benefits and collaboration with other existing EU programmes and revising the monitoring indicators.</w:t>
      </w:r>
    </w:p>
    <w:p w14:paraId="70C180FB" w14:textId="7F4253B9" w:rsidR="005D36C6" w:rsidRPr="00A04E56" w:rsidRDefault="005D36C6" w:rsidP="005D36C6">
      <w:pPr>
        <w:pStyle w:val="BodyText1spaceafter"/>
        <w:rPr>
          <w:szCs w:val="20"/>
        </w:rPr>
      </w:pPr>
      <w:r w:rsidRPr="00A04E56">
        <w:rPr>
          <w:szCs w:val="20"/>
        </w:rPr>
        <w:t xml:space="preserve">Under the 2021-2027 multiannual financial framework, the Commission presented a </w:t>
      </w:r>
      <w:r w:rsidRPr="00A04E56">
        <w:rPr>
          <w:rStyle w:val="BOLDLIGHTBLUEReport"/>
          <w:rFonts w:eastAsiaTheme="minorHAnsi"/>
        </w:rPr>
        <w:t>proposal for a regulation establishing the Rights and Values Programme (2021-2027)</w:t>
      </w:r>
      <w:r w:rsidRPr="00A04E56">
        <w:rPr>
          <w:rStyle w:val="fnRef"/>
          <w:rFonts w:ascii="Calibri" w:hAnsi="Calibri" w:cs="Calibri"/>
        </w:rPr>
        <w:t> </w:t>
      </w:r>
      <w:r w:rsidRPr="00A04E56">
        <w:rPr>
          <w:rStyle w:val="fnRef"/>
        </w:rPr>
        <w:t>(</w:t>
      </w:r>
      <w:r w:rsidRPr="00A04E56">
        <w:rPr>
          <w:rStyle w:val="fnRefNo"/>
        </w:rPr>
        <w:footnoteReference w:id="256"/>
      </w:r>
      <w:r w:rsidRPr="00A04E56">
        <w:rPr>
          <w:rStyle w:val="fnRef"/>
        </w:rPr>
        <w:t>)</w:t>
      </w:r>
      <w:r w:rsidRPr="00A04E56">
        <w:rPr>
          <w:szCs w:val="20"/>
        </w:rPr>
        <w:t>, which brings together the activities of the Europe for Citizens Programme and of the Rights, Equality and Citizenship Programme in a new common framework. These programmes are small instruments which cannot reach a critical mass and whose effectiveness is constrained by their relatively low budgets. Therefore, bringing them together means simplification, mutual benefits, collaboration, reinforcement and help to make them more effective. Support to the European Citizens’ Initiative is also ensured via the future Rights and Values Programme.</w:t>
      </w:r>
      <w:r w:rsidRPr="00A04E56">
        <w:rPr>
          <w:i/>
          <w:szCs w:val="20"/>
        </w:rPr>
        <w:t xml:space="preserve"> </w:t>
      </w:r>
      <w:r w:rsidRPr="00A04E56">
        <w:rPr>
          <w:szCs w:val="20"/>
        </w:rPr>
        <w:t xml:space="preserve">The Rights and Values Programme aims to protect and promote rights and values as enshrined in the EU </w:t>
      </w:r>
      <w:r w:rsidR="00835302" w:rsidRPr="00A04E56">
        <w:rPr>
          <w:szCs w:val="20"/>
        </w:rPr>
        <w:t>t</w:t>
      </w:r>
      <w:r w:rsidRPr="00A04E56">
        <w:rPr>
          <w:szCs w:val="20"/>
        </w:rPr>
        <w:t>reaties and to support open, democratic and inclusive societies.</w:t>
      </w:r>
    </w:p>
    <w:p w14:paraId="61404779" w14:textId="32F6B8A9" w:rsidR="005D36C6" w:rsidRPr="00A04E56" w:rsidRDefault="005D36C6" w:rsidP="005D36C6">
      <w:pPr>
        <w:pStyle w:val="Title2Report"/>
      </w:pPr>
      <w:bookmarkStart w:id="180" w:name="_Toc4603982"/>
      <w:bookmarkStart w:id="181" w:name="_Toc4680759"/>
      <w:bookmarkStart w:id="182" w:name="_Toc4683033"/>
      <w:bookmarkStart w:id="183" w:name="_Toc4683103"/>
      <w:bookmarkStart w:id="184" w:name="_Toc12021029"/>
      <w:r w:rsidRPr="00A04E56">
        <w:t>EU Civil Protection Mechanism</w:t>
      </w:r>
      <w:bookmarkEnd w:id="180"/>
      <w:bookmarkEnd w:id="181"/>
      <w:bookmarkEnd w:id="182"/>
      <w:bookmarkEnd w:id="183"/>
      <w:bookmarkEnd w:id="184"/>
      <w:r w:rsidRPr="00A04E56">
        <w:t xml:space="preserve"> </w:t>
      </w:r>
    </w:p>
    <w:p w14:paraId="7A02C9B7" w14:textId="2E92CD3B" w:rsidR="005D36C6" w:rsidRPr="00A04E56" w:rsidRDefault="005D36C6" w:rsidP="005D36C6">
      <w:pPr>
        <w:pStyle w:val="BodyText1spaceafter"/>
        <w:rPr>
          <w:szCs w:val="20"/>
        </w:rPr>
      </w:pPr>
      <w:r w:rsidRPr="00A04E56">
        <w:rPr>
          <w:szCs w:val="20"/>
        </w:rPr>
        <w:t xml:space="preserve">The aim of </w:t>
      </w:r>
      <w:r w:rsidRPr="00A04E56" w:rsidDel="00416AC9">
        <w:rPr>
          <w:szCs w:val="20"/>
        </w:rPr>
        <w:t xml:space="preserve">the </w:t>
      </w:r>
      <w:r w:rsidRPr="00A04E56">
        <w:rPr>
          <w:szCs w:val="20"/>
        </w:rPr>
        <w:t>EU Civil Protection Mechanism is to support, coordinate and supplement the disaster-management-coordination actions of the Member States in order to improve the systems for preventing, preparing for and responding to natural and man-made disasters. Through a comprehensive approach encompassing disaster prevention, preparedness and response, the programme aims to reduce the loss of human life and to minimise environmental and material damage caused by disasters.</w:t>
      </w:r>
    </w:p>
    <w:p w14:paraId="58016CBD" w14:textId="4C7BA4D4" w:rsidR="005D36C6" w:rsidRPr="00A04E56" w:rsidRDefault="005D36C6" w:rsidP="005D36C6">
      <w:pPr>
        <w:pStyle w:val="BodyText1spaceafter"/>
        <w:rPr>
          <w:szCs w:val="20"/>
        </w:rPr>
      </w:pPr>
      <w:r w:rsidRPr="00A04E56">
        <w:rPr>
          <w:szCs w:val="20"/>
        </w:rPr>
        <w:t>Member States put together resources and experts into a voluntary pool and keep them on standby for EU civil</w:t>
      </w:r>
      <w:r w:rsidR="00C6111C" w:rsidRPr="00A04E56">
        <w:rPr>
          <w:szCs w:val="20"/>
        </w:rPr>
        <w:t>-</w:t>
      </w:r>
      <w:r w:rsidRPr="00A04E56">
        <w:rPr>
          <w:szCs w:val="20"/>
        </w:rPr>
        <w:t>protection missions. The teams involved need to meet minimum quality criteria and undergo a certification process to ensure quality and interoperability. Trained and certified response capacities and experts guarantee an effective response to disasters. The voluntary pool also enables a shorter deployment time.</w:t>
      </w:r>
    </w:p>
    <w:p w14:paraId="49B560DB" w14:textId="3A9CB529" w:rsidR="005D36C6" w:rsidRPr="00A04E56" w:rsidRDefault="008C1D39" w:rsidP="005D36C6">
      <w:pPr>
        <w:pStyle w:val="BodyText1spaceafter"/>
        <w:rPr>
          <w:szCs w:val="20"/>
        </w:rPr>
      </w:pPr>
      <w:r w:rsidRPr="00A04E56">
        <w:rPr>
          <w:i/>
          <w:szCs w:val="20"/>
          <w:u w:val="single"/>
        </w:rPr>
        <w:t>In 2018</w:t>
      </w:r>
      <w:r w:rsidR="005D36C6" w:rsidRPr="00A04E56">
        <w:rPr>
          <w:szCs w:val="20"/>
        </w:rPr>
        <w:t xml:space="preserve"> </w:t>
      </w:r>
      <w:r w:rsidR="005D36C6" w:rsidRPr="00A04E56" w:rsidDel="00416AC9">
        <w:rPr>
          <w:szCs w:val="20"/>
        </w:rPr>
        <w:t xml:space="preserve">the </w:t>
      </w:r>
      <w:r w:rsidR="005D36C6" w:rsidRPr="00A04E56">
        <w:rPr>
          <w:szCs w:val="20"/>
        </w:rPr>
        <w:t>EU Civil Protection Mechanism was activated in response to nine emergencies within the European Union territory</w:t>
      </w:r>
      <w:r w:rsidR="006F4D25" w:rsidRPr="00A04E56">
        <w:rPr>
          <w:rStyle w:val="fnRef"/>
          <w:rFonts w:ascii="Calibri" w:hAnsi="Calibri"/>
        </w:rPr>
        <w:t> </w:t>
      </w:r>
      <w:r w:rsidR="005D36C6" w:rsidRPr="00A04E56">
        <w:rPr>
          <w:rStyle w:val="fnRef"/>
        </w:rPr>
        <w:t>(</w:t>
      </w:r>
      <w:r w:rsidR="005D36C6" w:rsidRPr="00A04E56">
        <w:rPr>
          <w:rStyle w:val="fnRefNo"/>
        </w:rPr>
        <w:footnoteReference w:id="257"/>
      </w:r>
      <w:r w:rsidR="005D36C6" w:rsidRPr="00A04E56">
        <w:rPr>
          <w:rStyle w:val="fnRef"/>
        </w:rPr>
        <w:t>)</w:t>
      </w:r>
      <w:r w:rsidR="005D36C6" w:rsidRPr="00A04E56">
        <w:rPr>
          <w:szCs w:val="20"/>
        </w:rPr>
        <w:t xml:space="preserve">. Forest fires in southern Europe (but also </w:t>
      </w:r>
      <w:r w:rsidRPr="00A04E56">
        <w:rPr>
          <w:i/>
          <w:szCs w:val="20"/>
          <w:u w:val="single"/>
        </w:rPr>
        <w:t>in 2018</w:t>
      </w:r>
      <w:r w:rsidR="005D36C6" w:rsidRPr="00A04E56">
        <w:rPr>
          <w:szCs w:val="20"/>
        </w:rPr>
        <w:t xml:space="preserve"> in northern Europe) resulted in significant destruction of property and livelihoods with their impact on the economy including damage to network infrastructure, businesses, agricultural and forestry activities. The EU Civil Protection Mechanism was activated five times to respond to forest fires in Greece, Latvia, Portugal and Sweden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58"/>
      </w:r>
      <w:r w:rsidR="005D36C6" w:rsidRPr="00A04E56">
        <w:rPr>
          <w:rStyle w:val="fnRef"/>
        </w:rPr>
        <w:t>)</w:t>
      </w:r>
      <w:r w:rsidR="005D36C6" w:rsidRPr="00A04E56">
        <w:rPr>
          <w:szCs w:val="20"/>
        </w:rPr>
        <w:t>.</w:t>
      </w:r>
    </w:p>
    <w:p w14:paraId="4E51955D" w14:textId="2BA96A24" w:rsidR="005D36C6" w:rsidRPr="00A04E56" w:rsidRDefault="00EE3A79" w:rsidP="005D36C6">
      <w:pPr>
        <w:jc w:val="center"/>
        <w:rPr>
          <w:szCs w:val="20"/>
          <w:lang w:eastAsia="fr-BE"/>
        </w:rPr>
      </w:pPr>
      <w:r>
        <w:rPr>
          <w:noProof/>
          <w:lang w:val="fr-BE" w:eastAsia="fr-BE"/>
        </w:rPr>
        <w:drawing>
          <wp:inline distT="0" distB="0" distL="0" distR="0" wp14:anchorId="32BF32AB" wp14:editId="7034F3CC">
            <wp:extent cx="2688336" cy="179222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orest_Fire - scaled down.jpg"/>
                    <pic:cNvPicPr/>
                  </pic:nvPicPr>
                  <pic:blipFill>
                    <a:blip r:embed="rId192" cstate="email">
                      <a:extLst>
                        <a:ext uri="{28A0092B-C50C-407E-A947-70E740481C1C}">
                          <a14:useLocalDpi xmlns:a14="http://schemas.microsoft.com/office/drawing/2010/main"/>
                        </a:ext>
                      </a:extLst>
                    </a:blip>
                    <a:stretch>
                      <a:fillRect/>
                    </a:stretch>
                  </pic:blipFill>
                  <pic:spPr>
                    <a:xfrm>
                      <a:off x="0" y="0"/>
                      <a:ext cx="2688336" cy="1792224"/>
                    </a:xfrm>
                    <a:prstGeom prst="rect">
                      <a:avLst/>
                    </a:prstGeom>
                  </pic:spPr>
                </pic:pic>
              </a:graphicData>
            </a:graphic>
          </wp:inline>
        </w:drawing>
      </w:r>
      <w:r w:rsidR="005D36C6" w:rsidRPr="00A04E56">
        <w:rPr>
          <w:noProof/>
          <w:lang w:eastAsia="en-GB"/>
        </w:rPr>
        <w:t xml:space="preserve"> </w:t>
      </w:r>
      <w:r>
        <w:rPr>
          <w:noProof/>
          <w:lang w:val="fr-BE" w:eastAsia="fr-BE"/>
        </w:rPr>
        <w:drawing>
          <wp:inline distT="0" distB="0" distL="0" distR="0" wp14:anchorId="1D59AB6A" wp14:editId="3A79D98A">
            <wp:extent cx="2761488" cy="1792224"/>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Fighting_forest_fire - scaled down.jpg"/>
                    <pic:cNvPicPr/>
                  </pic:nvPicPr>
                  <pic:blipFill>
                    <a:blip r:embed="rId193" cstate="email">
                      <a:extLst>
                        <a:ext uri="{28A0092B-C50C-407E-A947-70E740481C1C}">
                          <a14:useLocalDpi xmlns:a14="http://schemas.microsoft.com/office/drawing/2010/main"/>
                        </a:ext>
                      </a:extLst>
                    </a:blip>
                    <a:stretch>
                      <a:fillRect/>
                    </a:stretch>
                  </pic:blipFill>
                  <pic:spPr>
                    <a:xfrm>
                      <a:off x="0" y="0"/>
                      <a:ext cx="2761488" cy="1792224"/>
                    </a:xfrm>
                    <a:prstGeom prst="rect">
                      <a:avLst/>
                    </a:prstGeom>
                  </pic:spPr>
                </pic:pic>
              </a:graphicData>
            </a:graphic>
          </wp:inline>
        </w:drawing>
      </w:r>
    </w:p>
    <w:p w14:paraId="1ADFE6EE" w14:textId="266BDA5D" w:rsidR="00634A30" w:rsidRPr="00A04E56" w:rsidRDefault="003F18E1" w:rsidP="00344809">
      <w:pPr>
        <w:pStyle w:val="Source-Table-Chart-PhotoCaption"/>
        <w:ind w:left="227"/>
      </w:pPr>
      <w:r w:rsidRPr="00A04E56">
        <w:rPr>
          <w:rStyle w:val="italics"/>
        </w:rPr>
        <w:t>Photos</w:t>
      </w:r>
      <w:r w:rsidR="00747341" w:rsidRPr="00A04E56">
        <w:t>:</w:t>
      </w:r>
      <w:r w:rsidRPr="00A04E56">
        <w:t xml:space="preserve"> </w:t>
      </w:r>
      <w:r w:rsidR="00634A30" w:rsidRPr="00A04E56">
        <w:t>© European Union 2018</w:t>
      </w:r>
      <w:r w:rsidRPr="00A04E56">
        <w:t>/</w:t>
      </w:r>
      <w:r w:rsidR="00634A30" w:rsidRPr="00A04E56">
        <w:t>Pavel Koubek</w:t>
      </w:r>
      <w:r w:rsidR="00634A30" w:rsidRPr="00A04E56">
        <w:tab/>
      </w:r>
    </w:p>
    <w:p w14:paraId="1AAB01BE" w14:textId="77777777" w:rsidR="00634A30" w:rsidRPr="00A04E56" w:rsidRDefault="00634A30" w:rsidP="00344809">
      <w:pPr>
        <w:pStyle w:val="Source-Table-Chart-PhotoCaption"/>
        <w:ind w:left="227"/>
      </w:pPr>
      <w:r w:rsidRPr="00A04E56">
        <w:rPr>
          <w:rStyle w:val="italics"/>
        </w:rPr>
        <w:t>Sweden:</w:t>
      </w:r>
      <w:r w:rsidRPr="00A04E56">
        <w:t xml:space="preserve"> fighting forest fires.</w:t>
      </w:r>
    </w:p>
    <w:p w14:paraId="2D6EA23A" w14:textId="3030AA79" w:rsidR="00634A30" w:rsidRPr="00A04E56" w:rsidRDefault="00634A30" w:rsidP="00344809">
      <w:pPr>
        <w:pStyle w:val="Source-Table-Chart-PhotoCaption"/>
        <w:ind w:left="227"/>
      </w:pPr>
      <w:r w:rsidRPr="00A04E56">
        <w:rPr>
          <w:rStyle w:val="italics"/>
        </w:rPr>
        <w:t>Source:</w:t>
      </w:r>
      <w:r w:rsidRPr="00A04E56">
        <w:t xml:space="preserve"> Directorate-General for European Civil Protection and Humanitarian Aid Operations, 2018</w:t>
      </w:r>
      <w:r w:rsidRPr="00A04E56" w:rsidDel="00543D90">
        <w:t xml:space="preserve"> </w:t>
      </w:r>
      <w:r w:rsidR="003D55F2" w:rsidRPr="00A04E56">
        <w:t>A</w:t>
      </w:r>
      <w:r w:rsidRPr="00A04E56">
        <w:t>nnual activity report, p.</w:t>
      </w:r>
      <w:r w:rsidRPr="00A04E56">
        <w:rPr>
          <w:rFonts w:ascii="Calibri" w:hAnsi="Calibri" w:cs="Calibri"/>
        </w:rPr>
        <w:t> </w:t>
      </w:r>
      <w:r w:rsidRPr="00A04E56">
        <w:t>30.</w:t>
      </w:r>
    </w:p>
    <w:p w14:paraId="76644F8F" w14:textId="59A36534" w:rsidR="005D36C6" w:rsidRPr="00A04E56" w:rsidRDefault="005D36C6" w:rsidP="00344809">
      <w:pPr>
        <w:pStyle w:val="BodyText1spacebeforeandafter"/>
      </w:pPr>
      <w:r w:rsidRPr="00A04E56">
        <w:t>The evaluation</w:t>
      </w:r>
      <w:r w:rsidR="009268AF" w:rsidRPr="00A04E56">
        <w:rPr>
          <w:rStyle w:val="fnRef"/>
          <w:rFonts w:ascii="Calibri" w:hAnsi="Calibri"/>
        </w:rPr>
        <w:t> </w:t>
      </w:r>
      <w:r w:rsidRPr="00A04E56">
        <w:rPr>
          <w:rStyle w:val="fnRef"/>
        </w:rPr>
        <w:t>(</w:t>
      </w:r>
      <w:r w:rsidRPr="00A04E56">
        <w:rPr>
          <w:rStyle w:val="fnRefNo"/>
        </w:rPr>
        <w:footnoteReference w:id="259"/>
      </w:r>
      <w:r w:rsidRPr="00A04E56">
        <w:rPr>
          <w:rStyle w:val="fnRef"/>
        </w:rPr>
        <w:t>)</w:t>
      </w:r>
      <w:r w:rsidRPr="00A04E56">
        <w:t xml:space="preserve"> of the </w:t>
      </w:r>
      <w:r w:rsidR="00C6157D" w:rsidRPr="00A04E56">
        <w:t>E</w:t>
      </w:r>
      <w:r w:rsidRPr="00A04E56">
        <w:t xml:space="preserve">U Civil Protection Mechanism concluded that the addition of new capacities via the voluntary pool has enhanced the overall disaster preparedness at EU level and allowed for immediately deployable response resources bringing together a range of relief teams, experts and equipment from participating states. </w:t>
      </w:r>
    </w:p>
    <w:p w14:paraId="014D0B0D" w14:textId="5F93DBD6" w:rsidR="005D36C6" w:rsidRPr="00A04E56" w:rsidRDefault="008C1D39" w:rsidP="007221BB">
      <w:pPr>
        <w:pStyle w:val="BodyText1spaceafter"/>
      </w:pPr>
      <w:r w:rsidRPr="00A04E56">
        <w:rPr>
          <w:i/>
          <w:u w:val="single"/>
        </w:rPr>
        <w:t>In 2018</w:t>
      </w:r>
      <w:r w:rsidR="005D36C6" w:rsidRPr="00A04E56">
        <w:t xml:space="preserve"> the European Parliament and the Council have reached an agreement on a proposal</w:t>
      </w:r>
      <w:r w:rsidR="001E6F4A" w:rsidRPr="00A04E56">
        <w:rPr>
          <w:rStyle w:val="fnRef"/>
          <w:rFonts w:ascii="Calibri" w:hAnsi="Calibri"/>
        </w:rPr>
        <w:t> </w:t>
      </w:r>
      <w:r w:rsidR="005D36C6" w:rsidRPr="00A04E56">
        <w:rPr>
          <w:rStyle w:val="fnRef"/>
        </w:rPr>
        <w:t>(</w:t>
      </w:r>
      <w:r w:rsidR="005D36C6" w:rsidRPr="00A04E56">
        <w:rPr>
          <w:rStyle w:val="fnRefNo"/>
        </w:rPr>
        <w:footnoteReference w:id="260"/>
      </w:r>
      <w:r w:rsidR="005D36C6" w:rsidRPr="00A04E56">
        <w:rPr>
          <w:rStyle w:val="fnRef"/>
        </w:rPr>
        <w:t>)</w:t>
      </w:r>
      <w:r w:rsidR="005D36C6" w:rsidRPr="00A04E56">
        <w:t xml:space="preserve"> to further strengthen the </w:t>
      </w:r>
      <w:r w:rsidR="00835302" w:rsidRPr="00A04E56">
        <w:t>m</w:t>
      </w:r>
      <w:r w:rsidR="005D36C6" w:rsidRPr="00A04E56">
        <w:t>echanism. The new legal framework</w:t>
      </w:r>
      <w:r w:rsidR="001E6F4A" w:rsidRPr="00A04E56">
        <w:rPr>
          <w:rStyle w:val="fnRef"/>
          <w:rFonts w:ascii="Calibri" w:hAnsi="Calibri"/>
        </w:rPr>
        <w:t> </w:t>
      </w:r>
      <w:r w:rsidR="001E6F4A" w:rsidRPr="00A04E56">
        <w:rPr>
          <w:rStyle w:val="fnRef"/>
        </w:rPr>
        <w:t>(</w:t>
      </w:r>
      <w:r w:rsidR="005D36C6" w:rsidRPr="00A04E56">
        <w:rPr>
          <w:rStyle w:val="fnRefNo"/>
        </w:rPr>
        <w:footnoteReference w:id="261"/>
      </w:r>
      <w:r w:rsidR="001E6F4A" w:rsidRPr="00A04E56">
        <w:rPr>
          <w:rStyle w:val="fnRef"/>
        </w:rPr>
        <w:t>)</w:t>
      </w:r>
      <w:r w:rsidR="005D36C6" w:rsidRPr="00A04E56">
        <w:t xml:space="preserve"> will bolster disaster response capacities at EU level particularly by establishing an additional reserve of capacities ‘rescEU’ to respond to disasters. Such capacities would include firefighting planes, as well as other means to respond to situations in which overall EU capacities are insufficient to ensure an effective response (e.g. for medical emergencies or chemical biological radiological and nuclear incidents). </w:t>
      </w:r>
    </w:p>
    <w:p w14:paraId="7763F0DC" w14:textId="77777777" w:rsidR="005D36C6" w:rsidRPr="00A04E56" w:rsidRDefault="005D36C6" w:rsidP="005D36C6">
      <w:pPr>
        <w:pStyle w:val="TITLE1Report"/>
      </w:pPr>
      <w:bookmarkStart w:id="185" w:name="GlobalEurope"/>
      <w:bookmarkStart w:id="186" w:name="_Toc3206063"/>
      <w:bookmarkStart w:id="187" w:name="_Toc4603945"/>
      <w:bookmarkStart w:id="188" w:name="_Toc4603985"/>
      <w:bookmarkStart w:id="189" w:name="_Toc4680771"/>
      <w:bookmarkStart w:id="190" w:name="_Toc4683045"/>
      <w:bookmarkStart w:id="191" w:name="_Toc4683106"/>
      <w:r w:rsidRPr="00A04E56">
        <w:t>Global Europe</w:t>
      </w:r>
      <w:bookmarkEnd w:id="185"/>
      <w:r w:rsidRPr="00A04E56">
        <w:t xml:space="preserve"> (budget heading 4)</w:t>
      </w:r>
      <w:bookmarkEnd w:id="186"/>
      <w:bookmarkEnd w:id="187"/>
      <w:bookmarkEnd w:id="188"/>
      <w:bookmarkEnd w:id="189"/>
      <w:bookmarkEnd w:id="190"/>
      <w:bookmarkEnd w:id="191"/>
    </w:p>
    <w:p w14:paraId="501C2E6B" w14:textId="46659482" w:rsidR="005D36C6" w:rsidRPr="00A04E56" w:rsidRDefault="005D36C6" w:rsidP="0036199C">
      <w:pPr>
        <w:pStyle w:val="BodyText1spaceafter"/>
        <w:spacing w:after="200"/>
        <w:rPr>
          <w:szCs w:val="20"/>
          <w:lang w:eastAsia="en-US"/>
        </w:rPr>
      </w:pPr>
      <w:bookmarkStart w:id="192" w:name="_Toc3206064"/>
      <w:r w:rsidRPr="00A04E56">
        <w:rPr>
          <w:szCs w:val="20"/>
          <w:lang w:eastAsia="en-US"/>
        </w:rPr>
        <w:t xml:space="preserve">Heading 4 of the financial framework covers a broad spectrum of external actions such as development </w:t>
      </w:r>
      <w:r w:rsidR="002004C7" w:rsidRPr="00A04E56">
        <w:rPr>
          <w:szCs w:val="20"/>
          <w:lang w:eastAsia="en-US"/>
        </w:rPr>
        <w:t>cooperation</w:t>
      </w:r>
      <w:r w:rsidRPr="00A04E56">
        <w:rPr>
          <w:szCs w:val="20"/>
          <w:lang w:eastAsia="en-US"/>
        </w:rPr>
        <w:t xml:space="preserve">, pre-accession assistance and humanitarian aid. </w:t>
      </w:r>
    </w:p>
    <w:bookmarkEnd w:id="192"/>
    <w:p w14:paraId="642D9A82" w14:textId="5C6B5110" w:rsidR="005D36C6" w:rsidRPr="00A04E56" w:rsidRDefault="00064C43">
      <w:pPr>
        <w:pStyle w:val="BodyText"/>
        <w:spacing w:after="40"/>
      </w:pPr>
      <w:r w:rsidRPr="00064C43">
        <w:rPr>
          <w:noProof/>
          <w:lang w:val="fr-BE" w:eastAsia="fr-BE"/>
        </w:rPr>
        <w:drawing>
          <wp:inline distT="0" distB="0" distL="0" distR="0" wp14:anchorId="2C92D20A" wp14:editId="04AC2DF2">
            <wp:extent cx="5753100" cy="3599815"/>
            <wp:effectExtent l="0" t="0" r="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4">
                      <a:extLst>
                        <a:ext uri="{28A0092B-C50C-407E-A947-70E740481C1C}">
                          <a14:useLocalDpi xmlns:a14="http://schemas.microsoft.com/office/drawing/2010/main"/>
                        </a:ext>
                      </a:extLst>
                    </a:blip>
                    <a:srcRect/>
                    <a:stretch>
                      <a:fillRect/>
                    </a:stretch>
                  </pic:blipFill>
                  <pic:spPr bwMode="auto">
                    <a:xfrm>
                      <a:off x="0" y="0"/>
                      <a:ext cx="5753100" cy="3599815"/>
                    </a:xfrm>
                    <a:prstGeom prst="rect">
                      <a:avLst/>
                    </a:prstGeom>
                    <a:noFill/>
                    <a:ln>
                      <a:noFill/>
                    </a:ln>
                  </pic:spPr>
                </pic:pic>
              </a:graphicData>
            </a:graphic>
          </wp:inline>
        </w:drawing>
      </w:r>
    </w:p>
    <w:p w14:paraId="6098DF45" w14:textId="484D59F6" w:rsidR="0095613D" w:rsidRPr="00A04E56" w:rsidRDefault="0095613D" w:rsidP="00117B07">
      <w:pPr>
        <w:pStyle w:val="Source-Table-Chart-PhotoCaption"/>
        <w:jc w:val="both"/>
      </w:pPr>
      <w:r w:rsidRPr="00A04E56">
        <w:rPr>
          <w:rStyle w:val="italics"/>
        </w:rPr>
        <w:t>Chart:</w:t>
      </w:r>
      <w:r w:rsidRPr="00A04E56">
        <w:t xml:space="preserve"> Main programmes financed in 2018 under heading 4, Global Europe. All amounts in EUR million. The category ‘other programmes’ includes among other </w:t>
      </w:r>
      <w:r w:rsidR="00AE4B2D" w:rsidRPr="00A04E56">
        <w:t>macro-financial assistance</w:t>
      </w:r>
      <w:r w:rsidRPr="00A04E56">
        <w:t xml:space="preserve"> (MFA), Guarantee Fund for External Actions, Union Civil Protection Mechanism, EU </w:t>
      </w:r>
      <w:r w:rsidR="00AE4B2D" w:rsidRPr="00A04E56">
        <w:t xml:space="preserve">aid volunteers </w:t>
      </w:r>
      <w:r w:rsidRPr="00A04E56">
        <w:t xml:space="preserve">initiative (EUAV), European Fund for Sustainable Development (EFSD), Partnership Instrument (PI), Instrument for Nuclear Safety Cooperation (INSC), </w:t>
      </w:r>
      <w:r w:rsidR="00AE4B2D" w:rsidRPr="00A04E56">
        <w:t>decentralised</w:t>
      </w:r>
      <w:r w:rsidRPr="00A04E56">
        <w:t xml:space="preserve"> agencies, Other actions and programmes, Pilot projects and preparatory actions, Actions financed under the prerogatives of the Commission and specific competences conferred to the Commission</w:t>
      </w:r>
      <w:r w:rsidR="00BD2948" w:rsidRPr="00A04E56">
        <w:t>.</w:t>
      </w:r>
    </w:p>
    <w:p w14:paraId="03450EAF" w14:textId="4FC83650" w:rsidR="00926CC7" w:rsidRPr="00A04E56" w:rsidRDefault="00926CC7">
      <w:pPr>
        <w:pStyle w:val="Source-Table-Chart-PhotoCaption"/>
      </w:pPr>
      <w:r w:rsidRPr="00A04E56">
        <w:rPr>
          <w:rStyle w:val="italics"/>
        </w:rPr>
        <w:t>Source:</w:t>
      </w:r>
      <w:r w:rsidRPr="00A04E56">
        <w:t xml:space="preserve"> European Commission.</w:t>
      </w:r>
    </w:p>
    <w:p w14:paraId="7BC3BF25" w14:textId="7B37C094" w:rsidR="005D36C6" w:rsidRPr="00A04E56" w:rsidRDefault="005D36C6">
      <w:pPr>
        <w:pStyle w:val="BodyText1spacebeforeandafter"/>
      </w:pPr>
      <w:r w:rsidRPr="00A04E56">
        <w:t>EUR</w:t>
      </w:r>
      <w:r w:rsidRPr="00A04E56">
        <w:rPr>
          <w:rFonts w:ascii="Calibri" w:hAnsi="Calibri" w:cs="Calibri"/>
        </w:rPr>
        <w:t> </w:t>
      </w:r>
      <w:r w:rsidRPr="00A04E56">
        <w:t>1</w:t>
      </w:r>
      <w:r w:rsidR="008D5CCE">
        <w:t>0</w:t>
      </w:r>
      <w:r w:rsidRPr="00A04E56">
        <w:t>.</w:t>
      </w:r>
      <w:r w:rsidR="008D5CCE">
        <w:t>4</w:t>
      </w:r>
      <w:r w:rsidRPr="00A04E56">
        <w:rPr>
          <w:rFonts w:ascii="Calibri" w:hAnsi="Calibri" w:cs="Calibri"/>
        </w:rPr>
        <w:t> </w:t>
      </w:r>
      <w:r w:rsidRPr="00A04E56">
        <w:t>billion of budget commitment appropriations (6</w:t>
      </w:r>
      <w:r w:rsidR="00011F5F" w:rsidDel="00011F5F">
        <w:t xml:space="preserve"> </w:t>
      </w:r>
      <w:r w:rsidRPr="00A04E56">
        <w:t xml:space="preserve">% of the total 2018 EU budget) is allocated to the Global Europe related programmes. EU development assistance is strengthened by the European Development Fund, which is financed not from the EU budget but through direct contributions from EU Member States. </w:t>
      </w:r>
    </w:p>
    <w:p w14:paraId="7F0909C1" w14:textId="31858448" w:rsidR="007F0FF0" w:rsidRPr="00A04E56" w:rsidRDefault="00D311DF" w:rsidP="00C257BF">
      <w:pPr>
        <w:pStyle w:val="BOX3Blue"/>
        <w:keepNext/>
        <w:keepLines/>
        <w:widowControl w:val="0"/>
        <w:jc w:val="center"/>
      </w:pPr>
      <w:r w:rsidRPr="00A04E56">
        <w:t>The European Union and its Member States continued to be the world's leading provider of official development assistance</w:t>
      </w:r>
      <w:r w:rsidRPr="00A04E56" w:rsidDel="00EA1412">
        <w:t xml:space="preserve"> </w:t>
      </w:r>
      <w:r w:rsidRPr="00A04E56">
        <w:t>— EUR</w:t>
      </w:r>
      <w:r w:rsidRPr="00A04E56">
        <w:rPr>
          <w:rFonts w:ascii="Calibri" w:hAnsi="Calibri" w:cs="Calibri"/>
        </w:rPr>
        <w:t> </w:t>
      </w:r>
      <w:r w:rsidRPr="00A04E56">
        <w:t>74.4</w:t>
      </w:r>
      <w:r w:rsidRPr="00A04E56">
        <w:rPr>
          <w:rFonts w:ascii="Calibri" w:hAnsi="Calibri" w:cs="Calibri"/>
        </w:rPr>
        <w:t> </w:t>
      </w:r>
      <w:r w:rsidRPr="00A04E56">
        <w:t xml:space="preserve">billion </w:t>
      </w:r>
      <w:r w:rsidRPr="00A04E56">
        <w:rPr>
          <w:i/>
          <w:u w:val="single"/>
        </w:rPr>
        <w:t>in 2018</w:t>
      </w:r>
      <w:r w:rsidRPr="00A04E56">
        <w:t>.</w:t>
      </w:r>
    </w:p>
    <w:p w14:paraId="6B7D3FD2" w14:textId="7921C4CA" w:rsidR="001F5507" w:rsidRPr="00A04E56" w:rsidRDefault="009C0554" w:rsidP="00CC4D89">
      <w:pPr>
        <w:pStyle w:val="BOX3Blue"/>
        <w:keepNext/>
        <w:keepLines/>
        <w:widowControl w:val="0"/>
        <w:spacing w:after="0"/>
        <w:jc w:val="center"/>
      </w:pPr>
      <w:r>
        <w:rPr>
          <w:lang w:val="fr-BE"/>
        </w:rPr>
        <w:drawing>
          <wp:inline distT="0" distB="0" distL="0" distR="0" wp14:anchorId="1F87692E" wp14:editId="32793A1A">
            <wp:extent cx="2757600" cy="1471280"/>
            <wp:effectExtent l="0" t="0" r="508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115.emf"/>
                    <pic:cNvPicPr/>
                  </pic:nvPicPr>
                  <pic:blipFill>
                    <a:blip r:embed="rId195" cstate="email">
                      <a:extLst>
                        <a:ext uri="{28A0092B-C50C-407E-A947-70E740481C1C}">
                          <a14:useLocalDpi xmlns:a14="http://schemas.microsoft.com/office/drawing/2010/main"/>
                        </a:ext>
                      </a:extLst>
                    </a:blip>
                    <a:stretch>
                      <a:fillRect/>
                    </a:stretch>
                  </pic:blipFill>
                  <pic:spPr>
                    <a:xfrm>
                      <a:off x="0" y="0"/>
                      <a:ext cx="2757600" cy="1471280"/>
                    </a:xfrm>
                    <a:prstGeom prst="rect">
                      <a:avLst/>
                    </a:prstGeom>
                  </pic:spPr>
                </pic:pic>
              </a:graphicData>
            </a:graphic>
          </wp:inline>
        </w:drawing>
      </w:r>
    </w:p>
    <w:p w14:paraId="3F0655F2" w14:textId="11533DC4" w:rsidR="001F5507" w:rsidRPr="00A04E56" w:rsidRDefault="001F5507" w:rsidP="00993FD4">
      <w:pPr>
        <w:pStyle w:val="Source-Table-Chart-PhotoCaption"/>
        <w:rPr>
          <w:i/>
        </w:rPr>
      </w:pPr>
      <w:r w:rsidRPr="00A04E56">
        <w:rPr>
          <w:rStyle w:val="italics"/>
        </w:rPr>
        <w:t>Chart:</w:t>
      </w:r>
      <w:r w:rsidRPr="00A04E56">
        <w:t xml:space="preserve"> Contribution to the official development assistance</w:t>
      </w:r>
    </w:p>
    <w:p w14:paraId="711C0C16" w14:textId="77777777" w:rsidR="001F5507" w:rsidRPr="00A04E56" w:rsidRDefault="001F5507" w:rsidP="00993FD4">
      <w:pPr>
        <w:pStyle w:val="Source-Table-Chart-PhotoCaption"/>
        <w:rPr>
          <w:i/>
        </w:rPr>
      </w:pPr>
      <w:r w:rsidRPr="00A04E56">
        <w:rPr>
          <w:rStyle w:val="italics"/>
        </w:rPr>
        <w:t>Source:</w:t>
      </w:r>
      <w:r w:rsidRPr="00A04E56">
        <w:t xml:space="preserve"> Organisation for Economic Co-operation and Development</w:t>
      </w:r>
      <w:r w:rsidRPr="00A04E56">
        <w:rPr>
          <w:rFonts w:ascii="Calibri" w:hAnsi="Calibri" w:cs="Calibri"/>
        </w:rPr>
        <w:t> </w:t>
      </w:r>
      <w:r w:rsidRPr="00A04E56">
        <w:t>(OECD). Amounts include assistance provided by the Member States outside the EU budget</w:t>
      </w:r>
    </w:p>
    <w:p w14:paraId="1F88EC06" w14:textId="000010BC" w:rsidR="005D36C6" w:rsidRPr="00A04E56" w:rsidRDefault="005D36C6" w:rsidP="00FA6FA8">
      <w:pPr>
        <w:pStyle w:val="Title2Report"/>
      </w:pPr>
      <w:bookmarkStart w:id="193" w:name="_Toc12021030"/>
      <w:r w:rsidRPr="00A04E56">
        <w:t>Instrument for Pre-Accession Assistance</w:t>
      </w:r>
      <w:bookmarkEnd w:id="193"/>
    </w:p>
    <w:p w14:paraId="62D36623" w14:textId="77777777" w:rsidR="005D36C6" w:rsidRPr="00A04E56" w:rsidRDefault="005D36C6" w:rsidP="00AA0340">
      <w:pPr>
        <w:pStyle w:val="Title3NumberedReport"/>
      </w:pPr>
      <w:r w:rsidRPr="00A04E56">
        <w:t xml:space="preserve">Programme objectives </w:t>
      </w:r>
    </w:p>
    <w:p w14:paraId="63024340" w14:textId="18CB820F" w:rsidR="005D36C6" w:rsidRPr="00A04E56" w:rsidRDefault="005D36C6" w:rsidP="00277538">
      <w:pPr>
        <w:pStyle w:val="BodyText1spaceafter"/>
        <w:spacing w:after="360"/>
        <w:rPr>
          <w:szCs w:val="20"/>
        </w:rPr>
      </w:pPr>
      <w:r w:rsidRPr="00A04E56">
        <w:rPr>
          <w:szCs w:val="20"/>
        </w:rPr>
        <w:t>The Instrument for Pre-Accession Assistance</w:t>
      </w:r>
      <w:r w:rsidRPr="00A04E56">
        <w:rPr>
          <w:rStyle w:val="fnRef"/>
          <w:rFonts w:ascii="Calibri" w:hAnsi="Calibri" w:cs="Calibri"/>
        </w:rPr>
        <w:t> </w:t>
      </w:r>
      <w:r w:rsidRPr="00A04E56">
        <w:rPr>
          <w:rStyle w:val="fnRef"/>
        </w:rPr>
        <w:t>(</w:t>
      </w:r>
      <w:r w:rsidRPr="00A04E56">
        <w:rPr>
          <w:rStyle w:val="fnRefNo"/>
        </w:rPr>
        <w:footnoteReference w:id="262"/>
      </w:r>
      <w:r w:rsidRPr="00A04E56">
        <w:rPr>
          <w:rStyle w:val="fnRef"/>
        </w:rPr>
        <w:t>)</w:t>
      </w:r>
      <w:r w:rsidRPr="00A04E56">
        <w:rPr>
          <w:szCs w:val="20"/>
        </w:rPr>
        <w:t xml:space="preserve"> </w:t>
      </w:r>
      <w:r w:rsidRPr="00A04E56">
        <w:rPr>
          <w:rStyle w:val="BOLDLIGHTBLUEReport"/>
          <w:rFonts w:eastAsia="Calibri"/>
        </w:rPr>
        <w:t>supports</w:t>
      </w:r>
      <w:r w:rsidRPr="00A04E56">
        <w:rPr>
          <w:szCs w:val="20"/>
        </w:rPr>
        <w:t xml:space="preserve"> </w:t>
      </w:r>
      <w:r w:rsidRPr="00A04E56">
        <w:rPr>
          <w:rStyle w:val="BOLDLIGHTBLUEReport"/>
          <w:rFonts w:eastAsia="Calibri"/>
        </w:rPr>
        <w:t>candidate countries and potential candidates</w:t>
      </w:r>
      <w:r w:rsidRPr="00A04E56">
        <w:rPr>
          <w:szCs w:val="20"/>
        </w:rPr>
        <w:t xml:space="preserve"> in adopting and implementing the </w:t>
      </w:r>
      <w:r w:rsidRPr="00A04E56">
        <w:rPr>
          <w:rStyle w:val="BOLDLIGHTBLUEReport"/>
          <w:rFonts w:eastAsia="Calibri"/>
        </w:rPr>
        <w:t>political, institutional, legal, administrative, social and economic reforms</w:t>
      </w:r>
      <w:r w:rsidRPr="00A04E56">
        <w:rPr>
          <w:szCs w:val="20"/>
        </w:rPr>
        <w:t xml:space="preserve"> required to comply with EU values and to progressively align to EU rules, standards, policies and practices with a view to EU membership. The instrument contributes to </w:t>
      </w:r>
      <w:r w:rsidRPr="00A04E56">
        <w:rPr>
          <w:rStyle w:val="BOLDLIGHTBLUEReport"/>
          <w:rFonts w:eastAsia="Calibri"/>
        </w:rPr>
        <w:t>stability, security and prosperity</w:t>
      </w:r>
      <w:r w:rsidRPr="00A04E56">
        <w:rPr>
          <w:szCs w:val="20"/>
        </w:rPr>
        <w:t xml:space="preserve"> in the beneficiary countries</w:t>
      </w:r>
      <w:r w:rsidRPr="00A04E56">
        <w:rPr>
          <w:rStyle w:val="fnRef"/>
          <w:rFonts w:ascii="Calibri" w:hAnsi="Calibri" w:cs="Calibri"/>
        </w:rPr>
        <w:t> </w:t>
      </w:r>
      <w:r w:rsidRPr="00A04E56">
        <w:rPr>
          <w:rStyle w:val="fnRef"/>
        </w:rPr>
        <w:t>(</w:t>
      </w:r>
      <w:r w:rsidRPr="00A04E56">
        <w:rPr>
          <w:rStyle w:val="fnRefNo"/>
        </w:rPr>
        <w:footnoteReference w:id="263"/>
      </w:r>
      <w:r w:rsidRPr="00A04E56">
        <w:rPr>
          <w:rStyle w:val="fnRef"/>
        </w:rPr>
        <w:t>)</w:t>
      </w:r>
      <w:r w:rsidRPr="00A04E56">
        <w:rPr>
          <w:szCs w:val="20"/>
        </w:rPr>
        <w:t>. It provides beneficiary-country citizens with better opportunities and allows for the development of standards equal to those in the EU. Financial assistance is provided in five policy areas: (a) reforms in preparation for EU membership and related institution and capacity building, (b) socioeconomic and regional development, (c) employment, social policies, education, promotion of gender equality and human-resources development, (d) agriculture and rural development, and (e) regional and territorial cooperation.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E37E86" w:rsidRPr="00A04E56" w14:paraId="2E2C07A2" w14:textId="77777777" w:rsidTr="00986FDD">
        <w:trPr>
          <w:cantSplit/>
          <w:trHeight w:val="1304"/>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14:paraId="68DAD5B9" w14:textId="77777777" w:rsidR="005D36C6" w:rsidRPr="00A04E56" w:rsidRDefault="005D36C6" w:rsidP="00277538">
            <w:pPr>
              <w:keepNext/>
              <w:spacing w:line="276" w:lineRule="auto"/>
              <w:jc w:val="center"/>
              <w:rPr>
                <w:rFonts w:cstheme="minorHAnsi"/>
                <w:szCs w:val="20"/>
              </w:rPr>
            </w:pPr>
            <w:r w:rsidRPr="00A04E56">
              <w:rPr>
                <w:noProof/>
                <w:lang w:val="fr-BE" w:eastAsia="fr-BE"/>
              </w:rPr>
              <w:drawing>
                <wp:inline distT="0" distB="0" distL="0" distR="0" wp14:anchorId="3D410D4A" wp14:editId="6FB6BEB3">
                  <wp:extent cx="467995" cy="467995"/>
                  <wp:effectExtent l="0" t="0" r="8255" b="8255"/>
                  <wp:docPr id="688" name="Picture 688" descr="G:\Production\B2 prepresse\Raimonds\2019.1745 AMPR\50 - work on images\AMPR Icons\AMPR_Icons_Send2\AMPR_Icons_Send2\Icon_41000_IPA2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G:\Production\B2 prepresse\Raimonds\2019.1745 AMPR\50 - work on images\AMPR Icons\AMPR_Icons_Send2\AMPR_Icons_Send2\Icon_41000_IPA2_01.emf"/>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2E46147E" w14:textId="77777777" w:rsidR="005D36C6" w:rsidRPr="00A04E56" w:rsidRDefault="005D36C6" w:rsidP="00277538">
            <w:pPr>
              <w:keepNext/>
              <w:spacing w:line="276" w:lineRule="auto"/>
              <w:rPr>
                <w:rFonts w:cstheme="minorHAnsi"/>
                <w:szCs w:val="20"/>
              </w:rPr>
            </w:pPr>
            <w:r w:rsidRPr="00A04E56">
              <w:rPr>
                <w:rFonts w:cstheme="minorHAnsi"/>
                <w:szCs w:val="20"/>
              </w:rPr>
              <w:t>Support for political reforms.</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518CEA08" w14:textId="77777777" w:rsidR="005D36C6" w:rsidRPr="00A04E56" w:rsidRDefault="005D36C6" w:rsidP="00277538">
            <w:pPr>
              <w:keepNext/>
              <w:spacing w:line="276" w:lineRule="auto"/>
              <w:jc w:val="center"/>
              <w:rPr>
                <w:rFonts w:cstheme="minorHAnsi"/>
                <w:szCs w:val="20"/>
                <w:lang w:eastAsia="hu-HU"/>
              </w:rPr>
            </w:pPr>
            <w:r w:rsidRPr="00A04E56">
              <w:rPr>
                <w:noProof/>
                <w:lang w:val="fr-BE" w:eastAsia="fr-BE"/>
              </w:rPr>
              <w:drawing>
                <wp:inline distT="0" distB="0" distL="0" distR="0" wp14:anchorId="538378F8" wp14:editId="50BECF43">
                  <wp:extent cx="467995" cy="467995"/>
                  <wp:effectExtent l="0" t="0" r="8255" b="8255"/>
                  <wp:docPr id="690" name="Picture 690" descr="G:\Production\B2 prepresse\Raimonds\2019.1745 AMPR\50 - work on images\AMPR Icons\AMPR_Icons_Send2\AMPR_Icons_Send2\Icon_41000_IPA2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G:\Production\B2 prepresse\Raimonds\2019.1745 AMPR\50 - work on images\AMPR Icons\AMPR_Icons_Send2\AMPR_Icons_Send2\Icon_41000_IPA2_02.emf"/>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25FB20F4" w14:textId="77777777" w:rsidR="005D36C6" w:rsidRPr="00A04E56" w:rsidRDefault="005D36C6" w:rsidP="00277538">
            <w:pPr>
              <w:keepNext/>
              <w:spacing w:line="276" w:lineRule="auto"/>
              <w:rPr>
                <w:rFonts w:cstheme="minorHAnsi"/>
                <w:szCs w:val="20"/>
              </w:rPr>
            </w:pPr>
            <w:r w:rsidRPr="00A04E56">
              <w:rPr>
                <w:rFonts w:cstheme="minorHAnsi"/>
                <w:szCs w:val="20"/>
              </w:rPr>
              <w:t>Support for economic, social and territorial development, with a view to smart, sustainable and inclusive growth.</w:t>
            </w:r>
          </w:p>
        </w:tc>
      </w:tr>
      <w:tr w:rsidR="00E37E86" w:rsidRPr="00A04E56" w14:paraId="0F45CE2D" w14:textId="77777777" w:rsidTr="00986FDD">
        <w:trPr>
          <w:cantSplit/>
          <w:trHeight w:val="2268"/>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6A2DA744" w14:textId="77777777" w:rsidR="005D36C6" w:rsidRPr="00A04E56" w:rsidRDefault="005D36C6" w:rsidP="00277538">
            <w:pPr>
              <w:spacing w:line="276" w:lineRule="auto"/>
              <w:jc w:val="center"/>
              <w:rPr>
                <w:rFonts w:cstheme="minorHAnsi"/>
                <w:szCs w:val="20"/>
                <w:lang w:eastAsia="hu-HU"/>
              </w:rPr>
            </w:pPr>
            <w:r w:rsidRPr="00A04E56">
              <w:rPr>
                <w:noProof/>
                <w:lang w:val="fr-BE" w:eastAsia="fr-BE"/>
              </w:rPr>
              <w:drawing>
                <wp:inline distT="0" distB="0" distL="0" distR="0" wp14:anchorId="2F8B90F8" wp14:editId="43222F75">
                  <wp:extent cx="467995" cy="467995"/>
                  <wp:effectExtent l="0" t="0" r="8255" b="8255"/>
                  <wp:docPr id="689" name="Picture 689" descr="G:\Production\B2 prepresse\Raimonds\2019.1745 AMPR\50 - work on images\AMPR Icons\AMPR_Icons_Send2\AMPR_Icons_Send2\Icon_41000_IPA2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G:\Production\B2 prepresse\Raimonds\2019.1745 AMPR\50 - work on images\AMPR Icons\AMPR_Icons_Send2\AMPR_Icons_Send2\Icon_41000_IPA2_03.emf"/>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7476DE9A" w14:textId="4620BB0F" w:rsidR="005D36C6" w:rsidRPr="00A04E56" w:rsidRDefault="005D36C6" w:rsidP="00277538">
            <w:pPr>
              <w:spacing w:line="276" w:lineRule="auto"/>
              <w:rPr>
                <w:rFonts w:cstheme="minorHAnsi"/>
                <w:szCs w:val="20"/>
              </w:rPr>
            </w:pPr>
            <w:r w:rsidRPr="00A04E56">
              <w:rPr>
                <w:rFonts w:cstheme="minorHAnsi"/>
                <w:szCs w:val="20"/>
              </w:rPr>
              <w:t xml:space="preserve">Strengthening the ability of beneficiary countries to fulfil the EU membership </w:t>
            </w:r>
            <w:r w:rsidR="003F18E1" w:rsidRPr="00A04E56">
              <w:rPr>
                <w:rFonts w:cstheme="minorHAnsi"/>
                <w:szCs w:val="20"/>
              </w:rPr>
              <w:t xml:space="preserve">obligations </w:t>
            </w:r>
            <w:r w:rsidRPr="00A04E56">
              <w:rPr>
                <w:rFonts w:cstheme="minorHAnsi"/>
                <w:szCs w:val="20"/>
              </w:rPr>
              <w:t xml:space="preserve">by supporting progressive alignment with, and adoption, implementation and enforcement of, the </w:t>
            </w:r>
            <w:r w:rsidR="002004C7" w:rsidRPr="00A04E56">
              <w:rPr>
                <w:rFonts w:cstheme="minorHAnsi"/>
                <w:szCs w:val="20"/>
              </w:rPr>
              <w:t xml:space="preserve">EU </w:t>
            </w:r>
            <w:r w:rsidRPr="00A04E56">
              <w:rPr>
                <w:rFonts w:cstheme="minorHAnsi"/>
                <w:i/>
                <w:szCs w:val="20"/>
              </w:rPr>
              <w:t>acquis</w:t>
            </w:r>
            <w:r w:rsidRPr="00A04E56">
              <w:rPr>
                <w:rFonts w:cstheme="minorHAnsi"/>
                <w:szCs w:val="20"/>
              </w:rPr>
              <w:t>.</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0F46A04D" w14:textId="77777777" w:rsidR="005D36C6" w:rsidRPr="00A04E56" w:rsidRDefault="005D36C6" w:rsidP="00277538">
            <w:pPr>
              <w:spacing w:line="276" w:lineRule="auto"/>
              <w:jc w:val="center"/>
              <w:rPr>
                <w:lang w:eastAsia="hu-HU"/>
              </w:rPr>
            </w:pPr>
            <w:r w:rsidRPr="00A04E56">
              <w:rPr>
                <w:noProof/>
                <w:lang w:val="fr-BE" w:eastAsia="fr-BE"/>
              </w:rPr>
              <w:drawing>
                <wp:inline distT="0" distB="0" distL="0" distR="0" wp14:anchorId="411BC9EF" wp14:editId="1183677C">
                  <wp:extent cx="467995" cy="467995"/>
                  <wp:effectExtent l="0" t="0" r="8255" b="8255"/>
                  <wp:docPr id="691" name="Picture 691" descr="G:\Production\B2 prepresse\Raimonds\2019.1745 AMPR\50 - work on images\AMPR Icons\AMPR_Icons_Send2\AMPR_Icons_Send2\Icon_41000_IPA2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Production\B2 prepresse\Raimonds\2019.1745 AMPR\50 - work on images\AMPR Icons\AMPR_Icons_Send2\AMPR_Icons_Send2\Icon_41000_IPA2_04.emf"/>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467995" cy="467995"/>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2380623F" w14:textId="77777777" w:rsidR="005D36C6" w:rsidRPr="00A04E56" w:rsidRDefault="005D36C6" w:rsidP="00277538">
            <w:pPr>
              <w:spacing w:line="276" w:lineRule="auto"/>
              <w:rPr>
                <w:rFonts w:cstheme="minorHAnsi"/>
                <w:szCs w:val="20"/>
              </w:rPr>
            </w:pPr>
            <w:r w:rsidRPr="00A04E56">
              <w:rPr>
                <w:rFonts w:cstheme="minorHAnsi"/>
                <w:szCs w:val="20"/>
              </w:rPr>
              <w:t>Strengthening regional integration and territorial cooperation involving the beneficiary countries, Member States and, where appropriate, third countries.</w:t>
            </w:r>
          </w:p>
        </w:tc>
      </w:tr>
    </w:tbl>
    <w:p w14:paraId="0D8DF3D4" w14:textId="41A6C142" w:rsidR="005D36C6" w:rsidRPr="00A04E56" w:rsidRDefault="008C1D39">
      <w:pPr>
        <w:pStyle w:val="Title3NumberedReport"/>
      </w:pPr>
      <w:r w:rsidRPr="00A04E56">
        <w:t>Implementation and latest achievements</w:t>
      </w:r>
    </w:p>
    <w:p w14:paraId="3172627F" w14:textId="495CC4DA" w:rsidR="006A658F" w:rsidRPr="00A04E56" w:rsidRDefault="006A658F" w:rsidP="00FC37F7">
      <w:pPr>
        <w:pStyle w:val="BodyText1spacebeforeandafter"/>
        <w:rPr>
          <w:rFonts w:ascii="Verdana" w:hAnsi="Verdana"/>
          <w:szCs w:val="20"/>
        </w:rPr>
      </w:pPr>
      <w:r w:rsidRPr="00A04E56">
        <w:t xml:space="preserve">The agenda of 2018 was marked by the adoption of a </w:t>
      </w:r>
      <w:r w:rsidR="00290048" w:rsidRPr="00107DA0">
        <w:rPr>
          <w:rStyle w:val="BOLDLIGHTBLUEReport"/>
          <w:rFonts w:eastAsia="Calibri"/>
        </w:rPr>
        <w:t>s</w:t>
      </w:r>
      <w:r w:rsidRPr="00107DA0">
        <w:rPr>
          <w:rStyle w:val="BOLDLIGHTBLUEReport"/>
          <w:rFonts w:eastAsia="Calibri"/>
        </w:rPr>
        <w:t xml:space="preserve">trategy for </w:t>
      </w:r>
      <w:r w:rsidR="00290048" w:rsidRPr="00107DA0">
        <w:rPr>
          <w:rStyle w:val="BOLDLIGHTBLUEReport"/>
          <w:rFonts w:eastAsia="Calibri"/>
        </w:rPr>
        <w:t>‘</w:t>
      </w:r>
      <w:r w:rsidRPr="00107DA0">
        <w:rPr>
          <w:rStyle w:val="BOLDLIGHTBLUEReport"/>
          <w:rFonts w:eastAsia="Calibri"/>
        </w:rPr>
        <w:t xml:space="preserve">A credible enlargement perspective for and enhanced EU engagement with the </w:t>
      </w:r>
      <w:r w:rsidR="00E13B0E" w:rsidRPr="00107DA0">
        <w:rPr>
          <w:rStyle w:val="BOLDLIGHTBLUEReport"/>
          <w:rFonts w:eastAsia="Calibri"/>
        </w:rPr>
        <w:t>W</w:t>
      </w:r>
      <w:r w:rsidR="00835302" w:rsidRPr="00107DA0">
        <w:rPr>
          <w:rStyle w:val="BOLDLIGHTBLUEReport"/>
          <w:rFonts w:eastAsia="Calibri"/>
        </w:rPr>
        <w:t>estern</w:t>
      </w:r>
      <w:r w:rsidRPr="00107DA0">
        <w:rPr>
          <w:rStyle w:val="BOLDLIGHTBLUEReport"/>
          <w:rFonts w:eastAsia="Calibri"/>
        </w:rPr>
        <w:t xml:space="preserve"> Balkans</w:t>
      </w:r>
      <w:r w:rsidR="00835302" w:rsidRPr="00107DA0">
        <w:rPr>
          <w:rStyle w:val="BOLDLIGHTBLUEReport"/>
          <w:rFonts w:eastAsia="Calibri"/>
        </w:rPr>
        <w:t>’</w:t>
      </w:r>
      <w:r w:rsidR="003476DC" w:rsidRPr="00A04E56">
        <w:rPr>
          <w:rStyle w:val="fnRef"/>
          <w:rFonts w:ascii="Calibri" w:hAnsi="Calibri"/>
        </w:rPr>
        <w:t> </w:t>
      </w:r>
      <w:r w:rsidR="00290048" w:rsidRPr="00A04E56">
        <w:rPr>
          <w:rStyle w:val="fnRef"/>
        </w:rPr>
        <w:t>(</w:t>
      </w:r>
      <w:r w:rsidR="002079F4" w:rsidRPr="00A04E56">
        <w:rPr>
          <w:rStyle w:val="fnRefNo"/>
        </w:rPr>
        <w:footnoteReference w:id="264"/>
      </w:r>
      <w:r w:rsidR="00290048" w:rsidRPr="00A04E56">
        <w:rPr>
          <w:rStyle w:val="fnRef"/>
        </w:rPr>
        <w:t>)</w:t>
      </w:r>
      <w:r w:rsidRPr="00A04E56">
        <w:t xml:space="preserve"> on 6</w:t>
      </w:r>
      <w:r w:rsidR="00DA20EC" w:rsidRPr="00A04E56">
        <w:rPr>
          <w:rFonts w:ascii="Calibri" w:hAnsi="Calibri" w:cs="Calibri"/>
        </w:rPr>
        <w:t> </w:t>
      </w:r>
      <w:r w:rsidR="00DA20EC" w:rsidRPr="00A04E56">
        <w:t>February</w:t>
      </w:r>
      <w:r w:rsidR="00DA20EC" w:rsidRPr="00A04E56">
        <w:rPr>
          <w:rFonts w:ascii="Calibri" w:hAnsi="Calibri" w:cs="Calibri"/>
        </w:rPr>
        <w:t> </w:t>
      </w:r>
      <w:r w:rsidR="00DA20EC" w:rsidRPr="00A04E56">
        <w:t>2018</w:t>
      </w:r>
      <w:r w:rsidRPr="00A04E56">
        <w:t xml:space="preserve"> aiming to generate renewed reform momentum in the </w:t>
      </w:r>
      <w:r w:rsidR="00E13B0E" w:rsidRPr="00A04E56">
        <w:t>W</w:t>
      </w:r>
      <w:r w:rsidR="00835302" w:rsidRPr="00A04E56">
        <w:t>estern</w:t>
      </w:r>
      <w:r w:rsidRPr="00A04E56">
        <w:t xml:space="preserve"> Balkans and better support preparations for successful accession to the EU. The </w:t>
      </w:r>
      <w:r w:rsidR="00290048" w:rsidRPr="00A04E56">
        <w:t>s</w:t>
      </w:r>
      <w:r w:rsidRPr="00A04E56">
        <w:t xml:space="preserve">trategy put forward a comprehensive </w:t>
      </w:r>
      <w:r w:rsidR="00290048" w:rsidRPr="00A04E56">
        <w:t>a</w:t>
      </w:r>
      <w:r w:rsidRPr="00A04E56">
        <w:t xml:space="preserve">ction </w:t>
      </w:r>
      <w:r w:rsidR="00290048" w:rsidRPr="00A04E56">
        <w:t>p</w:t>
      </w:r>
      <w:r w:rsidRPr="00A04E56">
        <w:t xml:space="preserve">lan of 57 actions based on six flagship initiatives to support the transformation of the </w:t>
      </w:r>
      <w:r w:rsidR="00E13B0E" w:rsidRPr="00A04E56">
        <w:t>W</w:t>
      </w:r>
      <w:r w:rsidR="00835302" w:rsidRPr="00A04E56">
        <w:t>estern</w:t>
      </w:r>
      <w:r w:rsidRPr="00A04E56">
        <w:t xml:space="preserve"> Balkans: rule of law, security and migration, socio</w:t>
      </w:r>
      <w:r w:rsidR="003B6127" w:rsidRPr="00A04E56">
        <w:t>economic</w:t>
      </w:r>
      <w:r w:rsidRPr="00A04E56">
        <w:t xml:space="preserve"> development, connectivity, digital agenda</w:t>
      </w:r>
      <w:r w:rsidR="00091924" w:rsidRPr="00A04E56">
        <w:t xml:space="preserve"> and</w:t>
      </w:r>
      <w:r w:rsidRPr="00A04E56">
        <w:t xml:space="preserve"> reconciliation and good neighbourly relations.</w:t>
      </w:r>
    </w:p>
    <w:p w14:paraId="0C397217" w14:textId="338F4F47" w:rsidR="006A658F" w:rsidRPr="00A04E56" w:rsidRDefault="006A658F" w:rsidP="006A658F">
      <w:pPr>
        <w:spacing w:after="120"/>
        <w:jc w:val="both"/>
        <w:rPr>
          <w:color w:val="000000"/>
          <w:lang w:eastAsia="en-GB"/>
        </w:rPr>
      </w:pPr>
      <w:r w:rsidRPr="00A04E56">
        <w:t xml:space="preserve">Progress was achieved in </w:t>
      </w:r>
      <w:r w:rsidRPr="00107DA0">
        <w:rPr>
          <w:rStyle w:val="BOLDUnderlinedLIGHTBLUEReport"/>
          <w:rFonts w:eastAsiaTheme="minorHAnsi"/>
        </w:rPr>
        <w:t>all flagship initiatives</w:t>
      </w:r>
      <w:r w:rsidRPr="00A04E56">
        <w:t xml:space="preserve"> of the </w:t>
      </w:r>
      <w:r w:rsidR="00F34696" w:rsidRPr="00A04E56">
        <w:t>s</w:t>
      </w:r>
      <w:r w:rsidRPr="00A04E56">
        <w:t xml:space="preserve">trategy </w:t>
      </w:r>
      <w:r w:rsidRPr="00346AC6">
        <w:rPr>
          <w:i/>
          <w:u w:val="single"/>
        </w:rPr>
        <w:t>throughout 2018</w:t>
      </w:r>
      <w:r w:rsidRPr="00A04E56">
        <w:t xml:space="preserve">. </w:t>
      </w:r>
      <w:r w:rsidRPr="00A04E56">
        <w:rPr>
          <w:color w:val="000000"/>
        </w:rPr>
        <w:t xml:space="preserve">The actions undertaken by the Commission, EU </w:t>
      </w:r>
      <w:r w:rsidR="00950FF5" w:rsidRPr="00A04E56">
        <w:rPr>
          <w:color w:val="000000"/>
        </w:rPr>
        <w:t>agencies</w:t>
      </w:r>
      <w:r w:rsidRPr="00A04E56">
        <w:rPr>
          <w:color w:val="000000"/>
        </w:rPr>
        <w:t xml:space="preserve"> and EU Member States to take the </w:t>
      </w:r>
      <w:r w:rsidR="00C953DB" w:rsidRPr="00A04E56">
        <w:rPr>
          <w:color w:val="000000"/>
        </w:rPr>
        <w:t>s</w:t>
      </w:r>
      <w:r w:rsidRPr="00A04E56">
        <w:rPr>
          <w:color w:val="000000"/>
        </w:rPr>
        <w:t>trategy forward included: enhanced political dialogue (high</w:t>
      </w:r>
      <w:r w:rsidR="00DF0116" w:rsidRPr="00A04E56">
        <w:rPr>
          <w:color w:val="000000"/>
        </w:rPr>
        <w:t>-level</w:t>
      </w:r>
      <w:r w:rsidRPr="00A04E56">
        <w:rPr>
          <w:color w:val="000000"/>
        </w:rPr>
        <w:t xml:space="preserve"> meetings and visits), tightening cooperation between the </w:t>
      </w:r>
      <w:r w:rsidR="00835302" w:rsidRPr="00A04E56">
        <w:rPr>
          <w:color w:val="000000"/>
        </w:rPr>
        <w:t>western</w:t>
      </w:r>
      <w:r w:rsidRPr="00A04E56">
        <w:rPr>
          <w:color w:val="000000"/>
        </w:rPr>
        <w:t xml:space="preserve"> Balkan partners and various EU agencies, gearing up and reinforcing EU financing instruments (e.g. Western Balkans Investment Framework and its Guarantee Fund), opening up and promoting access to EU programmes (Creative Europe, Connecting Europe Facility or the Europe for Citizens), reinforced capacity building and refocus</w:t>
      </w:r>
      <w:r w:rsidR="00756904" w:rsidRPr="00A04E56">
        <w:rPr>
          <w:color w:val="000000"/>
        </w:rPr>
        <w:t>ing</w:t>
      </w:r>
      <w:r w:rsidRPr="00A04E56">
        <w:rPr>
          <w:color w:val="000000"/>
        </w:rPr>
        <w:t xml:space="preserve"> the financial engagement under </w:t>
      </w:r>
      <w:r w:rsidR="003F3155" w:rsidRPr="00A04E56">
        <w:rPr>
          <w:color w:val="000000"/>
        </w:rPr>
        <w:t xml:space="preserve">the </w:t>
      </w:r>
      <w:r w:rsidR="003F3155" w:rsidRPr="00A04E56">
        <w:rPr>
          <w:szCs w:val="20"/>
        </w:rPr>
        <w:t>Instrument for Pre-Accession Assistance</w:t>
      </w:r>
      <w:r w:rsidRPr="00A04E56">
        <w:rPr>
          <w:color w:val="000000"/>
        </w:rPr>
        <w:t xml:space="preserve">. </w:t>
      </w:r>
    </w:p>
    <w:p w14:paraId="508DA67B" w14:textId="6205D398" w:rsidR="005D36C6" w:rsidRPr="00A04E56" w:rsidRDefault="006A658F" w:rsidP="005D36C6">
      <w:pPr>
        <w:pStyle w:val="BodyText1spaceafter"/>
        <w:rPr>
          <w:rFonts w:eastAsia="Times New Roman"/>
          <w:szCs w:val="20"/>
          <w:lang w:eastAsia="en-GB"/>
        </w:rPr>
      </w:pPr>
      <w:r w:rsidRPr="00A04E56">
        <w:rPr>
          <w:rFonts w:eastAsia="Times New Roman"/>
          <w:szCs w:val="20"/>
          <w:lang w:eastAsia="en-GB"/>
        </w:rPr>
        <w:t>In the abovemention</w:t>
      </w:r>
      <w:r w:rsidR="00C12BDD" w:rsidRPr="00A04E56">
        <w:rPr>
          <w:rFonts w:eastAsia="Times New Roman"/>
          <w:szCs w:val="20"/>
          <w:lang w:eastAsia="en-GB"/>
        </w:rPr>
        <w:t>e</w:t>
      </w:r>
      <w:r w:rsidRPr="00A04E56">
        <w:rPr>
          <w:rFonts w:eastAsia="Times New Roman"/>
          <w:szCs w:val="20"/>
          <w:lang w:eastAsia="en-GB"/>
        </w:rPr>
        <w:t>d context, i</w:t>
      </w:r>
      <w:r w:rsidR="005D36C6" w:rsidRPr="00A04E56">
        <w:rPr>
          <w:rFonts w:eastAsia="Times New Roman"/>
          <w:szCs w:val="20"/>
          <w:lang w:eastAsia="en-GB"/>
        </w:rPr>
        <w:t xml:space="preserve">mproving </w:t>
      </w:r>
      <w:r w:rsidR="005D36C6" w:rsidRPr="00A04E56">
        <w:rPr>
          <w:rStyle w:val="BOLDLIGHTBLUEReport"/>
          <w:rFonts w:eastAsiaTheme="minorHAnsi"/>
        </w:rPr>
        <w:t>connectivity</w:t>
      </w:r>
      <w:r w:rsidR="005D36C6" w:rsidRPr="00A04E56">
        <w:rPr>
          <w:rFonts w:eastAsia="Times New Roman"/>
          <w:szCs w:val="20"/>
          <w:lang w:eastAsia="en-GB"/>
        </w:rPr>
        <w:t xml:space="preserve"> within the </w:t>
      </w:r>
      <w:r w:rsidR="00E13B0E" w:rsidRPr="00A04E56">
        <w:rPr>
          <w:rFonts w:eastAsia="Times New Roman"/>
          <w:szCs w:val="20"/>
          <w:lang w:eastAsia="en-GB"/>
        </w:rPr>
        <w:t>W</w:t>
      </w:r>
      <w:r w:rsidR="00835302" w:rsidRPr="00A04E56">
        <w:rPr>
          <w:rFonts w:eastAsia="Times New Roman"/>
          <w:szCs w:val="20"/>
          <w:lang w:eastAsia="en-GB"/>
        </w:rPr>
        <w:t>estern</w:t>
      </w:r>
      <w:r w:rsidR="005D36C6" w:rsidRPr="00A04E56">
        <w:rPr>
          <w:rFonts w:eastAsia="Times New Roman"/>
          <w:szCs w:val="20"/>
          <w:lang w:eastAsia="en-GB"/>
        </w:rPr>
        <w:t xml:space="preserve"> Balkans and between the </w:t>
      </w:r>
      <w:r w:rsidR="00E13B0E" w:rsidRPr="00A04E56">
        <w:rPr>
          <w:rFonts w:eastAsia="Times New Roman"/>
          <w:szCs w:val="20"/>
          <w:lang w:eastAsia="en-GB"/>
        </w:rPr>
        <w:t>W</w:t>
      </w:r>
      <w:r w:rsidR="00835302" w:rsidRPr="00A04E56">
        <w:rPr>
          <w:rFonts w:eastAsia="Times New Roman"/>
          <w:szCs w:val="20"/>
          <w:lang w:eastAsia="en-GB"/>
        </w:rPr>
        <w:t>estern</w:t>
      </w:r>
      <w:r w:rsidR="005D36C6" w:rsidRPr="00A04E56">
        <w:rPr>
          <w:rFonts w:eastAsia="Times New Roman"/>
          <w:szCs w:val="20"/>
          <w:lang w:eastAsia="en-GB"/>
        </w:rPr>
        <w:t xml:space="preserve"> Balkans and the EU is a key factor . Continued progress has been achieved on the </w:t>
      </w:r>
      <w:r w:rsidR="00F504A4" w:rsidRPr="00A04E56">
        <w:rPr>
          <w:rFonts w:eastAsia="Times New Roman"/>
          <w:szCs w:val="20"/>
          <w:lang w:eastAsia="en-GB"/>
        </w:rPr>
        <w:t>c</w:t>
      </w:r>
      <w:r w:rsidR="005D36C6" w:rsidRPr="00A04E56">
        <w:rPr>
          <w:rFonts w:eastAsia="Times New Roman"/>
          <w:szCs w:val="20"/>
          <w:lang w:eastAsia="en-GB"/>
        </w:rPr>
        <w:t xml:space="preserve">onnectivity </w:t>
      </w:r>
      <w:r w:rsidR="00F504A4" w:rsidRPr="00A04E56">
        <w:rPr>
          <w:rFonts w:eastAsia="Times New Roman"/>
          <w:szCs w:val="20"/>
          <w:lang w:eastAsia="en-GB"/>
        </w:rPr>
        <w:t>a</w:t>
      </w:r>
      <w:r w:rsidR="005D36C6" w:rsidRPr="00A04E56">
        <w:rPr>
          <w:rFonts w:eastAsia="Times New Roman"/>
          <w:szCs w:val="20"/>
          <w:lang w:eastAsia="en-GB"/>
        </w:rPr>
        <w:t>genda</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65"/>
      </w:r>
      <w:r w:rsidR="005D36C6" w:rsidRPr="00A04E56">
        <w:rPr>
          <w:rStyle w:val="fnRef"/>
        </w:rPr>
        <w:t>)</w:t>
      </w:r>
      <w:r w:rsidR="005D36C6" w:rsidRPr="00A04E56">
        <w:rPr>
          <w:rFonts w:eastAsia="Times New Roman"/>
          <w:szCs w:val="20"/>
          <w:lang w:eastAsia="en-GB"/>
        </w:rPr>
        <w:t>: the Instrument for Pre-Accession Assistance has set aside up to EUR</w:t>
      </w:r>
      <w:r w:rsidR="005D36C6" w:rsidRPr="00A04E56">
        <w:rPr>
          <w:rFonts w:ascii="Calibri" w:hAnsi="Calibri" w:cs="Calibri"/>
        </w:rPr>
        <w:t> </w:t>
      </w:r>
      <w:r w:rsidR="005D36C6" w:rsidRPr="00A04E56">
        <w:rPr>
          <w:rFonts w:eastAsia="Times New Roman"/>
          <w:szCs w:val="20"/>
          <w:lang w:eastAsia="en-GB"/>
        </w:rPr>
        <w:t>1</w:t>
      </w:r>
      <w:r w:rsidR="005D36C6" w:rsidRPr="00A04E56">
        <w:rPr>
          <w:rFonts w:ascii="Calibri" w:hAnsi="Calibri" w:cs="Calibri"/>
        </w:rPr>
        <w:t> </w:t>
      </w:r>
      <w:r w:rsidR="005D36C6" w:rsidRPr="00A04E56">
        <w:rPr>
          <w:rFonts w:eastAsia="Times New Roman"/>
          <w:szCs w:val="20"/>
          <w:lang w:eastAsia="en-GB"/>
        </w:rPr>
        <w:t xml:space="preserve">billion for connectivity-investment projects and technical assistance for the 2015-2020 period. Following </w:t>
      </w:r>
      <w:r w:rsidR="005D36C6" w:rsidRPr="00A04E56">
        <w:rPr>
          <w:rStyle w:val="BOLDLIGHTBLUEReport"/>
          <w:rFonts w:eastAsia="Calibri"/>
        </w:rPr>
        <w:t xml:space="preserve">the </w:t>
      </w:r>
      <w:r w:rsidR="00E13B0E" w:rsidRPr="00A04E56">
        <w:rPr>
          <w:rStyle w:val="BOLDLIGHTBLUEReport"/>
          <w:rFonts w:eastAsia="Calibri"/>
        </w:rPr>
        <w:t>W</w:t>
      </w:r>
      <w:r w:rsidR="00835302" w:rsidRPr="00A04E56">
        <w:rPr>
          <w:rStyle w:val="BOLDLIGHTBLUEReport"/>
          <w:rFonts w:eastAsia="Calibri"/>
        </w:rPr>
        <w:t>estern</w:t>
      </w:r>
      <w:r w:rsidR="005D36C6" w:rsidRPr="00A04E56">
        <w:rPr>
          <w:rStyle w:val="BOLDLIGHTBLUEReport"/>
          <w:rFonts w:eastAsia="Calibri"/>
        </w:rPr>
        <w:t xml:space="preserve"> Balkans summits</w:t>
      </w:r>
      <w:r w:rsidR="005D36C6" w:rsidRPr="00A04E56">
        <w:rPr>
          <w:rFonts w:eastAsia="Times New Roman"/>
          <w:szCs w:val="20"/>
          <w:lang w:eastAsia="en-GB"/>
        </w:rPr>
        <w:t xml:space="preserve"> (Vienna 2015, Paris 2016, Trieste 2017 and Sofia/London 2018) the instrument provided EUR</w:t>
      </w:r>
      <w:r w:rsidR="005D36C6" w:rsidRPr="00A04E56">
        <w:rPr>
          <w:rFonts w:ascii="Calibri" w:hAnsi="Calibri" w:cs="Calibri"/>
        </w:rPr>
        <w:t> </w:t>
      </w:r>
      <w:r w:rsidR="005D36C6" w:rsidRPr="00A04E56">
        <w:rPr>
          <w:rFonts w:eastAsia="Times New Roman"/>
          <w:szCs w:val="20"/>
          <w:lang w:eastAsia="en-GB"/>
        </w:rPr>
        <w:t>700</w:t>
      </w:r>
      <w:r w:rsidR="005D36C6" w:rsidRPr="00A04E56">
        <w:rPr>
          <w:rFonts w:ascii="Calibri" w:eastAsia="Times New Roman" w:hAnsi="Calibri" w:cs="Calibri"/>
          <w:szCs w:val="20"/>
          <w:lang w:eastAsia="en-GB"/>
        </w:rPr>
        <w:t> million</w:t>
      </w:r>
      <w:r w:rsidR="005D36C6" w:rsidRPr="00A04E56">
        <w:rPr>
          <w:rFonts w:eastAsia="Times New Roman"/>
          <w:szCs w:val="20"/>
          <w:lang w:eastAsia="en-GB"/>
        </w:rPr>
        <w:t xml:space="preserve"> for connectivity projects in the transport and/or energy sector, which leveraged overall investments of more than EUR</w:t>
      </w:r>
      <w:r w:rsidR="005D36C6" w:rsidRPr="00A04E56">
        <w:rPr>
          <w:rFonts w:ascii="Calibri" w:hAnsi="Calibri" w:cs="Calibri"/>
        </w:rPr>
        <w:t> </w:t>
      </w:r>
      <w:r w:rsidR="005D36C6" w:rsidRPr="00A04E56">
        <w:rPr>
          <w:rFonts w:eastAsia="Times New Roman"/>
          <w:szCs w:val="20"/>
          <w:lang w:eastAsia="en-GB"/>
        </w:rPr>
        <w:t>2.4</w:t>
      </w:r>
      <w:r w:rsidR="005D36C6" w:rsidRPr="00A04E56">
        <w:rPr>
          <w:rFonts w:ascii="Calibri" w:hAnsi="Calibri" w:cs="Calibri"/>
        </w:rPr>
        <w:t> </w:t>
      </w:r>
      <w:r w:rsidR="005D36C6" w:rsidRPr="00A04E56">
        <w:rPr>
          <w:rFonts w:eastAsia="Times New Roman"/>
          <w:szCs w:val="20"/>
          <w:lang w:eastAsia="en-GB"/>
        </w:rPr>
        <w:t>billion. Special emphasis was put on the preparation and financing of concrete regional infrastructure investment projects, and also on the implementation of technical standards and accompanying reform measures. For example, aligning and simplifying border-crossing procedures, railway reforms, information systems, road-safety and maintenance schemes. Some of the expected results are the construction or upgrade of: 450</w:t>
      </w:r>
      <w:r w:rsidR="005D36C6" w:rsidRPr="00A04E56">
        <w:rPr>
          <w:rFonts w:ascii="Calibri" w:eastAsia="Times New Roman" w:hAnsi="Calibri" w:cs="Calibri"/>
          <w:szCs w:val="20"/>
          <w:lang w:eastAsia="en-GB"/>
        </w:rPr>
        <w:t> </w:t>
      </w:r>
      <w:r w:rsidR="005D36C6" w:rsidRPr="00A04E56">
        <w:rPr>
          <w:rFonts w:eastAsia="Times New Roman"/>
          <w:szCs w:val="20"/>
          <w:lang w:eastAsia="en-GB"/>
        </w:rPr>
        <w:t>km of electricity transmission lines and associated substations, 108</w:t>
      </w:r>
      <w:r w:rsidR="005D36C6" w:rsidRPr="00A04E56">
        <w:rPr>
          <w:rFonts w:ascii="Calibri" w:eastAsia="Times New Roman" w:hAnsi="Calibri" w:cs="Calibri"/>
          <w:szCs w:val="20"/>
          <w:lang w:eastAsia="en-GB"/>
        </w:rPr>
        <w:t> </w:t>
      </w:r>
      <w:r w:rsidR="005D36C6" w:rsidRPr="00A04E56">
        <w:rPr>
          <w:rFonts w:eastAsia="Times New Roman"/>
          <w:szCs w:val="20"/>
          <w:lang w:eastAsia="en-GB"/>
        </w:rPr>
        <w:t>km of gas pipeline, 320</w:t>
      </w:r>
      <w:r w:rsidR="005D36C6" w:rsidRPr="00A04E56">
        <w:rPr>
          <w:rFonts w:ascii="Calibri" w:eastAsia="Times New Roman" w:hAnsi="Calibri" w:cs="Calibri"/>
          <w:szCs w:val="20"/>
          <w:lang w:eastAsia="en-GB"/>
        </w:rPr>
        <w:t> </w:t>
      </w:r>
      <w:r w:rsidR="005D36C6" w:rsidRPr="00A04E56">
        <w:rPr>
          <w:rFonts w:eastAsia="Times New Roman"/>
          <w:szCs w:val="20"/>
          <w:lang w:eastAsia="en-GB"/>
        </w:rPr>
        <w:t>km of railway lines and connected stations, 141</w:t>
      </w:r>
      <w:r w:rsidR="005D36C6" w:rsidRPr="00A04E56">
        <w:rPr>
          <w:rFonts w:ascii="Calibri" w:eastAsia="Times New Roman" w:hAnsi="Calibri" w:cs="Calibri"/>
          <w:szCs w:val="20"/>
          <w:lang w:eastAsia="en-GB"/>
        </w:rPr>
        <w:t> </w:t>
      </w:r>
      <w:r w:rsidR="005D36C6" w:rsidRPr="00A04E56">
        <w:rPr>
          <w:rFonts w:eastAsia="Times New Roman"/>
          <w:szCs w:val="20"/>
          <w:lang w:eastAsia="en-GB"/>
        </w:rPr>
        <w:t>km of motorways, two cross-border bridges as well as two ports.</w:t>
      </w:r>
    </w:p>
    <w:p w14:paraId="23A882CF" w14:textId="46519376" w:rsidR="00720D20" w:rsidRPr="00A04E56" w:rsidRDefault="00720D20" w:rsidP="00720D20">
      <w:pPr>
        <w:pStyle w:val="BodyText1spaceafter"/>
        <w:rPr>
          <w:rFonts w:eastAsia="Times New Roman"/>
          <w:szCs w:val="20"/>
          <w:lang w:eastAsia="en-GB"/>
        </w:rPr>
      </w:pPr>
      <w:r w:rsidRPr="00A04E56">
        <w:rPr>
          <w:rFonts w:eastAsia="Times New Roman"/>
          <w:szCs w:val="20"/>
          <w:lang w:eastAsia="en-GB"/>
        </w:rPr>
        <w:t>With regard to migration, the number of irregular migrants in the</w:t>
      </w:r>
      <w:r w:rsidRPr="00A04E56">
        <w:rPr>
          <w:rStyle w:val="BOLDLIGHTBLUEReport"/>
          <w:rFonts w:eastAsiaTheme="minorHAnsi"/>
        </w:rPr>
        <w:t xml:space="preserve"> </w:t>
      </w:r>
      <w:r w:rsidR="00E13B0E" w:rsidRPr="00A04E56">
        <w:rPr>
          <w:rStyle w:val="BOLDLIGHTBLUEReport"/>
          <w:rFonts w:eastAsiaTheme="minorHAnsi"/>
        </w:rPr>
        <w:t>W</w:t>
      </w:r>
      <w:r w:rsidR="00835302" w:rsidRPr="00A04E56">
        <w:rPr>
          <w:rStyle w:val="BOLDLIGHTBLUEReport"/>
          <w:rFonts w:eastAsiaTheme="minorHAnsi"/>
        </w:rPr>
        <w:t>estern</w:t>
      </w:r>
      <w:r w:rsidRPr="00A04E56">
        <w:rPr>
          <w:rStyle w:val="BOLDLIGHTBLUEReport"/>
          <w:rFonts w:eastAsiaTheme="minorHAnsi"/>
        </w:rPr>
        <w:t xml:space="preserve"> Balkans </w:t>
      </w:r>
      <w:r w:rsidRPr="00A04E56">
        <w:rPr>
          <w:rFonts w:eastAsia="Times New Roman"/>
          <w:szCs w:val="20"/>
          <w:lang w:eastAsia="en-GB"/>
        </w:rPr>
        <w:t xml:space="preserve">was significantly reduced, but smuggling activities remained on the rise and new sub-routes emerged. The EU continued to provide financial support to the countries affected by </w:t>
      </w:r>
      <w:r w:rsidRPr="00A04E56">
        <w:rPr>
          <w:rStyle w:val="BOLDLIGHTBLUEReport"/>
          <w:rFonts w:eastAsia="Calibri"/>
        </w:rPr>
        <w:t>migratory pressure</w:t>
      </w:r>
      <w:r w:rsidRPr="00A04E56">
        <w:rPr>
          <w:rFonts w:eastAsia="Times New Roman"/>
          <w:szCs w:val="20"/>
          <w:lang w:eastAsia="en-GB"/>
        </w:rPr>
        <w:t xml:space="preserve"> along the </w:t>
      </w:r>
      <w:r w:rsidR="00E13B0E" w:rsidRPr="00A04E56">
        <w:rPr>
          <w:rFonts w:eastAsia="Times New Roman"/>
          <w:szCs w:val="20"/>
          <w:lang w:eastAsia="en-GB"/>
        </w:rPr>
        <w:t>W</w:t>
      </w:r>
      <w:r w:rsidR="00835302" w:rsidRPr="00A04E56">
        <w:rPr>
          <w:rFonts w:eastAsia="Times New Roman"/>
          <w:szCs w:val="20"/>
          <w:lang w:eastAsia="en-GB"/>
        </w:rPr>
        <w:t>estern</w:t>
      </w:r>
      <w:r w:rsidRPr="00A04E56">
        <w:rPr>
          <w:rFonts w:eastAsia="Times New Roman"/>
          <w:szCs w:val="20"/>
          <w:lang w:eastAsia="en-GB"/>
        </w:rPr>
        <w:t xml:space="preserve"> Balkans route. The Instrument for Pre-Accession Assistance allocated funds to support (in particular) Bosnia and Herzegovina, North Macedonia and Serbia, and in managing the migration flow. As the nature of the crisis changed, the support focuses more on a structural approach in order to improve the conditions in the shelter centres. In parallel, the fight against smuggling and the improvement of the border controls are supported at regional level. </w:t>
      </w:r>
    </w:p>
    <w:p w14:paraId="628479D3" w14:textId="6995B71A" w:rsidR="00720D20" w:rsidRPr="00A04E56" w:rsidRDefault="00720D20" w:rsidP="00FA6FA8">
      <w:pPr>
        <w:pStyle w:val="BodyText1spaceafter"/>
        <w:keepNext/>
      </w:pPr>
      <w:r w:rsidRPr="00A04E56">
        <w:t xml:space="preserve">Examples of </w:t>
      </w:r>
      <w:r w:rsidRPr="00A04E56">
        <w:rPr>
          <w:rFonts w:eastAsia="Times New Roman"/>
          <w:szCs w:val="20"/>
          <w:lang w:eastAsia="en-GB"/>
        </w:rPr>
        <w:t>concrete</w:t>
      </w:r>
      <w:r w:rsidRPr="00A04E56">
        <w:t xml:space="preserve"> results </w:t>
      </w:r>
      <w:r w:rsidR="008C1D39" w:rsidRPr="00A04E56">
        <w:rPr>
          <w:i/>
          <w:u w:val="single"/>
        </w:rPr>
        <w:t>in 2018</w:t>
      </w:r>
      <w:r w:rsidRPr="00A04E56">
        <w:t xml:space="preserve"> under the </w:t>
      </w:r>
      <w:r w:rsidRPr="00A04E56">
        <w:rPr>
          <w:rStyle w:val="BOLDLIGHTBLUEReport"/>
          <w:rFonts w:eastAsiaTheme="minorHAnsi"/>
        </w:rPr>
        <w:t>Instrument for Pre-Accession Assistance</w:t>
      </w:r>
      <w:r w:rsidRPr="00A04E56" w:rsidDel="00C83375">
        <w:t xml:space="preserve"> </w:t>
      </w:r>
      <w:r w:rsidRPr="00A04E56">
        <w:t>are as follows</w:t>
      </w:r>
      <w:r w:rsidR="004E4D62" w:rsidRPr="00A04E56">
        <w:t>.</w:t>
      </w:r>
    </w:p>
    <w:p w14:paraId="0F428ACB" w14:textId="77777777" w:rsidR="00720D20" w:rsidRPr="00A04E56" w:rsidRDefault="00720D20" w:rsidP="00107DA0">
      <w:pPr>
        <w:pStyle w:val="BOX3BluedashedborderBluetext-Bold"/>
      </w:pPr>
      <w:r w:rsidRPr="00A04E56">
        <w:t>The Svilaj bridge connecting Bosnia and Herzegovina with Croatia</w:t>
      </w:r>
    </w:p>
    <w:p w14:paraId="06D339E2" w14:textId="62DFDBB8" w:rsidR="00720D20" w:rsidRPr="00E759B1" w:rsidRDefault="00720D20" w:rsidP="00107DA0">
      <w:pPr>
        <w:pStyle w:val="BOX3BluedashedborderBlacktext"/>
        <w:rPr>
          <w:color w:val="65BBC8"/>
        </w:rPr>
      </w:pPr>
      <w:r w:rsidRPr="00E759B1">
        <w:rPr>
          <w:color w:val="65BBC8"/>
        </w:rPr>
        <w:t xml:space="preserve">Construction works on the connection of the downstream bridge over the Sava River on Corridor Vc near Svilaj were successfully completed at the end of February 2019. The new cross-border bridge is part of the first </w:t>
      </w:r>
      <w:r w:rsidR="00F504A4" w:rsidRPr="00E759B1">
        <w:rPr>
          <w:color w:val="65BBC8"/>
        </w:rPr>
        <w:t>connectivity</w:t>
      </w:r>
      <w:r w:rsidRPr="00E759B1">
        <w:rPr>
          <w:color w:val="65BBC8"/>
        </w:rPr>
        <w:t xml:space="preserve"> project approved under the </w:t>
      </w:r>
      <w:r w:rsidR="00F504A4" w:rsidRPr="00E759B1">
        <w:rPr>
          <w:color w:val="65BBC8"/>
        </w:rPr>
        <w:t>connectivity agenda</w:t>
      </w:r>
      <w:r w:rsidRPr="00E759B1">
        <w:rPr>
          <w:color w:val="65BBC8"/>
        </w:rPr>
        <w:t xml:space="preserve"> in 2015 and financed via the Western Balkans Investment Framework. The EU provided EUR</w:t>
      </w:r>
      <w:r w:rsidR="005E58BE" w:rsidRPr="00E759B1">
        <w:rPr>
          <w:rFonts w:ascii="Calibri" w:hAnsi="Calibri" w:cs="Calibri"/>
          <w:color w:val="65BBC8"/>
        </w:rPr>
        <w:t> </w:t>
      </w:r>
      <w:r w:rsidRPr="00E759B1">
        <w:rPr>
          <w:color w:val="65BBC8"/>
        </w:rPr>
        <w:t>25.1</w:t>
      </w:r>
      <w:r w:rsidR="005E58BE" w:rsidRPr="00E759B1">
        <w:rPr>
          <w:rFonts w:ascii="Calibri" w:hAnsi="Calibri" w:cs="Calibri"/>
          <w:color w:val="65BBC8"/>
        </w:rPr>
        <w:t> </w:t>
      </w:r>
      <w:r w:rsidRPr="00E759B1">
        <w:rPr>
          <w:color w:val="65BBC8"/>
        </w:rPr>
        <w:t>million in grants for the total investment of EUR</w:t>
      </w:r>
      <w:r w:rsidR="000C2CEC" w:rsidRPr="00E759B1">
        <w:rPr>
          <w:rFonts w:ascii="Calibri" w:hAnsi="Calibri" w:cs="Calibri"/>
          <w:color w:val="65BBC8"/>
        </w:rPr>
        <w:t> </w:t>
      </w:r>
      <w:r w:rsidRPr="00E759B1">
        <w:rPr>
          <w:color w:val="65BBC8"/>
        </w:rPr>
        <w:t>109.5</w:t>
      </w:r>
      <w:r w:rsidR="000C2CEC" w:rsidRPr="00E759B1">
        <w:rPr>
          <w:rFonts w:ascii="Calibri" w:hAnsi="Calibri" w:cs="Calibri"/>
          <w:color w:val="65BBC8"/>
        </w:rPr>
        <w:t> </w:t>
      </w:r>
      <w:r w:rsidRPr="00E759B1">
        <w:rPr>
          <w:color w:val="65BBC8"/>
        </w:rPr>
        <w:t>million</w:t>
      </w:r>
      <w:r w:rsidR="002D2749" w:rsidRPr="00E759B1">
        <w:rPr>
          <w:color w:val="65BBC8"/>
        </w:rPr>
        <w:t xml:space="preserve"> via the Instrument for Pre-Accession Assistance</w:t>
      </w:r>
      <w:r w:rsidRPr="00E759B1">
        <w:rPr>
          <w:color w:val="65BBC8"/>
        </w:rPr>
        <w:t>.</w:t>
      </w:r>
    </w:p>
    <w:p w14:paraId="68675F6B" w14:textId="77777777" w:rsidR="00290048" w:rsidRPr="00A04E56" w:rsidRDefault="00290048" w:rsidP="00C257BF">
      <w:pPr>
        <w:pStyle w:val="1AMPRText"/>
        <w:spacing w:after="0"/>
      </w:pPr>
    </w:p>
    <w:p w14:paraId="386C4E58" w14:textId="77777777" w:rsidR="00720D20" w:rsidRPr="00A04E56" w:rsidRDefault="00720D20" w:rsidP="00107DA0">
      <w:pPr>
        <w:pStyle w:val="BOX3BluedashedborderBluetext-Bold"/>
      </w:pPr>
      <w:r w:rsidRPr="00A04E56">
        <w:t>Supporting the reforms in the justice sector</w:t>
      </w:r>
    </w:p>
    <w:p w14:paraId="441AEAF1" w14:textId="361E4F70" w:rsidR="00720D20" w:rsidRPr="00E759B1" w:rsidRDefault="00720D20" w:rsidP="00107DA0">
      <w:pPr>
        <w:pStyle w:val="BOX3BluedashedborderBlacktext"/>
        <w:rPr>
          <w:color w:val="65BBC8"/>
        </w:rPr>
      </w:pPr>
      <w:r w:rsidRPr="00E759B1">
        <w:rPr>
          <w:color w:val="65BBC8"/>
        </w:rPr>
        <w:t>In Albania, the International Monitoring Operation (IMO) has been deployed by the Commission to oversee the re-evaluation of judges and prosecutors (</w:t>
      </w:r>
      <w:r w:rsidR="00D6604B" w:rsidRPr="00E759B1">
        <w:rPr>
          <w:color w:val="65BBC8"/>
        </w:rPr>
        <w:t>‘</w:t>
      </w:r>
      <w:r w:rsidRPr="00E759B1">
        <w:rPr>
          <w:color w:val="65BBC8"/>
        </w:rPr>
        <w:t>vetting</w:t>
      </w:r>
      <w:r w:rsidR="00D6604B" w:rsidRPr="00E759B1">
        <w:rPr>
          <w:color w:val="65BBC8"/>
        </w:rPr>
        <w:t>’</w:t>
      </w:r>
      <w:r w:rsidRPr="00E759B1">
        <w:rPr>
          <w:color w:val="65BBC8"/>
        </w:rPr>
        <w:t>). The core monitoring activities are carried out by a team of international observers (seven from EU Member States and one from the United States) who are e</w:t>
      </w:r>
      <w:r w:rsidR="000E6620" w:rsidRPr="00E759B1">
        <w:rPr>
          <w:color w:val="65BBC8"/>
        </w:rPr>
        <w:t>n</w:t>
      </w:r>
      <w:r w:rsidR="00876804" w:rsidRPr="00E759B1">
        <w:rPr>
          <w:color w:val="65BBC8"/>
        </w:rPr>
        <w:t>gaged</w:t>
      </w:r>
      <w:r w:rsidRPr="00E759B1">
        <w:rPr>
          <w:color w:val="65BBC8"/>
        </w:rPr>
        <w:t xml:space="preserve"> in every step of</w:t>
      </w:r>
      <w:r w:rsidRPr="00E759B1">
        <w:rPr>
          <w:rFonts w:ascii="Calibri" w:hAnsi="Calibri" w:cs="Calibri"/>
          <w:color w:val="65BBC8"/>
        </w:rPr>
        <w:t> </w:t>
      </w:r>
      <w:r w:rsidRPr="00E759B1">
        <w:rPr>
          <w:color w:val="65BBC8"/>
        </w:rPr>
        <w:t xml:space="preserve">the work carried out by the domestic vetting institutions. The vetting process has produced concrete results. Over 200 investigation dossiers have been processed and around 100 decisions have been taken. On average, for every magistrate confirmed in office, one is dismissed from duty. The </w:t>
      </w:r>
      <w:r w:rsidR="0007372F" w:rsidRPr="00E759B1">
        <w:rPr>
          <w:color w:val="65BBC8"/>
        </w:rPr>
        <w:t xml:space="preserve">International Monitoring Operation </w:t>
      </w:r>
      <w:r w:rsidRPr="00E759B1">
        <w:rPr>
          <w:color w:val="65BBC8"/>
        </w:rPr>
        <w:t>has guaranteed a crucial external and independent monitoring of the vetting process, thus helping to consolidate the overall credibility of this endeavour.</w:t>
      </w:r>
    </w:p>
    <w:p w14:paraId="2BA4BDBE" w14:textId="444D22C4" w:rsidR="00290048" w:rsidRDefault="00EC6C5A">
      <w:pPr>
        <w:rPr>
          <w:rFonts w:eastAsia="Times New Roman"/>
          <w:color w:val="7F7F7F" w:themeColor="text1" w:themeTint="80"/>
          <w:sz w:val="19"/>
          <w:szCs w:val="24"/>
          <w:lang w:eastAsia="en-GB"/>
        </w:rPr>
      </w:pPr>
      <w:r>
        <w:br w:type="page"/>
      </w:r>
    </w:p>
    <w:p w14:paraId="2F6A77E1" w14:textId="51B9D7DF" w:rsidR="00720D20" w:rsidRPr="00A04E56" w:rsidRDefault="00720D20" w:rsidP="00107DA0">
      <w:pPr>
        <w:pStyle w:val="BOX3BluedashedborderBluetext-Bold"/>
      </w:pPr>
      <w:r w:rsidRPr="00A04E56">
        <w:t xml:space="preserve">Regional </w:t>
      </w:r>
      <w:r w:rsidR="00290048" w:rsidRPr="00A04E56">
        <w:t>h</w:t>
      </w:r>
      <w:r w:rsidRPr="00A04E56">
        <w:t xml:space="preserve">ousing </w:t>
      </w:r>
      <w:r w:rsidR="00290048" w:rsidRPr="00A04E56">
        <w:t>p</w:t>
      </w:r>
      <w:r w:rsidRPr="00A04E56">
        <w:t xml:space="preserve">rogramme </w:t>
      </w:r>
    </w:p>
    <w:p w14:paraId="00962BFF" w14:textId="449562EE" w:rsidR="00720D20" w:rsidRPr="00E759B1" w:rsidRDefault="008C1D39" w:rsidP="00107DA0">
      <w:pPr>
        <w:pStyle w:val="BOX3BluedashedborderBlacktext"/>
        <w:rPr>
          <w:color w:val="65BBC8"/>
        </w:rPr>
      </w:pPr>
      <w:r w:rsidRPr="00E759B1">
        <w:rPr>
          <w:b/>
          <w:i/>
          <w:color w:val="65BBC8"/>
          <w:u w:val="single"/>
        </w:rPr>
        <w:t>In 2018</w:t>
      </w:r>
      <w:r w:rsidR="00720D20" w:rsidRPr="00E759B1">
        <w:rPr>
          <w:color w:val="65BBC8"/>
        </w:rPr>
        <w:t xml:space="preserve"> the EU contributed an additional EUR</w:t>
      </w:r>
      <w:r w:rsidR="00B34EC9" w:rsidRPr="00E759B1">
        <w:rPr>
          <w:rFonts w:ascii="Calibri" w:hAnsi="Calibri" w:cs="Calibri"/>
          <w:color w:val="65BBC8"/>
        </w:rPr>
        <w:t> </w:t>
      </w:r>
      <w:r w:rsidR="00720D20" w:rsidRPr="00E759B1">
        <w:rPr>
          <w:color w:val="65BBC8"/>
        </w:rPr>
        <w:t>40</w:t>
      </w:r>
      <w:r w:rsidR="00B34EC9" w:rsidRPr="00E759B1">
        <w:rPr>
          <w:rFonts w:ascii="Calibri" w:hAnsi="Calibri" w:cs="Calibri"/>
          <w:color w:val="65BBC8"/>
        </w:rPr>
        <w:t> </w:t>
      </w:r>
      <w:r w:rsidR="00720D20" w:rsidRPr="00E759B1">
        <w:rPr>
          <w:color w:val="65BBC8"/>
        </w:rPr>
        <w:t xml:space="preserve">million to the </w:t>
      </w:r>
      <w:r w:rsidR="00290048" w:rsidRPr="00E759B1">
        <w:rPr>
          <w:color w:val="65BBC8"/>
        </w:rPr>
        <w:t>r</w:t>
      </w:r>
      <w:r w:rsidR="003F3155" w:rsidRPr="00E759B1">
        <w:rPr>
          <w:color w:val="65BBC8"/>
        </w:rPr>
        <w:t xml:space="preserve">egional </w:t>
      </w:r>
      <w:r w:rsidR="00290048" w:rsidRPr="00E759B1">
        <w:rPr>
          <w:color w:val="65BBC8"/>
        </w:rPr>
        <w:t>h</w:t>
      </w:r>
      <w:r w:rsidR="003F3155" w:rsidRPr="00E759B1">
        <w:rPr>
          <w:color w:val="65BBC8"/>
        </w:rPr>
        <w:t xml:space="preserve">ousing </w:t>
      </w:r>
      <w:r w:rsidR="00290048" w:rsidRPr="00E759B1">
        <w:rPr>
          <w:color w:val="65BBC8"/>
        </w:rPr>
        <w:t>p</w:t>
      </w:r>
      <w:r w:rsidR="003F3155" w:rsidRPr="00E759B1">
        <w:rPr>
          <w:color w:val="65BBC8"/>
        </w:rPr>
        <w:t>rogramme</w:t>
      </w:r>
      <w:r w:rsidR="001E2F68" w:rsidRPr="00E759B1">
        <w:rPr>
          <w:color w:val="65BBC8"/>
        </w:rPr>
        <w:t>(</w:t>
      </w:r>
      <w:r w:rsidR="001E2F68" w:rsidRPr="00E759B1">
        <w:rPr>
          <w:color w:val="65BBC8"/>
          <w:vertAlign w:val="superscript"/>
        </w:rPr>
        <w:footnoteReference w:id="266"/>
      </w:r>
      <w:r w:rsidR="001E2F68" w:rsidRPr="00E759B1">
        <w:rPr>
          <w:color w:val="65BBC8"/>
        </w:rPr>
        <w:t>)</w:t>
      </w:r>
      <w:r w:rsidR="00720D20" w:rsidRPr="00E759B1">
        <w:rPr>
          <w:color w:val="65BBC8"/>
        </w:rPr>
        <w:t>. This brings the total support to EUR 287 million, of which the EU is the largest donor, with EUR</w:t>
      </w:r>
      <w:r w:rsidR="00B55B11" w:rsidRPr="00E759B1">
        <w:rPr>
          <w:rFonts w:ascii="Calibri" w:hAnsi="Calibri" w:cs="Calibri"/>
          <w:color w:val="65BBC8"/>
        </w:rPr>
        <w:t> </w:t>
      </w:r>
      <w:r w:rsidR="00720D20" w:rsidRPr="00E759B1">
        <w:rPr>
          <w:color w:val="65BBC8"/>
        </w:rPr>
        <w:t>234</w:t>
      </w:r>
      <w:r w:rsidR="00B55B11" w:rsidRPr="00E759B1">
        <w:rPr>
          <w:rFonts w:ascii="Calibri" w:hAnsi="Calibri" w:cs="Calibri"/>
          <w:color w:val="65BBC8"/>
        </w:rPr>
        <w:t> </w:t>
      </w:r>
      <w:r w:rsidR="00720D20" w:rsidRPr="00E759B1">
        <w:rPr>
          <w:color w:val="65BBC8"/>
        </w:rPr>
        <w:t xml:space="preserve">million </w:t>
      </w:r>
      <w:r w:rsidR="00F2783C" w:rsidRPr="00E759B1">
        <w:rPr>
          <w:color w:val="65BBC8"/>
        </w:rPr>
        <w:t>—</w:t>
      </w:r>
      <w:r w:rsidR="00720D20" w:rsidRPr="00E759B1">
        <w:rPr>
          <w:color w:val="65BBC8"/>
        </w:rPr>
        <w:t xml:space="preserve"> or over 80% of all contributions. </w:t>
      </w:r>
    </w:p>
    <w:p w14:paraId="7271C089" w14:textId="269ACA1A" w:rsidR="00720D20" w:rsidRPr="00E759B1" w:rsidRDefault="00720D20" w:rsidP="00107DA0">
      <w:pPr>
        <w:pStyle w:val="BOX3BluedashedborderBlacktext"/>
        <w:rPr>
          <w:color w:val="65BBC8"/>
        </w:rPr>
      </w:pPr>
      <w:r w:rsidRPr="00E759B1">
        <w:rPr>
          <w:color w:val="65BBC8"/>
        </w:rPr>
        <w:t xml:space="preserve">By the end of 2018 the </w:t>
      </w:r>
      <w:r w:rsidR="00290048" w:rsidRPr="00E759B1">
        <w:rPr>
          <w:color w:val="65BBC8"/>
        </w:rPr>
        <w:t>r</w:t>
      </w:r>
      <w:r w:rsidR="003F3155" w:rsidRPr="00E759B1">
        <w:rPr>
          <w:color w:val="65BBC8"/>
        </w:rPr>
        <w:t xml:space="preserve">egional </w:t>
      </w:r>
      <w:r w:rsidR="00290048" w:rsidRPr="00E759B1">
        <w:rPr>
          <w:color w:val="65BBC8"/>
        </w:rPr>
        <w:t>h</w:t>
      </w:r>
      <w:r w:rsidR="003F3155" w:rsidRPr="00E759B1">
        <w:rPr>
          <w:color w:val="65BBC8"/>
        </w:rPr>
        <w:t xml:space="preserve">ousing </w:t>
      </w:r>
      <w:r w:rsidR="00290048" w:rsidRPr="00E759B1">
        <w:rPr>
          <w:color w:val="65BBC8"/>
        </w:rPr>
        <w:t>p</w:t>
      </w:r>
      <w:r w:rsidR="003F3155" w:rsidRPr="00E759B1">
        <w:rPr>
          <w:color w:val="65BBC8"/>
        </w:rPr>
        <w:t xml:space="preserve">rogramme </w:t>
      </w:r>
      <w:r w:rsidRPr="00E759B1">
        <w:rPr>
          <w:color w:val="65BBC8"/>
        </w:rPr>
        <w:t>has provided 12</w:t>
      </w:r>
      <w:r w:rsidR="00290048" w:rsidRPr="00E759B1">
        <w:rPr>
          <w:rFonts w:ascii="Calibri" w:hAnsi="Calibri" w:cs="Calibri"/>
          <w:color w:val="65BBC8"/>
        </w:rPr>
        <w:t> </w:t>
      </w:r>
      <w:r w:rsidRPr="00E759B1">
        <w:rPr>
          <w:color w:val="65BBC8"/>
        </w:rPr>
        <w:t>000</w:t>
      </w:r>
      <w:r w:rsidR="00622884" w:rsidRPr="00E759B1">
        <w:rPr>
          <w:rFonts w:ascii="Calibri" w:hAnsi="Calibri" w:cs="Calibri"/>
          <w:color w:val="65BBC8"/>
        </w:rPr>
        <w:t> </w:t>
      </w:r>
      <w:r w:rsidRPr="00E759B1">
        <w:rPr>
          <w:color w:val="65BBC8"/>
        </w:rPr>
        <w:t>people</w:t>
      </w:r>
      <w:r w:rsidR="00F8277F" w:rsidRPr="00E759B1">
        <w:rPr>
          <w:color w:val="65BBC8"/>
        </w:rPr>
        <w:t xml:space="preserve"> </w:t>
      </w:r>
      <w:r w:rsidRPr="00E759B1">
        <w:rPr>
          <w:color w:val="65BBC8"/>
        </w:rPr>
        <w:t>in</w:t>
      </w:r>
      <w:r w:rsidR="00F8277F" w:rsidRPr="00E759B1">
        <w:rPr>
          <w:color w:val="65BBC8"/>
        </w:rPr>
        <w:t xml:space="preserve"> </w:t>
      </w:r>
      <w:r w:rsidRPr="00E759B1">
        <w:rPr>
          <w:color w:val="65BBC8"/>
        </w:rPr>
        <w:t>need with quality, durable homes (close to 4</w:t>
      </w:r>
      <w:r w:rsidR="00290048" w:rsidRPr="00E759B1">
        <w:rPr>
          <w:rFonts w:ascii="Calibri" w:hAnsi="Calibri" w:cs="Calibri"/>
          <w:color w:val="65BBC8"/>
        </w:rPr>
        <w:t> </w:t>
      </w:r>
      <w:r w:rsidRPr="00E759B1">
        <w:rPr>
          <w:color w:val="65BBC8"/>
        </w:rPr>
        <w:t>000 housing units). It has also given extra assistance, to improve the lives of these rehoused people, including making sure they can access services (health, education, etc.) and benefit from rights (pensions, allowances, documentation, etc.). In addition, the programme has supported over 30</w:t>
      </w:r>
      <w:r w:rsidR="00290048" w:rsidRPr="00E759B1">
        <w:rPr>
          <w:rFonts w:ascii="Calibri" w:hAnsi="Calibri" w:cs="Calibri"/>
          <w:color w:val="65BBC8"/>
        </w:rPr>
        <w:t> </w:t>
      </w:r>
      <w:r w:rsidRPr="00E759B1">
        <w:rPr>
          <w:color w:val="65BBC8"/>
        </w:rPr>
        <w:t>000</w:t>
      </w:r>
      <w:r w:rsidR="00622884" w:rsidRPr="00E759B1">
        <w:rPr>
          <w:rFonts w:ascii="Calibri" w:hAnsi="Calibri" w:cs="Calibri"/>
          <w:color w:val="65BBC8"/>
        </w:rPr>
        <w:t> </w:t>
      </w:r>
      <w:r w:rsidRPr="00E759B1">
        <w:rPr>
          <w:color w:val="65BBC8"/>
        </w:rPr>
        <w:t>jobs and given 1</w:t>
      </w:r>
      <w:r w:rsidR="00290048" w:rsidRPr="00E759B1">
        <w:rPr>
          <w:rFonts w:ascii="Calibri" w:hAnsi="Calibri" w:cs="Calibri"/>
          <w:color w:val="65BBC8"/>
        </w:rPr>
        <w:t> </w:t>
      </w:r>
      <w:r w:rsidRPr="00E759B1">
        <w:rPr>
          <w:color w:val="65BBC8"/>
        </w:rPr>
        <w:t>000 contracts to local companies. It has al</w:t>
      </w:r>
      <w:r w:rsidR="008114EE" w:rsidRPr="00E759B1">
        <w:rPr>
          <w:color w:val="65BBC8"/>
        </w:rPr>
        <w:t>so</w:t>
      </w:r>
      <w:r w:rsidRPr="00E759B1">
        <w:rPr>
          <w:color w:val="65BBC8"/>
        </w:rPr>
        <w:t xml:space="preserve"> improved the skills of workers, and worked with local businesses and local administrations to deliver better services. </w:t>
      </w:r>
    </w:p>
    <w:p w14:paraId="6538A25C" w14:textId="361862E3" w:rsidR="005D36C6" w:rsidRPr="00A04E56" w:rsidRDefault="005010E4" w:rsidP="00AA0340">
      <w:pPr>
        <w:pStyle w:val="Title3NumberedReport"/>
      </w:pPr>
      <w:r w:rsidRPr="00A04E56">
        <w:t>Assessment and evaluation</w:t>
      </w:r>
    </w:p>
    <w:p w14:paraId="48B98FEB" w14:textId="77777777" w:rsidR="005D36C6" w:rsidRPr="00A04E56" w:rsidRDefault="005D36C6" w:rsidP="005D36C6">
      <w:pPr>
        <w:pStyle w:val="BodyText1spaceafter"/>
        <w:rPr>
          <w:szCs w:val="20"/>
        </w:rPr>
      </w:pPr>
      <w:r w:rsidRPr="00A04E56">
        <w:rPr>
          <w:szCs w:val="20"/>
        </w:rPr>
        <w:t xml:space="preserve">During 2018 the European Commission completed two thematic evaluations, covering the expansion of the EU to include new members (‘enlargement’) and the Neighbourhood region. </w:t>
      </w:r>
    </w:p>
    <w:p w14:paraId="11D304D0" w14:textId="77777777" w:rsidR="005D36C6" w:rsidRPr="00A04E56" w:rsidRDefault="005D36C6" w:rsidP="005D36C6">
      <w:pPr>
        <w:pStyle w:val="BodyText1spaceafter"/>
        <w:rPr>
          <w:szCs w:val="20"/>
        </w:rPr>
      </w:pPr>
      <w:r w:rsidRPr="00A04E56">
        <w:rPr>
          <w:szCs w:val="20"/>
        </w:rPr>
        <w:t>The evaluation of EU support for security sector reform in enlargement and Neighbourhood countries (concerning the period 2010-2016) was conducted to help strengthen democratic accountability and transparency and improve policy and practice through evidence-based learning. The evaluation confirmed that the EU achieved positive effects through its promotion of EU values and interests in the enlargement and Neighbourhood regions. The evaluation identified policy recommendations aimed at enhancing the EU’s role as a strategic player, strengthening national ownership, improving the effectiveness of funding procedures, and achieving greater results.</w:t>
      </w:r>
    </w:p>
    <w:p w14:paraId="676C5C41" w14:textId="77777777" w:rsidR="005D36C6" w:rsidRPr="00A04E56" w:rsidRDefault="005D36C6" w:rsidP="005D36C6">
      <w:pPr>
        <w:pStyle w:val="BodyText1spaceafter"/>
        <w:rPr>
          <w:szCs w:val="20"/>
        </w:rPr>
      </w:pPr>
      <w:r w:rsidRPr="00A04E56">
        <w:rPr>
          <w:szCs w:val="20"/>
        </w:rPr>
        <w:t>The evaluation of EU support to social protection in external action (concerning the period 2007-2013) assessed to what extent this support contributed to achieving the objectives of EU cooperation in the area of social protection. It concluded that the EU should promote a broad strategic approach with more attention to sustainability, should consider scaling up its support to social protection, and support the development of appropriate monitoring and evaluation systems.</w:t>
      </w:r>
    </w:p>
    <w:p w14:paraId="431C0866" w14:textId="02CDDB71" w:rsidR="005D36C6" w:rsidRPr="00A04E56" w:rsidRDefault="005D36C6" w:rsidP="005D36C6">
      <w:pPr>
        <w:pStyle w:val="BodyText1spaceafter"/>
        <w:rPr>
          <w:szCs w:val="20"/>
        </w:rPr>
      </w:pPr>
      <w:r w:rsidRPr="00A04E56">
        <w:rPr>
          <w:szCs w:val="20"/>
        </w:rPr>
        <w:t xml:space="preserve">The political priorities of the European Commission continue to be supported through the 2019 Instrument for Pre-Accession Assistance II interventions, in particular the fundamentals of enlargement such as rule of law and democratic governance, economic growth and jobs, as well as other important priorities such as the connectivity agenda and security. The priorities stemming from the State of the Union and the priorities set in the </w:t>
      </w:r>
      <w:r w:rsidR="00E13B0E" w:rsidRPr="00A04E56">
        <w:rPr>
          <w:szCs w:val="20"/>
        </w:rPr>
        <w:t>W</w:t>
      </w:r>
      <w:r w:rsidR="00835302" w:rsidRPr="00A04E56">
        <w:rPr>
          <w:szCs w:val="20"/>
        </w:rPr>
        <w:t>estern</w:t>
      </w:r>
      <w:r w:rsidRPr="00A04E56">
        <w:rPr>
          <w:szCs w:val="20"/>
        </w:rPr>
        <w:t xml:space="preserve"> Balkans </w:t>
      </w:r>
      <w:r w:rsidR="00BE1387" w:rsidRPr="00A04E56">
        <w:rPr>
          <w:szCs w:val="20"/>
        </w:rPr>
        <w:t>st</w:t>
      </w:r>
      <w:r w:rsidRPr="00A04E56">
        <w:rPr>
          <w:szCs w:val="20"/>
        </w:rPr>
        <w:t>rategy</w:t>
      </w:r>
      <w:r w:rsidR="00B16ABC" w:rsidRPr="00A04E56">
        <w:rPr>
          <w:rFonts w:ascii="Calibri" w:hAnsi="Calibri" w:cs="Calibri"/>
          <w:szCs w:val="20"/>
        </w:rPr>
        <w:t> (</w:t>
      </w:r>
      <w:r w:rsidR="00293FF2" w:rsidRPr="00277538">
        <w:rPr>
          <w:rStyle w:val="fnRefNo"/>
        </w:rPr>
        <w:footnoteReference w:id="267"/>
      </w:r>
      <w:r w:rsidR="00B16ABC" w:rsidRPr="00A04E56">
        <w:rPr>
          <w:rFonts w:ascii="Calibri" w:hAnsi="Calibri" w:cs="Calibri"/>
          <w:szCs w:val="20"/>
        </w:rPr>
        <w:t>)</w:t>
      </w:r>
      <w:r w:rsidRPr="00A04E56">
        <w:rPr>
          <w:szCs w:val="20"/>
        </w:rPr>
        <w:t xml:space="preserve"> of February 2018 will be reflected in the 2019 and 2020 programmes. Following the adoption of the </w:t>
      </w:r>
      <w:r w:rsidR="00E13B0E" w:rsidRPr="00A04E56">
        <w:rPr>
          <w:szCs w:val="20"/>
        </w:rPr>
        <w:t>W</w:t>
      </w:r>
      <w:r w:rsidR="00835302" w:rsidRPr="00A04E56">
        <w:rPr>
          <w:szCs w:val="20"/>
        </w:rPr>
        <w:t>estern</w:t>
      </w:r>
      <w:r w:rsidRPr="00A04E56">
        <w:rPr>
          <w:szCs w:val="20"/>
        </w:rPr>
        <w:t xml:space="preserve"> Balkans strategy, of the Sofia Declaration</w:t>
      </w:r>
      <w:r w:rsidR="00B16ABC" w:rsidRPr="00A04E56">
        <w:rPr>
          <w:rFonts w:ascii="Calibri" w:hAnsi="Calibri" w:cs="Calibri"/>
          <w:szCs w:val="20"/>
        </w:rPr>
        <w:t> (</w:t>
      </w:r>
      <w:r w:rsidR="00293FF2" w:rsidRPr="00277538">
        <w:rPr>
          <w:rStyle w:val="fnRefNo"/>
        </w:rPr>
        <w:footnoteReference w:id="268"/>
      </w:r>
      <w:r w:rsidR="00B16ABC" w:rsidRPr="00A04E56">
        <w:rPr>
          <w:rFonts w:ascii="Calibri" w:hAnsi="Calibri" w:cs="Calibri"/>
          <w:szCs w:val="20"/>
        </w:rPr>
        <w:t>)</w:t>
      </w:r>
      <w:r w:rsidRPr="00A04E56">
        <w:rPr>
          <w:szCs w:val="20"/>
        </w:rPr>
        <w:t xml:space="preserve"> and of the enlargement package, stronger focus will be put on the regional dimension of competitiveness, research and innovation and to the measures the countries need to adopt with a view to setting up the regional economic area. Support to education and employment also remains a priority with actions aimed at supporting the reform of the vocational-training systems, as well as employment and social services focusing on young people, women and vulnerable groups (including Roma).</w:t>
      </w:r>
    </w:p>
    <w:p w14:paraId="257B0247" w14:textId="5F02D144" w:rsidR="005D36C6" w:rsidRPr="00A04E56" w:rsidRDefault="005D36C6" w:rsidP="005D36C6">
      <w:pPr>
        <w:pStyle w:val="BodyText1spaceafter"/>
        <w:rPr>
          <w:szCs w:val="20"/>
        </w:rPr>
      </w:pPr>
      <w:r w:rsidRPr="00A04E56">
        <w:rPr>
          <w:szCs w:val="20"/>
        </w:rPr>
        <w:t>Continuity is to be ensured under the multiannual financial framework 2021-2027. The strong performance-based element is maintained and simplified to facilitate monitoring and reporting and provide</w:t>
      </w:r>
      <w:r w:rsidR="00261520" w:rsidRPr="00A04E56">
        <w:rPr>
          <w:szCs w:val="20"/>
        </w:rPr>
        <w:t xml:space="preserve"> a</w:t>
      </w:r>
      <w:r w:rsidRPr="00A04E56">
        <w:rPr>
          <w:szCs w:val="20"/>
        </w:rPr>
        <w:t xml:space="preserve"> real incentive to beneficiaries.</w:t>
      </w:r>
    </w:p>
    <w:p w14:paraId="7B1333BC" w14:textId="3C875B9C" w:rsidR="005D36C6" w:rsidRPr="00A04E56" w:rsidRDefault="005D36C6" w:rsidP="005D36C6">
      <w:pPr>
        <w:pStyle w:val="Title2Report"/>
      </w:pPr>
      <w:bookmarkStart w:id="194" w:name="_Toc12021031"/>
      <w:r w:rsidRPr="00A04E56">
        <w:t>European Neighbourhood Instrument</w:t>
      </w:r>
      <w:bookmarkEnd w:id="194"/>
    </w:p>
    <w:p w14:paraId="2AB49A40" w14:textId="77777777" w:rsidR="005D36C6" w:rsidRPr="00A04E56" w:rsidRDefault="005D36C6" w:rsidP="00AA0340">
      <w:pPr>
        <w:pStyle w:val="Title3NumberedReport"/>
      </w:pPr>
      <w:r w:rsidRPr="00A04E56">
        <w:t xml:space="preserve">Programme objectives </w:t>
      </w:r>
    </w:p>
    <w:p w14:paraId="6D8E52E7" w14:textId="72809A74" w:rsidR="005D36C6" w:rsidRPr="00A04E56" w:rsidRDefault="005D36C6" w:rsidP="005D36C6">
      <w:pPr>
        <w:pStyle w:val="BodyText1spaceafter"/>
      </w:pPr>
      <w:r w:rsidRPr="00A04E56">
        <w:t xml:space="preserve">Establishing an </w:t>
      </w:r>
      <w:r w:rsidRPr="00A04E56">
        <w:rPr>
          <w:rStyle w:val="BOLDLIGHTBLUEReport"/>
          <w:rFonts w:eastAsia="Calibri"/>
        </w:rPr>
        <w:t>area of shared prosperity and good neighbourliness</w:t>
      </w:r>
      <w:r w:rsidRPr="00A04E56">
        <w:t xml:space="preserve"> involving the EU and the partner countries by developing a </w:t>
      </w:r>
      <w:r w:rsidR="00586494" w:rsidRPr="00A04E56">
        <w:t xml:space="preserve">special </w:t>
      </w:r>
      <w:r w:rsidRPr="00A04E56">
        <w:t>relationship founded on cooperation, peace and security, mutual accountability and shared commitment to the universal values of democracy, the rule of law and respect for human rights under the Treaty on EU.</w:t>
      </w:r>
    </w:p>
    <w:p w14:paraId="080F56F7" w14:textId="358709B7" w:rsidR="005D36C6" w:rsidRPr="00A04E56" w:rsidRDefault="005D36C6" w:rsidP="00277538">
      <w:pPr>
        <w:pStyle w:val="BodyText1spaceafter"/>
        <w:spacing w:after="360"/>
        <w:rPr>
          <w:szCs w:val="20"/>
        </w:rPr>
      </w:pPr>
      <w:r w:rsidRPr="00A04E56">
        <w:t>The European Neighbourhood Instrument</w:t>
      </w:r>
      <w:r w:rsidRPr="00A04E56">
        <w:rPr>
          <w:rStyle w:val="fnRef"/>
          <w:rFonts w:ascii="Calibri" w:hAnsi="Calibri" w:cs="Calibri"/>
        </w:rPr>
        <w:t> </w:t>
      </w:r>
      <w:r w:rsidRPr="00A04E56">
        <w:rPr>
          <w:rStyle w:val="fnRef"/>
        </w:rPr>
        <w:t>(</w:t>
      </w:r>
      <w:r w:rsidRPr="00A04E56">
        <w:rPr>
          <w:rStyle w:val="fnRefNo"/>
        </w:rPr>
        <w:footnoteReference w:id="269"/>
      </w:r>
      <w:r w:rsidRPr="00A04E56">
        <w:rPr>
          <w:rStyle w:val="fnRef"/>
        </w:rPr>
        <w:t>)</w:t>
      </w:r>
      <w:r w:rsidRPr="00A04E56">
        <w:rPr>
          <w:szCs w:val="20"/>
        </w:rPr>
        <w:t xml:space="preserve"> is the main financial instrument for implementing the European Neighbourhood Policy</w:t>
      </w:r>
      <w:r w:rsidRPr="00A04E56">
        <w:rPr>
          <w:rStyle w:val="fnRef"/>
          <w:rFonts w:ascii="Calibri" w:hAnsi="Calibri" w:cs="Calibri"/>
        </w:rPr>
        <w:t> </w:t>
      </w:r>
      <w:r w:rsidRPr="00A04E56">
        <w:rPr>
          <w:rStyle w:val="fnRef"/>
        </w:rPr>
        <w:t>(</w:t>
      </w:r>
      <w:r w:rsidRPr="00A04E56">
        <w:rPr>
          <w:rStyle w:val="fnRefNo"/>
        </w:rPr>
        <w:footnoteReference w:id="270"/>
      </w:r>
      <w:r w:rsidRPr="00A04E56">
        <w:rPr>
          <w:rStyle w:val="fnRef"/>
        </w:rPr>
        <w:t>)</w:t>
      </w:r>
      <w:r w:rsidRPr="00A04E56">
        <w:rPr>
          <w:szCs w:val="20"/>
        </w:rPr>
        <w:t xml:space="preserve">, which supports </w:t>
      </w:r>
      <w:r w:rsidRPr="00A04E56">
        <w:rPr>
          <w:rStyle w:val="BOLDLIGHTBLUEReport"/>
          <w:rFonts w:eastAsia="Calibri"/>
        </w:rPr>
        <w:t>political and economic reforms</w:t>
      </w:r>
      <w:r w:rsidRPr="00A04E56">
        <w:rPr>
          <w:szCs w:val="20"/>
        </w:rPr>
        <w:t xml:space="preserve"> with the aim of creating a </w:t>
      </w:r>
      <w:r w:rsidRPr="00A04E56">
        <w:rPr>
          <w:rStyle w:val="BOLDLIGHTBLUEReport"/>
          <w:rFonts w:eastAsia="Calibri"/>
        </w:rPr>
        <w:t>space of stability, security and prosperity</w:t>
      </w:r>
      <w:r w:rsidRPr="00A04E56">
        <w:rPr>
          <w:szCs w:val="20"/>
        </w:rPr>
        <w:t xml:space="preserve"> in EU’s direct neighbourhood. The instrument supports key priorities in the bilateral relations between the EU and its neighbouring countries</w:t>
      </w:r>
      <w:r w:rsidRPr="00A04E56">
        <w:rPr>
          <w:rStyle w:val="fnRef"/>
          <w:rFonts w:ascii="Calibri" w:hAnsi="Calibri" w:cs="Calibri"/>
        </w:rPr>
        <w:t> </w:t>
      </w:r>
      <w:r w:rsidRPr="00A04E56">
        <w:rPr>
          <w:rStyle w:val="fnRef"/>
        </w:rPr>
        <w:t>(</w:t>
      </w:r>
      <w:r w:rsidRPr="00A04E56">
        <w:rPr>
          <w:rStyle w:val="fnRefNo"/>
        </w:rPr>
        <w:footnoteReference w:id="271"/>
      </w:r>
      <w:r w:rsidRPr="00A04E56">
        <w:rPr>
          <w:rStyle w:val="fnRef"/>
        </w:rPr>
        <w:t>)</w:t>
      </w:r>
      <w:r w:rsidRPr="00A04E56">
        <w:rPr>
          <w:szCs w:val="20"/>
        </w:rPr>
        <w:t xml:space="preserve">: democracy and rule of law, sustainable economic development, security and migration and mobility.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C30EE3" w:rsidRPr="00A04E56" w14:paraId="11EFF2DF" w14:textId="77777777" w:rsidTr="00303BC8">
        <w:trPr>
          <w:cantSplit/>
          <w:trHeight w:val="1757"/>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14:paraId="4F87FCB3" w14:textId="77777777" w:rsidR="005D36C6" w:rsidRPr="00A04E56" w:rsidRDefault="005D36C6" w:rsidP="00277538">
            <w:pPr>
              <w:keepNext/>
              <w:spacing w:after="120" w:line="276" w:lineRule="auto"/>
              <w:jc w:val="center"/>
              <w:rPr>
                <w:rFonts w:cstheme="minorHAnsi"/>
                <w:szCs w:val="20"/>
              </w:rPr>
            </w:pPr>
            <w:r w:rsidRPr="00A04E56">
              <w:rPr>
                <w:noProof/>
                <w:lang w:val="fr-BE" w:eastAsia="fr-BE"/>
              </w:rPr>
              <w:drawing>
                <wp:inline distT="0" distB="0" distL="0" distR="0" wp14:anchorId="6B220017" wp14:editId="7925BA90">
                  <wp:extent cx="468000" cy="468000"/>
                  <wp:effectExtent l="0" t="0" r="8255" b="8255"/>
                  <wp:docPr id="697" name="Picture 697" descr="G:\Production\B2 prepresse\Raimonds\2019.1745 AMPR\50 - work on images\AMPR Icons\AMPR_Icons_Send2\AMPR_Icons_Send2\Icon_42000_ENI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G:\Production\B2 prepresse\Raimonds\2019.1745 AMPR\50 - work on images\AMPR Icons\AMPR_Icons_Send2\AMPR_Icons_Send2\Icon_42000_ENI_01.emf"/>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2EF636FF" w14:textId="77777777" w:rsidR="005D36C6" w:rsidRPr="00A04E56" w:rsidRDefault="005D36C6" w:rsidP="00C53476">
            <w:pPr>
              <w:keepNext/>
              <w:spacing w:after="120" w:line="276" w:lineRule="auto"/>
              <w:rPr>
                <w:rFonts w:cstheme="minorHAnsi"/>
                <w:szCs w:val="20"/>
              </w:rPr>
            </w:pPr>
            <w:r w:rsidRPr="00A04E56">
              <w:rPr>
                <w:rFonts w:cstheme="minorHAnsi"/>
                <w:szCs w:val="20"/>
              </w:rPr>
              <w:t>Promoting human rights and fundamental freedoms, the rule of law, principles of equality and the fight against discrimination in all its forms.</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36A8918E" w14:textId="77777777" w:rsidR="005D36C6" w:rsidRPr="00A04E56" w:rsidRDefault="005D36C6" w:rsidP="00277538">
            <w:pPr>
              <w:keepNext/>
              <w:spacing w:after="120" w:line="276" w:lineRule="auto"/>
              <w:jc w:val="center"/>
              <w:rPr>
                <w:rFonts w:cstheme="minorHAnsi"/>
                <w:szCs w:val="20"/>
                <w:lang w:eastAsia="hu-HU"/>
              </w:rPr>
            </w:pPr>
            <w:r w:rsidRPr="00A04E56">
              <w:rPr>
                <w:noProof/>
                <w:lang w:val="fr-BE" w:eastAsia="fr-BE"/>
              </w:rPr>
              <w:drawing>
                <wp:inline distT="0" distB="0" distL="0" distR="0" wp14:anchorId="1524B2E1" wp14:editId="37732132">
                  <wp:extent cx="468000" cy="468000"/>
                  <wp:effectExtent l="0" t="0" r="8255" b="8255"/>
                  <wp:docPr id="696" name="Picture 696" descr="G:\Production\B2 prepresse\Raimonds\2019.1745 AMPR\50 - work on images\AMPR Icons\AMPR_Icons_Send2\AMPR_Icons_Send2\Icon_42000_ENI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G:\Production\B2 prepresse\Raimonds\2019.1745 AMPR\50 - work on images\AMPR Icons\AMPR_Icons_Send2\AMPR_Icons_Send2\Icon_42000_ENI_02.emf"/>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7BE4C1E9" w14:textId="77777777" w:rsidR="005D36C6" w:rsidRPr="00A04E56" w:rsidRDefault="005D36C6" w:rsidP="00C53476">
            <w:pPr>
              <w:keepNext/>
              <w:spacing w:after="120" w:line="276" w:lineRule="auto"/>
              <w:rPr>
                <w:rFonts w:cstheme="minorHAnsi"/>
                <w:szCs w:val="20"/>
              </w:rPr>
            </w:pPr>
            <w:r w:rsidRPr="00A04E56">
              <w:rPr>
                <w:rFonts w:cstheme="minorHAnsi"/>
                <w:szCs w:val="20"/>
              </w:rPr>
              <w:t>Achieving progressive integration into the EU internal market and enhanced sectoral and cross-sectoral cooperation.</w:t>
            </w:r>
          </w:p>
        </w:tc>
      </w:tr>
      <w:tr w:rsidR="00C30EE3" w:rsidRPr="00A04E56" w14:paraId="039C3E78" w14:textId="77777777" w:rsidTr="00303BC8">
        <w:trPr>
          <w:cantSplit/>
          <w:trHeight w:val="1474"/>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3D4505CA" w14:textId="77777777" w:rsidR="005D36C6" w:rsidRPr="00A04E56" w:rsidRDefault="005D36C6" w:rsidP="00277538">
            <w:pPr>
              <w:keepNext/>
              <w:spacing w:after="120" w:line="276" w:lineRule="auto"/>
              <w:jc w:val="center"/>
              <w:rPr>
                <w:rFonts w:cstheme="minorHAnsi"/>
                <w:szCs w:val="20"/>
                <w:lang w:eastAsia="hu-HU"/>
              </w:rPr>
            </w:pPr>
            <w:r w:rsidRPr="00A04E56">
              <w:rPr>
                <w:noProof/>
                <w:lang w:val="fr-BE" w:eastAsia="fr-BE"/>
              </w:rPr>
              <w:drawing>
                <wp:inline distT="0" distB="0" distL="0" distR="0" wp14:anchorId="5F863FB6" wp14:editId="56CD50CE">
                  <wp:extent cx="468000" cy="468000"/>
                  <wp:effectExtent l="0" t="0" r="8255" b="8255"/>
                  <wp:docPr id="695" name="Picture 695" descr="G:\Production\B2 prepresse\Raimonds\2019.1745 AMPR\50 - work on images\AMPR Icons\AMPR_Icons_Send2\AMPR_Icons_Send2\Icon_42000_ENI_0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Production\B2 prepresse\Raimonds\2019.1745 AMPR\50 - work on images\AMPR Icons\AMPR_Icons_Send2\AMPR_Icons_Send2\Icon_42000_ENI_03.emf"/>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1BFBF9BE" w14:textId="77777777" w:rsidR="005D36C6" w:rsidRPr="00A04E56" w:rsidRDefault="005D36C6" w:rsidP="00C53476">
            <w:pPr>
              <w:keepNext/>
              <w:spacing w:after="120" w:line="276" w:lineRule="auto"/>
              <w:rPr>
                <w:rFonts w:cstheme="minorHAnsi"/>
                <w:szCs w:val="20"/>
              </w:rPr>
            </w:pPr>
            <w:r w:rsidRPr="00A04E56">
              <w:rPr>
                <w:rFonts w:cstheme="minorHAnsi"/>
                <w:szCs w:val="20"/>
              </w:rPr>
              <w:t>Creating conditions for the better organisation of legal migration and the fostering of well-managed mobility of people.</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2CA89BF5" w14:textId="77777777" w:rsidR="005D36C6" w:rsidRPr="00A04E56" w:rsidRDefault="005D36C6" w:rsidP="00277538">
            <w:pPr>
              <w:keepNext/>
              <w:spacing w:after="120" w:line="276" w:lineRule="auto"/>
              <w:jc w:val="center"/>
              <w:rPr>
                <w:lang w:eastAsia="hu-HU"/>
              </w:rPr>
            </w:pPr>
            <w:r w:rsidRPr="00A04E56">
              <w:rPr>
                <w:noProof/>
                <w:lang w:val="fr-BE" w:eastAsia="fr-BE"/>
              </w:rPr>
              <w:drawing>
                <wp:inline distT="0" distB="0" distL="0" distR="0" wp14:anchorId="0ACDA83E" wp14:editId="1DA1E048">
                  <wp:extent cx="468000" cy="468000"/>
                  <wp:effectExtent l="0" t="0" r="8255" b="8255"/>
                  <wp:docPr id="694" name="Picture 694" descr="G:\Production\B2 prepresse\Raimonds\2019.1745 AMPR\50 - work on images\AMPR Icons\AMPR_Icons_Send2\AMPR_Icons_Send2\Icon_42000_ENI_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G:\Production\B2 prepresse\Raimonds\2019.1745 AMPR\50 - work on images\AMPR Icons\AMPR_Icons_Send2\AMPR_Icons_Send2\Icon_42000_ENI_04.emf"/>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5B73C6BE" w14:textId="77777777" w:rsidR="005D36C6" w:rsidRPr="00A04E56" w:rsidRDefault="005D36C6" w:rsidP="00C53476">
            <w:pPr>
              <w:keepNext/>
              <w:spacing w:after="120" w:line="276" w:lineRule="auto"/>
              <w:rPr>
                <w:rFonts w:cstheme="minorHAnsi"/>
                <w:szCs w:val="20"/>
              </w:rPr>
            </w:pPr>
            <w:r w:rsidRPr="00A04E56">
              <w:rPr>
                <w:rFonts w:cstheme="minorHAnsi"/>
                <w:szCs w:val="20"/>
              </w:rPr>
              <w:t>Supporting smart, sustainable and inclusive development in all aspects.</w:t>
            </w:r>
          </w:p>
        </w:tc>
      </w:tr>
      <w:tr w:rsidR="00C30EE3" w:rsidRPr="00A04E56" w14:paraId="1B13F099" w14:textId="77777777" w:rsidTr="00303BC8">
        <w:trPr>
          <w:cantSplit/>
          <w:trHeight w:val="2098"/>
          <w:jc w:val="center"/>
        </w:trPr>
        <w:tc>
          <w:tcPr>
            <w:tcW w:w="1361"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1C153419" w14:textId="77777777" w:rsidR="005D36C6" w:rsidRPr="00A04E56" w:rsidRDefault="005D36C6" w:rsidP="00277538">
            <w:pPr>
              <w:spacing w:after="120" w:line="276" w:lineRule="auto"/>
              <w:jc w:val="center"/>
              <w:rPr>
                <w:rFonts w:cstheme="minorHAnsi"/>
                <w:szCs w:val="20"/>
                <w:lang w:eastAsia="hu-HU"/>
              </w:rPr>
            </w:pPr>
            <w:r w:rsidRPr="00A04E56">
              <w:rPr>
                <w:noProof/>
                <w:lang w:val="fr-BE" w:eastAsia="fr-BE"/>
              </w:rPr>
              <w:drawing>
                <wp:inline distT="0" distB="0" distL="0" distR="0" wp14:anchorId="5BFD39AA" wp14:editId="6625DDC8">
                  <wp:extent cx="468000" cy="468000"/>
                  <wp:effectExtent l="0" t="0" r="8255" b="8255"/>
                  <wp:docPr id="693" name="Picture 693" descr="G:\Production\B2 prepresse\Raimonds\2019.1745 AMPR\50 - work on images\AMPR Icons\AMPR_Icons_Send2\AMPR_Icons_Send2\Icon_42000_ENI_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Production\B2 prepresse\Raimonds\2019.1745 AMPR\50 - work on images\AMPR Icons\AMPR_Icons_Send2\AMPR_Icons_Send2\Icon_42000_ENI_05.emf"/>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tcPr>
          <w:p w14:paraId="747C66E4" w14:textId="77777777" w:rsidR="005D36C6" w:rsidRPr="00A04E56" w:rsidRDefault="005D36C6" w:rsidP="00FC5564">
            <w:pPr>
              <w:spacing w:after="120" w:line="276" w:lineRule="auto"/>
              <w:rPr>
                <w:rFonts w:cstheme="minorHAnsi"/>
                <w:szCs w:val="20"/>
              </w:rPr>
            </w:pPr>
            <w:r w:rsidRPr="00A04E56">
              <w:rPr>
                <w:rFonts w:cstheme="minorHAnsi"/>
                <w:szCs w:val="20"/>
              </w:rPr>
              <w:t>Promoting confidence</w:t>
            </w:r>
            <w:r w:rsidRPr="00A04E56" w:rsidDel="008037C2">
              <w:rPr>
                <w:rFonts w:cstheme="minorHAnsi"/>
                <w:szCs w:val="20"/>
              </w:rPr>
              <w:t xml:space="preserve"> </w:t>
            </w:r>
            <w:r w:rsidRPr="00A04E56">
              <w:rPr>
                <w:rFonts w:cstheme="minorHAnsi"/>
                <w:szCs w:val="20"/>
              </w:rPr>
              <w:t>building, good neighbourly relations and other measures contributing to security in all its forms and the prevention and settlement of conflicts.</w:t>
            </w:r>
          </w:p>
        </w:tc>
        <w:tc>
          <w:tcPr>
            <w:tcW w:w="1361" w:type="dxa"/>
            <w:tcBorders>
              <w:top w:val="single" w:sz="8" w:space="0" w:color="FFFFFF" w:themeColor="background1"/>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6384216D" w14:textId="77777777" w:rsidR="005D36C6" w:rsidRPr="00A04E56" w:rsidRDefault="005D36C6" w:rsidP="00277538">
            <w:pPr>
              <w:spacing w:after="120" w:line="276" w:lineRule="auto"/>
              <w:jc w:val="center"/>
              <w:rPr>
                <w:lang w:eastAsia="hu-HU"/>
              </w:rPr>
            </w:pPr>
            <w:r w:rsidRPr="00A04E56">
              <w:rPr>
                <w:noProof/>
                <w:lang w:val="fr-BE" w:eastAsia="fr-BE"/>
              </w:rPr>
              <w:drawing>
                <wp:inline distT="0" distB="0" distL="0" distR="0" wp14:anchorId="5F9E60D8" wp14:editId="55BA2144">
                  <wp:extent cx="468000" cy="468000"/>
                  <wp:effectExtent l="0" t="0" r="8255" b="8255"/>
                  <wp:docPr id="692" name="Picture 692" descr="G:\Production\B2 prepresse\Raimonds\2019.1745 AMPR\50 - work on images\AMPR Icons\AMPR_Icons_Send2\AMPR_Icons_Send2\Icon_42000_ENI_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G:\Production\B2 prepresse\Raimonds\2019.1745 AMPR\50 - work on images\AMPR Icons\AMPR_Icons_Send2\AMPR_Icons_Send2\Icon_42000_ENI_06.emf"/>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FFFFFF" w:themeColor="background1"/>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tcPr>
          <w:p w14:paraId="5F034250" w14:textId="77777777" w:rsidR="005D36C6" w:rsidRPr="00A04E56" w:rsidRDefault="005D36C6" w:rsidP="00FC5564">
            <w:pPr>
              <w:spacing w:after="120" w:line="276" w:lineRule="auto"/>
              <w:rPr>
                <w:rFonts w:cstheme="minorHAnsi"/>
                <w:szCs w:val="20"/>
              </w:rPr>
            </w:pPr>
            <w:r w:rsidRPr="00A04E56">
              <w:rPr>
                <w:rFonts w:cstheme="minorHAnsi"/>
                <w:szCs w:val="20"/>
              </w:rPr>
              <w:t>Enhancing sub-regional, regional and European Neighbourhood-wide collaboration as well as cross-border cooperation.</w:t>
            </w:r>
          </w:p>
        </w:tc>
      </w:tr>
    </w:tbl>
    <w:p w14:paraId="4F5014FF" w14:textId="41BFC05C" w:rsidR="005D36C6" w:rsidRPr="00A04E56" w:rsidRDefault="008C1D39" w:rsidP="00AA0340">
      <w:pPr>
        <w:pStyle w:val="Title3NumberedReport"/>
      </w:pPr>
      <w:bookmarkStart w:id="195" w:name="_Toc4603986"/>
      <w:bookmarkStart w:id="196" w:name="_Toc4680773"/>
      <w:bookmarkStart w:id="197" w:name="_Toc4683046"/>
      <w:bookmarkStart w:id="198" w:name="_Toc4683107"/>
      <w:r w:rsidRPr="00A04E56">
        <w:t>Implementation and latest achievements</w:t>
      </w:r>
    </w:p>
    <w:p w14:paraId="4E424DE2" w14:textId="74435EEA" w:rsidR="005D36C6" w:rsidRPr="00A04E56" w:rsidRDefault="008C1D39" w:rsidP="005D36C6">
      <w:pPr>
        <w:pStyle w:val="BodyText1spaceafter"/>
      </w:pPr>
      <w:r w:rsidRPr="00A04E56">
        <w:rPr>
          <w:i/>
          <w:u w:val="single"/>
        </w:rPr>
        <w:t>In 2018</w:t>
      </w:r>
      <w:r w:rsidR="005D36C6" w:rsidRPr="00A04E56">
        <w:t>, EUR</w:t>
      </w:r>
      <w:r w:rsidR="005D36C6" w:rsidRPr="00A04E56">
        <w:rPr>
          <w:rFonts w:ascii="Calibri" w:hAnsi="Calibri" w:cs="Calibri"/>
        </w:rPr>
        <w:t> </w:t>
      </w:r>
      <w:r w:rsidR="005D36C6" w:rsidRPr="00A04E56">
        <w:t>2.38 billion was committed</w:t>
      </w:r>
      <w:r w:rsidR="005D36C6" w:rsidRPr="00A04E56" w:rsidDel="002109E1">
        <w:t xml:space="preserve"> </w:t>
      </w:r>
      <w:r w:rsidR="005D36C6" w:rsidRPr="00A04E56">
        <w:t xml:space="preserve">to bilateral, regional and cross-border cooperation programmes (including projects via the EU Trust Funds: </w:t>
      </w:r>
      <w:r w:rsidR="005D36C6" w:rsidRPr="00A04E56">
        <w:rPr>
          <w:rStyle w:val="BOLDLIGHTBLUEReport"/>
          <w:rFonts w:eastAsia="Calibri"/>
        </w:rPr>
        <w:t xml:space="preserve">European Union Regional Trust Fund in response to the Syrian crisis, </w:t>
      </w:r>
      <w:r w:rsidR="005D36C6" w:rsidRPr="00A04E56">
        <w:rPr>
          <w:rStyle w:val="BOLDLIGHTBLUEReport"/>
          <w:rFonts w:eastAsiaTheme="minorHAnsi"/>
        </w:rPr>
        <w:t>European Union Emergency Trust Fund for Africa</w:t>
      </w:r>
      <w:r w:rsidR="005D36C6" w:rsidRPr="00A04E56">
        <w:t xml:space="preserve"> and the </w:t>
      </w:r>
      <w:r w:rsidR="005D36C6" w:rsidRPr="00A04E56">
        <w:rPr>
          <w:rStyle w:val="BOLDLIGHTBLUEReport"/>
          <w:rFonts w:eastAsia="Calibri"/>
        </w:rPr>
        <w:t>Neighbourhood Investment Facility</w:t>
      </w:r>
      <w:r w:rsidR="005D36C6" w:rsidRPr="00A04E56">
        <w:t xml:space="preserve">), responding to the challenges set out in the context of the Neighbourhood Policy. </w:t>
      </w:r>
    </w:p>
    <w:p w14:paraId="60B2A95F" w14:textId="77777777" w:rsidR="005D36C6" w:rsidRPr="00A04E56" w:rsidRDefault="005D36C6" w:rsidP="005D36C6">
      <w:pPr>
        <w:pStyle w:val="BodyText1spaceafter"/>
      </w:pPr>
      <w:r w:rsidRPr="00A04E56">
        <w:t>In line with the revised European Neighbourhood Policy</w:t>
      </w:r>
      <w:r w:rsidRPr="00A04E56">
        <w:rPr>
          <w:rStyle w:val="fnRef"/>
          <w:rFonts w:ascii="Calibri" w:hAnsi="Calibri" w:cs="Calibri"/>
        </w:rPr>
        <w:t> </w:t>
      </w:r>
      <w:r w:rsidRPr="00A04E56">
        <w:rPr>
          <w:rStyle w:val="fnRef"/>
        </w:rPr>
        <w:t>(</w:t>
      </w:r>
      <w:r w:rsidRPr="00A04E56">
        <w:rPr>
          <w:rStyle w:val="fnRefNo"/>
        </w:rPr>
        <w:footnoteReference w:id="272"/>
      </w:r>
      <w:r w:rsidRPr="00A04E56">
        <w:rPr>
          <w:rStyle w:val="fnRef"/>
        </w:rPr>
        <w:t>)</w:t>
      </w:r>
      <w:r w:rsidRPr="00A04E56">
        <w:t>, stabilisation remains the main political objective in the Southern Neighbourhood. It is advancing through supporting economic growth,</w:t>
      </w:r>
      <w:r w:rsidRPr="00A04E56" w:rsidDel="00AA2000">
        <w:t xml:space="preserve"> </w:t>
      </w:r>
      <w:r w:rsidRPr="00A04E56">
        <w:t>good governance, rule of law, compliance with human rights and through enhancing security and cooperating on migration and mobility with partner countries.</w:t>
      </w:r>
    </w:p>
    <w:p w14:paraId="41188C49" w14:textId="77777777" w:rsidR="005D36C6" w:rsidRPr="00A04E56" w:rsidRDefault="005D36C6" w:rsidP="005D36C6">
      <w:pPr>
        <w:pStyle w:val="BodyText1spaceafter"/>
      </w:pPr>
      <w:r w:rsidRPr="00A04E56">
        <w:t>The instrument proved a flexible and responsive instrument to address political priorities and react to protracted crises (refugee crisis, crises in Syria and Ukraine).</w:t>
      </w:r>
    </w:p>
    <w:p w14:paraId="65CAA023" w14:textId="77777777" w:rsidR="005D36C6" w:rsidRPr="00A04E56" w:rsidRDefault="005D36C6" w:rsidP="005D36C6">
      <w:pPr>
        <w:pStyle w:val="BodyText1spaceafter"/>
      </w:pPr>
      <w:r w:rsidRPr="00A04E56">
        <w:t xml:space="preserve">The European Neighbourhood Instrument has been pivotal in the EU response to crises in the </w:t>
      </w:r>
      <w:r w:rsidRPr="00A04E56">
        <w:rPr>
          <w:rStyle w:val="BOLDLIGHTBLUEReport"/>
          <w:rFonts w:eastAsia="Calibri"/>
        </w:rPr>
        <w:t>Southern</w:t>
      </w:r>
      <w:r w:rsidRPr="00A04E56">
        <w:t xml:space="preserve"> </w:t>
      </w:r>
      <w:r w:rsidRPr="00A04E56">
        <w:rPr>
          <w:rStyle w:val="BOLDLIGHTBLUEReport"/>
          <w:rFonts w:eastAsiaTheme="minorHAnsi"/>
        </w:rPr>
        <w:t>Neighbourhood</w:t>
      </w:r>
      <w:r w:rsidRPr="00A04E56">
        <w:t>.</w:t>
      </w:r>
    </w:p>
    <w:p w14:paraId="296E53D4" w14:textId="579D1A83" w:rsidR="005D36C6" w:rsidRPr="00A04E56" w:rsidRDefault="005D36C6" w:rsidP="005D36C6">
      <w:pPr>
        <w:pStyle w:val="BodyText1spaceafter"/>
      </w:pPr>
      <w:r w:rsidRPr="00A04E56">
        <w:t xml:space="preserve">Through the European Neighbourhood Instrument, the EU has responded to the </w:t>
      </w:r>
      <w:r w:rsidRPr="00A04E56">
        <w:rPr>
          <w:rStyle w:val="BOLDLIGHTBLUEReport"/>
          <w:rFonts w:eastAsiaTheme="minorHAnsi"/>
        </w:rPr>
        <w:t>Syrian crisis</w:t>
      </w:r>
      <w:r w:rsidRPr="00A04E56">
        <w:t xml:space="preserve"> by supporting the broader needs of the Syrian population inside the country and in neighbouring Iraq, Jordan and Lebanon. Part of that funding has been channelled for implementation to the EU Regional Trust Fund in Response to the Syrian Crisis.</w:t>
      </w:r>
      <w:r w:rsidRPr="00A04E56" w:rsidDel="00A80E66">
        <w:t xml:space="preserve"> </w:t>
      </w:r>
      <w:r w:rsidRPr="00A04E56">
        <w:t>As of 30</w:t>
      </w:r>
      <w:r w:rsidRPr="00A04E56">
        <w:rPr>
          <w:rFonts w:ascii="Calibri" w:hAnsi="Calibri" w:cs="Calibri"/>
        </w:rPr>
        <w:t> </w:t>
      </w:r>
      <w:r w:rsidRPr="00A04E56">
        <w:t>September</w:t>
      </w:r>
      <w:r w:rsidRPr="00A04E56">
        <w:rPr>
          <w:rFonts w:ascii="Calibri" w:hAnsi="Calibri" w:cs="Calibri"/>
        </w:rPr>
        <w:t> </w:t>
      </w:r>
      <w:r w:rsidRPr="00A04E56">
        <w:t>2018, more than 1.9</w:t>
      </w:r>
      <w:r w:rsidRPr="00A04E56">
        <w:rPr>
          <w:rFonts w:ascii="Calibri" w:hAnsi="Calibri" w:cs="Calibri"/>
        </w:rPr>
        <w:t> million</w:t>
      </w:r>
      <w:r w:rsidRPr="00A04E56">
        <w:t xml:space="preserve"> individuals were being supported via the different projects. This data is based on the first 40 projects of the EU Trust Fund, equalling funding of EUR</w:t>
      </w:r>
      <w:r w:rsidRPr="00A04E56">
        <w:rPr>
          <w:rFonts w:ascii="Calibri" w:hAnsi="Calibri" w:cs="Calibri"/>
        </w:rPr>
        <w:t> </w:t>
      </w:r>
      <w:r w:rsidRPr="00A04E56">
        <w:t>800</w:t>
      </w:r>
      <w:r w:rsidRPr="00A04E56">
        <w:rPr>
          <w:rFonts w:ascii="Calibri" w:hAnsi="Calibri" w:cs="Calibri"/>
        </w:rPr>
        <w:t> million</w:t>
      </w:r>
      <w:r w:rsidRPr="00A04E56">
        <w:t>. The EU Trust Fund is active mainly in Iraq, Jordan, Lebanon</w:t>
      </w:r>
      <w:r w:rsidR="00091924" w:rsidRPr="00A04E56">
        <w:t xml:space="preserve"> and</w:t>
      </w:r>
      <w:r w:rsidRPr="00A04E56">
        <w:t xml:space="preserve"> Turkey and tackles the education, livelihood, health and water, sanitation and hygiene sectors.</w:t>
      </w:r>
    </w:p>
    <w:p w14:paraId="0892C230" w14:textId="77777777" w:rsidR="005D36C6" w:rsidRPr="00A04E56" w:rsidRDefault="005D36C6" w:rsidP="005D36C6">
      <w:pPr>
        <w:pStyle w:val="BodyText1spaceafter"/>
      </w:pPr>
      <w:r w:rsidRPr="00A04E56">
        <w:t>Education and protection-related actions show good progress. More than 200</w:t>
      </w:r>
      <w:r w:rsidRPr="00A04E56">
        <w:rPr>
          <w:rFonts w:ascii="Calibri" w:hAnsi="Calibri" w:cs="Calibri"/>
        </w:rPr>
        <w:t> </w:t>
      </w:r>
      <w:r w:rsidRPr="00A04E56">
        <w:t xml:space="preserve">000 children and young people now have access to basic and higher education, psychosocial support and protection against gender-based violence. The total results so far for the </w:t>
      </w:r>
      <w:r w:rsidRPr="00A04E56">
        <w:rPr>
          <w:rStyle w:val="BOLDLIGHTBLUEReport"/>
          <w:rFonts w:eastAsiaTheme="minorHAnsi"/>
        </w:rPr>
        <w:t>education</w:t>
      </w:r>
      <w:r w:rsidRPr="00A04E56">
        <w:t xml:space="preserve"> sector are 180</w:t>
      </w:r>
      <w:r w:rsidRPr="00A04E56">
        <w:rPr>
          <w:rFonts w:ascii="Calibri" w:hAnsi="Calibri" w:cs="Calibri"/>
        </w:rPr>
        <w:t> </w:t>
      </w:r>
      <w:r w:rsidRPr="00A04E56">
        <w:t>356 individuals with access to basic education; 12</w:t>
      </w:r>
      <w:r w:rsidRPr="00A04E56">
        <w:rPr>
          <w:rFonts w:ascii="Calibri" w:hAnsi="Calibri" w:cs="Calibri"/>
        </w:rPr>
        <w:t> </w:t>
      </w:r>
      <w:r w:rsidRPr="00A04E56">
        <w:t>646 teachers trained; 177 education facilities constructed or refurbished; 6</w:t>
      </w:r>
      <w:r w:rsidRPr="00A04E56">
        <w:rPr>
          <w:rFonts w:ascii="Calibri" w:hAnsi="Calibri" w:cs="Calibri"/>
        </w:rPr>
        <w:t> </w:t>
      </w:r>
      <w:r w:rsidRPr="00A04E56">
        <w:t>501 young people with access to higher and further education.</w:t>
      </w:r>
    </w:p>
    <w:p w14:paraId="01305A92" w14:textId="410EF5D2" w:rsidR="005D36C6" w:rsidRPr="00A04E56" w:rsidRDefault="005D36C6" w:rsidP="005D36C6">
      <w:pPr>
        <w:pStyle w:val="BodyText1spaceafter"/>
      </w:pPr>
      <w:r w:rsidRPr="00A04E56">
        <w:rPr>
          <w:lang w:eastAsia="en-US"/>
        </w:rPr>
        <w:t xml:space="preserve">The </w:t>
      </w:r>
      <w:r w:rsidRPr="00A04E56">
        <w:t xml:space="preserve">European Neighbourhood Instrument finances EU Regional Trust Funds together with other instruments such as the </w:t>
      </w:r>
      <w:r w:rsidRPr="00A04E56">
        <w:rPr>
          <w:lang w:eastAsia="en-US"/>
        </w:rPr>
        <w:t xml:space="preserve">Development Cooperation Instrument. For example the </w:t>
      </w:r>
      <w:r w:rsidRPr="00A04E56">
        <w:t xml:space="preserve">European Union Regional Trust Fund in response to the Syrian crisis, which promotes a better </w:t>
      </w:r>
      <w:r w:rsidRPr="00A04E56">
        <w:rPr>
          <w:rStyle w:val="BOLDLIGHTBLUEReport"/>
          <w:rFonts w:eastAsiaTheme="minorHAnsi"/>
        </w:rPr>
        <w:t>livelihood</w:t>
      </w:r>
      <w:r w:rsidRPr="00A04E56">
        <w:t xml:space="preserve"> for refugees and host communities, through better employability, increased financial capacity and better target-group productive capacities. Results in the livelihood sector have so far reached 75</w:t>
      </w:r>
      <w:r w:rsidRPr="00A04E56">
        <w:rPr>
          <w:rFonts w:ascii="Calibri" w:hAnsi="Calibri" w:cs="Calibri"/>
        </w:rPr>
        <w:t> </w:t>
      </w:r>
      <w:r w:rsidRPr="00A04E56">
        <w:t>317 individuals and 738 organisations, namely micro, small and medium-sized enterprises in the region.</w:t>
      </w:r>
    </w:p>
    <w:p w14:paraId="370F502E" w14:textId="79B781FE" w:rsidR="005D36C6" w:rsidRPr="00A04E56" w:rsidRDefault="005D36C6" w:rsidP="005D36C6">
      <w:pPr>
        <w:pStyle w:val="BodyText1spaceafter"/>
      </w:pPr>
      <w:r w:rsidRPr="00A04E56">
        <w:t>This EU Trust Fund provided 856</w:t>
      </w:r>
      <w:r w:rsidRPr="00A04E56">
        <w:rPr>
          <w:rFonts w:ascii="Calibri" w:hAnsi="Calibri" w:cs="Calibri"/>
        </w:rPr>
        <w:t> </w:t>
      </w:r>
      <w:r w:rsidRPr="00A04E56">
        <w:t xml:space="preserve">889 individuals with access to </w:t>
      </w:r>
      <w:r w:rsidRPr="00A04E56">
        <w:rPr>
          <w:rStyle w:val="BOLDLIGHTBLUEReport"/>
          <w:rFonts w:eastAsiaTheme="minorHAnsi"/>
        </w:rPr>
        <w:t>health</w:t>
      </w:r>
      <w:r w:rsidR="003B6127" w:rsidRPr="00A04E56">
        <w:rPr>
          <w:rStyle w:val="BOLDLIGHTBLUEReport"/>
          <w:rFonts w:eastAsiaTheme="minorHAnsi"/>
        </w:rPr>
        <w:t xml:space="preserve"> </w:t>
      </w:r>
      <w:r w:rsidRPr="00A04E56">
        <w:rPr>
          <w:rStyle w:val="BOLDLIGHTBLUEReport"/>
          <w:rFonts w:eastAsiaTheme="minorHAnsi"/>
        </w:rPr>
        <w:t>care</w:t>
      </w:r>
      <w:r w:rsidRPr="00A04E56">
        <w:t>, 3</w:t>
      </w:r>
      <w:r w:rsidRPr="00A04E56">
        <w:rPr>
          <w:rFonts w:ascii="Calibri" w:hAnsi="Calibri" w:cs="Calibri"/>
        </w:rPr>
        <w:t> </w:t>
      </w:r>
      <w:r w:rsidRPr="00A04E56">
        <w:t xml:space="preserve">838 health personnel with training and 66 primary health centres and hospitals in the region with equipment or refurbishment. In the </w:t>
      </w:r>
      <w:r w:rsidRPr="00A04E56">
        <w:rPr>
          <w:rStyle w:val="BOLDLIGHTBLUEReport"/>
          <w:rFonts w:eastAsiaTheme="minorHAnsi"/>
        </w:rPr>
        <w:t>water, sanitation and hygiene</w:t>
      </w:r>
      <w:r w:rsidRPr="00A04E56">
        <w:t xml:space="preserve"> sector the EU Trust Fund benefited 59</w:t>
      </w:r>
      <w:r w:rsidRPr="00A04E56">
        <w:rPr>
          <w:rFonts w:ascii="Calibri" w:hAnsi="Calibri" w:cs="Calibri"/>
        </w:rPr>
        <w:t> </w:t>
      </w:r>
      <w:r w:rsidRPr="00A04E56">
        <w:t>944 people. A total of 37 (of 128 planned) water and waste</w:t>
      </w:r>
      <w:r w:rsidR="003B6127" w:rsidRPr="00A04E56">
        <w:t>water</w:t>
      </w:r>
      <w:r w:rsidRPr="00A04E56">
        <w:t xml:space="preserve"> facilities have been completed.</w:t>
      </w:r>
    </w:p>
    <w:p w14:paraId="6183D6F1" w14:textId="45AF6A2F" w:rsidR="005D36C6" w:rsidRPr="00A04E56" w:rsidRDefault="005D36C6" w:rsidP="005D36C6">
      <w:pPr>
        <w:pStyle w:val="BodyText1spaceafter"/>
      </w:pPr>
      <w:r w:rsidRPr="00A04E56">
        <w:t xml:space="preserve">As the dedicated instrument to address the </w:t>
      </w:r>
      <w:r w:rsidRPr="00A04E56">
        <w:rPr>
          <w:rStyle w:val="BOLDLIGHTBLUEReport"/>
          <w:rFonts w:eastAsiaTheme="minorHAnsi"/>
        </w:rPr>
        <w:t>migration crisis in EU Neighbourhood</w:t>
      </w:r>
      <w:r w:rsidRPr="00A04E56">
        <w:t xml:space="preserve">, the </w:t>
      </w:r>
      <w:r w:rsidR="00835302" w:rsidRPr="00A04E56">
        <w:rPr>
          <w:rStyle w:val="BOLDLIGHTBLUEReport"/>
          <w:rFonts w:eastAsiaTheme="minorHAnsi"/>
        </w:rPr>
        <w:t>n</w:t>
      </w:r>
      <w:r w:rsidRPr="00A04E56">
        <w:rPr>
          <w:rStyle w:val="BOLDLIGHTBLUEReport"/>
          <w:rFonts w:eastAsiaTheme="minorHAnsi"/>
        </w:rPr>
        <w:t xml:space="preserve">orth of Africa </w:t>
      </w:r>
      <w:r w:rsidR="006F3EAB" w:rsidRPr="00A04E56">
        <w:rPr>
          <w:rStyle w:val="BOLDLIGHTBLUEReport"/>
          <w:rFonts w:eastAsiaTheme="minorHAnsi"/>
        </w:rPr>
        <w:t>(</w:t>
      </w:r>
      <w:r w:rsidRPr="00A04E56">
        <w:rPr>
          <w:rStyle w:val="BOLDLIGHTBLUEReport"/>
          <w:rFonts w:eastAsiaTheme="minorHAnsi"/>
        </w:rPr>
        <w:t>EU Emergency Trust Fund for Africa</w:t>
      </w:r>
      <w:r w:rsidR="00024EF7" w:rsidRPr="00A04E56">
        <w:rPr>
          <w:rStyle w:val="fnRef"/>
          <w:rFonts w:ascii="Calibri" w:hAnsi="Calibri"/>
        </w:rPr>
        <w:t> </w:t>
      </w:r>
      <w:r w:rsidRPr="00A04E56">
        <w:rPr>
          <w:rStyle w:val="fnRef"/>
        </w:rPr>
        <w:t>(</w:t>
      </w:r>
      <w:r w:rsidRPr="00A04E56">
        <w:rPr>
          <w:rStyle w:val="fnRefNo"/>
        </w:rPr>
        <w:footnoteReference w:id="273"/>
      </w:r>
      <w:r w:rsidRPr="00A04E56">
        <w:rPr>
          <w:rStyle w:val="fnRef"/>
        </w:rPr>
        <w:t>)</w:t>
      </w:r>
      <w:r w:rsidR="006F3EAB" w:rsidRPr="00277538">
        <w:rPr>
          <w:rStyle w:val="BOLDLIGHTBLUEReport"/>
          <w:rFonts w:eastAsiaTheme="minorHAnsi"/>
        </w:rPr>
        <w:t>)</w:t>
      </w:r>
      <w:r w:rsidRPr="00277538">
        <w:rPr>
          <w:rStyle w:val="BOLDLIGHTBLUEReport"/>
          <w:rFonts w:eastAsiaTheme="minorHAnsi"/>
        </w:rPr>
        <w:t xml:space="preserve"> </w:t>
      </w:r>
      <w:r w:rsidRPr="00A04E56">
        <w:t>has continued to increase its reach considerably with 10 new programmes approved over five countries for EUR</w:t>
      </w:r>
      <w:r w:rsidRPr="00A04E56">
        <w:rPr>
          <w:rFonts w:ascii="Calibri" w:hAnsi="Calibri" w:cs="Calibri"/>
        </w:rPr>
        <w:t> </w:t>
      </w:r>
      <w:r w:rsidRPr="00A04E56">
        <w:t>285</w:t>
      </w:r>
      <w:r w:rsidRPr="00A04E56">
        <w:rPr>
          <w:rFonts w:ascii="Calibri" w:hAnsi="Calibri" w:cs="Calibri"/>
        </w:rPr>
        <w:t> million</w:t>
      </w:r>
      <w:r w:rsidRPr="00A04E56">
        <w:t xml:space="preserve"> </w:t>
      </w:r>
      <w:r w:rsidR="008C1D39" w:rsidRPr="00A04E56">
        <w:rPr>
          <w:i/>
          <w:u w:val="single"/>
        </w:rPr>
        <w:t>in 2018</w:t>
      </w:r>
      <w:r w:rsidRPr="00A04E56">
        <w:t xml:space="preserve">, including contributions to two cross-regional programmes and the expansion of ongoing actions. In </w:t>
      </w:r>
      <w:r w:rsidRPr="00A04E56">
        <w:rPr>
          <w:rStyle w:val="BOLDLIGHTBLUEReport"/>
          <w:rFonts w:eastAsiaTheme="minorHAnsi"/>
        </w:rPr>
        <w:t>Libya</w:t>
      </w:r>
      <w:r w:rsidRPr="00A04E56" w:rsidDel="0009448E">
        <w:t xml:space="preserve"> </w:t>
      </w:r>
      <w:r w:rsidRPr="00A04E56">
        <w:t xml:space="preserve">the EU increased its support to local governance and municipalities throughout 2018, bringing the overall EU contribution to Libyan municipalities to </w:t>
      </w:r>
      <w:r w:rsidRPr="00A04E56" w:rsidDel="00871961">
        <w:t xml:space="preserve">more </w:t>
      </w:r>
      <w:r w:rsidRPr="00A04E56">
        <w:t>than EUR</w:t>
      </w:r>
      <w:r w:rsidRPr="00A04E56">
        <w:rPr>
          <w:rFonts w:ascii="Calibri" w:hAnsi="Calibri" w:cs="Calibri"/>
        </w:rPr>
        <w:t> </w:t>
      </w:r>
      <w:r w:rsidRPr="00A04E56">
        <w:t>100</w:t>
      </w:r>
      <w:r w:rsidRPr="00A04E56">
        <w:rPr>
          <w:rFonts w:ascii="Calibri" w:hAnsi="Calibri" w:cs="Calibri"/>
        </w:rPr>
        <w:t> million</w:t>
      </w:r>
      <w:r w:rsidRPr="00A04E56">
        <w:t xml:space="preserve"> </w:t>
      </w:r>
      <w:r w:rsidR="008C1D39" w:rsidRPr="00A04E56">
        <w:rPr>
          <w:i/>
          <w:u w:val="single"/>
        </w:rPr>
        <w:t>in 2018</w:t>
      </w:r>
      <w:r w:rsidRPr="00A04E56">
        <w:t>, with 49 municipalities targeted (</w:t>
      </w:r>
      <w:r w:rsidRPr="00A04E56" w:rsidDel="00871961">
        <w:t xml:space="preserve">this </w:t>
      </w:r>
      <w:r w:rsidRPr="00A04E56">
        <w:t xml:space="preserve">represents 42% of all Libyan municipalities). Activities are spread across the country, targeting different regions and concentrating on the capacity building of municipal authorities as well as strengthening relationships between municipal players: both state and non-state players. </w:t>
      </w:r>
    </w:p>
    <w:p w14:paraId="19D9C5E0" w14:textId="102B936E" w:rsidR="005D36C6" w:rsidRPr="00A04E56" w:rsidRDefault="005D36C6" w:rsidP="005D36C6">
      <w:pPr>
        <w:pStyle w:val="BodyText1spaceafter"/>
      </w:pPr>
      <w:r w:rsidRPr="00A04E56">
        <w:rPr>
          <w:rFonts w:eastAsiaTheme="minorHAnsi"/>
        </w:rPr>
        <w:t>The European Court of Auditors audited the EU Trust Fund for Africa and in its special report</w:t>
      </w:r>
      <w:r w:rsidRPr="00A04E56">
        <w:rPr>
          <w:rStyle w:val="fnRef"/>
          <w:rFonts w:ascii="Calibri" w:hAnsi="Calibri" w:cs="Calibri"/>
        </w:rPr>
        <w:t> </w:t>
      </w:r>
      <w:r w:rsidRPr="00A04E56">
        <w:rPr>
          <w:rStyle w:val="fnRef"/>
        </w:rPr>
        <w:t>(</w:t>
      </w:r>
      <w:r w:rsidRPr="00A04E56">
        <w:rPr>
          <w:rStyle w:val="fnRefNo"/>
        </w:rPr>
        <w:footnoteReference w:id="274"/>
      </w:r>
      <w:r w:rsidRPr="00A04E56">
        <w:rPr>
          <w:rStyle w:val="fnRef"/>
        </w:rPr>
        <w:t xml:space="preserve">) </w:t>
      </w:r>
      <w:r w:rsidRPr="00A04E56">
        <w:rPr>
          <w:rFonts w:eastAsiaTheme="minorHAnsi"/>
        </w:rPr>
        <w:t xml:space="preserve">concluded that the European Union Emergency Trust Fund for Africa is a flexible tool, but that its design should be more focused. The Court of Auditors found that this trust fund was faster in launching projects compared to traditional instruments, and that it has, overall, managed to speed up project implementation. The Court of Auditors identified room for improvement in the quality of the objectives of the EU Trust Fund for Africa, the selection procedure for projects, the speed of implementation and the monitoring of </w:t>
      </w:r>
      <w:r w:rsidR="0056493B" w:rsidRPr="00A04E56">
        <w:rPr>
          <w:rFonts w:eastAsiaTheme="minorHAnsi"/>
        </w:rPr>
        <w:t>the trust fund</w:t>
      </w:r>
      <w:r w:rsidRPr="00A04E56">
        <w:rPr>
          <w:rFonts w:eastAsiaTheme="minorHAnsi"/>
        </w:rPr>
        <w:t>.</w:t>
      </w:r>
    </w:p>
    <w:p w14:paraId="5288F28C" w14:textId="0DE88871" w:rsidR="005D36C6" w:rsidRPr="00A04E56" w:rsidRDefault="005D36C6" w:rsidP="005D36C6">
      <w:pPr>
        <w:pStyle w:val="BodyText1spaceafter"/>
      </w:pPr>
      <w:r w:rsidRPr="00A04E56">
        <w:t xml:space="preserve">The EU remains a major partner for countries of the </w:t>
      </w:r>
      <w:r w:rsidRPr="00A04E56">
        <w:rPr>
          <w:rStyle w:val="BOLDLIGHTBLUEReport"/>
          <w:rFonts w:eastAsia="Calibri"/>
        </w:rPr>
        <w:t>Eastern Partnership</w:t>
      </w:r>
      <w:r w:rsidRPr="00A04E56">
        <w:t>. The Eastern Partnership Summit in Brussels marked a new approach of th</w:t>
      </w:r>
      <w:r w:rsidR="005325F9" w:rsidRPr="00A04E56">
        <w:t>is</w:t>
      </w:r>
      <w:r w:rsidRPr="00A04E56">
        <w:t xml:space="preserve"> close partnership through the adoption of the </w:t>
      </w:r>
      <w:r w:rsidRPr="00A04E56">
        <w:rPr>
          <w:rStyle w:val="BOLDLIGHTBLUEReport"/>
          <w:rFonts w:eastAsiaTheme="minorHAnsi"/>
        </w:rPr>
        <w:t>‘20 Deliverables for 2020’</w:t>
      </w:r>
      <w:r w:rsidR="00B16ABC" w:rsidRPr="00DD3A44">
        <w:rPr>
          <w:rStyle w:val="fnRef"/>
          <w:rFonts w:ascii="Calibri" w:hAnsi="Calibri" w:cs="Calibri"/>
        </w:rPr>
        <w:t> </w:t>
      </w:r>
      <w:r w:rsidR="00B16ABC" w:rsidRPr="00DD3A44">
        <w:rPr>
          <w:rStyle w:val="fnRef"/>
        </w:rPr>
        <w:t>(</w:t>
      </w:r>
      <w:r w:rsidR="00293FF2" w:rsidRPr="00DD3A44">
        <w:rPr>
          <w:rStyle w:val="fnRefNo"/>
        </w:rPr>
        <w:footnoteReference w:id="275"/>
      </w:r>
      <w:r w:rsidR="00B16ABC" w:rsidRPr="00DD3A44">
        <w:rPr>
          <w:rStyle w:val="fnRef"/>
        </w:rPr>
        <w:t>)</w:t>
      </w:r>
      <w:r w:rsidRPr="00A04E56">
        <w:t xml:space="preserve"> setting jointly agreed goals for ongoing reforms in partner countries in four priority areas: a stronger economy, stronger governance, stronger connectivity and a </w:t>
      </w:r>
      <w:r w:rsidR="00917AA4" w:rsidRPr="00A04E56">
        <w:t>s</w:t>
      </w:r>
      <w:r w:rsidRPr="00A04E56">
        <w:t xml:space="preserve">tronger society. </w:t>
      </w:r>
    </w:p>
    <w:p w14:paraId="6ACDCC55" w14:textId="2CC717F1" w:rsidR="005D36C6" w:rsidRPr="00A04E56" w:rsidRDefault="005D36C6" w:rsidP="00C53476">
      <w:pPr>
        <w:pStyle w:val="BodyText1spaceafter"/>
        <w:keepNext/>
      </w:pPr>
      <w:r w:rsidRPr="00A04E56">
        <w:t xml:space="preserve">The </w:t>
      </w:r>
      <w:r w:rsidRPr="00A04E56">
        <w:rPr>
          <w:rStyle w:val="BOLDLIGHTBLUEReport"/>
          <w:rFonts w:eastAsiaTheme="minorHAnsi"/>
        </w:rPr>
        <w:t>European Neighbourhood Instrument</w:t>
      </w:r>
      <w:r w:rsidRPr="00A04E56" w:rsidDel="00C83375">
        <w:t xml:space="preserve"> </w:t>
      </w:r>
      <w:r w:rsidRPr="00A04E56">
        <w:t>achieved the following concrete results</w:t>
      </w:r>
      <w:r w:rsidR="003D2935" w:rsidRPr="00A04E56">
        <w:t>.</w:t>
      </w:r>
    </w:p>
    <w:p w14:paraId="7424D329" w14:textId="6CEE3790" w:rsidR="005D36C6" w:rsidRPr="00A04E56" w:rsidRDefault="005D36C6" w:rsidP="00107DA0">
      <w:pPr>
        <w:pStyle w:val="BulletsblueNew"/>
      </w:pPr>
      <w:r w:rsidRPr="00A04E56">
        <w:t xml:space="preserve">Since the launch of the Eastern Partnership in 2009, </w:t>
      </w:r>
      <w:r w:rsidR="00917AA4" w:rsidRPr="00A04E56">
        <w:t>t</w:t>
      </w:r>
      <w:r w:rsidRPr="00A04E56">
        <w:t>he EU has supported more than 70</w:t>
      </w:r>
      <w:r w:rsidRPr="00A04E56">
        <w:rPr>
          <w:rFonts w:ascii="Calibri" w:hAnsi="Calibri" w:cs="Calibri"/>
        </w:rPr>
        <w:t> </w:t>
      </w:r>
      <w:r w:rsidRPr="00A04E56">
        <w:t>000 enterprises, backed EUR</w:t>
      </w:r>
      <w:r w:rsidRPr="00A04E56">
        <w:rPr>
          <w:rFonts w:ascii="Calibri" w:hAnsi="Calibri" w:cs="Calibri"/>
        </w:rPr>
        <w:t> </w:t>
      </w:r>
      <w:r w:rsidRPr="00A04E56">
        <w:t>2 billion worth of loans, and created more than 28</w:t>
      </w:r>
      <w:r w:rsidRPr="00A04E56">
        <w:rPr>
          <w:rFonts w:ascii="Calibri" w:hAnsi="Calibri" w:cs="Calibri"/>
        </w:rPr>
        <w:t> </w:t>
      </w:r>
      <w:r w:rsidRPr="00A04E56">
        <w:t>000 jobs.</w:t>
      </w:r>
    </w:p>
    <w:p w14:paraId="43C5B685" w14:textId="246C0B47" w:rsidR="005D36C6" w:rsidRPr="00A04E56" w:rsidRDefault="005D36C6" w:rsidP="00107DA0">
      <w:pPr>
        <w:pStyle w:val="BulletsblueNew"/>
      </w:pPr>
      <w:r w:rsidRPr="00A04E56">
        <w:t>E</w:t>
      </w:r>
      <w:r w:rsidR="00A5432F" w:rsidRPr="00A04E56">
        <w:t>rasmus</w:t>
      </w:r>
      <w:r w:rsidRPr="00A04E56">
        <w:t>+ has enabled more than 30</w:t>
      </w:r>
      <w:r w:rsidRPr="00A04E56">
        <w:rPr>
          <w:rFonts w:ascii="Calibri" w:hAnsi="Calibri" w:cs="Calibri"/>
        </w:rPr>
        <w:t> </w:t>
      </w:r>
      <w:r w:rsidRPr="00A04E56">
        <w:t xml:space="preserve">000 students and academic staff from eastern partner countries to study or teach in EU countries since 2009. In September 2018, the first </w:t>
      </w:r>
      <w:r w:rsidRPr="00A04E56">
        <w:rPr>
          <w:rStyle w:val="Hyperlink"/>
        </w:rPr>
        <w:t>European School outside EU borders</w:t>
      </w:r>
      <w:r w:rsidRPr="00A04E56">
        <w:t xml:space="preserve"> opened and welcomed its first 30 students. Preparations are ongoing for a second year.</w:t>
      </w:r>
    </w:p>
    <w:p w14:paraId="12F7D214" w14:textId="2C947845" w:rsidR="005D36C6" w:rsidRPr="00A04E56" w:rsidRDefault="005D36C6" w:rsidP="00107DA0">
      <w:pPr>
        <w:pStyle w:val="BulletsblueNew"/>
      </w:pPr>
      <w:r w:rsidRPr="00A04E56">
        <w:t>‘EU4Business’ — an umbrella initiative covering all EU support for small and medium-sized enterprises in the Eastern Partnership region — improves both access to finance and the small-and-medium-sized-enterprise environment across the region. With an active portfolio of over EUR</w:t>
      </w:r>
      <w:r w:rsidRPr="00A04E56">
        <w:rPr>
          <w:rFonts w:ascii="Calibri" w:hAnsi="Calibri" w:cs="Calibri"/>
        </w:rPr>
        <w:t> </w:t>
      </w:r>
      <w:r w:rsidRPr="00A04E56">
        <w:t>260</w:t>
      </w:r>
      <w:r w:rsidRPr="00A04E56">
        <w:rPr>
          <w:rFonts w:ascii="Calibri" w:hAnsi="Calibri" w:cs="Calibri"/>
        </w:rPr>
        <w:t> million</w:t>
      </w:r>
      <w:r w:rsidRPr="00A04E56">
        <w:t xml:space="preserve"> of EU support (complementary to other forms of support), EU4Business has supported more than 57</w:t>
      </w:r>
      <w:r w:rsidRPr="00A04E56">
        <w:rPr>
          <w:rFonts w:ascii="Calibri" w:hAnsi="Calibri" w:cs="Calibri"/>
        </w:rPr>
        <w:t> </w:t>
      </w:r>
      <w:r w:rsidRPr="00A04E56">
        <w:t>000 small and medium-sized enterprises (another 50</w:t>
      </w:r>
      <w:r w:rsidRPr="00A04E56">
        <w:rPr>
          <w:rFonts w:ascii="Calibri" w:hAnsi="Calibri" w:cs="Calibri"/>
        </w:rPr>
        <w:t> </w:t>
      </w:r>
      <w:r w:rsidRPr="00A04E56">
        <w:t xml:space="preserve">000 companies will receive further assistance in the years to come). </w:t>
      </w:r>
    </w:p>
    <w:p w14:paraId="484300DD" w14:textId="5F761B13" w:rsidR="005D36C6" w:rsidRPr="00A04E56" w:rsidRDefault="005D36C6" w:rsidP="00107DA0">
      <w:pPr>
        <w:pStyle w:val="BulletsblueNew"/>
      </w:pPr>
      <w:r w:rsidRPr="00A04E56">
        <w:t xml:space="preserve">A decision on </w:t>
      </w:r>
      <w:r w:rsidR="00293FF2" w:rsidRPr="00A04E56">
        <w:t xml:space="preserve">extending </w:t>
      </w:r>
      <w:r w:rsidRPr="00A04E56">
        <w:t xml:space="preserve">the trans-European transport networks to the Eastern Neighbourhood by 2030 was reached in 2016 as a concrete step towards better connections and a streamlined approach to infrastructure investment. This decision complements reforms in the sector making transport more secure, safer and more environmentally friendly. </w:t>
      </w:r>
    </w:p>
    <w:p w14:paraId="4D84EF95" w14:textId="77777777" w:rsidR="005D36C6" w:rsidRPr="00A04E56" w:rsidRDefault="005D36C6" w:rsidP="00107DA0">
      <w:pPr>
        <w:pStyle w:val="BulletsblueNew-Spaceafter"/>
      </w:pPr>
      <w:r w:rsidRPr="00A04E56">
        <w:t>Over 300 municipalities, covering 20</w:t>
      </w:r>
      <w:r w:rsidRPr="00A04E56">
        <w:rPr>
          <w:rFonts w:ascii="Calibri" w:hAnsi="Calibri" w:cs="Calibri"/>
        </w:rPr>
        <w:t> million</w:t>
      </w:r>
      <w:r w:rsidRPr="00A04E56">
        <w:t xml:space="preserve"> people in the eastern partner countries, signed up to the EU’s covenant of mayors. This will reduce</w:t>
      </w:r>
      <w:r w:rsidRPr="00A04E56" w:rsidDel="004F695A">
        <w:t xml:space="preserve"> </w:t>
      </w:r>
      <w:r w:rsidRPr="00A04E56">
        <w:t>CO</w:t>
      </w:r>
      <w:r w:rsidRPr="00A04E56">
        <w:rPr>
          <w:vertAlign w:val="subscript"/>
        </w:rPr>
        <w:t>2</w:t>
      </w:r>
      <w:r w:rsidRPr="00A04E56">
        <w:t xml:space="preserve"> emissions by almost 20</w:t>
      </w:r>
      <w:r w:rsidRPr="00A04E56">
        <w:rPr>
          <w:rFonts w:ascii="Calibri" w:hAnsi="Calibri" w:cs="Calibri"/>
        </w:rPr>
        <w:t> million</w:t>
      </w:r>
      <w:r w:rsidRPr="00A04E56">
        <w:t xml:space="preserve"> tonnes by 2020, which is equivalent to planting almost 500</w:t>
      </w:r>
      <w:r w:rsidRPr="00A04E56">
        <w:rPr>
          <w:rFonts w:ascii="Calibri" w:hAnsi="Calibri" w:cs="Calibri"/>
        </w:rPr>
        <w:t> million</w:t>
      </w:r>
      <w:r w:rsidRPr="00A04E56">
        <w:t xml:space="preserve"> trees.</w:t>
      </w:r>
    </w:p>
    <w:p w14:paraId="02EFD678" w14:textId="12FDF924" w:rsidR="005D36C6" w:rsidRPr="00A04E56" w:rsidRDefault="005010E4" w:rsidP="00AA0340">
      <w:pPr>
        <w:pStyle w:val="Title3NumberedReport"/>
      </w:pPr>
      <w:r w:rsidRPr="00A04E56">
        <w:t>Assessment and evaluation</w:t>
      </w:r>
    </w:p>
    <w:p w14:paraId="46035D2F" w14:textId="77777777" w:rsidR="005D36C6" w:rsidRPr="00A04E56" w:rsidRDefault="005D36C6" w:rsidP="005D36C6">
      <w:pPr>
        <w:pStyle w:val="BodyText1spaceafter"/>
      </w:pPr>
      <w:r w:rsidRPr="00A04E56">
        <w:t>According to the midterm evaluation</w:t>
      </w:r>
      <w:r w:rsidRPr="00A04E56">
        <w:rPr>
          <w:rStyle w:val="fnRef"/>
          <w:rFonts w:ascii="Calibri" w:hAnsi="Calibri" w:cs="Calibri"/>
        </w:rPr>
        <w:t> </w:t>
      </w:r>
      <w:r w:rsidRPr="00A04E56">
        <w:rPr>
          <w:rStyle w:val="fnRef"/>
        </w:rPr>
        <w:t>(</w:t>
      </w:r>
      <w:r w:rsidRPr="00A04E56">
        <w:rPr>
          <w:rStyle w:val="fnRefNo"/>
        </w:rPr>
        <w:footnoteReference w:id="276"/>
      </w:r>
      <w:r w:rsidRPr="00A04E56">
        <w:rPr>
          <w:rStyle w:val="fnRef"/>
        </w:rPr>
        <w:t>)</w:t>
      </w:r>
      <w:r w:rsidRPr="00A04E56">
        <w:t xml:space="preserve">, the </w:t>
      </w:r>
      <w:r w:rsidRPr="00A04E56">
        <w:rPr>
          <w:szCs w:val="20"/>
        </w:rPr>
        <w:t xml:space="preserve">European Neighbourhood Instrument </w:t>
      </w:r>
      <w:r w:rsidRPr="00A04E56">
        <w:t xml:space="preserve">is overall relevant and fit for purpose. It has allowed the EU to implement the reviewed Neighbourhood Policy. The instrument has also proven its capacity to respond in a flexible manner to the multiple crises and new challenges in the Neighbourhood, in particular in Ukraine and Tunisia. </w:t>
      </w:r>
    </w:p>
    <w:p w14:paraId="0A1AB8A2" w14:textId="344B99B1" w:rsidR="005D36C6" w:rsidRPr="00A04E56" w:rsidRDefault="008C1D39" w:rsidP="005D36C6">
      <w:pPr>
        <w:pStyle w:val="BodyText1spaceafter"/>
      </w:pPr>
      <w:r w:rsidRPr="00A04E56">
        <w:rPr>
          <w:i/>
          <w:u w:val="single"/>
        </w:rPr>
        <w:t>In 2018</w:t>
      </w:r>
      <w:r w:rsidR="005162F8" w:rsidRPr="00A04E56">
        <w:rPr>
          <w:i/>
          <w:u w:val="single"/>
        </w:rPr>
        <w:t>,</w:t>
      </w:r>
      <w:r w:rsidR="005D36C6" w:rsidRPr="00A04E56">
        <w:t xml:space="preserve"> the Commission carried out an impact assessment</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77"/>
      </w:r>
      <w:r w:rsidR="005D36C6" w:rsidRPr="00A04E56">
        <w:rPr>
          <w:rStyle w:val="fnRef"/>
        </w:rPr>
        <w:t>)</w:t>
      </w:r>
      <w:r w:rsidR="005D36C6" w:rsidRPr="00A04E56">
        <w:t xml:space="preserve"> covering the whole external action heading ‘Global Europe’ under the 2014-2020 multiannual financial framework. The impact assessment concluded in particular that most external instruments (aside from those with a very specific nature) would benefit from being integrated into one instrument, including the European Neighbourhood Instrument. A broad instrument would provide a more geographically and thematically comprehensive approach, facilitating the implementation of different policies in a trans-regional, multi-sectoral and global way. The EU could facilitate consistent responses and mutual benefit, breaking down thematic and geographic silos.</w:t>
      </w:r>
    </w:p>
    <w:p w14:paraId="3E29E031" w14:textId="582989A7" w:rsidR="005D36C6" w:rsidRPr="00A04E56" w:rsidRDefault="005D36C6" w:rsidP="005D36C6">
      <w:pPr>
        <w:pStyle w:val="BodyText1spaceafter"/>
      </w:pPr>
      <w:r w:rsidRPr="00A04E56">
        <w:t>In that context, on 14</w:t>
      </w:r>
      <w:r w:rsidRPr="00A04E56">
        <w:rPr>
          <w:rFonts w:ascii="Calibri" w:hAnsi="Calibri" w:cs="Calibri"/>
        </w:rPr>
        <w:t> </w:t>
      </w:r>
      <w:r w:rsidRPr="00A04E56">
        <w:t>June</w:t>
      </w:r>
      <w:r w:rsidRPr="00A04E56">
        <w:rPr>
          <w:rFonts w:ascii="Calibri" w:hAnsi="Calibri" w:cs="Calibri"/>
        </w:rPr>
        <w:t> </w:t>
      </w:r>
      <w:r w:rsidRPr="00A04E56">
        <w:t>2018 the Commission adopted a proposal establishing the Neighbourhood, Development and International Cooperation Instrument</w:t>
      </w:r>
      <w:r w:rsidRPr="00A04E56">
        <w:rPr>
          <w:rStyle w:val="fnRef"/>
          <w:rFonts w:ascii="Calibri" w:hAnsi="Calibri" w:cs="Calibri"/>
        </w:rPr>
        <w:t> </w:t>
      </w:r>
      <w:r w:rsidRPr="00A04E56">
        <w:rPr>
          <w:rStyle w:val="fnRef"/>
        </w:rPr>
        <w:t>(</w:t>
      </w:r>
      <w:r w:rsidRPr="00A04E56">
        <w:rPr>
          <w:rStyle w:val="fnRefNo"/>
        </w:rPr>
        <w:footnoteReference w:id="278"/>
      </w:r>
      <w:r w:rsidRPr="00A04E56">
        <w:rPr>
          <w:rStyle w:val="fnRef"/>
        </w:rPr>
        <w:t>)</w:t>
      </w:r>
      <w:r w:rsidRPr="00A04E56">
        <w:t>. The new instrument proposes to preserve the core specificities of the special partnership with the European Neighbourhood Programme partners, while ensuring greater consistency, mutual benefit (‘synergies’), flexibility and simplification. It includes a chapter dedicated to the Neighbourhood region, which contains specific provisions applicable to the Eastern and Southern Neighbourhood. These specificities and key principles are maintained and reinforced, notably the performance-based approach (</w:t>
      </w:r>
      <w:r w:rsidR="00917AA4" w:rsidRPr="00A04E56">
        <w:t>‘</w:t>
      </w:r>
      <w:r w:rsidRPr="00A04E56">
        <w:t>more for more</w:t>
      </w:r>
      <w:r w:rsidR="00917AA4" w:rsidRPr="00A04E56">
        <w:t>’</w:t>
      </w:r>
      <w:r w:rsidRPr="00A04E56">
        <w:t>) and the differentiation approach, thus providing incentives for jointly agreed political and economic reforms. Cross-border cooperation between EU Member States and partner countries, both in the Eastern and Southern Neighbourhood is also proposed to continue in view of the very positive results so far achieved.</w:t>
      </w:r>
    </w:p>
    <w:p w14:paraId="66B1ECC0" w14:textId="77777777" w:rsidR="005D36C6" w:rsidRPr="00A04E56" w:rsidRDefault="005D36C6" w:rsidP="005D36C6">
      <w:pPr>
        <w:pStyle w:val="Title2Report"/>
      </w:pPr>
      <w:bookmarkStart w:id="199" w:name="_Toc12021032"/>
      <w:r w:rsidRPr="00A04E56">
        <w:t>Development Cooperation Instrument (DCI)</w:t>
      </w:r>
      <w:bookmarkEnd w:id="199"/>
    </w:p>
    <w:p w14:paraId="52D4748A" w14:textId="77777777" w:rsidR="005D36C6" w:rsidRPr="00A04E56" w:rsidRDefault="005D36C6" w:rsidP="00AA0340">
      <w:pPr>
        <w:pStyle w:val="Title3NumberedReport"/>
      </w:pPr>
      <w:r w:rsidRPr="00A04E56">
        <w:t xml:space="preserve">Programme objectives </w:t>
      </w:r>
    </w:p>
    <w:p w14:paraId="4B833930" w14:textId="1FF72FD5" w:rsidR="005D36C6" w:rsidRPr="00A04E56" w:rsidRDefault="005D36C6" w:rsidP="00EE698E">
      <w:pPr>
        <w:pStyle w:val="BodyText1spaceafter"/>
      </w:pPr>
      <w:r w:rsidRPr="00A04E56">
        <w:t xml:space="preserve">The </w:t>
      </w:r>
      <w:r w:rsidR="001F5507" w:rsidRPr="00A04E56">
        <w:t xml:space="preserve">primary objective of the </w:t>
      </w:r>
      <w:r w:rsidRPr="00A04E56">
        <w:rPr>
          <w:rStyle w:val="BOLDLIGHTBLUEReport"/>
          <w:rFonts w:eastAsia="Calibri"/>
        </w:rPr>
        <w:t>Development Cooperation Instrument</w:t>
      </w:r>
      <w:r w:rsidRPr="00A04E56">
        <w:rPr>
          <w:rStyle w:val="fnRef"/>
          <w:rFonts w:ascii="Calibri" w:hAnsi="Calibri" w:cs="Calibri"/>
        </w:rPr>
        <w:t> </w:t>
      </w:r>
      <w:r w:rsidRPr="00A04E56">
        <w:rPr>
          <w:rStyle w:val="fnRef"/>
        </w:rPr>
        <w:t>(</w:t>
      </w:r>
      <w:r w:rsidRPr="00A04E56">
        <w:rPr>
          <w:rStyle w:val="fnRefNo"/>
        </w:rPr>
        <w:footnoteReference w:id="279"/>
      </w:r>
      <w:r w:rsidRPr="00A04E56">
        <w:rPr>
          <w:rStyle w:val="fnRef"/>
        </w:rPr>
        <w:t>)</w:t>
      </w:r>
      <w:r w:rsidRPr="00A04E56">
        <w:t xml:space="preserve"> </w:t>
      </w:r>
      <w:r w:rsidR="001F5507" w:rsidRPr="00A04E56">
        <w:t>is the reduction and</w:t>
      </w:r>
      <w:r w:rsidR="00D70A7A" w:rsidRPr="00A04E56">
        <w:t>,</w:t>
      </w:r>
      <w:r w:rsidR="001F5507" w:rsidRPr="00A04E56">
        <w:t xml:space="preserve"> in the long term</w:t>
      </w:r>
      <w:r w:rsidR="00D70A7A" w:rsidRPr="00A04E56">
        <w:t>,</w:t>
      </w:r>
      <w:r w:rsidR="001F5507" w:rsidRPr="00A04E56">
        <w:t xml:space="preserve"> the eradication of poverty and it</w:t>
      </w:r>
      <w:r w:rsidRPr="00A04E56">
        <w:t xml:space="preserve"> contributes to the achievement of a range of objectives of EU external action, in particular; fostering sustainable economic, social and environmental development as well as promoting democracy, the rule of law, good governance and </w:t>
      </w:r>
      <w:r w:rsidR="00D70A7A" w:rsidRPr="00A04E56">
        <w:t>compliance with</w:t>
      </w:r>
      <w:r w:rsidRPr="00A04E56">
        <w:t xml:space="preserve"> human rights; preserving peace and preventing conflict; improving the quality of the environment and the sustainable management of global natural resources; assisting populations, countries and regions confronting natural or man-made disasters; and promoting an international system based on stronger multilateral cooperation and good global governance. Through the Development Cooperation Instrument, the EU also aims to ensure that both </w:t>
      </w:r>
      <w:r w:rsidR="00D1544F" w:rsidRPr="00A04E56">
        <w:t xml:space="preserve">the </w:t>
      </w:r>
      <w:r w:rsidRPr="00A04E56">
        <w:t xml:space="preserve">positive and </w:t>
      </w:r>
      <w:r w:rsidR="00D1544F" w:rsidRPr="00A04E56">
        <w:t xml:space="preserve">the </w:t>
      </w:r>
      <w:r w:rsidRPr="00A04E56">
        <w:t>negative impacts of migration on development are reflected in national and regional development strategies. It also provides assistance to countries wishing to strengthen migration governance in order to achieve development outcomes.</w:t>
      </w:r>
    </w:p>
    <w:p w14:paraId="0435B112" w14:textId="4369DB8A" w:rsidR="005D36C6" w:rsidRPr="00A04E56" w:rsidRDefault="005D36C6" w:rsidP="005D36C6">
      <w:pPr>
        <w:pStyle w:val="BodyText1spaceafter"/>
      </w:pPr>
      <w:r w:rsidRPr="00A04E56">
        <w:t>The Development Cooperation Instrument covers all the developing countries except the countries eligible for funding under the Pre-Accession Instrument. It is made of three components: (1) the geographic programmes; (2) the thematic programmes which finance (2.1) global public goods and support (2.2) civil</w:t>
      </w:r>
      <w:r w:rsidR="00C6111C" w:rsidRPr="00A04E56">
        <w:t>-</w:t>
      </w:r>
      <w:r w:rsidRPr="00A04E56">
        <w:t>society organisations and local authorities; (3) the pan-African programme</w:t>
      </w:r>
      <w:r w:rsidR="00C80DDF" w:rsidRPr="00A04E56">
        <w:t>,</w:t>
      </w:r>
      <w:r w:rsidRPr="00A04E56">
        <w:t xml:space="preserve"> which funds the implementation of the joint Africa-EU strategy.</w:t>
      </w:r>
    </w:p>
    <w:p w14:paraId="023690A5" w14:textId="56D8E29E" w:rsidR="001F5507" w:rsidRPr="00A04E56" w:rsidRDefault="001F5507" w:rsidP="000A60D0">
      <w:pPr>
        <w:spacing w:before="360" w:after="120" w:line="276" w:lineRule="auto"/>
        <w:jc w:val="center"/>
        <w:rPr>
          <w:lang w:eastAsia="en-GB"/>
        </w:rPr>
      </w:pPr>
      <w:r w:rsidRPr="00A04E56">
        <w:rPr>
          <w:noProof/>
          <w:lang w:eastAsia="en-GB"/>
        </w:rPr>
        <w:t>Overarching objective: reduction, and in the long term, the eradication of poverty</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98" w:type="dxa"/>
          <w:bottom w:w="142" w:type="dxa"/>
          <w:right w:w="198" w:type="dxa"/>
        </w:tblCellMar>
        <w:tblLook w:val="04A0" w:firstRow="1" w:lastRow="0" w:firstColumn="1" w:lastColumn="0" w:noHBand="0" w:noVBand="1"/>
      </w:tblPr>
      <w:tblGrid>
        <w:gridCol w:w="1361"/>
        <w:gridCol w:w="3175"/>
        <w:gridCol w:w="1361"/>
        <w:gridCol w:w="3175"/>
      </w:tblGrid>
      <w:tr w:rsidR="00B97034" w:rsidRPr="00A04E56" w14:paraId="0A7E0CBB" w14:textId="77777777" w:rsidTr="00277538">
        <w:trPr>
          <w:jc w:val="center"/>
        </w:trPr>
        <w:tc>
          <w:tcPr>
            <w:tcW w:w="1361" w:type="dxa"/>
            <w:tcBorders>
              <w:top w:val="single" w:sz="8" w:space="0" w:color="E5F6FA" w:themeColor="accent2" w:themeTint="33"/>
              <w:left w:val="single" w:sz="8" w:space="0" w:color="E5F6FA" w:themeColor="accent2" w:themeTint="33"/>
              <w:bottom w:val="single" w:sz="8" w:space="0" w:color="FFFFFF" w:themeColor="background1" w:themeTint="33"/>
              <w:right w:val="single" w:sz="8" w:space="0" w:color="E5F6FA" w:themeColor="accent2" w:themeTint="33"/>
            </w:tcBorders>
            <w:shd w:val="clear" w:color="auto" w:fill="E5F6FA" w:themeFill="accent2" w:themeFillTint="33"/>
            <w:vAlign w:val="center"/>
          </w:tcPr>
          <w:p w14:paraId="1AD6AFB8" w14:textId="77777777" w:rsidR="005D36C6" w:rsidRPr="00A04E56" w:rsidRDefault="005D36C6" w:rsidP="00277538">
            <w:pPr>
              <w:spacing w:line="276" w:lineRule="auto"/>
              <w:jc w:val="center"/>
              <w:rPr>
                <w:rFonts w:cstheme="minorHAnsi"/>
                <w:szCs w:val="20"/>
              </w:rPr>
            </w:pPr>
            <w:r w:rsidRPr="00A04E56">
              <w:rPr>
                <w:noProof/>
                <w:lang w:val="fr-BE" w:eastAsia="fr-BE"/>
              </w:rPr>
              <w:drawing>
                <wp:inline distT="0" distB="0" distL="0" distR="0" wp14:anchorId="25E7E5DD" wp14:editId="609AFED9">
                  <wp:extent cx="468000" cy="468000"/>
                  <wp:effectExtent l="0" t="0" r="8255" b="8255"/>
                  <wp:docPr id="698" name="Picture 698" descr="G:\Production\B2 prepresse\Raimonds\2019.1745 AMPR\50 - work on images\AMPR Icons\AMPR_Icons_Send2\AMPR_Icons_Send2\Icon_43000_DCI2020_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Production\B2 prepresse\Raimonds\2019.1745 AMPR\50 - work on images\AMPR Icons\AMPR_Icons_Send2\AMPR_Icons_Send2\Icon_43000_DCI2020_01.emf"/>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FFFFFF" w:themeColor="background1"/>
            </w:tcBorders>
            <w:shd w:val="clear" w:color="auto" w:fill="E5F6FA" w:themeFill="accent2" w:themeFillTint="33"/>
            <w:vAlign w:val="center"/>
            <w:hideMark/>
          </w:tcPr>
          <w:p w14:paraId="391FF7D1" w14:textId="6910ED51" w:rsidR="005D36C6" w:rsidRPr="00A04E56" w:rsidRDefault="001F5507" w:rsidP="00277538">
            <w:pPr>
              <w:spacing w:line="276" w:lineRule="auto"/>
              <w:rPr>
                <w:rFonts w:cstheme="minorHAnsi"/>
                <w:szCs w:val="20"/>
              </w:rPr>
            </w:pPr>
            <w:r w:rsidRPr="00A04E56">
              <w:rPr>
                <w:rFonts w:cstheme="minorHAnsi"/>
                <w:szCs w:val="20"/>
              </w:rPr>
              <w:t>F</w:t>
            </w:r>
            <w:r w:rsidR="005D36C6" w:rsidRPr="00A04E56">
              <w:rPr>
                <w:rFonts w:cstheme="minorHAnsi"/>
                <w:szCs w:val="20"/>
              </w:rPr>
              <w:t>ostering sustainable economic, social and environmental development.</w:t>
            </w:r>
          </w:p>
        </w:tc>
        <w:tc>
          <w:tcPr>
            <w:tcW w:w="1361" w:type="dxa"/>
            <w:tcBorders>
              <w:top w:val="single" w:sz="8" w:space="0" w:color="E5F6FA" w:themeColor="accent2" w:themeTint="33"/>
              <w:left w:val="single" w:sz="8" w:space="0" w:color="FFFFFF" w:themeColor="background1"/>
              <w:bottom w:val="single" w:sz="8" w:space="0" w:color="FFFFFF" w:themeColor="background1"/>
              <w:right w:val="single" w:sz="8" w:space="0" w:color="E5F6FA" w:themeColor="accent2" w:themeTint="33"/>
            </w:tcBorders>
            <w:shd w:val="clear" w:color="auto" w:fill="E5F6FA" w:themeFill="accent2" w:themeFillTint="33"/>
            <w:vAlign w:val="center"/>
          </w:tcPr>
          <w:p w14:paraId="1A72DBD4" w14:textId="77777777" w:rsidR="005D36C6" w:rsidRPr="00A04E56" w:rsidRDefault="005D36C6" w:rsidP="00277538">
            <w:pPr>
              <w:spacing w:line="276" w:lineRule="auto"/>
              <w:jc w:val="center"/>
              <w:rPr>
                <w:rFonts w:cstheme="minorHAnsi"/>
                <w:szCs w:val="20"/>
                <w:lang w:eastAsia="hu-HU"/>
              </w:rPr>
            </w:pPr>
            <w:r w:rsidRPr="00A04E56">
              <w:rPr>
                <w:noProof/>
                <w:lang w:val="fr-BE" w:eastAsia="fr-BE"/>
              </w:rPr>
              <w:drawing>
                <wp:inline distT="0" distB="0" distL="0" distR="0" wp14:anchorId="1DE9B71F" wp14:editId="352FC02C">
                  <wp:extent cx="468000" cy="468000"/>
                  <wp:effectExtent l="0" t="0" r="8255" b="8255"/>
                  <wp:docPr id="700" name="Picture 700" descr="G:\Production\B2 prepresse\Raimonds\2019.1745 AMPR\50 - work on images\AMPR Icons\AMPR_Icons_Send2\AMPR_Icons_Send2\Icon_43000_DCI2020_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Production\B2 prepresse\Raimonds\2019.1745 AMPR\50 - work on images\AMPR Icons\AMPR_Icons_Send2\AMPR_Icons_Send2\Icon_43000_DCI2020_02.emf"/>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468000" cy="468000"/>
                          </a:xfrm>
                          <a:prstGeom prst="rect">
                            <a:avLst/>
                          </a:prstGeom>
                          <a:noFill/>
                          <a:ln>
                            <a:noFill/>
                          </a:ln>
                        </pic:spPr>
                      </pic:pic>
                    </a:graphicData>
                  </a:graphic>
                </wp:inline>
              </w:drawing>
            </w:r>
          </w:p>
        </w:tc>
        <w:tc>
          <w:tcPr>
            <w:tcW w:w="3175" w:type="dxa"/>
            <w:tcBorders>
              <w:top w:val="single" w:sz="8" w:space="0" w:color="E5F6FA" w:themeColor="accent2" w:themeTint="33"/>
              <w:left w:val="single" w:sz="8" w:space="0" w:color="E5F6FA" w:themeColor="accent2" w:themeTint="33"/>
              <w:bottom w:val="single" w:sz="8" w:space="0" w:color="FFFFFF" w:themeColor="background1"/>
              <w:right w:val="single" w:sz="8" w:space="0" w:color="E5F6FA" w:themeColor="accent2" w:themeTint="33"/>
            </w:tcBorders>
            <w:shd w:val="clear" w:color="auto" w:fill="E5F6FA" w:themeFill="accent2" w:themeFillTint="33"/>
            <w:vAlign w:val="center"/>
            <w:hideMark/>
          </w:tcPr>
          <w:p w14:paraId="436811C2" w14:textId="496D3A88" w:rsidR="005D36C6" w:rsidRPr="00A04E56" w:rsidRDefault="005D36C6" w:rsidP="00277538">
            <w:pPr>
              <w:spacing w:line="276" w:lineRule="auto"/>
              <w:rPr>
                <w:rFonts w:cstheme="minorHAnsi"/>
                <w:szCs w:val="20"/>
              </w:rPr>
            </w:pPr>
            <w:r w:rsidRPr="00A04E56">
              <w:rPr>
                <w:rFonts w:cstheme="minorHAnsi"/>
                <w:szCs w:val="20"/>
              </w:rPr>
              <w:t xml:space="preserve">Consolidating and supporting democracy, the rule of law, good governance, human rights and the relevant principles of international law. </w:t>
            </w:r>
          </w:p>
        </w:tc>
      </w:tr>
    </w:tbl>
    <w:p w14:paraId="45C0BCD7" w14:textId="45076D24" w:rsidR="005D36C6" w:rsidRPr="00A04E56" w:rsidRDefault="008C1D39" w:rsidP="00AA0340">
      <w:pPr>
        <w:pStyle w:val="Title3NumberedReport"/>
      </w:pPr>
      <w:r w:rsidRPr="00A04E56">
        <w:t>Implementation and latest achievements</w:t>
      </w:r>
    </w:p>
    <w:p w14:paraId="0E19601F" w14:textId="02A2730B" w:rsidR="005D36C6" w:rsidRPr="00A04E56" w:rsidRDefault="008C1D39" w:rsidP="005D36C6">
      <w:pPr>
        <w:pStyle w:val="BodyText1spaceafter"/>
      </w:pPr>
      <w:r w:rsidRPr="00A04E56">
        <w:t>In 2018</w:t>
      </w:r>
      <w:r w:rsidR="005D36C6" w:rsidRPr="00A04E56">
        <w:rPr>
          <w:i/>
        </w:rPr>
        <w:t xml:space="preserve">, </w:t>
      </w:r>
      <w:r w:rsidR="005D36C6" w:rsidRPr="00A04E56">
        <w:t xml:space="preserve">EUR 2.981 billion was allocated to </w:t>
      </w:r>
      <w:r w:rsidR="00E10925">
        <w:t xml:space="preserve">the </w:t>
      </w:r>
      <w:r w:rsidR="005D36C6" w:rsidRPr="00A04E56">
        <w:t>Development Cooperation Instrument. The resources allocated for 2014-2020 amount to EUR 19</w:t>
      </w:r>
      <w:r w:rsidR="001F5507" w:rsidRPr="00A04E56">
        <w:t>.</w:t>
      </w:r>
      <w:r w:rsidR="005D36C6" w:rsidRPr="00A04E56">
        <w:t>66</w:t>
      </w:r>
      <w:r w:rsidR="001F5507" w:rsidRPr="00A04E56">
        <w:t>1</w:t>
      </w:r>
      <w:r w:rsidR="005D36C6" w:rsidRPr="00A04E56">
        <w:t> billion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80"/>
      </w:r>
      <w:r w:rsidR="005D36C6" w:rsidRPr="00A04E56">
        <w:rPr>
          <w:rStyle w:val="fnRef"/>
        </w:rPr>
        <w:t>)</w:t>
      </w:r>
      <w:r w:rsidR="005D36C6" w:rsidRPr="00A04E56">
        <w:t>.</w:t>
      </w:r>
      <w:r w:rsidR="005D36C6" w:rsidRPr="00A04E56">
        <w:rPr>
          <w:rStyle w:val="BOLDLIGHTBLUEReport"/>
          <w:rFonts w:eastAsiaTheme="minorHAnsi"/>
        </w:rPr>
        <w:t xml:space="preserve"> </w:t>
      </w:r>
      <w:r w:rsidR="005D36C6" w:rsidRPr="00A04E56">
        <w:t>The programme is implemented through direct (mainly grants) and indirect management in cooperation with international organisations, Member State agencies and beneficiary countries.</w:t>
      </w:r>
    </w:p>
    <w:p w14:paraId="09C8D158" w14:textId="14C58807" w:rsidR="001F5507" w:rsidRPr="00A04E56" w:rsidRDefault="005D36C6" w:rsidP="005D36C6">
      <w:pPr>
        <w:pStyle w:val="BodyText1spaceafter"/>
      </w:pPr>
      <w:r w:rsidRPr="00A04E56">
        <w:t>EU bilate</w:t>
      </w:r>
      <w:r w:rsidR="000E58EA" w:rsidRPr="00A04E56">
        <w:t xml:space="preserve">ral </w:t>
      </w:r>
      <w:r w:rsidRPr="00A04E56">
        <w:t xml:space="preserve">aid under the Development Cooperation Instrument focused increasingly on the countries that need it the most. Similar prioritisation is done at country level by focusing aid on a limited number of sectors in each partner country. </w:t>
      </w:r>
    </w:p>
    <w:p w14:paraId="142C375C" w14:textId="77777777" w:rsidR="005D36C6" w:rsidRPr="00940878" w:rsidRDefault="005D36C6" w:rsidP="00C50089">
      <w:pPr>
        <w:pStyle w:val="SubtitleLightBlueReport11pt"/>
      </w:pPr>
      <w:r w:rsidRPr="00940878">
        <w:t>Challenges impacting the performance of development cooperation programmes</w:t>
      </w:r>
      <w:r w:rsidRPr="00557FFB">
        <w:rPr>
          <w:rFonts w:ascii="Calibri" w:hAnsi="Calibri" w:cs="Calibri"/>
        </w:rPr>
        <w:t> </w:t>
      </w:r>
      <w:r w:rsidRPr="00557FFB">
        <w:rPr>
          <w:rStyle w:val="fnRef"/>
          <w:b w:val="0"/>
        </w:rPr>
        <w:t>(</w:t>
      </w:r>
      <w:r w:rsidRPr="00557FFB">
        <w:rPr>
          <w:rStyle w:val="fnRefNo"/>
          <w:b w:val="0"/>
        </w:rPr>
        <w:footnoteReference w:id="281"/>
      </w:r>
      <w:r w:rsidRPr="00557FFB">
        <w:rPr>
          <w:rStyle w:val="fnRef"/>
          <w:b w:val="0"/>
        </w:rPr>
        <w:t>)</w:t>
      </w:r>
    </w:p>
    <w:p w14:paraId="7F5484C8" w14:textId="2FDC664C" w:rsidR="005D36C6" w:rsidRPr="00A04E56" w:rsidRDefault="005D36C6" w:rsidP="005D36C6">
      <w:pPr>
        <w:pStyle w:val="BodyText1spaceafter"/>
      </w:pPr>
      <w:r w:rsidRPr="00A04E56">
        <w:t xml:space="preserve">Throughout 2018's complex tenure, several crises exacerbated the already-fragile and unstable contexts which affect many of the partner countries. A large number of partner countries remain characterised by fragility, including political issues, conflict, corruption and weak governments. Crisis situations, political volatility and economic instability jeopardise programme implementation (especially in </w:t>
      </w:r>
      <w:r w:rsidRPr="00A04E56" w:rsidDel="00DB5F3C">
        <w:t>‘</w:t>
      </w:r>
      <w:r w:rsidRPr="00A04E56">
        <w:t xml:space="preserve">sensitive’ sectors such as human rights and democracy, migration and security), making resilience actions even more necessary. Continuous shrinking space for civic society, rule of law, democracy and human rights compromise results, while weakening our partners. Transnational issues, including </w:t>
      </w:r>
      <w:r w:rsidRPr="00A04E56">
        <w:rPr>
          <w:rStyle w:val="BOLDLIGHTBLUEReport"/>
          <w:rFonts w:eastAsiaTheme="minorHAnsi"/>
        </w:rPr>
        <w:t>terrorism and irregular migration</w:t>
      </w:r>
      <w:r w:rsidRPr="00A04E56">
        <w:t xml:space="preserve">, continued to evolve and </w:t>
      </w:r>
      <w:r w:rsidR="00293FF2" w:rsidRPr="00A04E56">
        <w:t>become more important</w:t>
      </w:r>
      <w:r w:rsidRPr="00A04E56">
        <w:t xml:space="preserve">. Political and security crises and/or incidents impacted the work of EU delegations in several countries </w:t>
      </w:r>
      <w:r w:rsidR="008C1D39" w:rsidRPr="00A04E56">
        <w:rPr>
          <w:i/>
          <w:u w:val="single"/>
        </w:rPr>
        <w:t>in 2018</w:t>
      </w:r>
      <w:r w:rsidRPr="00A04E56">
        <w:t>. All these underlying threats and demanding conditions represented major challenges for partner countries, for the cooperation programmes managed by the Commission and for the work of the EU delegations.</w:t>
      </w:r>
    </w:p>
    <w:p w14:paraId="6876EDFB" w14:textId="77777777" w:rsidR="005D36C6" w:rsidRPr="00A04E56" w:rsidRDefault="005D36C6" w:rsidP="005D36C6">
      <w:pPr>
        <w:pStyle w:val="BodyText1spaceafter"/>
      </w:pPr>
      <w:r w:rsidRPr="00A04E56">
        <w:t xml:space="preserve">EU delegations face particular </w:t>
      </w:r>
      <w:r w:rsidRPr="00A04E56">
        <w:rPr>
          <w:rStyle w:val="BOLDLIGHTBLUEReport"/>
          <w:rFonts w:eastAsiaTheme="minorHAnsi"/>
        </w:rPr>
        <w:t>challenges in recruiting</w:t>
      </w:r>
      <w:r w:rsidRPr="00A04E56">
        <w:t xml:space="preserve"> experienced and qualified staff, resulting in several-months-long vacancies that are difficult to manage, especially given the already heavy workload. These difficulties in recruiting are especially amplified in countries under hardship or insecure conditions. </w:t>
      </w:r>
    </w:p>
    <w:p w14:paraId="3594A3CE" w14:textId="77777777" w:rsidR="005D36C6" w:rsidRPr="00A04E56" w:rsidRDefault="005D36C6" w:rsidP="005D36C6">
      <w:pPr>
        <w:pStyle w:val="BodyText1spaceafter"/>
      </w:pPr>
      <w:r w:rsidRPr="00A04E56">
        <w:t xml:space="preserve">Also, many of the regions are prone to </w:t>
      </w:r>
      <w:r w:rsidRPr="00A04E56">
        <w:rPr>
          <w:rStyle w:val="BOLDLIGHTBLUEReport"/>
          <w:rFonts w:eastAsiaTheme="minorHAnsi"/>
        </w:rPr>
        <w:t>climate-change-related disasters</w:t>
      </w:r>
      <w:r w:rsidRPr="00A04E56">
        <w:t xml:space="preserve"> and stand particularly vulnerable to natural disasters and the adverse effects of climate change. </w:t>
      </w:r>
    </w:p>
    <w:p w14:paraId="522F2F36" w14:textId="77777777" w:rsidR="001F5507" w:rsidRPr="00A04E56" w:rsidRDefault="001F5507" w:rsidP="00C50089">
      <w:pPr>
        <w:pStyle w:val="SubtitleLightBlueReport11pt"/>
      </w:pPr>
      <w:r w:rsidRPr="00A04E56">
        <w:t>EU Trust Fund Colombia</w:t>
      </w:r>
    </w:p>
    <w:p w14:paraId="7BFF6582" w14:textId="16DCEAD1" w:rsidR="001F5507" w:rsidRPr="00A04E56" w:rsidRDefault="001F5507" w:rsidP="006A619F">
      <w:pPr>
        <w:pStyle w:val="BodyText1spaceafter"/>
      </w:pPr>
      <w:r w:rsidRPr="00A04E56">
        <w:t xml:space="preserve">In </w:t>
      </w:r>
      <w:r w:rsidRPr="00A04E56">
        <w:rPr>
          <w:rStyle w:val="BOLDLIGHTBLUEReport"/>
          <w:rFonts w:eastAsiaTheme="minorHAnsi"/>
        </w:rPr>
        <w:t>Colombia</w:t>
      </w:r>
      <w:r w:rsidRPr="00A04E56">
        <w:t xml:space="preserve">, </w:t>
      </w:r>
      <w:r w:rsidRPr="00A04E56">
        <w:rPr>
          <w:rFonts w:cs="Calibri"/>
          <w:iCs/>
          <w:color w:val="000000"/>
        </w:rPr>
        <w:t xml:space="preserve">support for peacebuilding efforts has been a central feature in EU-Colombia relations for the past 20 years and </w:t>
      </w:r>
      <w:r w:rsidRPr="00A04E56">
        <w:rPr>
          <w:rFonts w:cs="Calibri"/>
          <w:iCs/>
        </w:rPr>
        <w:t>all parties recogni</w:t>
      </w:r>
      <w:r w:rsidR="00756904" w:rsidRPr="00A04E56">
        <w:rPr>
          <w:rFonts w:cs="Calibri"/>
          <w:iCs/>
        </w:rPr>
        <w:t>se</w:t>
      </w:r>
      <w:r w:rsidRPr="00A04E56">
        <w:rPr>
          <w:rFonts w:cs="Calibri"/>
          <w:iCs/>
        </w:rPr>
        <w:t xml:space="preserve"> the EU as a key supporting actor </w:t>
      </w:r>
      <w:r w:rsidRPr="00A04E56">
        <w:rPr>
          <w:rFonts w:cs="Calibri"/>
          <w:iCs/>
          <w:color w:val="000000"/>
        </w:rPr>
        <w:t>in the Colombian Peace Agreement. Support is channel</w:t>
      </w:r>
      <w:r w:rsidR="00756904" w:rsidRPr="00A04E56">
        <w:rPr>
          <w:rFonts w:cs="Calibri"/>
          <w:iCs/>
          <w:color w:val="000000"/>
        </w:rPr>
        <w:t>led</w:t>
      </w:r>
      <w:r w:rsidRPr="00A04E56">
        <w:rPr>
          <w:rFonts w:cs="Calibri"/>
          <w:iCs/>
          <w:color w:val="000000"/>
        </w:rPr>
        <w:t xml:space="preserve"> mainly through the </w:t>
      </w:r>
      <w:r w:rsidRPr="00A04E56">
        <w:rPr>
          <w:rStyle w:val="BOLDLIGHTBLUEReport"/>
          <w:rFonts w:eastAsiaTheme="minorHAnsi"/>
        </w:rPr>
        <w:t>EU Trust Fund for Colombia</w:t>
      </w:r>
      <w:r w:rsidRPr="00A04E56">
        <w:rPr>
          <w:rFonts w:cs="Calibri"/>
          <w:iCs/>
          <w:color w:val="000000"/>
        </w:rPr>
        <w:t xml:space="preserve">, which </w:t>
      </w:r>
      <w:r w:rsidR="001E2F74" w:rsidRPr="00A04E56">
        <w:t xml:space="preserve">contracted </w:t>
      </w:r>
      <w:r w:rsidR="008C1D39" w:rsidRPr="00A04E56">
        <w:rPr>
          <w:i/>
          <w:u w:val="single"/>
        </w:rPr>
        <w:t>in 2018</w:t>
      </w:r>
      <w:r w:rsidRPr="00A04E56">
        <w:t xml:space="preserve">, a total of 18 projects for EUR 59.5 million. </w:t>
      </w:r>
      <w:r w:rsidRPr="00A04E56">
        <w:rPr>
          <w:rFonts w:cs="Calibri"/>
          <w:iCs/>
        </w:rPr>
        <w:t xml:space="preserve">All the projects focus on rural development in the poorest and most conflict-affected regions, by </w:t>
      </w:r>
      <w:r w:rsidRPr="00A04E56">
        <w:rPr>
          <w:iCs/>
        </w:rPr>
        <w:t>reintegrating the ex-combatants;</w:t>
      </w:r>
      <w:r w:rsidRPr="00A04E56">
        <w:t xml:space="preserve"> </w:t>
      </w:r>
      <w:r w:rsidRPr="00A04E56">
        <w:rPr>
          <w:iCs/>
        </w:rPr>
        <w:t xml:space="preserve">stimulating economic </w:t>
      </w:r>
      <w:r w:rsidRPr="00A04E56">
        <w:rPr>
          <w:rStyle w:val="BOLDLIGHTBLUEReport"/>
          <w:rFonts w:eastAsiaTheme="minorHAnsi"/>
        </w:rPr>
        <w:t xml:space="preserve">activity and productivity; and restoring the social fabric. </w:t>
      </w:r>
    </w:p>
    <w:p w14:paraId="0B12976B" w14:textId="77777777" w:rsidR="001F5507" w:rsidRPr="00A04E56" w:rsidRDefault="001F5507" w:rsidP="00C50089">
      <w:pPr>
        <w:pStyle w:val="SubtitleLightBlueReport11pt"/>
      </w:pPr>
      <w:r w:rsidRPr="00A04E56">
        <w:t>EU Trust Fund for Africa</w:t>
      </w:r>
    </w:p>
    <w:p w14:paraId="4FB93E25" w14:textId="384002FC" w:rsidR="001F5507" w:rsidRPr="00A04E56" w:rsidRDefault="001F5507" w:rsidP="001F5507">
      <w:pPr>
        <w:pStyle w:val="BodyText1spaceafter"/>
        <w:rPr>
          <w:rFonts w:cs="Calibri"/>
        </w:rPr>
      </w:pPr>
      <w:r w:rsidRPr="00A04E56">
        <w:rPr>
          <w:rFonts w:cs="Calibri"/>
        </w:rPr>
        <w:t xml:space="preserve">The </w:t>
      </w:r>
      <w:r w:rsidRPr="00A04E56">
        <w:rPr>
          <w:rStyle w:val="BOLDLIGHTBLUEReport"/>
          <w:rFonts w:eastAsiaTheme="minorHAnsi"/>
        </w:rPr>
        <w:t>EU Trust Fund for Africa (EUTF)</w:t>
      </w:r>
      <w:r w:rsidRPr="00A04E56">
        <w:rPr>
          <w:rFonts w:cs="Calibri"/>
          <w:bCs/>
          <w:color w:val="1C7A68"/>
        </w:rPr>
        <w:t xml:space="preserve"> </w:t>
      </w:r>
      <w:r w:rsidRPr="00A04E56">
        <w:rPr>
          <w:rFonts w:cs="Calibri"/>
        </w:rPr>
        <w:t>aims</w:t>
      </w:r>
      <w:r w:rsidRPr="00A04E56">
        <w:rPr>
          <w:rFonts w:cs="Calibri"/>
          <w:color w:val="1C7A68"/>
        </w:rPr>
        <w:t xml:space="preserve"> </w:t>
      </w:r>
      <w:r w:rsidRPr="00A04E56">
        <w:rPr>
          <w:rFonts w:cs="Calibri"/>
        </w:rPr>
        <w:t>to address migration and forced displacement, and boost socio</w:t>
      </w:r>
      <w:r w:rsidR="003B6127" w:rsidRPr="00A04E56">
        <w:rPr>
          <w:rFonts w:cs="Calibri"/>
        </w:rPr>
        <w:t>economic</w:t>
      </w:r>
      <w:r w:rsidRPr="00A04E56">
        <w:rPr>
          <w:rFonts w:cs="Calibri"/>
        </w:rPr>
        <w:t xml:space="preserve"> development, contributing</w:t>
      </w:r>
      <w:r w:rsidR="00B35788" w:rsidRPr="00A04E56">
        <w:rPr>
          <w:rFonts w:cs="Calibri"/>
        </w:rPr>
        <w:t xml:space="preserve">, among other things, </w:t>
      </w:r>
      <w:r w:rsidRPr="00A04E56">
        <w:rPr>
          <w:rFonts w:cs="Calibri"/>
        </w:rPr>
        <w:t xml:space="preserve">to the creation of new, decent jobs in many African partner countries. </w:t>
      </w:r>
      <w:r w:rsidR="00DA5582" w:rsidRPr="00A04E56">
        <w:rPr>
          <w:rFonts w:cs="Calibri"/>
        </w:rPr>
        <w:t>By</w:t>
      </w:r>
      <w:r w:rsidRPr="00A04E56">
        <w:rPr>
          <w:rFonts w:cs="Calibri"/>
        </w:rPr>
        <w:t xml:space="preserve"> 31</w:t>
      </w:r>
      <w:r w:rsidR="00DA20EC" w:rsidRPr="00A04E56">
        <w:rPr>
          <w:rFonts w:ascii="Calibri" w:hAnsi="Calibri" w:cs="Calibri"/>
        </w:rPr>
        <w:t> </w:t>
      </w:r>
      <w:r w:rsidR="00DA20EC" w:rsidRPr="00A04E56">
        <w:rPr>
          <w:rFonts w:cs="Calibri"/>
        </w:rPr>
        <w:t>December</w:t>
      </w:r>
      <w:r w:rsidR="00DA20EC" w:rsidRPr="00A04E56">
        <w:rPr>
          <w:rFonts w:ascii="Calibri" w:hAnsi="Calibri" w:cs="Calibri"/>
        </w:rPr>
        <w:t> </w:t>
      </w:r>
      <w:r w:rsidR="00DA20EC" w:rsidRPr="00A04E56">
        <w:rPr>
          <w:rFonts w:cs="Calibri"/>
        </w:rPr>
        <w:t>2018</w:t>
      </w:r>
      <w:r w:rsidRPr="00A04E56">
        <w:rPr>
          <w:rFonts w:cs="Calibri"/>
        </w:rPr>
        <w:t>, 187 projects worth EUR 3</w:t>
      </w:r>
      <w:r w:rsidRPr="00A04E56">
        <w:rPr>
          <w:rFonts w:ascii="Calibri" w:hAnsi="Calibri" w:cs="Calibri"/>
        </w:rPr>
        <w:t> </w:t>
      </w:r>
      <w:r w:rsidRPr="00A04E56">
        <w:rPr>
          <w:rFonts w:cs="Calibri"/>
        </w:rPr>
        <w:t xml:space="preserve">589.9 million </w:t>
      </w:r>
      <w:r w:rsidR="00DA5582" w:rsidRPr="00A04E56">
        <w:rPr>
          <w:rFonts w:cs="Calibri"/>
        </w:rPr>
        <w:t>were</w:t>
      </w:r>
      <w:r w:rsidRPr="00A04E56">
        <w:rPr>
          <w:rFonts w:cs="Calibri"/>
        </w:rPr>
        <w:t xml:space="preserve"> approved under the </w:t>
      </w:r>
      <w:r w:rsidR="00733999" w:rsidRPr="00A04E56">
        <w:rPr>
          <w:rFonts w:cs="Calibri"/>
        </w:rPr>
        <w:t>trust fund</w:t>
      </w:r>
      <w:r w:rsidRPr="00A04E56">
        <w:rPr>
          <w:rFonts w:cs="Calibri"/>
        </w:rPr>
        <w:t xml:space="preserve">, in the Sahel </w:t>
      </w:r>
      <w:r w:rsidR="00733999" w:rsidRPr="00A04E56">
        <w:rPr>
          <w:rFonts w:cs="Calibri"/>
        </w:rPr>
        <w:t>and</w:t>
      </w:r>
      <w:r w:rsidRPr="00A04E56">
        <w:rPr>
          <w:rFonts w:cs="Calibri"/>
        </w:rPr>
        <w:t xml:space="preserve"> Lake Chad, Horn of Africa and the </w:t>
      </w:r>
      <w:r w:rsidR="00D40FA1" w:rsidRPr="00A04E56">
        <w:rPr>
          <w:rFonts w:cs="Calibri"/>
        </w:rPr>
        <w:t>no</w:t>
      </w:r>
      <w:r w:rsidRPr="00A04E56">
        <w:rPr>
          <w:rFonts w:cs="Calibri"/>
        </w:rPr>
        <w:t xml:space="preserve">rth of Africa regions. </w:t>
      </w:r>
      <w:r w:rsidRPr="00A04E56">
        <w:t>The programme focuses on supporting high levels of productive and decent employment, including through vocational education and training, as well as the extension of social protection coverage through the establishment of nationally defined social protection systems and floors.</w:t>
      </w:r>
    </w:p>
    <w:p w14:paraId="1091F998" w14:textId="77777777" w:rsidR="001F5507" w:rsidRPr="00A04E56" w:rsidRDefault="001F5507" w:rsidP="00C50089">
      <w:pPr>
        <w:pStyle w:val="SubtitleLightBlueReport11pt"/>
      </w:pPr>
      <w:r w:rsidRPr="00A04E56">
        <w:t>Bêkou Trust Fund for the Central African Republic</w:t>
      </w:r>
    </w:p>
    <w:p w14:paraId="4C5B7185" w14:textId="0D158400" w:rsidR="001F5507" w:rsidRPr="00A04E56" w:rsidRDefault="001F5507" w:rsidP="006A619F">
      <w:pPr>
        <w:pStyle w:val="BodyText1spaceafter"/>
      </w:pPr>
      <w:r w:rsidRPr="00A04E56">
        <w:t xml:space="preserve">Operating at the heart of the humanitarian-development nexus, the </w:t>
      </w:r>
      <w:r w:rsidRPr="00A04E56">
        <w:rPr>
          <w:rStyle w:val="BOLDLIGHTBLUEReport"/>
          <w:rFonts w:eastAsiaTheme="minorHAnsi"/>
        </w:rPr>
        <w:t>Bêkou Trust Fund for the Central African Republic</w:t>
      </w:r>
      <w:r w:rsidRPr="00A04E56">
        <w:t xml:space="preserve"> plays a unique role in promoting stabilisation and peace by creating jobs; providing basic services; promotion of social dialogue; and building resilience </w:t>
      </w:r>
      <w:r w:rsidR="0085656C" w:rsidRPr="00A04E56">
        <w:t>for the</w:t>
      </w:r>
      <w:r w:rsidRPr="00A04E56">
        <w:t xml:space="preserve"> community. With more than 694 000 </w:t>
      </w:r>
      <w:r w:rsidR="00180544" w:rsidRPr="00A04E56">
        <w:t>internally displaced people</w:t>
      </w:r>
      <w:r w:rsidRPr="00A04E56">
        <w:t xml:space="preserve"> and 543 000 refugees in neighbouring countries</w:t>
      </w:r>
      <w:r w:rsidR="0025249E" w:rsidRPr="00A04E56">
        <w:t>,</w:t>
      </w:r>
      <w:r w:rsidRPr="00A04E56">
        <w:t xml:space="preserve"> the safe return of civilians and </w:t>
      </w:r>
      <w:r w:rsidR="00AE2FA2" w:rsidRPr="00A04E56">
        <w:t xml:space="preserve">their </w:t>
      </w:r>
      <w:r w:rsidRPr="00A04E56">
        <w:t>reintegration in</w:t>
      </w:r>
      <w:r w:rsidR="00AE2FA2" w:rsidRPr="00A04E56">
        <w:t>to</w:t>
      </w:r>
      <w:r w:rsidRPr="00A04E56">
        <w:t xml:space="preserve"> the communities constitutes a cornerstone for peace</w:t>
      </w:r>
      <w:r w:rsidR="003B6127" w:rsidRPr="00A04E56">
        <w:t>building</w:t>
      </w:r>
      <w:r w:rsidRPr="00A04E56">
        <w:t xml:space="preserve"> processes in the Central African Republic</w:t>
      </w:r>
      <w:r w:rsidR="00784866" w:rsidRPr="00A04E56">
        <w:t>.</w:t>
      </w:r>
    </w:p>
    <w:p w14:paraId="225CE5B6" w14:textId="77777777" w:rsidR="005D36C6" w:rsidRPr="00A04E56" w:rsidRDefault="005D36C6" w:rsidP="00C50089">
      <w:pPr>
        <w:pStyle w:val="SubtitleLightBlueReport11pt"/>
      </w:pPr>
      <w:r w:rsidRPr="00A04E56">
        <w:t xml:space="preserve">Vocational education and training toolbox </w:t>
      </w:r>
    </w:p>
    <w:p w14:paraId="60E542B8" w14:textId="4365D5A5" w:rsidR="005D36C6" w:rsidRPr="00A04E56" w:rsidRDefault="005D36C6" w:rsidP="005D36C6">
      <w:pPr>
        <w:pStyle w:val="BodyText1spaceafter"/>
      </w:pPr>
      <w:r w:rsidRPr="00A04E56">
        <w:t xml:space="preserve">Notable achievements </w:t>
      </w:r>
      <w:r w:rsidR="008C1D39" w:rsidRPr="00A04E56">
        <w:rPr>
          <w:i/>
          <w:u w:val="single"/>
        </w:rPr>
        <w:t>in 2018</w:t>
      </w:r>
      <w:r w:rsidR="00187E6D" w:rsidRPr="00A04E56">
        <w:rPr>
          <w:i/>
          <w:u w:val="single"/>
        </w:rPr>
        <w:t>,</w:t>
      </w:r>
      <w:r w:rsidRPr="00A04E56">
        <w:t xml:space="preserve"> particularly with a focus on </w:t>
      </w:r>
      <w:r w:rsidRPr="00A04E56">
        <w:rPr>
          <w:rStyle w:val="BOLDLIGHTBLUEReport"/>
          <w:rFonts w:eastAsia="Calibri"/>
        </w:rPr>
        <w:t>youth employability</w:t>
      </w:r>
      <w:r w:rsidRPr="00A04E56">
        <w:t>, include</w:t>
      </w:r>
      <w:r w:rsidR="00187E6D" w:rsidRPr="00A04E56">
        <w:t xml:space="preserve"> </w:t>
      </w:r>
      <w:r w:rsidRPr="00A04E56">
        <w:t xml:space="preserve">the launch of the </w:t>
      </w:r>
      <w:r w:rsidRPr="00A04E56">
        <w:rPr>
          <w:rStyle w:val="BodyText1Char"/>
          <w:lang w:val="en-GB"/>
        </w:rPr>
        <w:t>vocational</w:t>
      </w:r>
      <w:r w:rsidRPr="00A04E56">
        <w:rPr>
          <w:color w:val="1C7A68"/>
        </w:rPr>
        <w:t xml:space="preserve"> </w:t>
      </w:r>
      <w:r w:rsidRPr="00A04E56">
        <w:rPr>
          <w:rStyle w:val="BodyText1Char"/>
          <w:lang w:val="en-GB"/>
        </w:rPr>
        <w:t>education and training toolbox</w:t>
      </w:r>
      <w:r w:rsidRPr="00A04E56">
        <w:t xml:space="preserve">, a facility providing advisory services to strengthen the linkages between the </w:t>
      </w:r>
      <w:r w:rsidRPr="00A04E56">
        <w:rPr>
          <w:rStyle w:val="BodyText1Char"/>
          <w:lang w:val="en-GB"/>
        </w:rPr>
        <w:t>vocational</w:t>
      </w:r>
      <w:r w:rsidRPr="00A04E56">
        <w:rPr>
          <w:color w:val="1C7A68"/>
        </w:rPr>
        <w:t xml:space="preserve"> </w:t>
      </w:r>
      <w:r w:rsidRPr="00A04E56">
        <w:rPr>
          <w:rStyle w:val="BodyText1Char"/>
          <w:lang w:val="en-GB"/>
        </w:rPr>
        <w:t>education and training</w:t>
      </w:r>
      <w:r w:rsidRPr="00A04E56">
        <w:t xml:space="preserve"> system and industry in partner countries, thereby contributing to sustainable development goals</w:t>
      </w:r>
      <w:r w:rsidRPr="00A04E56">
        <w:rPr>
          <w:rFonts w:ascii="Calibri" w:hAnsi="Calibri" w:cs="Calibri"/>
        </w:rPr>
        <w:t> </w:t>
      </w:r>
      <w:r w:rsidRPr="00A04E56">
        <w:t xml:space="preserve">4 </w:t>
      </w:r>
      <w:r w:rsidR="00733999" w:rsidRPr="00A04E56">
        <w:t>(quality education)</w:t>
      </w:r>
      <w:r w:rsidRPr="00A04E56">
        <w:t xml:space="preserve"> and 8</w:t>
      </w:r>
      <w:r w:rsidR="00733999" w:rsidRPr="00A04E56">
        <w:t xml:space="preserve"> (decent work and economic growth)</w:t>
      </w:r>
      <w:r w:rsidRPr="00A04E56">
        <w:t>. This is an example of the more comprehensive approach to employment</w:t>
      </w:r>
      <w:r w:rsidR="00AA53CA" w:rsidRPr="00A04E56">
        <w:t>,</w:t>
      </w:r>
      <w:r w:rsidRPr="00A04E56">
        <w:t xml:space="preserve"> as advocated in the communication</w:t>
      </w:r>
      <w:r w:rsidRPr="00A04E56">
        <w:rPr>
          <w:rStyle w:val="fnRef"/>
          <w:rFonts w:ascii="Calibri" w:hAnsi="Calibri" w:cs="Calibri"/>
        </w:rPr>
        <w:t> </w:t>
      </w:r>
      <w:r w:rsidRPr="00A04E56">
        <w:rPr>
          <w:rStyle w:val="fnRef"/>
        </w:rPr>
        <w:t>(</w:t>
      </w:r>
      <w:r w:rsidRPr="00A04E56">
        <w:rPr>
          <w:rStyle w:val="fnRefNo"/>
        </w:rPr>
        <w:footnoteReference w:id="282"/>
      </w:r>
      <w:r w:rsidRPr="00A04E56">
        <w:rPr>
          <w:rStyle w:val="fnRef"/>
        </w:rPr>
        <w:t>)</w:t>
      </w:r>
      <w:r w:rsidRPr="00A04E56">
        <w:t xml:space="preserve"> on</w:t>
      </w:r>
      <w:r w:rsidR="00AA53CA" w:rsidRPr="00A04E56">
        <w:rPr>
          <w:rFonts w:ascii="Calibri" w:hAnsi="Calibri" w:cs="Calibri"/>
        </w:rPr>
        <w:t xml:space="preserve"> </w:t>
      </w:r>
      <w:r w:rsidRPr="00A04E56">
        <w:t xml:space="preserve">a new </w:t>
      </w:r>
      <w:r w:rsidRPr="00A04E56">
        <w:rPr>
          <w:rStyle w:val="BodyText1Char"/>
          <w:lang w:val="en-GB"/>
        </w:rPr>
        <w:t>Africa-Europe alliance for sustainable investment and jobs</w:t>
      </w:r>
      <w:r w:rsidRPr="00A04E56">
        <w:rPr>
          <w:color w:val="1C7A68"/>
        </w:rPr>
        <w:t xml:space="preserve"> </w:t>
      </w:r>
      <w:r w:rsidRPr="00A04E56">
        <w:t xml:space="preserve">announced by President Juncker in September </w:t>
      </w:r>
      <w:r w:rsidRPr="00A04E56" w:rsidDel="00AB32F3">
        <w:t>2018</w:t>
      </w:r>
      <w:r w:rsidRPr="00A04E56">
        <w:t>.</w:t>
      </w:r>
    </w:p>
    <w:p w14:paraId="563D713F" w14:textId="4002DB0D" w:rsidR="005D36C6" w:rsidRPr="00A04E56" w:rsidRDefault="005D36C6" w:rsidP="00C50089">
      <w:pPr>
        <w:pStyle w:val="SubtitleLightBlueReport11pt"/>
      </w:pPr>
      <w:r w:rsidRPr="00A04E56">
        <w:t xml:space="preserve">The </w:t>
      </w:r>
      <w:r w:rsidR="001F5507" w:rsidRPr="00A04E56">
        <w:t>G</w:t>
      </w:r>
      <w:r w:rsidRPr="00A04E56">
        <w:t xml:space="preserve">lobal </w:t>
      </w:r>
      <w:r w:rsidR="001F5507" w:rsidRPr="00A04E56">
        <w:t>C</w:t>
      </w:r>
      <w:r w:rsidRPr="00A04E56">
        <w:t xml:space="preserve">limate </w:t>
      </w:r>
      <w:r w:rsidR="001F5507" w:rsidRPr="00A04E56">
        <w:t>C</w:t>
      </w:r>
      <w:r w:rsidRPr="00A04E56">
        <w:t xml:space="preserve">hange </w:t>
      </w:r>
      <w:r w:rsidR="001F5507" w:rsidRPr="00A04E56">
        <w:t>A</w:t>
      </w:r>
      <w:r w:rsidRPr="00A04E56">
        <w:t xml:space="preserve">lliance </w:t>
      </w:r>
      <w:r w:rsidR="001F5507" w:rsidRPr="00A04E56">
        <w:t>P</w:t>
      </w:r>
      <w:r w:rsidRPr="00A04E56">
        <w:t>lus</w:t>
      </w:r>
      <w:r w:rsidRPr="00C50089">
        <w:rPr>
          <w:rStyle w:val="fnRef"/>
          <w:rFonts w:ascii="Calibri" w:hAnsi="Calibri" w:cs="Calibri"/>
          <w:b w:val="0"/>
        </w:rPr>
        <w:t> </w:t>
      </w:r>
      <w:r w:rsidRPr="00C50089">
        <w:rPr>
          <w:rStyle w:val="fnRef"/>
          <w:b w:val="0"/>
        </w:rPr>
        <w:t>(</w:t>
      </w:r>
      <w:r w:rsidRPr="00C50089">
        <w:rPr>
          <w:rStyle w:val="fnRefNo"/>
          <w:b w:val="0"/>
        </w:rPr>
        <w:footnoteReference w:id="283"/>
      </w:r>
      <w:r w:rsidRPr="00C50089">
        <w:rPr>
          <w:rStyle w:val="fnRef"/>
          <w:b w:val="0"/>
        </w:rPr>
        <w:t>)</w:t>
      </w:r>
    </w:p>
    <w:p w14:paraId="0E2E6704" w14:textId="61FCF469" w:rsidR="005D36C6" w:rsidRPr="00A04E56" w:rsidRDefault="005D36C6" w:rsidP="007F2D7E">
      <w:pPr>
        <w:pStyle w:val="BodyText1spaceafter"/>
        <w:spacing w:after="480"/>
      </w:pPr>
      <w:r w:rsidRPr="00A04E56">
        <w:t xml:space="preserve">The </w:t>
      </w:r>
      <w:r w:rsidR="001F5507" w:rsidRPr="00A04E56">
        <w:t xml:space="preserve">Global Climate Change Alliance </w:t>
      </w:r>
      <w:r w:rsidR="0057438C" w:rsidRPr="00A04E56">
        <w:t>Plus</w:t>
      </w:r>
      <w:r w:rsidR="0057438C" w:rsidRPr="00A04E56">
        <w:rPr>
          <w:rStyle w:val="fnRef"/>
          <w:rFonts w:ascii="Calibri" w:hAnsi="Calibri"/>
        </w:rPr>
        <w:t> </w:t>
      </w:r>
      <w:r w:rsidRPr="00A04E56">
        <w:rPr>
          <w:rStyle w:val="fnRef"/>
        </w:rPr>
        <w:t>(</w:t>
      </w:r>
      <w:r w:rsidRPr="00A04E56">
        <w:rPr>
          <w:rStyle w:val="fnRefNo"/>
        </w:rPr>
        <w:footnoteReference w:id="284"/>
      </w:r>
      <w:r w:rsidRPr="00A04E56">
        <w:rPr>
          <w:rStyle w:val="fnRef"/>
        </w:rPr>
        <w:t>)</w:t>
      </w:r>
      <w:r w:rsidRPr="00A04E56">
        <w:t xml:space="preserve"> is a</w:t>
      </w:r>
      <w:r w:rsidR="001F5507" w:rsidRPr="00A04E56">
        <w:t>n</w:t>
      </w:r>
      <w:r w:rsidRPr="00A04E56">
        <w:t xml:space="preserve"> EU flagship initiative contributing to sustainable development goal number</w:t>
      </w:r>
      <w:r w:rsidRPr="00A04E56">
        <w:rPr>
          <w:rFonts w:ascii="Calibri" w:hAnsi="Calibri" w:cs="Calibri"/>
        </w:rPr>
        <w:t> </w:t>
      </w:r>
      <w:r w:rsidRPr="00A04E56">
        <w:t>13</w:t>
      </w:r>
      <w:r w:rsidR="00733999" w:rsidRPr="00A04E56">
        <w:t xml:space="preserve"> (climate action)</w:t>
      </w:r>
      <w:r w:rsidRPr="00A04E56">
        <w:t>. It is used to support the partner countries which are most vulnerable to climate change (mainly small island developing states and least-developed countries) to build climate resilience.</w:t>
      </w:r>
    </w:p>
    <w:p w14:paraId="24DE219C" w14:textId="7CF8C837" w:rsidR="005D36C6" w:rsidRPr="00A04E56" w:rsidRDefault="00064C43" w:rsidP="007F2D7E">
      <w:pPr>
        <w:pStyle w:val="BodyText1spaceafter"/>
        <w:keepNext/>
        <w:spacing w:after="40"/>
      </w:pPr>
      <w:r w:rsidRPr="00064C43">
        <w:rPr>
          <w:lang w:val="fr-BE"/>
        </w:rPr>
        <w:drawing>
          <wp:inline distT="0" distB="0" distL="0" distR="0" wp14:anchorId="5B742DB9" wp14:editId="6111A521">
            <wp:extent cx="5753100" cy="3599815"/>
            <wp:effectExtent l="0" t="0" r="0" b="63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8">
                      <a:extLst>
                        <a:ext uri="{28A0092B-C50C-407E-A947-70E740481C1C}">
                          <a14:useLocalDpi xmlns:a14="http://schemas.microsoft.com/office/drawing/2010/main"/>
                        </a:ext>
                      </a:extLst>
                    </a:blip>
                    <a:srcRect/>
                    <a:stretch>
                      <a:fillRect/>
                    </a:stretch>
                  </pic:blipFill>
                  <pic:spPr bwMode="auto">
                    <a:xfrm>
                      <a:off x="0" y="0"/>
                      <a:ext cx="5753100" cy="3599815"/>
                    </a:xfrm>
                    <a:prstGeom prst="rect">
                      <a:avLst/>
                    </a:prstGeom>
                    <a:noFill/>
                    <a:ln>
                      <a:noFill/>
                    </a:ln>
                  </pic:spPr>
                </pic:pic>
              </a:graphicData>
            </a:graphic>
          </wp:inline>
        </w:drawing>
      </w:r>
    </w:p>
    <w:p w14:paraId="78BC2B98" w14:textId="024EF70E" w:rsidR="005D36C6" w:rsidRPr="00A04E56" w:rsidRDefault="005D36C6" w:rsidP="007A0B90">
      <w:pPr>
        <w:pStyle w:val="Source-Table-Chart-PhotoCaption"/>
        <w:rPr>
          <w:rFonts w:cs="Calibri"/>
          <w:szCs w:val="20"/>
        </w:rPr>
      </w:pPr>
      <w:r w:rsidRPr="00A04E56">
        <w:rPr>
          <w:rStyle w:val="italics"/>
        </w:rPr>
        <w:t>Chart:</w:t>
      </w:r>
      <w:r w:rsidRPr="00A04E56">
        <w:t xml:space="preserve"> The </w:t>
      </w:r>
      <w:r w:rsidR="001F5507" w:rsidRPr="00A04E56">
        <w:t>Global Climate Change Alliance Plus</w:t>
      </w:r>
      <w:r w:rsidR="00CB6A77" w:rsidRPr="00A04E56">
        <w:t xml:space="preserve"> — </w:t>
      </w:r>
      <w:r w:rsidRPr="00A04E56">
        <w:t xml:space="preserve">geographical distribution of projects since the inception of </w:t>
      </w:r>
      <w:r w:rsidR="001F5507" w:rsidRPr="00A04E56">
        <w:t xml:space="preserve">the </w:t>
      </w:r>
      <w:r w:rsidR="00292898" w:rsidRPr="00A04E56">
        <w:t>programme</w:t>
      </w:r>
      <w:r w:rsidR="00292898" w:rsidRPr="00A04E56">
        <w:rPr>
          <w:rStyle w:val="fnRef"/>
          <w:rFonts w:ascii="Calibri" w:hAnsi="Calibri"/>
        </w:rPr>
        <w:t> </w:t>
      </w:r>
      <w:r w:rsidRPr="00A04E56">
        <w:rPr>
          <w:rStyle w:val="fnRef"/>
        </w:rPr>
        <w:t>(</w:t>
      </w:r>
      <w:r w:rsidRPr="00A04E56">
        <w:rPr>
          <w:rStyle w:val="fnRefNo"/>
        </w:rPr>
        <w:footnoteReference w:id="285"/>
      </w:r>
      <w:r w:rsidRPr="00A04E56">
        <w:rPr>
          <w:rStyle w:val="fnRef"/>
        </w:rPr>
        <w:t>)</w:t>
      </w:r>
      <w:r w:rsidR="005E0FA7" w:rsidRPr="00A04E56">
        <w:t>.</w:t>
      </w:r>
    </w:p>
    <w:p w14:paraId="65E162D3" w14:textId="0B1D1A80" w:rsidR="005D36C6" w:rsidRPr="00A04E56" w:rsidRDefault="005D36C6" w:rsidP="007A0B90">
      <w:pPr>
        <w:pStyle w:val="Source-Table-Chart-PhotoCaption"/>
      </w:pPr>
      <w:r w:rsidRPr="00A04E56">
        <w:rPr>
          <w:rStyle w:val="italics"/>
        </w:rPr>
        <w:t>Source:</w:t>
      </w:r>
      <w:r w:rsidRPr="00A04E56">
        <w:t xml:space="preserve"> 2018 </w:t>
      </w:r>
      <w:r w:rsidR="001F5507" w:rsidRPr="00A04E56">
        <w:t>Annual Activity Report</w:t>
      </w:r>
      <w:r w:rsidRPr="00A04E56">
        <w:t>, Directorate-General for International Cooperation and Development,</w:t>
      </w:r>
      <w:r w:rsidRPr="00A04E56" w:rsidDel="008D29D9">
        <w:t xml:space="preserve"> </w:t>
      </w:r>
      <w:r w:rsidRPr="00A04E56">
        <w:t>p.</w:t>
      </w:r>
      <w:r w:rsidRPr="00A04E56">
        <w:rPr>
          <w:rFonts w:ascii="Calibri" w:hAnsi="Calibri" w:cs="Calibri"/>
        </w:rPr>
        <w:t> </w:t>
      </w:r>
      <w:r w:rsidRPr="00A04E56">
        <w:t>16</w:t>
      </w:r>
      <w:r w:rsidR="005E0FA7" w:rsidRPr="00A04E56">
        <w:t>.</w:t>
      </w:r>
    </w:p>
    <w:p w14:paraId="15CEB8CB" w14:textId="05B0E037" w:rsidR="005D36C6" w:rsidRPr="00A04E56" w:rsidRDefault="005D36C6" w:rsidP="007A0B90">
      <w:pPr>
        <w:pStyle w:val="BodyText1spacebeforeandafter"/>
      </w:pPr>
      <w:r w:rsidRPr="00A04E56">
        <w:t xml:space="preserve">The new projects approved </w:t>
      </w:r>
      <w:r w:rsidR="008C1D39" w:rsidRPr="00A04E56">
        <w:rPr>
          <w:i/>
          <w:u w:val="single"/>
        </w:rPr>
        <w:t>in 2018</w:t>
      </w:r>
      <w:r w:rsidRPr="00A04E56">
        <w:t xml:space="preserve"> encompass 10 country actions and a multi-country programme </w:t>
      </w:r>
      <w:r w:rsidR="00CD0A77" w:rsidRPr="00A04E56">
        <w:t>(</w:t>
      </w:r>
      <w:r w:rsidRPr="00A04E56">
        <w:t>the Local Climate Adaptive Living Facility</w:t>
      </w:r>
      <w:r w:rsidR="00CD0A77" w:rsidRPr="00A04E56">
        <w:t>)</w:t>
      </w:r>
      <w:r w:rsidRPr="00A04E56">
        <w:t xml:space="preserve">, to </w:t>
      </w:r>
      <w:r w:rsidR="00CD0A77" w:rsidRPr="00A04E56">
        <w:t xml:space="preserve">improve </w:t>
      </w:r>
      <w:r w:rsidRPr="00A04E56">
        <w:t>local authorities’ access to climate finance.</w:t>
      </w:r>
    </w:p>
    <w:p w14:paraId="3693FBDE" w14:textId="77777777" w:rsidR="005D36C6" w:rsidRPr="00A04E56" w:rsidRDefault="005D36C6" w:rsidP="00C50089">
      <w:pPr>
        <w:pStyle w:val="SubtitleLightBlueReport11pt"/>
      </w:pPr>
      <w:r w:rsidRPr="00A04E56">
        <w:t>Switch to Green</w:t>
      </w:r>
      <w:r w:rsidRPr="005D7F88">
        <w:rPr>
          <w:rFonts w:ascii="Arial" w:hAnsi="Arial" w:cs="Arial"/>
          <w:b w:val="0"/>
        </w:rPr>
        <w:t> </w:t>
      </w:r>
      <w:r w:rsidRPr="005D7F88">
        <w:rPr>
          <w:b w:val="0"/>
        </w:rPr>
        <w:t>(</w:t>
      </w:r>
      <w:r w:rsidRPr="005D7F88">
        <w:rPr>
          <w:rStyle w:val="fnRefNo"/>
          <w:b w:val="0"/>
        </w:rPr>
        <w:footnoteReference w:id="286"/>
      </w:r>
      <w:r w:rsidRPr="005D7F88">
        <w:rPr>
          <w:b w:val="0"/>
        </w:rPr>
        <w:t>)</w:t>
      </w:r>
    </w:p>
    <w:p w14:paraId="550B9B0E" w14:textId="624E21BF" w:rsidR="00CD0A77" w:rsidRPr="00F174D9" w:rsidRDefault="00CD0A77" w:rsidP="00CD0A77">
      <w:pPr>
        <w:pStyle w:val="BodyText1spaceafter"/>
        <w:rPr>
          <w:spacing w:val="-4"/>
        </w:rPr>
      </w:pPr>
      <w:r w:rsidRPr="00F174D9">
        <w:rPr>
          <w:spacing w:val="-4"/>
        </w:rPr>
        <w:t xml:space="preserve">The Commission continued to support </w:t>
      </w:r>
      <w:r w:rsidR="002A2923" w:rsidRPr="00F174D9">
        <w:rPr>
          <w:spacing w:val="-4"/>
        </w:rPr>
        <w:t>‘</w:t>
      </w:r>
      <w:r w:rsidRPr="00F174D9">
        <w:rPr>
          <w:spacing w:val="-4"/>
        </w:rPr>
        <w:t>Switch to Green</w:t>
      </w:r>
      <w:r w:rsidR="002A2923" w:rsidRPr="00F174D9">
        <w:rPr>
          <w:spacing w:val="-4"/>
        </w:rPr>
        <w:t>’</w:t>
      </w:r>
      <w:r w:rsidRPr="00F174D9">
        <w:rPr>
          <w:spacing w:val="-4"/>
        </w:rPr>
        <w:t>, the EU’s flagship action on green economy, to which the EU has allocated approximately EUR 300 million over the last 10 years. The recent evaluation</w:t>
      </w:r>
      <w:r w:rsidR="009F474A" w:rsidRPr="00F174D9">
        <w:rPr>
          <w:rFonts w:ascii="Calibri" w:hAnsi="Calibri" w:cs="Calibri"/>
          <w:spacing w:val="-4"/>
        </w:rPr>
        <w:t> (</w:t>
      </w:r>
      <w:r w:rsidRPr="00F174D9">
        <w:rPr>
          <w:rStyle w:val="fnRefNo"/>
          <w:spacing w:val="-4"/>
        </w:rPr>
        <w:footnoteReference w:id="287"/>
      </w:r>
      <w:r w:rsidR="009F474A" w:rsidRPr="00F174D9">
        <w:rPr>
          <w:rFonts w:ascii="Calibri" w:hAnsi="Calibri" w:cs="Calibri"/>
          <w:spacing w:val="-4"/>
        </w:rPr>
        <w:t>)</w:t>
      </w:r>
      <w:r w:rsidRPr="00F174D9">
        <w:rPr>
          <w:spacing w:val="-4"/>
        </w:rPr>
        <w:t xml:space="preserve"> of EU cooperation on green economy reached positive conclusions on </w:t>
      </w:r>
      <w:r w:rsidR="002A2923" w:rsidRPr="00F174D9">
        <w:rPr>
          <w:spacing w:val="-4"/>
        </w:rPr>
        <w:t>‘</w:t>
      </w:r>
      <w:r w:rsidRPr="00F174D9">
        <w:rPr>
          <w:spacing w:val="-4"/>
        </w:rPr>
        <w:t>Switch to Green</w:t>
      </w:r>
      <w:r w:rsidR="002A2923" w:rsidRPr="00F174D9">
        <w:rPr>
          <w:spacing w:val="-4"/>
        </w:rPr>
        <w:t>’</w:t>
      </w:r>
      <w:r w:rsidRPr="00F174D9">
        <w:rPr>
          <w:spacing w:val="-4"/>
        </w:rPr>
        <w:t xml:space="preserve">, noting in particular its </w:t>
      </w:r>
      <w:r w:rsidR="006E67F0" w:rsidRPr="00F174D9">
        <w:rPr>
          <w:spacing w:val="-4"/>
        </w:rPr>
        <w:t>‘</w:t>
      </w:r>
      <w:r w:rsidRPr="00F174D9">
        <w:rPr>
          <w:spacing w:val="-4"/>
        </w:rPr>
        <w:t xml:space="preserve">high impact in terms of uptake of sustainable consumption and production practices and increased levels of investments by </w:t>
      </w:r>
      <w:r w:rsidR="00C40D21" w:rsidRPr="00F174D9">
        <w:rPr>
          <w:spacing w:val="-4"/>
        </w:rPr>
        <w:t>the micro, small and medium-sized enterprises</w:t>
      </w:r>
      <w:r w:rsidRPr="00F174D9">
        <w:rPr>
          <w:spacing w:val="-4"/>
        </w:rPr>
        <w:t>, contributing notably to the creation of green jobs</w:t>
      </w:r>
      <w:r w:rsidR="006E67F0" w:rsidRPr="00F174D9">
        <w:rPr>
          <w:spacing w:val="-4"/>
        </w:rPr>
        <w:t>’</w:t>
      </w:r>
      <w:r w:rsidR="006E67F0" w:rsidRPr="00F174D9">
        <w:rPr>
          <w:rFonts w:ascii="Calibri" w:hAnsi="Calibri" w:cs="Calibri"/>
          <w:spacing w:val="-4"/>
        </w:rPr>
        <w:t> (</w:t>
      </w:r>
      <w:r w:rsidRPr="00F174D9">
        <w:rPr>
          <w:rStyle w:val="fnRefNo"/>
          <w:spacing w:val="-4"/>
        </w:rPr>
        <w:footnoteReference w:id="288"/>
      </w:r>
      <w:r w:rsidR="006E67F0" w:rsidRPr="00F174D9">
        <w:rPr>
          <w:rFonts w:ascii="Calibri" w:hAnsi="Calibri" w:cs="Calibri"/>
          <w:spacing w:val="-4"/>
        </w:rPr>
        <w:t>)</w:t>
      </w:r>
      <w:r w:rsidRPr="00F174D9">
        <w:rPr>
          <w:spacing w:val="-4"/>
        </w:rPr>
        <w:t>.</w:t>
      </w:r>
    </w:p>
    <w:p w14:paraId="39484C57" w14:textId="56D6BA25" w:rsidR="00CD0A77" w:rsidRPr="00A04E56" w:rsidRDefault="00CD0A77" w:rsidP="00CD0A77">
      <w:pPr>
        <w:pStyle w:val="BodyText1spaceafter"/>
      </w:pPr>
      <w:r w:rsidRPr="00A04E56">
        <w:t>For African countries, there is a real economic interest in investing in solar energy. More solar energy in the energy mix will relieve public finances from the structural deficits of the public electricity supply companies. Successful first steps have been taken in renewable energy, especially in West Africa. Grid connected solar energy installations and wind turbines, currently under preparation, built or in operational activity will generate over 600 </w:t>
      </w:r>
      <w:r w:rsidR="00CA2B92">
        <w:t>megawatts</w:t>
      </w:r>
      <w:r w:rsidRPr="00A04E56">
        <w:t>.</w:t>
      </w:r>
    </w:p>
    <w:p w14:paraId="25A580CC" w14:textId="06AFF76F" w:rsidR="00CD0A77" w:rsidRPr="00A04E56" w:rsidRDefault="008C1D39" w:rsidP="00CD0A77">
      <w:pPr>
        <w:pStyle w:val="BodyText1spaceafter"/>
      </w:pPr>
      <w:r w:rsidRPr="00A04E56">
        <w:rPr>
          <w:i/>
          <w:u w:val="single"/>
        </w:rPr>
        <w:t>In 2018</w:t>
      </w:r>
      <w:r w:rsidR="00CD0A77" w:rsidRPr="00A04E56">
        <w:t>, the 33 </w:t>
      </w:r>
      <w:r w:rsidR="00CA2B92">
        <w:t>megawattpeak of</w:t>
      </w:r>
      <w:r w:rsidR="00CA2B92" w:rsidRPr="00A04E56">
        <w:t xml:space="preserve"> </w:t>
      </w:r>
      <w:r w:rsidR="00CD0A77" w:rsidRPr="00A04E56">
        <w:t>solar power plant at Zagtouli (Burkina Faso), co-financed by the EU, became fully operational.</w:t>
      </w:r>
    </w:p>
    <w:p w14:paraId="594AC7C2" w14:textId="27B41692" w:rsidR="00CD0A77" w:rsidRPr="00A04E56" w:rsidRDefault="00CD0A77" w:rsidP="00CD0A77">
      <w:pPr>
        <w:pStyle w:val="BodyText1spaceafter"/>
      </w:pPr>
      <w:r w:rsidRPr="00A04E56">
        <w:t>The EU is currently co-financing five other solar power plants in West Africa: Gorou Banda and Agadez (Niger), Defissol (Benin), Odienné (Côte d’Ivoire) and Bauchi (Nigeria). In total, EU funds are contributing to additional solar power production of 206 </w:t>
      </w:r>
      <w:r w:rsidR="00CA2B92">
        <w:t xml:space="preserve">megawattpeak </w:t>
      </w:r>
      <w:r w:rsidRPr="00A04E56">
        <w:t>in West Africa.</w:t>
      </w:r>
    </w:p>
    <w:p w14:paraId="2E2D3C1D" w14:textId="388FDABC" w:rsidR="005D36C6" w:rsidRPr="00A04E56" w:rsidRDefault="005010E4" w:rsidP="00AA0340">
      <w:pPr>
        <w:pStyle w:val="Title3NumberedReport"/>
      </w:pPr>
      <w:r w:rsidRPr="00A04E56">
        <w:t>Assessment and evaluation</w:t>
      </w:r>
    </w:p>
    <w:p w14:paraId="1867E4FA" w14:textId="6518B3E9" w:rsidR="005D36C6" w:rsidRPr="00A04E56" w:rsidRDefault="005D36C6" w:rsidP="005D36C6">
      <w:pPr>
        <w:pStyle w:val="BodyText1spaceafter"/>
      </w:pPr>
      <w:r w:rsidRPr="00A04E56">
        <w:t>The evaluation</w:t>
      </w:r>
      <w:r w:rsidRPr="00A04E56">
        <w:rPr>
          <w:rStyle w:val="fnRef"/>
          <w:rFonts w:ascii="Calibri" w:hAnsi="Calibri" w:cs="Calibri"/>
        </w:rPr>
        <w:t> </w:t>
      </w:r>
      <w:r w:rsidRPr="00A04E56">
        <w:rPr>
          <w:rStyle w:val="fnRef"/>
        </w:rPr>
        <w:t>(</w:t>
      </w:r>
      <w:r w:rsidRPr="00A04E56">
        <w:rPr>
          <w:rStyle w:val="fnRefNo"/>
        </w:rPr>
        <w:footnoteReference w:id="289"/>
      </w:r>
      <w:r w:rsidRPr="00A04E56">
        <w:rPr>
          <w:rStyle w:val="fnRef"/>
        </w:rPr>
        <w:t>)</w:t>
      </w:r>
      <w:r w:rsidRPr="00A04E56">
        <w:t xml:space="preserve"> of the Development Cooperation Instrument at its midterm review considered that </w:t>
      </w:r>
      <w:r w:rsidR="002278A9" w:rsidRPr="00A04E56">
        <w:t>it</w:t>
      </w:r>
      <w:r w:rsidRPr="00A04E56">
        <w:t xml:space="preserve"> remains overall relevant and fit for purpose. It is broadly in line with new policy (e.g. the new European Consensus on Development and the 2030 </w:t>
      </w:r>
      <w:r w:rsidR="00F504A4" w:rsidRPr="00A04E56">
        <w:t>agenda for sustainable development</w:t>
      </w:r>
      <w:r w:rsidRPr="00A04E56">
        <w:t>) although implementing certain priorities could be difficult in its current format. The evaluation also pointed out that while there is some evidence of consistency between the Development Cooperation Instrument and o</w:t>
      </w:r>
      <w:r w:rsidR="00A60920" w:rsidRPr="00A04E56">
        <w:t xml:space="preserve">ther external financing instruments </w:t>
      </w:r>
      <w:r w:rsidRPr="00A04E56">
        <w:t>and with EU external</w:t>
      </w:r>
      <w:r w:rsidR="00DF0116" w:rsidRPr="00A04E56">
        <w:t>-</w:t>
      </w:r>
      <w:r w:rsidRPr="00A04E56">
        <w:t xml:space="preserve">action policies, a more strategic approach is needed. </w:t>
      </w:r>
    </w:p>
    <w:p w14:paraId="64C80663" w14:textId="7FBADD2A" w:rsidR="005D36C6" w:rsidRPr="00F174D9" w:rsidRDefault="005D36C6" w:rsidP="005D36C6">
      <w:pPr>
        <w:pStyle w:val="BodyText1spaceafter"/>
        <w:rPr>
          <w:spacing w:val="-2"/>
        </w:rPr>
      </w:pPr>
      <w:r w:rsidRPr="00F174D9">
        <w:rPr>
          <w:spacing w:val="-2"/>
        </w:rPr>
        <w:t xml:space="preserve">This concern was taken into consideration </w:t>
      </w:r>
      <w:r w:rsidR="008C1D39" w:rsidRPr="00F174D9">
        <w:rPr>
          <w:i/>
          <w:spacing w:val="-2"/>
          <w:u w:val="single"/>
        </w:rPr>
        <w:t>in 2018</w:t>
      </w:r>
      <w:r w:rsidRPr="00F174D9">
        <w:rPr>
          <w:spacing w:val="-2"/>
        </w:rPr>
        <w:t xml:space="preserve"> when the Commission carried out an impact assessment covering the external action heading ‘Global Europe’ under the 2014-2020 multiannual financial framework. It was assessed that streamlining a number of instruments into one broad instrument would provide an opportunity to rationalise their management-and-oversight systems and so reduce the administrative burden for all stakeholders. Having a simplified oversight system would allow the relevant institutions to have a better, more comprehensive view of the EU’s external expenditure. Under the 2021-2027 multiannual financial framework the European Development Fund is integrated into a new Neighbourhood, Development and International Cooperation Instrument</w:t>
      </w:r>
      <w:r w:rsidRPr="00F174D9">
        <w:rPr>
          <w:rStyle w:val="fnRef"/>
          <w:rFonts w:ascii="Calibri" w:hAnsi="Calibri" w:cs="Calibri"/>
          <w:spacing w:val="-2"/>
        </w:rPr>
        <w:t> </w:t>
      </w:r>
      <w:r w:rsidRPr="00F174D9">
        <w:rPr>
          <w:rStyle w:val="fnRef"/>
          <w:spacing w:val="-2"/>
        </w:rPr>
        <w:t>(</w:t>
      </w:r>
      <w:r w:rsidRPr="00F174D9">
        <w:rPr>
          <w:rStyle w:val="fnRefNo"/>
          <w:spacing w:val="-2"/>
        </w:rPr>
        <w:footnoteReference w:id="290"/>
      </w:r>
      <w:r w:rsidRPr="00F174D9">
        <w:rPr>
          <w:rStyle w:val="fnRef"/>
          <w:spacing w:val="-2"/>
        </w:rPr>
        <w:t>)</w:t>
      </w:r>
      <w:r w:rsidRPr="00F174D9">
        <w:rPr>
          <w:spacing w:val="-2"/>
        </w:rPr>
        <w:t xml:space="preserve"> which responds to the objectives of the external action of the EU.</w:t>
      </w:r>
    </w:p>
    <w:p w14:paraId="5A01FEBC" w14:textId="77777777" w:rsidR="005D36C6" w:rsidRPr="00A04E56" w:rsidRDefault="005D36C6" w:rsidP="005D36C6">
      <w:pPr>
        <w:pStyle w:val="Title2Report"/>
      </w:pPr>
      <w:bookmarkStart w:id="200" w:name="_Toc12021033"/>
      <w:r w:rsidRPr="00A04E56">
        <w:t>European Fund for Sustainable Development (EFSD)</w:t>
      </w:r>
      <w:bookmarkEnd w:id="200"/>
    </w:p>
    <w:p w14:paraId="199668FC" w14:textId="2D8DABA0" w:rsidR="005D36C6" w:rsidRPr="00A04E56" w:rsidRDefault="005D36C6" w:rsidP="005D36C6">
      <w:pPr>
        <w:pStyle w:val="BodyText1spaceafter"/>
        <w:rPr>
          <w:szCs w:val="20"/>
        </w:rPr>
      </w:pPr>
      <w:r w:rsidRPr="00A04E56">
        <w:t xml:space="preserve">The overall aim of the </w:t>
      </w:r>
      <w:r w:rsidRPr="00A04E56">
        <w:rPr>
          <w:rStyle w:val="BOLDLIGHTBLUEReport"/>
          <w:rFonts w:eastAsiaTheme="minorHAnsi"/>
        </w:rPr>
        <w:t>European Fund for Sustainable Development</w:t>
      </w:r>
      <w:r w:rsidRPr="00A04E56">
        <w:rPr>
          <w:rStyle w:val="fnRef"/>
          <w:rFonts w:ascii="Calibri" w:hAnsi="Calibri" w:cs="Calibri"/>
        </w:rPr>
        <w:t> </w:t>
      </w:r>
      <w:r w:rsidRPr="00A04E56">
        <w:rPr>
          <w:rStyle w:val="fnRef"/>
        </w:rPr>
        <w:t>(</w:t>
      </w:r>
      <w:r w:rsidRPr="00A04E56">
        <w:rPr>
          <w:rStyle w:val="fnRefNo"/>
        </w:rPr>
        <w:footnoteReference w:id="291"/>
      </w:r>
      <w:r w:rsidRPr="00A04E56">
        <w:rPr>
          <w:rStyle w:val="fnRef"/>
        </w:rPr>
        <w:t>)</w:t>
      </w:r>
      <w:r w:rsidRPr="00A04E56">
        <w:t xml:space="preserve"> is to contribute to the goals of the United Nations 2030 </w:t>
      </w:r>
      <w:r w:rsidR="00F504A4" w:rsidRPr="00A04E56">
        <w:t>agenda for sustainable development</w:t>
      </w:r>
      <w:r w:rsidRPr="00A04E56">
        <w:t xml:space="preserve">, in particular poverty eradication, as well as to the commitments under the recently revised European Neighbourhood Policy. By supporting investments in Africa and the Neighbourhood, the European Fund for Sustainable Development also aims to address specific socioeconomic root causes of migration, including irregular migration, and to contribute to the sustainable reintegration of migrants returning to their countries of origin and to the strengthening of transit and host </w:t>
      </w:r>
      <w:r w:rsidRPr="00A04E56">
        <w:rPr>
          <w:szCs w:val="20"/>
        </w:rPr>
        <w:t xml:space="preserve">communities. </w:t>
      </w:r>
    </w:p>
    <w:p w14:paraId="3A465A99" w14:textId="3EC38733" w:rsidR="005D36C6" w:rsidRPr="00A04E56" w:rsidRDefault="005D36C6" w:rsidP="005D36C6">
      <w:pPr>
        <w:pStyle w:val="BodyText1"/>
        <w:spacing w:after="240"/>
        <w:rPr>
          <w:szCs w:val="20"/>
          <w:lang w:val="en-GB"/>
        </w:rPr>
      </w:pPr>
      <w:r w:rsidRPr="00A04E56">
        <w:rPr>
          <w:szCs w:val="20"/>
          <w:lang w:val="en-GB"/>
        </w:rPr>
        <w:t xml:space="preserve">The European Fund for Sustainable Development Guarantee will cover portfolios of investments to be implemented by eligible counterparts in targeted areas, so-called </w:t>
      </w:r>
      <w:r w:rsidRPr="00A04E56">
        <w:rPr>
          <w:rStyle w:val="BOLDLIGHTBLUEReport"/>
          <w:rFonts w:eastAsiaTheme="minorHAnsi"/>
        </w:rPr>
        <w:t>investment windows</w:t>
      </w:r>
      <w:r w:rsidRPr="00A04E56">
        <w:rPr>
          <w:szCs w:val="20"/>
          <w:lang w:val="en-GB"/>
        </w:rPr>
        <w:t>. A first set of investment windows includes: sustainable energy and connectivity; micro, small and medium-sized enterprise financing; sustainable agriculture, rural development and agribusiness; sustainable cities</w:t>
      </w:r>
      <w:r w:rsidR="00121824" w:rsidRPr="00A04E56">
        <w:rPr>
          <w:szCs w:val="20"/>
          <w:lang w:val="en-GB"/>
        </w:rPr>
        <w:t xml:space="preserve"> and digital for environment. </w:t>
      </w:r>
    </w:p>
    <w:p w14:paraId="380E6B43" w14:textId="59E574DE" w:rsidR="005D36C6" w:rsidRPr="00A04E56" w:rsidRDefault="005D36C6" w:rsidP="005D36C6">
      <w:pPr>
        <w:pStyle w:val="BodyText1spaceafter"/>
        <w:rPr>
          <w:szCs w:val="20"/>
        </w:rPr>
      </w:pPr>
      <w:r w:rsidRPr="00A04E56">
        <w:rPr>
          <w:szCs w:val="20"/>
        </w:rPr>
        <w:t xml:space="preserve">By the end of </w:t>
      </w:r>
      <w:r w:rsidR="007B294E" w:rsidRPr="00A04E56">
        <w:rPr>
          <w:szCs w:val="20"/>
        </w:rPr>
        <w:t>2018</w:t>
      </w:r>
      <w:r w:rsidR="007B294E" w:rsidRPr="00A04E56">
        <w:rPr>
          <w:rStyle w:val="fnRef"/>
          <w:rFonts w:ascii="Calibri" w:hAnsi="Calibri"/>
        </w:rPr>
        <w:t> </w:t>
      </w:r>
      <w:r w:rsidRPr="00A04E56">
        <w:rPr>
          <w:rStyle w:val="fnRef"/>
        </w:rPr>
        <w:t>(</w:t>
      </w:r>
      <w:r w:rsidRPr="00A04E56">
        <w:rPr>
          <w:rStyle w:val="fnRefNo"/>
        </w:rPr>
        <w:footnoteReference w:id="292"/>
      </w:r>
      <w:r w:rsidRPr="00A04E56">
        <w:rPr>
          <w:rStyle w:val="fnRef"/>
        </w:rPr>
        <w:t>)</w:t>
      </w:r>
      <w:r w:rsidRPr="00A04E56">
        <w:rPr>
          <w:szCs w:val="20"/>
        </w:rPr>
        <w:t xml:space="preserve"> the first guarantee was signed with FMO (</w:t>
      </w:r>
      <w:r w:rsidRPr="00A04E56">
        <w:t>De Nederlandse Financieringsmaatschappij voor Ontwikkelingslanden</w:t>
      </w:r>
      <w:r w:rsidRPr="00A04E56">
        <w:rPr>
          <w:szCs w:val="20"/>
        </w:rPr>
        <w:t xml:space="preserve">), the Dutch development bank, for the </w:t>
      </w:r>
      <w:r w:rsidR="00254763" w:rsidRPr="00A04E56">
        <w:rPr>
          <w:szCs w:val="20"/>
        </w:rPr>
        <w:t>N</w:t>
      </w:r>
      <w:r w:rsidR="00950FF5" w:rsidRPr="00A04E56">
        <w:rPr>
          <w:szCs w:val="20"/>
        </w:rPr>
        <w:t>asira</w:t>
      </w:r>
      <w:r w:rsidR="00254763" w:rsidRPr="00A04E56">
        <w:rPr>
          <w:rStyle w:val="fnRef"/>
          <w:rFonts w:ascii="Arial" w:hAnsi="Arial" w:cs="Arial"/>
        </w:rPr>
        <w:t> </w:t>
      </w:r>
      <w:r w:rsidRPr="00A04E56">
        <w:rPr>
          <w:rStyle w:val="fnRef"/>
        </w:rPr>
        <w:t>(</w:t>
      </w:r>
      <w:r w:rsidRPr="00A04E56">
        <w:rPr>
          <w:rStyle w:val="fnRefNo"/>
        </w:rPr>
        <w:footnoteReference w:id="293"/>
      </w:r>
      <w:r w:rsidRPr="00A04E56">
        <w:rPr>
          <w:rStyle w:val="fnRef"/>
        </w:rPr>
        <w:t>)</w:t>
      </w:r>
      <w:r w:rsidRPr="00A04E56">
        <w:rPr>
          <w:szCs w:val="20"/>
        </w:rPr>
        <w:t xml:space="preserve"> risk-sharing facility</w:t>
      </w:r>
      <w:r w:rsidRPr="00A04E56">
        <w:rPr>
          <w:rStyle w:val="fnRef"/>
          <w:rFonts w:ascii="Arial" w:hAnsi="Arial" w:cs="Arial"/>
        </w:rPr>
        <w:t> </w:t>
      </w:r>
      <w:r w:rsidRPr="00A04E56">
        <w:rPr>
          <w:rStyle w:val="fnRef"/>
        </w:rPr>
        <w:t>(</w:t>
      </w:r>
      <w:r w:rsidRPr="00A04E56">
        <w:rPr>
          <w:rStyle w:val="fnRefNo"/>
        </w:rPr>
        <w:footnoteReference w:id="294"/>
      </w:r>
      <w:r w:rsidRPr="00A04E56">
        <w:rPr>
          <w:rStyle w:val="fnRef"/>
        </w:rPr>
        <w:t>)</w:t>
      </w:r>
      <w:r w:rsidRPr="00A04E56">
        <w:rPr>
          <w:szCs w:val="20"/>
        </w:rPr>
        <w:t>. It will use EUR</w:t>
      </w:r>
      <w:r w:rsidRPr="00A04E56">
        <w:rPr>
          <w:rFonts w:ascii="Calibri" w:hAnsi="Calibri" w:cs="Calibri"/>
          <w:szCs w:val="20"/>
        </w:rPr>
        <w:t> </w:t>
      </w:r>
      <w:r w:rsidRPr="00A04E56">
        <w:rPr>
          <w:szCs w:val="20"/>
        </w:rPr>
        <w:t>75</w:t>
      </w:r>
      <w:r w:rsidRPr="00A04E56">
        <w:rPr>
          <w:rFonts w:ascii="Calibri" w:hAnsi="Calibri" w:cs="Calibri"/>
          <w:szCs w:val="20"/>
        </w:rPr>
        <w:t> million</w:t>
      </w:r>
      <w:r w:rsidRPr="00A04E56">
        <w:rPr>
          <w:szCs w:val="20"/>
        </w:rPr>
        <w:t xml:space="preserve"> of EU funds to leverage up to EUR</w:t>
      </w:r>
      <w:r w:rsidRPr="00A04E56">
        <w:rPr>
          <w:rFonts w:ascii="Calibri" w:hAnsi="Calibri" w:cs="Calibri"/>
          <w:szCs w:val="20"/>
        </w:rPr>
        <w:t> 1 billion</w:t>
      </w:r>
      <w:r w:rsidRPr="00A04E56">
        <w:rPr>
          <w:szCs w:val="20"/>
        </w:rPr>
        <w:t xml:space="preserve"> of investment for entrepreneurs in sub-Saharan Africa and the Neighbourhood. This is expected to create or support up to 800</w:t>
      </w:r>
      <w:r w:rsidRPr="00A04E56">
        <w:rPr>
          <w:rFonts w:ascii="Calibri" w:hAnsi="Calibri" w:cs="Calibri"/>
          <w:szCs w:val="20"/>
        </w:rPr>
        <w:t> </w:t>
      </w:r>
      <w:r w:rsidRPr="00A04E56">
        <w:rPr>
          <w:szCs w:val="20"/>
        </w:rPr>
        <w:t xml:space="preserve">000 jobs and benefit those who struggle to access affordable loans, such as internally displaced people, refugees, women and young people. </w:t>
      </w:r>
    </w:p>
    <w:p w14:paraId="1C35AE5A" w14:textId="5CE6B2A6" w:rsidR="005D36C6" w:rsidRPr="00A04E56" w:rsidRDefault="005D36C6" w:rsidP="005D36C6">
      <w:pPr>
        <w:pStyle w:val="BodyText1spaceafter"/>
        <w:rPr>
          <w:rFonts w:asciiTheme="minorHAnsi" w:hAnsiTheme="minorHAnsi"/>
          <w:szCs w:val="20"/>
        </w:rPr>
      </w:pPr>
      <w:r w:rsidRPr="00A04E56">
        <w:rPr>
          <w:rFonts w:asciiTheme="minorHAnsi" w:hAnsiTheme="minorHAnsi"/>
          <w:szCs w:val="20"/>
        </w:rPr>
        <w:t xml:space="preserve">The European Fund for Sustainable Development Guarantee helps to increase investment in partner countries </w:t>
      </w:r>
      <w:r w:rsidR="0040376A" w:rsidRPr="00A04E56">
        <w:rPr>
          <w:rFonts w:asciiTheme="minorHAnsi" w:hAnsiTheme="minorHAnsi"/>
          <w:szCs w:val="20"/>
        </w:rPr>
        <w:t xml:space="preserve">which require it, </w:t>
      </w:r>
      <w:r w:rsidRPr="00A04E56">
        <w:rPr>
          <w:rFonts w:asciiTheme="minorHAnsi" w:hAnsiTheme="minorHAnsi"/>
          <w:szCs w:val="20"/>
        </w:rPr>
        <w:t>including in high-risk areas and sectors. It has experienced a promising start</w:t>
      </w:r>
      <w:r w:rsidRPr="00A04E56">
        <w:rPr>
          <w:rStyle w:val="fnRef"/>
          <w:rFonts w:ascii="Arial" w:hAnsi="Arial" w:cs="Arial"/>
        </w:rPr>
        <w:t> </w:t>
      </w:r>
      <w:r w:rsidRPr="00A04E56">
        <w:rPr>
          <w:rStyle w:val="fnRef"/>
        </w:rPr>
        <w:t>(</w:t>
      </w:r>
      <w:r w:rsidRPr="00A04E56">
        <w:rPr>
          <w:rStyle w:val="fnRefNo"/>
        </w:rPr>
        <w:footnoteReference w:id="295"/>
      </w:r>
      <w:r w:rsidRPr="00A04E56">
        <w:rPr>
          <w:rStyle w:val="fnRef"/>
        </w:rPr>
        <w:t>)</w:t>
      </w:r>
      <w:r w:rsidRPr="00A04E56">
        <w:rPr>
          <w:rFonts w:asciiTheme="minorHAnsi" w:hAnsiTheme="minorHAnsi"/>
          <w:szCs w:val="20"/>
        </w:rPr>
        <w:t xml:space="preserve">. In that context, the proposal for </w:t>
      </w:r>
      <w:r w:rsidRPr="00A04E56">
        <w:rPr>
          <w:rFonts w:asciiTheme="minorHAnsi" w:hAnsiTheme="minorHAnsi"/>
        </w:rPr>
        <w:t>a</w:t>
      </w:r>
      <w:r w:rsidRPr="00A04E56">
        <w:rPr>
          <w:rStyle w:val="BOLDLIGHTBLUEReport"/>
          <w:rFonts w:eastAsia="Calibri"/>
        </w:rPr>
        <w:t xml:space="preserve"> Neighbourhood Development and International Cooperation Instrument for the post-2020 multiannual financial framework</w:t>
      </w:r>
      <w:r w:rsidRPr="00A04E56">
        <w:rPr>
          <w:rFonts w:asciiTheme="minorHAnsi" w:hAnsiTheme="minorHAnsi"/>
          <w:szCs w:val="20"/>
        </w:rPr>
        <w:t xml:space="preserve"> will include the European Fund for Sustainable Development+. Integrating the fund into the broad instrument is expected to simplify the legal framework and increase the efficiency of processes and operations. It would improve the visibility delivered by the current fragmented instruments and facilitate better communication of impact and results. There would be a stronger policy alignment and complementarity of actions</w:t>
      </w:r>
      <w:r w:rsidRPr="00A04E56">
        <w:rPr>
          <w:rStyle w:val="fnRef"/>
          <w:rFonts w:ascii="Arial" w:hAnsi="Arial" w:cs="Arial"/>
        </w:rPr>
        <w:t> </w:t>
      </w:r>
      <w:r w:rsidRPr="00A04E56">
        <w:rPr>
          <w:rStyle w:val="fnRef"/>
        </w:rPr>
        <w:t>(</w:t>
      </w:r>
      <w:r w:rsidRPr="00A04E56">
        <w:rPr>
          <w:rStyle w:val="fnRefNo"/>
        </w:rPr>
        <w:footnoteReference w:id="296"/>
      </w:r>
      <w:r w:rsidRPr="00A04E56">
        <w:rPr>
          <w:rStyle w:val="fnRef"/>
        </w:rPr>
        <w:t>)</w:t>
      </w:r>
      <w:r w:rsidRPr="00A04E56">
        <w:rPr>
          <w:rFonts w:asciiTheme="minorHAnsi" w:hAnsiTheme="minorHAnsi"/>
          <w:szCs w:val="20"/>
        </w:rPr>
        <w:t>.</w:t>
      </w:r>
    </w:p>
    <w:p w14:paraId="71FEC462" w14:textId="196064BF" w:rsidR="005D36C6" w:rsidRPr="00A04E56" w:rsidRDefault="005D36C6" w:rsidP="005D36C6">
      <w:pPr>
        <w:pStyle w:val="Title2Report"/>
      </w:pPr>
      <w:bookmarkStart w:id="201" w:name="_Toc12021034"/>
      <w:r w:rsidRPr="00A04E56">
        <w:t xml:space="preserve">EU </w:t>
      </w:r>
      <w:r w:rsidR="00DF0116" w:rsidRPr="00A04E56">
        <w:t>humanitarian-aid programme</w:t>
      </w:r>
      <w:bookmarkEnd w:id="201"/>
      <w:r w:rsidR="00DF0116" w:rsidRPr="00A04E56">
        <w:t xml:space="preserve"> </w:t>
      </w:r>
    </w:p>
    <w:p w14:paraId="55C0E321" w14:textId="77777777" w:rsidR="005D36C6" w:rsidRPr="00A04E56" w:rsidRDefault="005D36C6" w:rsidP="00AA0340">
      <w:pPr>
        <w:pStyle w:val="Title3NumberedReport"/>
      </w:pPr>
      <w:r w:rsidRPr="00A04E56">
        <w:t xml:space="preserve">Programme objectives </w:t>
      </w:r>
    </w:p>
    <w:p w14:paraId="63D648D2" w14:textId="4F40CE0D" w:rsidR="005D36C6" w:rsidRPr="00A04E56" w:rsidRDefault="005D36C6" w:rsidP="005D36C6">
      <w:pPr>
        <w:pStyle w:val="BodyText1spaceafter"/>
      </w:pPr>
      <w:r w:rsidRPr="00A04E56">
        <w:t xml:space="preserve">The </w:t>
      </w:r>
      <w:r w:rsidR="00DF0116" w:rsidRPr="00A04E56">
        <w:t xml:space="preserve">humanitarian-aid programme </w:t>
      </w:r>
      <w:r w:rsidRPr="00A04E56">
        <w:t xml:space="preserve">aims to provide </w:t>
      </w:r>
      <w:r w:rsidRPr="00A04E56">
        <w:rPr>
          <w:rStyle w:val="BOLDLIGHTBLUEReport"/>
          <w:rFonts w:eastAsia="Calibri"/>
        </w:rPr>
        <w:t>relief and protection to populations affected by natural or man-made disasters</w:t>
      </w:r>
      <w:r w:rsidRPr="00A04E56">
        <w:t xml:space="preserve">. Given that together the EU and its Member States are the world's largest humanitarian-aid donor, they play a central role in tackling humanitarian challenges. The </w:t>
      </w:r>
      <w:r w:rsidR="00DF0116" w:rsidRPr="00A04E56">
        <w:t>humanitarian-</w:t>
      </w:r>
      <w:r w:rsidRPr="00A04E56">
        <w:t xml:space="preserve">aid programme provides aid to the most vulnerable populations in countries in crisis, including ‘forgotten crises’ (crises with little media attention and poor coverage). </w:t>
      </w:r>
    </w:p>
    <w:p w14:paraId="2EB48658" w14:textId="6477AEDB" w:rsidR="005D36C6" w:rsidRPr="00A04E56" w:rsidRDefault="008C1D39" w:rsidP="00AA0340">
      <w:pPr>
        <w:pStyle w:val="Title3NumberedReport"/>
      </w:pPr>
      <w:r w:rsidRPr="00A04E56">
        <w:t>Implementation and latest achievements</w:t>
      </w:r>
    </w:p>
    <w:p w14:paraId="5E92A094" w14:textId="5F67177A" w:rsidR="005D36C6" w:rsidRPr="00A04E56" w:rsidRDefault="008C1D39" w:rsidP="00C53476">
      <w:pPr>
        <w:pStyle w:val="BodyText1spaceafter"/>
        <w:rPr>
          <w:szCs w:val="20"/>
        </w:rPr>
      </w:pPr>
      <w:r w:rsidRPr="00A04E56">
        <w:rPr>
          <w:i/>
          <w:szCs w:val="20"/>
          <w:u w:val="single"/>
        </w:rPr>
        <w:t>In 2018</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97"/>
      </w:r>
      <w:r w:rsidR="005D36C6" w:rsidRPr="00A04E56">
        <w:rPr>
          <w:rStyle w:val="fnRef"/>
        </w:rPr>
        <w:t>)</w:t>
      </w:r>
      <w:r w:rsidR="005D36C6" w:rsidRPr="00A04E56">
        <w:rPr>
          <w:szCs w:val="20"/>
        </w:rPr>
        <w:t>, the European Commission provided over EUR</w:t>
      </w:r>
      <w:r w:rsidR="005D36C6" w:rsidRPr="00A04E56">
        <w:rPr>
          <w:rFonts w:ascii="Calibri" w:hAnsi="Calibri" w:cs="Calibri"/>
          <w:szCs w:val="20"/>
        </w:rPr>
        <w:t> </w:t>
      </w:r>
      <w:r w:rsidR="005D36C6" w:rsidRPr="00A04E56">
        <w:rPr>
          <w:szCs w:val="20"/>
        </w:rPr>
        <w:t>1.</w:t>
      </w:r>
      <w:r w:rsidR="00A53B31">
        <w:rPr>
          <w:szCs w:val="20"/>
        </w:rPr>
        <w:t>4</w:t>
      </w:r>
      <w:r w:rsidR="005D36C6" w:rsidRPr="00A04E56">
        <w:rPr>
          <w:szCs w:val="20"/>
        </w:rPr>
        <w:t xml:space="preserve"> billion</w:t>
      </w:r>
      <w:r w:rsidR="00F4737D">
        <w:rPr>
          <w:rFonts w:ascii="Calibri" w:hAnsi="Calibri" w:cs="Calibri"/>
          <w:szCs w:val="20"/>
        </w:rPr>
        <w:t> </w:t>
      </w:r>
      <w:r w:rsidR="0082290D">
        <w:rPr>
          <w:szCs w:val="20"/>
        </w:rPr>
        <w:t>(</w:t>
      </w:r>
      <w:r w:rsidR="0082290D" w:rsidRPr="0082290D">
        <w:rPr>
          <w:rStyle w:val="fnRefNo"/>
        </w:rPr>
        <w:footnoteReference w:id="298"/>
      </w:r>
      <w:r w:rsidR="0082290D">
        <w:rPr>
          <w:szCs w:val="20"/>
        </w:rPr>
        <w:t>)</w:t>
      </w:r>
      <w:r w:rsidR="005D36C6" w:rsidRPr="00A04E56">
        <w:rPr>
          <w:szCs w:val="20"/>
        </w:rPr>
        <w:t xml:space="preserve"> in aid to the most vulnerable people across more than 90 countries, reaching over 144</w:t>
      </w:r>
      <w:r w:rsidR="005D36C6" w:rsidRPr="00A04E56">
        <w:rPr>
          <w:rFonts w:ascii="Calibri" w:hAnsi="Calibri" w:cs="Calibri"/>
          <w:szCs w:val="20"/>
        </w:rPr>
        <w:t> </w:t>
      </w:r>
      <w:r w:rsidR="005D36C6" w:rsidRPr="00A04E56">
        <w:rPr>
          <w:szCs w:val="20"/>
        </w:rPr>
        <w:t>million beneficiaries</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299"/>
      </w:r>
      <w:r w:rsidR="005D36C6" w:rsidRPr="00A04E56">
        <w:rPr>
          <w:rStyle w:val="fnRef"/>
        </w:rPr>
        <w:t>)</w:t>
      </w:r>
      <w:r w:rsidR="005D36C6" w:rsidRPr="00A04E56">
        <w:rPr>
          <w:szCs w:val="20"/>
        </w:rPr>
        <w:t>.</w:t>
      </w:r>
    </w:p>
    <w:p w14:paraId="3A2739F6" w14:textId="5379E118" w:rsidR="005D36C6" w:rsidRPr="00A04E56" w:rsidRDefault="008C1D39" w:rsidP="00F42015">
      <w:pPr>
        <w:pStyle w:val="BodyText1spaceafter"/>
        <w:keepLines/>
      </w:pPr>
      <w:r w:rsidRPr="00A04E56">
        <w:rPr>
          <w:i/>
          <w:u w:val="single"/>
        </w:rPr>
        <w:t>In 2018</w:t>
      </w:r>
      <w:r w:rsidR="005D36C6" w:rsidRPr="00A04E56">
        <w:t xml:space="preserve">, more than half of the budget for humanitarian aid went to the most vulnerable countries and an additional 33.9% was allocated to </w:t>
      </w:r>
      <w:r w:rsidR="005D36C6" w:rsidRPr="00A04E56">
        <w:rPr>
          <w:rStyle w:val="BOLDLIGHTBLUEReport"/>
          <w:rFonts w:eastAsia="Calibri"/>
        </w:rPr>
        <w:t>‘forgotten crises’</w:t>
      </w:r>
      <w:r w:rsidR="005D36C6" w:rsidRPr="00A04E56">
        <w:t>. Of the contracts, 62% were issued within a very short timeframe (11 days). In addition, the EU is committed to build the capacity and resilience of vulnerable communities and has put in place a resilience action plan for which 80 % of actions are on target</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00"/>
      </w:r>
      <w:r w:rsidR="005D36C6" w:rsidRPr="00A04E56">
        <w:rPr>
          <w:rStyle w:val="fnRef"/>
        </w:rPr>
        <w:t>).</w:t>
      </w:r>
    </w:p>
    <w:p w14:paraId="0DE7774D" w14:textId="678A71E2" w:rsidR="005D36C6" w:rsidRPr="00A04E56" w:rsidRDefault="005D36C6" w:rsidP="005D36C6">
      <w:pPr>
        <w:pStyle w:val="BodyText1spaceafter"/>
      </w:pPr>
      <w:r w:rsidRPr="00A04E56">
        <w:t xml:space="preserve">As an example of the EU's response to </w:t>
      </w:r>
      <w:r w:rsidRPr="00A04E56">
        <w:rPr>
          <w:rStyle w:val="BOLDLIGHTBLUEReport"/>
          <w:rFonts w:eastAsia="Calibri"/>
        </w:rPr>
        <w:t>major crises</w:t>
      </w:r>
      <w:r w:rsidRPr="00A04E56">
        <w:t xml:space="preserve">, the EU continues to deliver life-saving assistance and support to millions of people across Syria. Aid is delivered from all humanitarian hubs, including across conflict lines and border crossings. The assistance contributes to the vital </w:t>
      </w:r>
      <w:r w:rsidRPr="00A04E56">
        <w:rPr>
          <w:rStyle w:val="BOLDLIGHTBLUEReport"/>
          <w:rFonts w:eastAsia="Calibri"/>
        </w:rPr>
        <w:t>delivery of food, medicine, water and shelter</w:t>
      </w:r>
      <w:r w:rsidRPr="00A04E56">
        <w:t xml:space="preserve"> for millions of Syrians either directly affected or internally displaced by the conflict. In neighbouring Lebanon, EU funding has contributed to cash assistance for the most vulnerable refugees, life-saving (‘secondary’) health</w:t>
      </w:r>
      <w:r w:rsidR="003B6127" w:rsidRPr="00A04E56">
        <w:t xml:space="preserve"> </w:t>
      </w:r>
      <w:r w:rsidRPr="00A04E56">
        <w:t>care, non-formal education and shelter (including water, hygiene and sanitation)</w:t>
      </w:r>
      <w:r w:rsidRPr="00A04E56" w:rsidDel="008720F7">
        <w:t xml:space="preserve"> </w:t>
      </w:r>
      <w:r w:rsidRPr="00A04E56">
        <w:t>to improve the living conditions of the vulnerable families most affected by displacement. In Turkey and Jordan, the EU supports the most vulnerable refugees, among other things through cash assistance, as this is considered the most cost-efficient and dignified method</w:t>
      </w:r>
      <w:r w:rsidRPr="00A04E56">
        <w:rPr>
          <w:rStyle w:val="fnRef"/>
          <w:rFonts w:ascii="Calibri" w:hAnsi="Calibri" w:cs="Calibri"/>
        </w:rPr>
        <w:t> </w:t>
      </w:r>
      <w:r w:rsidRPr="00A04E56">
        <w:rPr>
          <w:rStyle w:val="fnRef"/>
        </w:rPr>
        <w:t>(</w:t>
      </w:r>
      <w:r w:rsidRPr="00A04E56">
        <w:rPr>
          <w:rStyle w:val="fnRefNo"/>
        </w:rPr>
        <w:footnoteReference w:id="301"/>
      </w:r>
      <w:r w:rsidRPr="00A04E56">
        <w:rPr>
          <w:rStyle w:val="fnRef"/>
        </w:rPr>
        <w:t>)</w:t>
      </w:r>
      <w:r w:rsidRPr="00A04E56">
        <w:t xml:space="preserve">. </w:t>
      </w:r>
    </w:p>
    <w:p w14:paraId="0B9E4FDD" w14:textId="7AB2FEE4" w:rsidR="00225378" w:rsidRPr="00A04E56" w:rsidRDefault="00225378" w:rsidP="00C257BF">
      <w:pPr>
        <w:pStyle w:val="BOX3BluedashedborderBluetext-Bold"/>
        <w:keepNext/>
      </w:pPr>
      <w:r w:rsidRPr="00A04E56">
        <w:t>The Yemen crisis</w:t>
      </w:r>
      <w:r w:rsidRPr="00C017C1">
        <w:rPr>
          <w:rStyle w:val="fnRef"/>
          <w:rFonts w:ascii="Calibri" w:hAnsi="Calibri"/>
          <w:b w:val="0"/>
        </w:rPr>
        <w:t> </w:t>
      </w:r>
      <w:r w:rsidRPr="00C017C1">
        <w:rPr>
          <w:rStyle w:val="fnRef"/>
          <w:b w:val="0"/>
        </w:rPr>
        <w:t>(</w:t>
      </w:r>
      <w:r w:rsidRPr="00C017C1">
        <w:rPr>
          <w:rStyle w:val="fnRefNo"/>
          <w:b w:val="0"/>
        </w:rPr>
        <w:footnoteReference w:id="302"/>
      </w:r>
      <w:r w:rsidRPr="00C017C1">
        <w:rPr>
          <w:rStyle w:val="fnRef"/>
          <w:b w:val="0"/>
        </w:rPr>
        <w:t>)</w:t>
      </w:r>
    </w:p>
    <w:p w14:paraId="4563553F" w14:textId="7C913D1D" w:rsidR="00225378" w:rsidRPr="00A04E56" w:rsidRDefault="00225378" w:rsidP="00C257BF">
      <w:pPr>
        <w:pStyle w:val="BOX3BluedashedborderBluetext"/>
      </w:pPr>
      <w:r w:rsidRPr="00A04E56">
        <w:t xml:space="preserve">For most of 2018, the situation in Yemen remained characterised by ongoing conflict, directly affecting civilians and with blatant violations of international humanitarian law. Yemen </w:t>
      </w:r>
      <w:r w:rsidR="00FD0A13" w:rsidRPr="00A04E56">
        <w:t>crisis</w:t>
      </w:r>
      <w:r w:rsidRPr="00A04E56">
        <w:t xml:space="preserve"> is the largest humanitarian crisis worldwide. At the end of 2018, according to the UN, 22.2</w:t>
      </w:r>
      <w:r w:rsidRPr="00A04E56">
        <w:rPr>
          <w:rFonts w:ascii="Calibri" w:hAnsi="Calibri" w:cs="Calibri"/>
        </w:rPr>
        <w:t> </w:t>
      </w:r>
      <w:r w:rsidRPr="00A04E56">
        <w:t xml:space="preserve">million people were in need of humanitarian and/or protection assistance. </w:t>
      </w:r>
    </w:p>
    <w:p w14:paraId="2710129A" w14:textId="0ECA2DAD" w:rsidR="00225378" w:rsidRPr="00A04E56" w:rsidRDefault="00225378" w:rsidP="00C257BF">
      <w:pPr>
        <w:pStyle w:val="BOX3BluedashedborderBluetext"/>
      </w:pPr>
      <w:r w:rsidRPr="00A04E56">
        <w:t>During 2018, the EU made significant efforts to scale up its response to the Yemen crisis, reaching a total allocation of EUR</w:t>
      </w:r>
      <w:r w:rsidRPr="00A04E56">
        <w:rPr>
          <w:rFonts w:ascii="Calibri" w:hAnsi="Calibri" w:cs="Calibri"/>
        </w:rPr>
        <w:t> </w:t>
      </w:r>
      <w:r w:rsidRPr="00A04E56">
        <w:t>127.5</w:t>
      </w:r>
      <w:r w:rsidRPr="00A04E56">
        <w:rPr>
          <w:rFonts w:ascii="Calibri" w:hAnsi="Calibri" w:cs="Calibri"/>
        </w:rPr>
        <w:t> </w:t>
      </w:r>
      <w:r w:rsidRPr="00A04E56">
        <w:t>million. With these funds, the EU supports life-saving interventions to conflict-affected populations and to people affected by food insecurity, nutrition and health crises. Protection, logistics, education in emergency and advocacy are mainstreamed or supported by standalone projects. Over 14</w:t>
      </w:r>
      <w:r w:rsidRPr="00A04E56">
        <w:rPr>
          <w:rFonts w:ascii="Calibri" w:hAnsi="Calibri" w:cs="Calibri"/>
        </w:rPr>
        <w:t> </w:t>
      </w:r>
      <w:r w:rsidRPr="00A04E56">
        <w:t>million vulnerable people were reached through this assistance.</w:t>
      </w:r>
    </w:p>
    <w:p w14:paraId="2AE2A027" w14:textId="46C36FF2" w:rsidR="005D36C6" w:rsidRPr="00A04E56" w:rsidRDefault="005010E4" w:rsidP="00AA0340">
      <w:pPr>
        <w:pStyle w:val="Title3NumberedReport"/>
      </w:pPr>
      <w:r w:rsidRPr="00A04E56">
        <w:t>Assessment and evaluation</w:t>
      </w:r>
    </w:p>
    <w:p w14:paraId="5326CB43" w14:textId="6D16ABEA" w:rsidR="005D36C6" w:rsidRPr="00A04E56" w:rsidRDefault="005D36C6" w:rsidP="005D36C6">
      <w:pPr>
        <w:pStyle w:val="BodyText1spaceafter"/>
      </w:pPr>
      <w:r w:rsidRPr="00A04E56">
        <w:t xml:space="preserve">The comprehensive evaluation of EU </w:t>
      </w:r>
      <w:r w:rsidR="00DF0116" w:rsidRPr="00A04E56">
        <w:t xml:space="preserve">humanitarian aid </w:t>
      </w:r>
      <w:r w:rsidRPr="00A04E56">
        <w:t>in the period 2012-2016</w:t>
      </w:r>
      <w:r w:rsidRPr="00A04E56">
        <w:rPr>
          <w:rStyle w:val="fnRef"/>
          <w:rFonts w:ascii="Calibri" w:hAnsi="Calibri" w:cs="Calibri"/>
        </w:rPr>
        <w:t> </w:t>
      </w:r>
      <w:r w:rsidRPr="00A04E56">
        <w:rPr>
          <w:rStyle w:val="fnRef"/>
        </w:rPr>
        <w:t>(</w:t>
      </w:r>
      <w:r w:rsidRPr="00A04E56">
        <w:rPr>
          <w:rStyle w:val="fnRefNo"/>
        </w:rPr>
        <w:footnoteReference w:id="303"/>
      </w:r>
      <w:r w:rsidRPr="00A04E56">
        <w:rPr>
          <w:rStyle w:val="fnRef"/>
        </w:rPr>
        <w:t>)</w:t>
      </w:r>
      <w:r w:rsidRPr="00A04E56">
        <w:t xml:space="preserve"> found that EU aid positively contributed to saving lives, reducing morbidity and suffering as well as improving dignity of life of populations affected by disasters. The scale of funding dedicated to humanitarian</w:t>
      </w:r>
      <w:r w:rsidR="00DF0116" w:rsidRPr="00A04E56">
        <w:t>-</w:t>
      </w:r>
      <w:r w:rsidRPr="00A04E56">
        <w:t xml:space="preserve">aid actions allowed the EU to have a real impact on the ground, addressing the needs of a significant number of beneficiaries across the world. In regions where the EU allocated </w:t>
      </w:r>
      <w:r w:rsidR="006E2212" w:rsidRPr="00A04E56">
        <w:t xml:space="preserve">only </w:t>
      </w:r>
      <w:r w:rsidRPr="00A04E56">
        <w:t xml:space="preserve">limited funding compared to its overall financial allocation, the evaluation showed that it was also able to have a positive impact by selecting projects with high leverage or multiplier-effect potential. </w:t>
      </w:r>
    </w:p>
    <w:p w14:paraId="1250B40A" w14:textId="4F0F2E7B" w:rsidR="005D36C6" w:rsidRPr="00A04E56" w:rsidRDefault="005D36C6" w:rsidP="005D36C6">
      <w:pPr>
        <w:pStyle w:val="BodyText1spaceafter"/>
      </w:pPr>
      <w:r w:rsidRPr="00A04E56">
        <w:t xml:space="preserve">The evaluation also found however that there is scope for the Commission to move towards </w:t>
      </w:r>
      <w:r w:rsidR="009447A5" w:rsidRPr="00A04E56">
        <w:t>increased</w:t>
      </w:r>
      <w:r w:rsidRPr="00A04E56">
        <w:t xml:space="preserve"> and more strategic cooperation with key partners, to simplify procedures and allow for a more linked-up, consistent approach to humanitarian aid, especially </w:t>
      </w:r>
      <w:r w:rsidR="009510E4" w:rsidRPr="00A04E56">
        <w:t>where</w:t>
      </w:r>
      <w:r w:rsidRPr="00A04E56">
        <w:t xml:space="preserve"> this is accompanied by a move towards multiannual programming and funding. In parallel, the Commission will continue to need its diverse pool of framework partners, including those which are relatively small or medium sized, given their specific geographic presence and/or sectoral or thematic expertise</w:t>
      </w:r>
      <w:r w:rsidRPr="00A04E56">
        <w:rPr>
          <w:rStyle w:val="fnRef"/>
          <w:rFonts w:ascii="Calibri" w:hAnsi="Calibri" w:cs="Calibri"/>
        </w:rPr>
        <w:t> </w:t>
      </w:r>
      <w:r w:rsidRPr="00A04E56">
        <w:rPr>
          <w:rStyle w:val="fnRef"/>
        </w:rPr>
        <w:t>(</w:t>
      </w:r>
      <w:r w:rsidRPr="00A04E56">
        <w:rPr>
          <w:rStyle w:val="fnRefNo"/>
        </w:rPr>
        <w:footnoteReference w:id="304"/>
      </w:r>
      <w:r w:rsidRPr="00A04E56">
        <w:rPr>
          <w:rStyle w:val="fnRef"/>
        </w:rPr>
        <w:t>)</w:t>
      </w:r>
      <w:r w:rsidRPr="00A04E56">
        <w:rPr>
          <w:sz w:val="23"/>
          <w:szCs w:val="23"/>
        </w:rPr>
        <w:t>.</w:t>
      </w:r>
      <w:r w:rsidRPr="00A04E56">
        <w:t xml:space="preserve"> The EU </w:t>
      </w:r>
      <w:r w:rsidR="00DF0116" w:rsidRPr="00A04E56">
        <w:t xml:space="preserve">humanitarian-aid programme </w:t>
      </w:r>
      <w:r w:rsidRPr="00A04E56">
        <w:t xml:space="preserve">will continue providing emergency and life-saving assistance </w:t>
      </w:r>
      <w:r w:rsidR="006A79E6" w:rsidRPr="00A04E56">
        <w:t xml:space="preserve">under the next multiannual framework programme 2021-2027 </w:t>
      </w:r>
      <w:r w:rsidRPr="00A04E56">
        <w:t>to people hit by man-made or natural disasters.</w:t>
      </w:r>
    </w:p>
    <w:p w14:paraId="50D2B364" w14:textId="4017FBB0" w:rsidR="005D36C6" w:rsidRPr="00A04E56" w:rsidRDefault="005D36C6" w:rsidP="005D36C6">
      <w:pPr>
        <w:pStyle w:val="Title2Report"/>
      </w:pPr>
      <w:bookmarkStart w:id="202" w:name="_Toc12021035"/>
      <w:r w:rsidRPr="00A04E56">
        <w:t xml:space="preserve">EU </w:t>
      </w:r>
      <w:r w:rsidR="00AE4B2D" w:rsidRPr="00A04E56">
        <w:t xml:space="preserve">aid volunteers </w:t>
      </w:r>
      <w:r w:rsidRPr="00A04E56">
        <w:t>initiative</w:t>
      </w:r>
      <w:bookmarkEnd w:id="202"/>
      <w:r w:rsidRPr="00A04E56">
        <w:t xml:space="preserve"> </w:t>
      </w:r>
    </w:p>
    <w:p w14:paraId="3E38D91F" w14:textId="1476F71C" w:rsidR="005D36C6" w:rsidRPr="00A04E56" w:rsidRDefault="007001A0" w:rsidP="005D36C6">
      <w:pPr>
        <w:pStyle w:val="BodyText1spaceafter"/>
      </w:pPr>
      <w:r w:rsidRPr="00A04E56">
        <w:t xml:space="preserve">The </w:t>
      </w:r>
      <w:r w:rsidR="005D36C6" w:rsidRPr="00A04E56">
        <w:t xml:space="preserve">EU </w:t>
      </w:r>
      <w:r w:rsidR="00AE4B2D" w:rsidRPr="00A04E56">
        <w:t>ai</w:t>
      </w:r>
      <w:r w:rsidR="005D36C6" w:rsidRPr="00A04E56">
        <w:t xml:space="preserve">d </w:t>
      </w:r>
      <w:r w:rsidR="00AE4B2D" w:rsidRPr="00A04E56">
        <w:t>v</w:t>
      </w:r>
      <w:r w:rsidR="005D36C6" w:rsidRPr="00A04E56">
        <w:t xml:space="preserve">olunteers </w:t>
      </w:r>
      <w:r w:rsidRPr="00A04E56">
        <w:t xml:space="preserve">initiative </w:t>
      </w:r>
      <w:r w:rsidR="005D36C6" w:rsidRPr="00A04E56">
        <w:t xml:space="preserve">brings together volunteers and organisations from different countries, providing practical support to humanitarian-aid projects and contributing to strengthening the local capacity and resilience of disaster-affected communities. </w:t>
      </w:r>
    </w:p>
    <w:p w14:paraId="25EE5347" w14:textId="67E55BA8" w:rsidR="005D36C6" w:rsidRPr="00A04E56" w:rsidRDefault="005D36C6" w:rsidP="005D36C6">
      <w:pPr>
        <w:pStyle w:val="BodyText1spaceafter"/>
      </w:pPr>
      <w:r w:rsidRPr="00A04E56">
        <w:t xml:space="preserve">Humanitarian disasters have dramatically increased the pressure on humanitarian organisations and more qualified people are needed. The EU </w:t>
      </w:r>
      <w:r w:rsidR="00AE4B2D" w:rsidRPr="00A04E56">
        <w:t xml:space="preserve">aid volunteers </w:t>
      </w:r>
      <w:r w:rsidRPr="00A04E56">
        <w:t xml:space="preserve">initiative gives European citizens a chance to show their solidarity by collaborating in humanitarian projects worldwide, while helping organisations to cover their specific staff needs. </w:t>
      </w:r>
    </w:p>
    <w:p w14:paraId="42FD9C8A" w14:textId="32F29928" w:rsidR="005D36C6" w:rsidRPr="00A04E56" w:rsidRDefault="005D36C6" w:rsidP="005D36C6">
      <w:pPr>
        <w:pStyle w:val="BodyText1spaceafter"/>
      </w:pPr>
      <w:r w:rsidRPr="00A04E56">
        <w:t xml:space="preserve">As of December 2018 the </w:t>
      </w:r>
      <w:r w:rsidRPr="00A04E56">
        <w:rPr>
          <w:rStyle w:val="BOLDLIGHTBLUEReport"/>
          <w:rFonts w:eastAsia="Calibri"/>
        </w:rPr>
        <w:t xml:space="preserve">EU </w:t>
      </w:r>
      <w:r w:rsidR="00AE4B2D" w:rsidRPr="00A04E56">
        <w:rPr>
          <w:rStyle w:val="BOLDLIGHTBLUEReport"/>
          <w:rFonts w:eastAsia="Calibri"/>
        </w:rPr>
        <w:t>aid volunteers</w:t>
      </w:r>
      <w:r w:rsidR="00AE4B2D" w:rsidRPr="00A04E56">
        <w:t xml:space="preserve"> </w:t>
      </w:r>
      <w:r w:rsidRPr="00A04E56">
        <w:t xml:space="preserve">initiative funded 728 sending and hosting </w:t>
      </w:r>
      <w:r w:rsidR="00EB530F" w:rsidRPr="00A04E56">
        <w:t>organisations</w:t>
      </w:r>
      <w:r w:rsidR="00EB530F" w:rsidRPr="00A04E56">
        <w:rPr>
          <w:rStyle w:val="fnRef"/>
          <w:rFonts w:ascii="Calibri" w:hAnsi="Calibri"/>
        </w:rPr>
        <w:t> </w:t>
      </w:r>
      <w:r w:rsidRPr="00A04E56">
        <w:rPr>
          <w:rStyle w:val="fnRef"/>
        </w:rPr>
        <w:t>(</w:t>
      </w:r>
      <w:r w:rsidRPr="00A04E56">
        <w:rPr>
          <w:rStyle w:val="fnRefNo"/>
        </w:rPr>
        <w:footnoteReference w:id="305"/>
      </w:r>
      <w:r w:rsidRPr="00A04E56">
        <w:rPr>
          <w:rStyle w:val="fnRef"/>
        </w:rPr>
        <w:t>)</w:t>
      </w:r>
      <w:r w:rsidRPr="00A04E56">
        <w:t>. This support included strengthening their capacity, technical assistance and managing the deployment of volunteers to disaster-affected communities.</w:t>
      </w:r>
    </w:p>
    <w:p w14:paraId="166B3A7E" w14:textId="35672A8B" w:rsidR="005D36C6" w:rsidRPr="00A04E56" w:rsidRDefault="005D36C6" w:rsidP="005D36C6">
      <w:pPr>
        <w:pStyle w:val="BodyText1spaceafter"/>
        <w:rPr>
          <w:rFonts w:cs="Lucida Sans Unicode"/>
        </w:rPr>
      </w:pPr>
      <w:r w:rsidRPr="00A04E56">
        <w:t>To support the implementation of this programme, a platform was developed (the EU</w:t>
      </w:r>
      <w:r w:rsidR="00AE4B2D" w:rsidRPr="00A04E56">
        <w:t xml:space="preserve"> aid volunteers platform</w:t>
      </w:r>
      <w:r w:rsidR="00AE4B2D" w:rsidRPr="00A04E56">
        <w:rPr>
          <w:rStyle w:val="fnRef"/>
          <w:rFonts w:ascii="Calibri" w:hAnsi="Calibri" w:cs="Calibri"/>
        </w:rPr>
        <w:t> </w:t>
      </w:r>
      <w:r w:rsidRPr="00A04E56">
        <w:rPr>
          <w:rStyle w:val="fnRef"/>
        </w:rPr>
        <w:t>(</w:t>
      </w:r>
      <w:r w:rsidRPr="00A04E56">
        <w:rPr>
          <w:rStyle w:val="fnRefNo"/>
        </w:rPr>
        <w:footnoteReference w:id="306"/>
      </w:r>
      <w:r w:rsidRPr="00A04E56">
        <w:rPr>
          <w:rStyle w:val="fnRef"/>
        </w:rPr>
        <w:t>)</w:t>
      </w:r>
      <w:r w:rsidRPr="00A04E56">
        <w:t>) to provide a space for the publication of volunteering vacancies</w:t>
      </w:r>
      <w:r w:rsidRPr="00A04E56" w:rsidDel="00501A73">
        <w:t>,</w:t>
      </w:r>
      <w:r w:rsidRPr="00A04E56">
        <w:t xml:space="preserve"> a discussion forum (for volunteers, volunteer-sending organisations and local host organisations) and the publication of stories from the field. It supports partnerships and collaboration between projects, houses the online volunteering activities and allows organisations to manage the learning and development, the mentoring and the creation of certificates for EU Aid volunteers</w:t>
      </w:r>
      <w:r w:rsidRPr="00A04E56">
        <w:rPr>
          <w:rStyle w:val="fnRef"/>
          <w:rFonts w:ascii="Calibri" w:hAnsi="Calibri" w:cs="Calibri"/>
        </w:rPr>
        <w:t> </w:t>
      </w:r>
      <w:r w:rsidRPr="00A04E56">
        <w:rPr>
          <w:rStyle w:val="fnRef"/>
        </w:rPr>
        <w:t>(</w:t>
      </w:r>
      <w:r w:rsidRPr="00A04E56">
        <w:rPr>
          <w:rStyle w:val="fnRefNo"/>
        </w:rPr>
        <w:footnoteReference w:id="307"/>
      </w:r>
      <w:r w:rsidRPr="00A04E56">
        <w:rPr>
          <w:rStyle w:val="fnRef"/>
        </w:rPr>
        <w:t>)</w:t>
      </w:r>
      <w:r w:rsidRPr="00A04E56">
        <w:rPr>
          <w:rFonts w:cs="Lucida Sans Unicode"/>
        </w:rPr>
        <w:t>.</w:t>
      </w:r>
    </w:p>
    <w:p w14:paraId="2AAFBDE1" w14:textId="722E8902" w:rsidR="005D36C6" w:rsidRPr="00A04E56" w:rsidRDefault="005D36C6" w:rsidP="005D36C6">
      <w:pPr>
        <w:pStyle w:val="BodyText1spaceafter"/>
      </w:pPr>
      <w:r w:rsidRPr="00A04E56">
        <w:t xml:space="preserve">Under the next multiannual financial framework </w:t>
      </w:r>
      <w:r w:rsidR="004E7564" w:rsidRPr="00A04E56">
        <w:t>(</w:t>
      </w:r>
      <w:r w:rsidRPr="00A04E56">
        <w:t>2021-2027</w:t>
      </w:r>
      <w:r w:rsidR="004E7564" w:rsidRPr="00A04E56">
        <w:t>)</w:t>
      </w:r>
      <w:r w:rsidRPr="00A04E56">
        <w:t xml:space="preserve"> the EU</w:t>
      </w:r>
      <w:r w:rsidR="00AE4B2D" w:rsidRPr="00A04E56">
        <w:t xml:space="preserve"> aid volunteers </w:t>
      </w:r>
      <w:r w:rsidRPr="00A04E56">
        <w:t xml:space="preserve">initiative </w:t>
      </w:r>
      <w:r w:rsidR="00947824" w:rsidRPr="00A04E56">
        <w:t xml:space="preserve">is expected to </w:t>
      </w:r>
      <w:r w:rsidRPr="00A04E56">
        <w:t>be integrated into the European Solidarity Corps</w:t>
      </w:r>
      <w:r w:rsidRPr="00A04E56">
        <w:rPr>
          <w:rStyle w:val="fnRef"/>
          <w:rFonts w:ascii="Calibri" w:hAnsi="Calibri" w:cs="Calibri"/>
        </w:rPr>
        <w:t> </w:t>
      </w:r>
      <w:r w:rsidRPr="00A04E56">
        <w:rPr>
          <w:rStyle w:val="fnRef"/>
        </w:rPr>
        <w:t>(</w:t>
      </w:r>
      <w:r w:rsidRPr="00A04E56">
        <w:rPr>
          <w:rStyle w:val="fnRefNo"/>
        </w:rPr>
        <w:footnoteReference w:id="308"/>
      </w:r>
      <w:r w:rsidRPr="00A04E56">
        <w:rPr>
          <w:rStyle w:val="fnRef"/>
        </w:rPr>
        <w:t>)</w:t>
      </w:r>
      <w:r w:rsidRPr="00A04E56">
        <w:t xml:space="preserve">, with the aim of facilitating the engagement of young people in solidarity activities in Europe and abroad under a single EU instrument. </w:t>
      </w:r>
      <w:r w:rsidR="00C94318" w:rsidRPr="00A04E56">
        <w:t>Th</w:t>
      </w:r>
      <w:r w:rsidR="00A4286E" w:rsidRPr="00A04E56">
        <w:t>is will see</w:t>
      </w:r>
      <w:r w:rsidR="00C94318" w:rsidRPr="00A04E56">
        <w:t xml:space="preserve">k mutual benefit  </w:t>
      </w:r>
      <w:r w:rsidRPr="00A04E56">
        <w:t>and streamlining with other EU volunteering schemes, notably the European Solidarity Corps. The Commission will aim to provide more clarity for EU citizens</w:t>
      </w:r>
      <w:r w:rsidR="0065620A" w:rsidRPr="00A04E56">
        <w:rPr>
          <w:rStyle w:val="fnRef"/>
          <w:rFonts w:ascii="Calibri" w:hAnsi="Calibri"/>
        </w:rPr>
        <w:t> </w:t>
      </w:r>
      <w:r w:rsidRPr="00A04E56">
        <w:rPr>
          <w:rStyle w:val="fnRef"/>
        </w:rPr>
        <w:t>(</w:t>
      </w:r>
      <w:r w:rsidRPr="00A04E56">
        <w:rPr>
          <w:rStyle w:val="fnRefNo"/>
        </w:rPr>
        <w:footnoteReference w:id="309"/>
      </w:r>
      <w:r w:rsidRPr="00A04E56">
        <w:rPr>
          <w:rStyle w:val="fnRef"/>
        </w:rPr>
        <w:t>)</w:t>
      </w:r>
      <w:r w:rsidRPr="00A04E56">
        <w:t xml:space="preserve"> seeking volunteering opportunities inside and outside the EU.</w:t>
      </w:r>
    </w:p>
    <w:p w14:paraId="280A091B" w14:textId="77777777" w:rsidR="005D36C6" w:rsidRPr="00A04E56" w:rsidRDefault="005D36C6" w:rsidP="005D36C6">
      <w:pPr>
        <w:pStyle w:val="Title2Report"/>
      </w:pPr>
      <w:bookmarkStart w:id="203" w:name="_Toc12021036"/>
      <w:r w:rsidRPr="00A04E56">
        <w:t>European Instrument for Democracy and Human Rights</w:t>
      </w:r>
      <w:bookmarkEnd w:id="203"/>
    </w:p>
    <w:p w14:paraId="240C1D16" w14:textId="77777777" w:rsidR="005D36C6" w:rsidRPr="00A04E56" w:rsidRDefault="005D36C6" w:rsidP="00AA0340">
      <w:pPr>
        <w:pStyle w:val="Title3NumberedReport"/>
      </w:pPr>
      <w:r w:rsidRPr="00A04E56">
        <w:t xml:space="preserve">Programme objectives </w:t>
      </w:r>
    </w:p>
    <w:p w14:paraId="7FC4AB62" w14:textId="1F9A190B" w:rsidR="005D36C6" w:rsidRPr="00A04E56" w:rsidRDefault="005D36C6" w:rsidP="005D36C6">
      <w:pPr>
        <w:pStyle w:val="BodyText1spaceafter"/>
      </w:pPr>
      <w:r w:rsidRPr="00A04E56">
        <w:t xml:space="preserve">The European Instrument for Democracy and Human </w:t>
      </w:r>
      <w:r w:rsidR="00A6439F" w:rsidRPr="00A04E56">
        <w:t>Rights</w:t>
      </w:r>
      <w:r w:rsidR="00A6439F" w:rsidRPr="00A04E56">
        <w:rPr>
          <w:rStyle w:val="fnRef"/>
          <w:rFonts w:ascii="Calibri" w:hAnsi="Calibri"/>
        </w:rPr>
        <w:t> </w:t>
      </w:r>
      <w:r w:rsidRPr="00A04E56">
        <w:rPr>
          <w:rStyle w:val="fnRef"/>
        </w:rPr>
        <w:t>(</w:t>
      </w:r>
      <w:r w:rsidRPr="00A04E56">
        <w:rPr>
          <w:rStyle w:val="fnRefNo"/>
        </w:rPr>
        <w:footnoteReference w:id="310"/>
      </w:r>
      <w:r w:rsidRPr="00A04E56">
        <w:rPr>
          <w:rStyle w:val="fnRef"/>
        </w:rPr>
        <w:t>)</w:t>
      </w:r>
      <w:r w:rsidRPr="00A04E56">
        <w:t xml:space="preserve"> provides assistance to the development and consolidation of democracy and the rule of law and of </w:t>
      </w:r>
      <w:r w:rsidR="00415080" w:rsidRPr="00A04E56">
        <w:t>compliance with</w:t>
      </w:r>
      <w:r w:rsidRPr="00A04E56">
        <w:t xml:space="preserve"> all human rights and fundamental</w:t>
      </w:r>
      <w:r w:rsidRPr="00A04E56">
        <w:rPr>
          <w:rFonts w:ascii="Calibri" w:hAnsi="Calibri" w:cs="Calibri"/>
        </w:rPr>
        <w:t> </w:t>
      </w:r>
      <w:r w:rsidRPr="00A04E56">
        <w:t xml:space="preserve">freedoms. The programme helps civil society to become an effective force for political reform and defence of human rights. Building on its key strength — the ability to operate swiftly — the European Instrument for Democracy and Human Rights is able to focus on sensitive political issues and innovative approaches and to cooperate directly with local civil-society organisations which need to preserve </w:t>
      </w:r>
      <w:r w:rsidR="00B23D0A" w:rsidRPr="00A04E56">
        <w:t xml:space="preserve">their </w:t>
      </w:r>
      <w:r w:rsidRPr="00A04E56">
        <w:t>independence from public authorities, providing for great flexibility and increased capacity to respond to changing circumstances.</w:t>
      </w:r>
    </w:p>
    <w:p w14:paraId="36EFB900" w14:textId="75BF7643" w:rsidR="005D36C6" w:rsidRPr="00A04E56" w:rsidRDefault="005D36C6" w:rsidP="005D36C6">
      <w:pPr>
        <w:pStyle w:val="BodyText1spaceafter"/>
      </w:pPr>
      <w:r w:rsidRPr="00A04E56">
        <w:t xml:space="preserve">The programme aims to enhance the protection, promotion, implementation and monitoring of </w:t>
      </w:r>
      <w:r w:rsidRPr="00A04E56">
        <w:rPr>
          <w:rStyle w:val="BOLDLIGHTBLUEReport"/>
          <w:rFonts w:eastAsiaTheme="minorHAnsi"/>
        </w:rPr>
        <w:t>human rights</w:t>
      </w:r>
      <w:r w:rsidRPr="00A04E56">
        <w:t xml:space="preserve"> and </w:t>
      </w:r>
      <w:r w:rsidRPr="00A04E56">
        <w:rPr>
          <w:rStyle w:val="BOLDLIGHTBLUEReport"/>
          <w:rFonts w:eastAsiaTheme="minorHAnsi"/>
        </w:rPr>
        <w:t>fundamental freedoms</w:t>
      </w:r>
      <w:r w:rsidRPr="00A04E56">
        <w:t xml:space="preserve">, mainly through </w:t>
      </w:r>
      <w:r w:rsidRPr="00A04E56">
        <w:rPr>
          <w:rStyle w:val="BOLDLIGHTBLUEReport"/>
          <w:rFonts w:eastAsiaTheme="minorHAnsi"/>
        </w:rPr>
        <w:t>support to relevant civil-society organisations</w:t>
      </w:r>
      <w:r w:rsidRPr="00A04E56">
        <w:t xml:space="preserve">, </w:t>
      </w:r>
      <w:r w:rsidRPr="00A04E56">
        <w:rPr>
          <w:rStyle w:val="BOLDLIGHTBLUEReport"/>
          <w:rFonts w:eastAsiaTheme="minorHAnsi"/>
        </w:rPr>
        <w:t>human</w:t>
      </w:r>
      <w:r w:rsidR="002B5F47" w:rsidRPr="00A04E56">
        <w:rPr>
          <w:rStyle w:val="BOLDLIGHTBLUEReport"/>
          <w:rFonts w:eastAsiaTheme="minorHAnsi"/>
        </w:rPr>
        <w:t xml:space="preserve"> </w:t>
      </w:r>
      <w:r w:rsidRPr="00A04E56">
        <w:rPr>
          <w:rStyle w:val="BOLDLIGHTBLUEReport"/>
          <w:rFonts w:eastAsiaTheme="minorHAnsi"/>
        </w:rPr>
        <w:t>rights defenders</w:t>
      </w:r>
      <w:r w:rsidRPr="00A04E56">
        <w:t xml:space="preserve"> </w:t>
      </w:r>
      <w:r w:rsidRPr="00A04E56">
        <w:rPr>
          <w:rStyle w:val="BOLDLIGHTBLUEReport"/>
          <w:rFonts w:eastAsiaTheme="minorHAnsi"/>
        </w:rPr>
        <w:t>and victims of repression and abuse</w:t>
      </w:r>
      <w:r w:rsidRPr="00A04E56">
        <w:t xml:space="preserve">. At the same time, the European Instrument for Democracy and Human Rights works towards </w:t>
      </w:r>
      <w:r w:rsidRPr="00A04E56">
        <w:rPr>
          <w:rStyle w:val="BOLDLIGHTBLUEReport"/>
          <w:rFonts w:eastAsiaTheme="minorHAnsi"/>
        </w:rPr>
        <w:t>consolidation of democracy in third countries</w:t>
      </w:r>
      <w:r w:rsidRPr="00A04E56">
        <w:t xml:space="preserve">, by enhancing participatory and representative democracy, strengthening the overall democratic cycle, the rule of law and improving the reliability of electoral processes. The European Instrument for Democracy and Human Rights views the human rights and democracy agendas as intrinsically interlinked. </w:t>
      </w:r>
    </w:p>
    <w:p w14:paraId="25990C25" w14:textId="13D3E0DE" w:rsidR="005D36C6" w:rsidRPr="00A04E56" w:rsidRDefault="005D36C6" w:rsidP="005D36C6">
      <w:pPr>
        <w:pStyle w:val="BodyText1"/>
        <w:spacing w:after="120" w:line="276" w:lineRule="auto"/>
        <w:rPr>
          <w:lang w:val="en-GB"/>
        </w:rPr>
      </w:pPr>
      <w:r w:rsidRPr="00A04E56">
        <w:rPr>
          <w:lang w:val="en-GB"/>
        </w:rPr>
        <w:t>The European Instrument for Democracy and Human Rights is intended as a ‘niche’ instrument particularly geared towards addressing the most difficult human</w:t>
      </w:r>
      <w:r w:rsidR="002B5F47" w:rsidRPr="00A04E56">
        <w:rPr>
          <w:lang w:val="en-GB"/>
        </w:rPr>
        <w:t xml:space="preserve"> rights</w:t>
      </w:r>
      <w:r w:rsidRPr="00A04E56">
        <w:rPr>
          <w:lang w:val="en-GB"/>
        </w:rPr>
        <w:t xml:space="preserve"> situations and protecting human</w:t>
      </w:r>
      <w:r w:rsidR="002B5F47" w:rsidRPr="00A04E56">
        <w:rPr>
          <w:lang w:val="en-GB"/>
        </w:rPr>
        <w:t xml:space="preserve"> rights</w:t>
      </w:r>
      <w:r w:rsidRPr="00A04E56">
        <w:rPr>
          <w:lang w:val="en-GB"/>
        </w:rPr>
        <w:t xml:space="preserve"> and democracy activists at risk, supporting some of the selected key human</w:t>
      </w:r>
      <w:r w:rsidR="002B5F47" w:rsidRPr="00A04E56">
        <w:rPr>
          <w:lang w:val="en-GB"/>
        </w:rPr>
        <w:t xml:space="preserve"> rights</w:t>
      </w:r>
      <w:r w:rsidRPr="00A04E56">
        <w:rPr>
          <w:lang w:val="en-GB"/>
        </w:rPr>
        <w:t xml:space="preserve"> players and processes, and acting in areas where the EU has a special interest and offers added value (e.g. </w:t>
      </w:r>
      <w:r w:rsidR="001A212E" w:rsidRPr="00A04E56">
        <w:rPr>
          <w:lang w:val="en-GB"/>
        </w:rPr>
        <w:t xml:space="preserve">the </w:t>
      </w:r>
      <w:r w:rsidRPr="00A04E56">
        <w:rPr>
          <w:lang w:val="en-GB"/>
        </w:rPr>
        <w:t>fight against the death penalty, promoting sound electoral processes).</w:t>
      </w:r>
    </w:p>
    <w:p w14:paraId="1E780A9F" w14:textId="6B9D31CD" w:rsidR="005D36C6" w:rsidRPr="00A04E56" w:rsidRDefault="008C1D39" w:rsidP="00AA0340">
      <w:pPr>
        <w:pStyle w:val="Title3NumberedReport"/>
      </w:pPr>
      <w:r w:rsidRPr="00A04E56">
        <w:t>Implementation and latest achievements</w:t>
      </w:r>
    </w:p>
    <w:p w14:paraId="7E3C3692" w14:textId="127269B4" w:rsidR="005D36C6" w:rsidRPr="00A04E56" w:rsidRDefault="008C1D39" w:rsidP="005D36C6">
      <w:pPr>
        <w:pStyle w:val="BodyText1spaceafter"/>
      </w:pPr>
      <w:r w:rsidRPr="00A04E56">
        <w:rPr>
          <w:i/>
          <w:u w:val="single"/>
        </w:rPr>
        <w:t>In 2018</w:t>
      </w:r>
      <w:r w:rsidR="005162F8" w:rsidRPr="00A04E56">
        <w:rPr>
          <w:i/>
          <w:u w:val="single"/>
        </w:rPr>
        <w:t>,</w:t>
      </w:r>
      <w:r w:rsidR="005D36C6" w:rsidRPr="00A04E56">
        <w:t xml:space="preserve"> a total of EUR</w:t>
      </w:r>
      <w:r w:rsidR="005D36C6" w:rsidRPr="00A04E56">
        <w:rPr>
          <w:rFonts w:ascii="Calibri" w:hAnsi="Calibri" w:cs="Calibri"/>
        </w:rPr>
        <w:t> </w:t>
      </w:r>
      <w:r w:rsidR="005D36C6" w:rsidRPr="00A04E56">
        <w:t>188</w:t>
      </w:r>
      <w:r w:rsidR="005D36C6" w:rsidRPr="00A04E56">
        <w:rPr>
          <w:rFonts w:ascii="Calibri" w:hAnsi="Calibri" w:cs="Calibri"/>
        </w:rPr>
        <w:t> million</w:t>
      </w:r>
      <w:r w:rsidR="005D36C6" w:rsidRPr="00A04E56">
        <w:t xml:space="preserve"> was allocated to promote democracy and human rights from a total amount of EUR</w:t>
      </w:r>
      <w:r w:rsidR="005D36C6" w:rsidRPr="00A04E56">
        <w:rPr>
          <w:rFonts w:ascii="Calibri" w:hAnsi="Calibri" w:cs="Calibri"/>
        </w:rPr>
        <w:t> </w:t>
      </w:r>
      <w:r w:rsidR="005D36C6" w:rsidRPr="00A04E56">
        <w:t>1 33</w:t>
      </w:r>
      <w:r w:rsidR="00121824" w:rsidRPr="00A04E56">
        <w:t>3</w:t>
      </w:r>
      <w:r w:rsidR="005D36C6" w:rsidRPr="00A04E56">
        <w:rPr>
          <w:rFonts w:ascii="Calibri" w:hAnsi="Calibri" w:cs="Calibri"/>
        </w:rPr>
        <w:t> million</w:t>
      </w:r>
      <w:r w:rsidR="005D36C6" w:rsidRPr="00A04E56">
        <w:t xml:space="preserve"> for the 2014-2020 programming period</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11"/>
      </w:r>
      <w:r w:rsidR="005D36C6" w:rsidRPr="00A04E56">
        <w:rPr>
          <w:rStyle w:val="fnRef"/>
        </w:rPr>
        <w:t>)</w:t>
      </w:r>
      <w:r w:rsidR="005D36C6" w:rsidRPr="00A04E56">
        <w:t xml:space="preserve">. </w:t>
      </w:r>
    </w:p>
    <w:p w14:paraId="7FFB974E" w14:textId="4A4DD7C9" w:rsidR="005D36C6" w:rsidRPr="00A04E56" w:rsidRDefault="005D36C6" w:rsidP="00C257BF">
      <w:pPr>
        <w:pStyle w:val="BOX3BluedashedborderBluetext-Bold"/>
        <w:keepNext/>
      </w:pPr>
      <w:r w:rsidRPr="00A04E56">
        <w:t>Support to human</w:t>
      </w:r>
      <w:r w:rsidR="002B5F47" w:rsidRPr="00A04E56">
        <w:t xml:space="preserve"> rights</w:t>
      </w:r>
      <w:r w:rsidRPr="00A04E56">
        <w:t xml:space="preserve"> defenders at risk</w:t>
      </w:r>
    </w:p>
    <w:p w14:paraId="71E875E2" w14:textId="1FAF6D18" w:rsidR="005D36C6" w:rsidRPr="00A04E56" w:rsidRDefault="005D36C6" w:rsidP="00C257BF">
      <w:pPr>
        <w:pStyle w:val="BOX3BluedashedborderBluetext"/>
      </w:pPr>
      <w:r w:rsidRPr="00A04E56">
        <w:rPr>
          <w:b/>
        </w:rPr>
        <w:t>ProtectDefenders.eu</w:t>
      </w:r>
      <w:r w:rsidRPr="00A04E56">
        <w:t>, the first EU comprehensive human</w:t>
      </w:r>
      <w:r w:rsidR="002B5F47" w:rsidRPr="00A04E56">
        <w:t xml:space="preserve"> rights</w:t>
      </w:r>
      <w:r w:rsidRPr="00A04E56">
        <w:t xml:space="preserve">-defenders mechanism, established to protect defenders at high risk and who are facing the most difficult situations worldwide. This mechanism was set up in 2015 and extended </w:t>
      </w:r>
      <w:r w:rsidR="008C1D39" w:rsidRPr="00A04E56">
        <w:t>in 2018</w:t>
      </w:r>
      <w:r w:rsidRPr="00A04E56">
        <w:t xml:space="preserve"> with an unprecedented budget of EUR</w:t>
      </w:r>
      <w:r w:rsidRPr="00A04E56">
        <w:rPr>
          <w:rFonts w:ascii="Calibri" w:hAnsi="Calibri" w:cs="Calibri"/>
        </w:rPr>
        <w:t> </w:t>
      </w:r>
      <w:r w:rsidRPr="00A04E56">
        <w:t>19.95</w:t>
      </w:r>
      <w:r w:rsidRPr="00A04E56">
        <w:rPr>
          <w:rFonts w:ascii="Calibri" w:hAnsi="Calibri" w:cs="Calibri"/>
        </w:rPr>
        <w:t> </w:t>
      </w:r>
      <w:r w:rsidRPr="00A04E56">
        <w:t>million over 4</w:t>
      </w:r>
      <w:r w:rsidRPr="00A04E56">
        <w:rPr>
          <w:rFonts w:ascii="Calibri" w:hAnsi="Calibri" w:cs="Calibri"/>
        </w:rPr>
        <w:t> </w:t>
      </w:r>
      <w:r w:rsidRPr="00A04E56">
        <w:t>years. It brought together a consortium of 12 independent civil</w:t>
      </w:r>
      <w:r w:rsidR="00C6111C" w:rsidRPr="00A04E56">
        <w:t>-society</w:t>
      </w:r>
      <w:r w:rsidRPr="00A04E56">
        <w:t xml:space="preserve"> organisations specialised in human rights and democracy protection with worldwide coverage; it provides emergency support, material assistance, temporary relocation/sheltering, training support and capacity building to human</w:t>
      </w:r>
      <w:r w:rsidR="002B5F47" w:rsidRPr="00A04E56">
        <w:t xml:space="preserve"> rights</w:t>
      </w:r>
      <w:r w:rsidRPr="00A04E56">
        <w:t xml:space="preserve"> defenders.</w:t>
      </w:r>
    </w:p>
    <w:p w14:paraId="7DFF4454" w14:textId="77777777" w:rsidR="005D36C6" w:rsidRPr="00A04E56" w:rsidRDefault="005D36C6" w:rsidP="00A856F6">
      <w:pPr>
        <w:spacing w:line="276" w:lineRule="auto"/>
        <w:jc w:val="both"/>
      </w:pPr>
    </w:p>
    <w:p w14:paraId="44ED33A4" w14:textId="77777777" w:rsidR="005D36C6" w:rsidRPr="00A04E56" w:rsidRDefault="005D36C6" w:rsidP="00C257BF">
      <w:pPr>
        <w:pStyle w:val="BOX3BluedashedborderBluetext-Bold"/>
        <w:keepNext/>
      </w:pPr>
      <w:r w:rsidRPr="00A04E56">
        <w:t>Support to democracy</w:t>
      </w:r>
    </w:p>
    <w:p w14:paraId="5AE2EE6C" w14:textId="27F8ED4A" w:rsidR="005D36C6" w:rsidRPr="00A04E56" w:rsidRDefault="005D36C6" w:rsidP="00C257BF">
      <w:pPr>
        <w:pStyle w:val="BOX3BluedashedborderBluetext"/>
      </w:pPr>
      <w:r w:rsidRPr="00A04E56">
        <w:rPr>
          <w:b/>
        </w:rPr>
        <w:t>'Supporting Democracy'</w:t>
      </w:r>
      <w:r w:rsidRPr="00A04E56">
        <w:t xml:space="preserve"> (EUR</w:t>
      </w:r>
      <w:r w:rsidRPr="00A04E56">
        <w:rPr>
          <w:rFonts w:ascii="Calibri" w:hAnsi="Calibri" w:cs="Calibri"/>
        </w:rPr>
        <w:t> </w:t>
      </w:r>
      <w:r w:rsidRPr="00A04E56">
        <w:t>4.6</w:t>
      </w:r>
      <w:r w:rsidRPr="00A04E56">
        <w:rPr>
          <w:rFonts w:ascii="Calibri" w:hAnsi="Calibri" w:cs="Calibri"/>
        </w:rPr>
        <w:t> </w:t>
      </w:r>
      <w:r w:rsidRPr="00A04E56">
        <w:t>million) programme, under the umbrella of the Democracy Initiative, focuses on support to the EU delegations in the areas of civil</w:t>
      </w:r>
      <w:r w:rsidR="00C6111C" w:rsidRPr="00A04E56">
        <w:t>-society</w:t>
      </w:r>
      <w:r w:rsidRPr="00A04E56">
        <w:t xml:space="preserve"> participation in democratic processes. </w:t>
      </w:r>
    </w:p>
    <w:p w14:paraId="4EE188E3" w14:textId="77777777" w:rsidR="005D36C6" w:rsidRPr="00A04E56" w:rsidRDefault="005D36C6" w:rsidP="00C257BF">
      <w:pPr>
        <w:pStyle w:val="BOX3BluedashedborderBluetext"/>
      </w:pPr>
      <w:r w:rsidRPr="00A04E56">
        <w:t xml:space="preserve">Achievements so far include the Citizen Observers Forum in 2016 bringing together 250 domestic observer organisations from all over the world, facilitating peer-to-peer exchanges and promoting the declaration of global principles for electoral observers, training domestic observers in Afghanistan, Democratic Republic of the Congo, Lebanon, Madagascar, Maldives, and the launch of an annual worldwide 'EU4Democracy' campaign promoting EU support to democracy in partner countries. </w:t>
      </w:r>
    </w:p>
    <w:p w14:paraId="3D4D5CA2" w14:textId="77777777" w:rsidR="005D36C6" w:rsidRPr="00A04E56" w:rsidRDefault="005D36C6" w:rsidP="00A856F6">
      <w:pPr>
        <w:spacing w:line="276" w:lineRule="auto"/>
        <w:jc w:val="both"/>
      </w:pPr>
    </w:p>
    <w:p w14:paraId="5BE78978" w14:textId="77777777" w:rsidR="005D36C6" w:rsidRPr="00A04E56" w:rsidRDefault="005D36C6" w:rsidP="00C257BF">
      <w:pPr>
        <w:pStyle w:val="BOX3BluedashedborderBluetext-Bold"/>
        <w:keepNext/>
      </w:pPr>
      <w:r w:rsidRPr="00A04E56">
        <w:t>Support to targeted key players and processes</w:t>
      </w:r>
    </w:p>
    <w:p w14:paraId="5C919988" w14:textId="13B3F2DF" w:rsidR="005D36C6" w:rsidRPr="00A04E56" w:rsidRDefault="005D36C6" w:rsidP="00C257BF">
      <w:pPr>
        <w:pStyle w:val="BOX3BluedashedborderBluetext"/>
      </w:pPr>
      <w:r w:rsidRPr="00A04E56">
        <w:t>‘</w:t>
      </w:r>
      <w:r w:rsidRPr="00A04E56">
        <w:rPr>
          <w:rStyle w:val="BOLDLIGHTBLUEReport"/>
          <w:rFonts w:eastAsiaTheme="minorHAnsi"/>
        </w:rPr>
        <w:t>Global campus for human rights and democracy</w:t>
      </w:r>
      <w:r w:rsidRPr="00A04E56">
        <w:t>’ (approximate contribution of EUR</w:t>
      </w:r>
      <w:r w:rsidRPr="00A04E56">
        <w:rPr>
          <w:rFonts w:ascii="Calibri" w:hAnsi="Calibri"/>
        </w:rPr>
        <w:t> </w:t>
      </w:r>
      <w:r w:rsidRPr="00A04E56">
        <w:t>5</w:t>
      </w:r>
      <w:r w:rsidRPr="00A04E56">
        <w:rPr>
          <w:rFonts w:ascii="Calibri" w:hAnsi="Calibri"/>
        </w:rPr>
        <w:t> million</w:t>
      </w:r>
      <w:r w:rsidRPr="00A04E56">
        <w:t xml:space="preserve"> a year) is a unique global network of more than 100 universities teaching and promoting human rights and democracy. Supported by the EU from its outset, the Global Campus confers masters degrees in human rights and democracy on more than 150 students a year, covers seven regions in the world</w:t>
      </w:r>
      <w:r w:rsidR="003F618D" w:rsidRPr="00A04E56">
        <w:rPr>
          <w:rStyle w:val="fnRef"/>
          <w:rFonts w:ascii="Calibri" w:hAnsi="Calibri"/>
        </w:rPr>
        <w:t> </w:t>
      </w:r>
      <w:r w:rsidRPr="00A04E56">
        <w:rPr>
          <w:rStyle w:val="fnRef"/>
        </w:rPr>
        <w:t>(</w:t>
      </w:r>
      <w:r w:rsidRPr="00A04E56">
        <w:rPr>
          <w:rStyle w:val="fnRefNo"/>
        </w:rPr>
        <w:footnoteReference w:id="312"/>
      </w:r>
      <w:r w:rsidRPr="00A04E56">
        <w:rPr>
          <w:rStyle w:val="fnRef"/>
        </w:rPr>
        <w:t>)</w:t>
      </w:r>
      <w:r w:rsidRPr="00A04E56">
        <w:rPr>
          <w:b/>
        </w:rPr>
        <w:t xml:space="preserve"> </w:t>
      </w:r>
      <w:r w:rsidRPr="00A04E56">
        <w:t>and represents a beacon of</w:t>
      </w:r>
      <w:r w:rsidRPr="00A04E56">
        <w:rPr>
          <w:b/>
        </w:rPr>
        <w:t xml:space="preserve"> excellence in human rights and democracy education. </w:t>
      </w:r>
    </w:p>
    <w:p w14:paraId="58BBE78C" w14:textId="77777777" w:rsidR="005D36C6" w:rsidRPr="00A04E56" w:rsidRDefault="005D36C6" w:rsidP="00C257BF">
      <w:pPr>
        <w:pStyle w:val="BOX3BluedashedborderBluetext"/>
      </w:pPr>
      <w:r w:rsidRPr="00A04E56">
        <w:t>Continued support to the global alliance of national human rights institutions and its four regional networks</w:t>
      </w:r>
      <w:r w:rsidRPr="00A04E56">
        <w:rPr>
          <w:b/>
        </w:rPr>
        <w:t xml:space="preserve"> </w:t>
      </w:r>
      <w:r w:rsidRPr="00A04E56">
        <w:t>(Africa, Europe, Asia and Latin America) of national human rights institutions (EU contribution EUR</w:t>
      </w:r>
      <w:r w:rsidRPr="00A04E56">
        <w:rPr>
          <w:rFonts w:ascii="Calibri" w:hAnsi="Calibri" w:cs="Calibri"/>
        </w:rPr>
        <w:t> </w:t>
      </w:r>
      <w:r w:rsidRPr="00A04E56">
        <w:t>3.75</w:t>
      </w:r>
      <w:r w:rsidRPr="00A04E56">
        <w:rPr>
          <w:rFonts w:ascii="Calibri" w:hAnsi="Calibri" w:cs="Calibri"/>
        </w:rPr>
        <w:t> </w:t>
      </w:r>
      <w:r w:rsidRPr="00A04E56">
        <w:t xml:space="preserve">million 2019-2021) is strategic and timely: the advice and support these networks provide to individual national human rights institutions in core mandate areas allow for a more strategic, relevant and impactful engagement of national human rights institutions at global, regional and national levels. The 3-year targeted programme will be managed by the Danish institute for human rights as mandated by the global alliance of national human rights institutions and will build on the results of the previous programme which ran from 2015-2018 which provided much-needed training and capacity-building opportunities, exchange and communication platforms, institutional development and rapid support for national human rights institutions in distress. </w:t>
      </w:r>
    </w:p>
    <w:p w14:paraId="3B953556" w14:textId="35809B7A" w:rsidR="005D36C6" w:rsidRPr="00A04E56" w:rsidRDefault="005010E4" w:rsidP="00AA0340">
      <w:pPr>
        <w:pStyle w:val="Title3NumberedReport"/>
      </w:pPr>
      <w:r w:rsidRPr="00A04E56">
        <w:t>Assessment and evaluation</w:t>
      </w:r>
    </w:p>
    <w:p w14:paraId="662BF3E4" w14:textId="77777777" w:rsidR="005D36C6" w:rsidRPr="00A04E56" w:rsidRDefault="005D36C6" w:rsidP="005D36C6">
      <w:pPr>
        <w:pStyle w:val="BodyText1spaceafter"/>
      </w:pPr>
      <w:r w:rsidRPr="00A04E56">
        <w:t>According to the midterm review</w:t>
      </w:r>
      <w:r w:rsidRPr="00A04E56">
        <w:rPr>
          <w:rStyle w:val="fnRef"/>
          <w:rFonts w:ascii="Calibri" w:hAnsi="Calibri" w:cs="Calibri"/>
        </w:rPr>
        <w:t> </w:t>
      </w:r>
      <w:r w:rsidRPr="00A04E56">
        <w:rPr>
          <w:rStyle w:val="fnRef"/>
        </w:rPr>
        <w:t>(</w:t>
      </w:r>
      <w:r w:rsidRPr="00A04E56">
        <w:rPr>
          <w:rStyle w:val="fnRefNo"/>
        </w:rPr>
        <w:footnoteReference w:id="313"/>
      </w:r>
      <w:r w:rsidRPr="00A04E56">
        <w:rPr>
          <w:rStyle w:val="fnRef"/>
        </w:rPr>
        <w:t>)</w:t>
      </w:r>
      <w:r w:rsidRPr="00A04E56">
        <w:t>, the European Instrument for Democracy and Human Rights (for 2014-2017), has been successful in delivering on its objectives and has been an enabling, flexible and responsive instrument. Its key added values have been the independence of action and worldwide coverage, allowing interventions in the most difficult country situations swiftly, creating synergies and complementarity where other instruments and donors cannot or do not act. It has been able to address human rights and democracy challenges, even in the most difficult environments — confirming that the European Instrument for Democracy and Human Rights remains more than ever relevant to the political priorities of the EU.</w:t>
      </w:r>
    </w:p>
    <w:p w14:paraId="3F384EE4" w14:textId="21D9665F" w:rsidR="005D36C6" w:rsidRPr="00A04E56" w:rsidRDefault="005D36C6" w:rsidP="005D36C6">
      <w:pPr>
        <w:pStyle w:val="BodyText1spaceafter"/>
      </w:pPr>
      <w:r w:rsidRPr="00A04E56">
        <w:t>The instrument is also judged generally efficient thanks to a relatively low level of administrative expenditure and its essential, in-built flexible tools (e.g. direct support to human</w:t>
      </w:r>
      <w:r w:rsidR="002B5F47" w:rsidRPr="00A04E56">
        <w:t xml:space="preserve"> </w:t>
      </w:r>
      <w:r w:rsidRPr="00A04E56">
        <w:t>rights defenders, direct small grants, working with informal partners).</w:t>
      </w:r>
    </w:p>
    <w:p w14:paraId="6E374B3B" w14:textId="4C86F967" w:rsidR="005D36C6" w:rsidRPr="00A04E56" w:rsidRDefault="005D36C6" w:rsidP="005D36C6">
      <w:pPr>
        <w:pStyle w:val="BodyText1spaceafter"/>
      </w:pPr>
      <w:r w:rsidRPr="00A04E56">
        <w:t>While it has limited funds compared to other external financing instruments, it is at the core of the EU's values. As democracy and human rights are being put under greater stress, additional funding may be needed.</w:t>
      </w:r>
    </w:p>
    <w:p w14:paraId="5A4DFE6F" w14:textId="77777777" w:rsidR="005D36C6" w:rsidRPr="00A04E56" w:rsidRDefault="005D36C6" w:rsidP="005D36C6">
      <w:pPr>
        <w:pStyle w:val="BodyText1spaceafter"/>
      </w:pPr>
      <w:r w:rsidRPr="00A04E56">
        <w:t xml:space="preserve">Under the next </w:t>
      </w:r>
      <w:r w:rsidRPr="00A04E56" w:rsidDel="00C069CC">
        <w:t>m</w:t>
      </w:r>
      <w:r w:rsidRPr="00A04E56">
        <w:t xml:space="preserve">ultiannual </w:t>
      </w:r>
      <w:r w:rsidRPr="00A04E56" w:rsidDel="00C069CC">
        <w:t>f</w:t>
      </w:r>
      <w:r w:rsidRPr="00A04E56">
        <w:t xml:space="preserve">inancial </w:t>
      </w:r>
      <w:r w:rsidRPr="00A04E56" w:rsidDel="00C069CC">
        <w:t>f</w:t>
      </w:r>
      <w:r w:rsidRPr="00A04E56">
        <w:t>ramework, the democracy and human rights instrument will be integrated into the new proposed Neighbourhood, Development and International Cooperation Instrument</w:t>
      </w:r>
      <w:r w:rsidRPr="00A04E56">
        <w:rPr>
          <w:rStyle w:val="fnRef"/>
          <w:rFonts w:ascii="Calibri" w:hAnsi="Calibri" w:cs="Calibri"/>
        </w:rPr>
        <w:t> </w:t>
      </w:r>
      <w:r w:rsidRPr="00A04E56">
        <w:rPr>
          <w:rStyle w:val="fnRef"/>
        </w:rPr>
        <w:t>(</w:t>
      </w:r>
      <w:r w:rsidRPr="00A04E56">
        <w:rPr>
          <w:rStyle w:val="fnRefNo"/>
        </w:rPr>
        <w:footnoteReference w:id="314"/>
      </w:r>
      <w:r w:rsidRPr="00A04E56">
        <w:rPr>
          <w:rStyle w:val="fnRef"/>
        </w:rPr>
        <w:t>)</w:t>
      </w:r>
      <w:r w:rsidRPr="00A04E56">
        <w:t>. As part of the broad instrument, democracy and human rights actions potentially have greater access to un-allocated funds. In this way, boundaries with other instruments would be reduced and more-integrated programming approaches and consistence with country actions would be possible.</w:t>
      </w:r>
    </w:p>
    <w:p w14:paraId="53A00F2B" w14:textId="77777777" w:rsidR="005D36C6" w:rsidRPr="00A04E56" w:rsidRDefault="005D36C6" w:rsidP="005D36C6">
      <w:pPr>
        <w:pStyle w:val="Title2Report"/>
      </w:pPr>
      <w:bookmarkStart w:id="204" w:name="_Toc12021037"/>
      <w:r w:rsidRPr="00A04E56">
        <w:t>Common Foreign and Security Policy</w:t>
      </w:r>
      <w:bookmarkEnd w:id="204"/>
      <w:r w:rsidRPr="00A04E56">
        <w:t xml:space="preserve"> </w:t>
      </w:r>
    </w:p>
    <w:p w14:paraId="3E72D371" w14:textId="35B25C34" w:rsidR="005D36C6" w:rsidRPr="00A04E56" w:rsidRDefault="00FD0A13" w:rsidP="00AA0340">
      <w:pPr>
        <w:pStyle w:val="Title3NumberedReport"/>
      </w:pPr>
      <w:r w:rsidRPr="00A04E56">
        <w:t>O</w:t>
      </w:r>
      <w:r w:rsidR="00835302" w:rsidRPr="00A04E56">
        <w:t>bjectives</w:t>
      </w:r>
      <w:r w:rsidR="005D36C6" w:rsidRPr="00A04E56">
        <w:t xml:space="preserve"> </w:t>
      </w:r>
    </w:p>
    <w:p w14:paraId="56266254" w14:textId="77777777" w:rsidR="005D36C6" w:rsidRPr="00A04E56" w:rsidDel="00225606" w:rsidRDefault="005D36C6" w:rsidP="005D36C6">
      <w:pPr>
        <w:pStyle w:val="BodyText1spaceafter"/>
      </w:pPr>
      <w:r w:rsidRPr="00A04E56">
        <w:t xml:space="preserve">The European Union’s Common Foreign and Security Policy operations contribute to the </w:t>
      </w:r>
      <w:r w:rsidRPr="00A04E56">
        <w:rPr>
          <w:rStyle w:val="BOLDLIGHTBLUEReport"/>
          <w:rFonts w:eastAsia="Calibri"/>
        </w:rPr>
        <w:t>preservation of peace, the prevention of conflicts and to the strengthening of international security</w:t>
      </w:r>
      <w:r w:rsidRPr="00A04E56">
        <w:t xml:space="preserve">. </w:t>
      </w:r>
    </w:p>
    <w:p w14:paraId="199706E9" w14:textId="16880B0A" w:rsidR="005D36C6" w:rsidRPr="00A04E56" w:rsidRDefault="005D36C6" w:rsidP="005D36C6">
      <w:pPr>
        <w:pStyle w:val="BodyText1spaceafter"/>
      </w:pPr>
      <w:r w:rsidRPr="00A04E56">
        <w:t>There are four types of actions under the Common Foreign and Security Policy</w:t>
      </w:r>
      <w:r w:rsidR="00A2656B" w:rsidRPr="00A04E56">
        <w:t>.</w:t>
      </w:r>
    </w:p>
    <w:p w14:paraId="51F0DCAE" w14:textId="77777777" w:rsidR="005D36C6" w:rsidRPr="00A04E56" w:rsidRDefault="005D36C6" w:rsidP="00277538">
      <w:pPr>
        <w:pStyle w:val="BulletsblueNew"/>
      </w:pPr>
      <w:r w:rsidRPr="00A04E56">
        <w:t>The conduct of civilian missions to promote stability and build resilience by strengthening the rule of law at the strategic and operational levels in fragile environments.</w:t>
      </w:r>
    </w:p>
    <w:p w14:paraId="204ED65B" w14:textId="77777777" w:rsidR="005D36C6" w:rsidRPr="00A04E56" w:rsidRDefault="005D36C6" w:rsidP="00277538">
      <w:pPr>
        <w:pStyle w:val="BulletsblueNew"/>
      </w:pPr>
      <w:r w:rsidRPr="00A04E56">
        <w:t xml:space="preserve">The work of the European Union’s </w:t>
      </w:r>
      <w:r w:rsidRPr="00331754">
        <w:t>Special</w:t>
      </w:r>
      <w:r w:rsidRPr="00A04E56">
        <w:t xml:space="preserve"> Representatives who promote the EU’s policies and interests in troubled regions and countries and play an active role in efforts to consolidate peace, and to promote stability and the rule of law.</w:t>
      </w:r>
    </w:p>
    <w:p w14:paraId="0B821E0E" w14:textId="77777777" w:rsidR="005D36C6" w:rsidRPr="00A04E56" w:rsidRDefault="005D36C6" w:rsidP="00277538">
      <w:pPr>
        <w:pStyle w:val="BulletsblueNew"/>
      </w:pPr>
      <w:r w:rsidRPr="00A04E56">
        <w:t>Operational actions</w:t>
      </w:r>
      <w:r w:rsidRPr="00A04E56">
        <w:rPr>
          <w:rStyle w:val="fnRef"/>
          <w:rFonts w:ascii="Calibri" w:hAnsi="Calibri" w:cs="Calibri"/>
        </w:rPr>
        <w:t> </w:t>
      </w:r>
      <w:r w:rsidRPr="00A04E56">
        <w:rPr>
          <w:rStyle w:val="fnRef"/>
        </w:rPr>
        <w:t>(</w:t>
      </w:r>
      <w:r w:rsidRPr="00A04E56">
        <w:rPr>
          <w:rStyle w:val="fnRefNo"/>
        </w:rPr>
        <w:footnoteReference w:id="315"/>
      </w:r>
      <w:r w:rsidRPr="00A04E56">
        <w:rPr>
          <w:rStyle w:val="fnRef"/>
        </w:rPr>
        <w:t>)</w:t>
      </w:r>
      <w:r w:rsidRPr="00A04E56">
        <w:t xml:space="preserve"> as well as support to the European Security and Defence College</w:t>
      </w:r>
      <w:r w:rsidRPr="00A04E56">
        <w:rPr>
          <w:rStyle w:val="fnRef"/>
          <w:rFonts w:ascii="Calibri" w:hAnsi="Calibri" w:cs="Calibri"/>
        </w:rPr>
        <w:t> </w:t>
      </w:r>
      <w:r w:rsidRPr="00A04E56">
        <w:rPr>
          <w:rStyle w:val="fnRef"/>
        </w:rPr>
        <w:t>(</w:t>
      </w:r>
      <w:r w:rsidRPr="00A04E56">
        <w:rPr>
          <w:rStyle w:val="fnRefNo"/>
        </w:rPr>
        <w:footnoteReference w:id="316"/>
      </w:r>
      <w:r w:rsidRPr="00A04E56">
        <w:rPr>
          <w:rStyle w:val="fnRef"/>
        </w:rPr>
        <w:t>)</w:t>
      </w:r>
      <w:r w:rsidRPr="00A04E56">
        <w:t>.</w:t>
      </w:r>
    </w:p>
    <w:p w14:paraId="19C7AD05" w14:textId="77777777" w:rsidR="005D36C6" w:rsidRPr="00A04E56" w:rsidRDefault="005D36C6" w:rsidP="00277538">
      <w:pPr>
        <w:pStyle w:val="BulletsblueNew"/>
      </w:pPr>
      <w:r w:rsidRPr="00A04E56">
        <w:t>Projects to combat the proliferation of weapons of mass destruction (including their delivery mechanisms) and to combat the illicit spread and trafficking of other conventional weapons, particularly through supporting multilateral activities.</w:t>
      </w:r>
    </w:p>
    <w:p w14:paraId="1C45598F" w14:textId="77777777" w:rsidR="005D36C6" w:rsidRPr="00A04E56" w:rsidRDefault="005D36C6" w:rsidP="005D36C6">
      <w:pPr>
        <w:pStyle w:val="BodyText1spacebeforeandafter"/>
      </w:pPr>
      <w:r w:rsidRPr="00A04E56">
        <w:t>For the Common Foreign and Security Policy</w:t>
      </w:r>
      <w:r w:rsidRPr="00A04E56" w:rsidDel="00300E3A">
        <w:t xml:space="preserve"> </w:t>
      </w:r>
      <w:r w:rsidRPr="00A04E56">
        <w:t>to be effective, the EU needs to be ready to respond rapidly and flexibly to emerging threats to its strategic interests and as such, the actions cannot be programmed in advance: due to their nature, the specific actions are often announced at short notice and have short implementation periods which may later need to be adapted, prolonged or terminated, according to the changing needs and priorities on the ground.</w:t>
      </w:r>
    </w:p>
    <w:p w14:paraId="2B897407" w14:textId="60A14F02" w:rsidR="005D36C6" w:rsidRPr="00A04E56" w:rsidRDefault="008C1D39" w:rsidP="00AA0340">
      <w:pPr>
        <w:pStyle w:val="Title3NumberedReport"/>
      </w:pPr>
      <w:r w:rsidRPr="00A04E56">
        <w:t>Implementation and latest achievements</w:t>
      </w:r>
    </w:p>
    <w:p w14:paraId="53350968" w14:textId="49482431" w:rsidR="005D36C6" w:rsidRPr="00A04E56" w:rsidRDefault="008C1D39" w:rsidP="005D36C6">
      <w:pPr>
        <w:pStyle w:val="BodyText1spaceafter"/>
        <w:rPr>
          <w:rFonts w:eastAsia="MS Mincho"/>
          <w:szCs w:val="20"/>
          <w:lang w:eastAsia="ja-JP"/>
        </w:rPr>
      </w:pPr>
      <w:r w:rsidRPr="00A04E56">
        <w:rPr>
          <w:rFonts w:eastAsia="MS Mincho"/>
          <w:i/>
          <w:szCs w:val="20"/>
          <w:u w:val="single"/>
          <w:lang w:eastAsia="ja-JP"/>
        </w:rPr>
        <w:t>In 2018</w:t>
      </w:r>
      <w:r w:rsidR="005D36C6" w:rsidRPr="00A04E56">
        <w:rPr>
          <w:rFonts w:eastAsia="MS Mincho"/>
          <w:szCs w:val="20"/>
          <w:lang w:eastAsia="ja-JP"/>
        </w:rPr>
        <w:t xml:space="preserve">, total commitments for </w:t>
      </w:r>
      <w:r w:rsidR="005D36C6" w:rsidRPr="00A04E56">
        <w:rPr>
          <w:szCs w:val="20"/>
        </w:rPr>
        <w:t>Common Foreign and Security Policy</w:t>
      </w:r>
      <w:r w:rsidR="005D36C6" w:rsidRPr="00A04E56" w:rsidDel="00300E3A">
        <w:rPr>
          <w:szCs w:val="20"/>
        </w:rPr>
        <w:t xml:space="preserve"> </w:t>
      </w:r>
      <w:r w:rsidR="005D36C6" w:rsidRPr="00A04E56">
        <w:rPr>
          <w:rFonts w:eastAsia="MS Mincho"/>
          <w:szCs w:val="20"/>
          <w:lang w:eastAsia="ja-JP"/>
        </w:rPr>
        <w:t>actions amounted to EUR</w:t>
      </w:r>
      <w:r w:rsidR="005D36C6" w:rsidRPr="00A04E56">
        <w:rPr>
          <w:rFonts w:ascii="Calibri" w:eastAsia="MS Mincho" w:hAnsi="Calibri" w:cs="Calibri"/>
          <w:szCs w:val="20"/>
          <w:lang w:eastAsia="ja-JP"/>
        </w:rPr>
        <w:t> </w:t>
      </w:r>
      <w:r w:rsidR="005D36C6" w:rsidRPr="00A04E56">
        <w:rPr>
          <w:rFonts w:eastAsia="MS Mincho"/>
          <w:szCs w:val="20"/>
          <w:lang w:eastAsia="ja-JP"/>
        </w:rPr>
        <w:t>369.9</w:t>
      </w:r>
      <w:r w:rsidR="005D36C6" w:rsidRPr="00A04E56">
        <w:rPr>
          <w:rFonts w:ascii="Calibri" w:eastAsia="MS Mincho" w:hAnsi="Calibri" w:cs="Calibri"/>
          <w:szCs w:val="20"/>
          <w:lang w:eastAsia="ja-JP"/>
        </w:rPr>
        <w:t> </w:t>
      </w:r>
      <w:r w:rsidR="005D36C6" w:rsidRPr="00A04E56">
        <w:rPr>
          <w:rFonts w:eastAsia="MS Mincho"/>
          <w:szCs w:val="20"/>
          <w:lang w:eastAsia="ja-JP"/>
        </w:rPr>
        <w:t xml:space="preserve">million. In the period 2014 to 2018 there were 13 different civilian missions operating at different stages and 11 active </w:t>
      </w:r>
      <w:r w:rsidR="005D36C6" w:rsidRPr="00A04E56">
        <w:rPr>
          <w:szCs w:val="20"/>
        </w:rPr>
        <w:t xml:space="preserve">European Union Special Representatives (the one in Afghanistan finalised activities </w:t>
      </w:r>
      <w:r w:rsidRPr="00A04E56">
        <w:rPr>
          <w:i/>
          <w:szCs w:val="20"/>
          <w:u w:val="single"/>
        </w:rPr>
        <w:t>in 2018</w:t>
      </w:r>
      <w:r w:rsidR="005D36C6" w:rsidRPr="00A04E56">
        <w:rPr>
          <w:szCs w:val="20"/>
        </w:rPr>
        <w:t>)</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17"/>
      </w:r>
      <w:r w:rsidR="005D36C6" w:rsidRPr="00A04E56">
        <w:rPr>
          <w:rStyle w:val="fnRef"/>
        </w:rPr>
        <w:t>)</w:t>
      </w:r>
      <w:r w:rsidR="005D36C6" w:rsidRPr="00A04E56">
        <w:rPr>
          <w:rFonts w:eastAsia="MS Mincho"/>
          <w:szCs w:val="20"/>
          <w:lang w:eastAsia="ja-JP"/>
        </w:rPr>
        <w:t xml:space="preserve">. </w:t>
      </w:r>
    </w:p>
    <w:p w14:paraId="34B6C4F5" w14:textId="5FA28CCC" w:rsidR="005D36C6" w:rsidRPr="00A04E56" w:rsidRDefault="00270AAB" w:rsidP="00C257BF">
      <w:pPr>
        <w:pStyle w:val="BOX3BluedashedborderBluetext"/>
      </w:pPr>
      <w:r w:rsidRPr="00A04E56">
        <w:t>The EU Advisory Mission in Iraq, established in October 2017, is the most recently established civilian mission. T</w:t>
      </w:r>
      <w:r w:rsidR="005D36C6" w:rsidRPr="00A04E56">
        <w:t xml:space="preserve">he </w:t>
      </w:r>
      <w:r w:rsidR="005D36C6" w:rsidRPr="00A04E56">
        <w:rPr>
          <w:rStyle w:val="BOLDLIGHTBLUEReport"/>
          <w:rFonts w:eastAsiaTheme="minorHAnsi"/>
        </w:rPr>
        <w:t xml:space="preserve">EU Advisory Mission </w:t>
      </w:r>
      <w:r w:rsidR="005D36C6" w:rsidRPr="00A04E56">
        <w:t xml:space="preserve">has been: (i) providing advice and expertise to the Iraqi authorities at the strategic level on the civilian aspects of the Iraqi national security programme and associated plans; (ii) assessing opportunities for further EU engagement and (iii) assisting the EU delegation in the coordination of the EU and Member State support. As part of </w:t>
      </w:r>
      <w:r w:rsidRPr="00A04E56">
        <w:t xml:space="preserve">the mission’s support to the Iraqi </w:t>
      </w:r>
      <w:r w:rsidR="005D36C6" w:rsidRPr="00A04E56">
        <w:t xml:space="preserve">strategy on countering organised crime, </w:t>
      </w:r>
      <w:r w:rsidRPr="00A04E56">
        <w:t xml:space="preserve">its mandate also covers certain aspects of </w:t>
      </w:r>
      <w:r w:rsidR="005D36C6" w:rsidRPr="00A04E56">
        <w:t>cultural</w:t>
      </w:r>
      <w:r w:rsidR="00C6111C" w:rsidRPr="00A04E56">
        <w:t>-heritage</w:t>
      </w:r>
      <w:r w:rsidR="005D36C6" w:rsidRPr="00A04E56">
        <w:t xml:space="preserve"> protection. The mission's mandate was prolonged in October 2018 for another 18</w:t>
      </w:r>
      <w:r w:rsidR="005D36C6" w:rsidRPr="00A04E56">
        <w:rPr>
          <w:rFonts w:ascii="Calibri" w:hAnsi="Calibri" w:cs="Calibri"/>
        </w:rPr>
        <w:t> </w:t>
      </w:r>
      <w:r w:rsidR="005D36C6" w:rsidRPr="00A04E56">
        <w:t>months</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18"/>
      </w:r>
      <w:r w:rsidR="005D36C6" w:rsidRPr="00A04E56">
        <w:rPr>
          <w:rStyle w:val="fnRef"/>
        </w:rPr>
        <w:t>)</w:t>
      </w:r>
      <w:r w:rsidR="005D36C6" w:rsidRPr="00A04E56">
        <w:t>.</w:t>
      </w:r>
    </w:p>
    <w:p w14:paraId="6238ECE0" w14:textId="77777777" w:rsidR="005D36C6" w:rsidRPr="00A04E56" w:rsidRDefault="005D36C6" w:rsidP="005D36C6">
      <w:pPr>
        <w:pStyle w:val="BodyText1spaceafter"/>
        <w:rPr>
          <w:rFonts w:eastAsia="MS Mincho"/>
          <w:szCs w:val="20"/>
          <w:lang w:eastAsia="ja-JP"/>
        </w:rPr>
      </w:pPr>
      <w:r w:rsidRPr="00A04E56">
        <w:rPr>
          <w:rFonts w:eastAsia="MS Mincho"/>
          <w:szCs w:val="20"/>
          <w:lang w:eastAsia="ja-JP"/>
        </w:rPr>
        <w:t xml:space="preserve">In addition to this, the </w:t>
      </w:r>
      <w:r w:rsidRPr="00A04E56">
        <w:rPr>
          <w:szCs w:val="20"/>
        </w:rPr>
        <w:t>Common Foreign and Security Policy</w:t>
      </w:r>
      <w:r w:rsidRPr="00A04E56">
        <w:rPr>
          <w:rFonts w:eastAsia="MS Mincho"/>
          <w:szCs w:val="20"/>
          <w:lang w:eastAsia="ja-JP"/>
        </w:rPr>
        <w:t xml:space="preserve"> also supports projects to promote </w:t>
      </w:r>
      <w:r w:rsidRPr="00A04E56">
        <w:rPr>
          <w:rStyle w:val="BOLDLIGHTBLUEReport"/>
          <w:rFonts w:eastAsia="MS Mincho"/>
        </w:rPr>
        <w:t>disarmament, non-proliferation of weapons of mass destruction and arms-export control</w:t>
      </w:r>
      <w:r w:rsidRPr="00A04E56">
        <w:rPr>
          <w:rFonts w:eastAsia="MS Mincho"/>
          <w:szCs w:val="20"/>
          <w:lang w:eastAsia="ja-JP"/>
        </w:rPr>
        <w:t>. During the period 2014-2018, 29 different non-proliferation and disarmament projects started and another 22 were completed</w:t>
      </w:r>
      <w:r w:rsidRPr="00A04E56">
        <w:rPr>
          <w:rStyle w:val="fnRef"/>
          <w:rFonts w:ascii="Calibri" w:hAnsi="Calibri" w:cs="Calibri"/>
        </w:rPr>
        <w:t> </w:t>
      </w:r>
      <w:r w:rsidRPr="00A04E56">
        <w:rPr>
          <w:rStyle w:val="fnRef"/>
        </w:rPr>
        <w:t>(</w:t>
      </w:r>
      <w:r w:rsidRPr="00A04E56">
        <w:rPr>
          <w:rStyle w:val="fnRefNo"/>
        </w:rPr>
        <w:footnoteReference w:id="319"/>
      </w:r>
      <w:r w:rsidRPr="00A04E56">
        <w:rPr>
          <w:rStyle w:val="fnRef"/>
        </w:rPr>
        <w:t>)</w:t>
      </w:r>
      <w:r w:rsidRPr="00A04E56">
        <w:rPr>
          <w:rFonts w:eastAsia="MS Mincho"/>
          <w:szCs w:val="20"/>
          <w:lang w:eastAsia="ja-JP"/>
        </w:rPr>
        <w:t>.</w:t>
      </w:r>
    </w:p>
    <w:p w14:paraId="3CE446E9" w14:textId="7A005462" w:rsidR="005D36C6" w:rsidRPr="00A04E56" w:rsidRDefault="005010E4" w:rsidP="00AA0340">
      <w:pPr>
        <w:pStyle w:val="Title3NumberedReport"/>
      </w:pPr>
      <w:r w:rsidRPr="00A04E56">
        <w:t>Assessment and evaluation</w:t>
      </w:r>
    </w:p>
    <w:p w14:paraId="1C8123F3" w14:textId="77777777" w:rsidR="005D36C6" w:rsidRPr="00A04E56" w:rsidRDefault="005D36C6" w:rsidP="005D36C6">
      <w:pPr>
        <w:pStyle w:val="BodyText1spaceafter"/>
        <w:rPr>
          <w:rFonts w:eastAsia="MS Mincho"/>
          <w:szCs w:val="20"/>
          <w:lang w:eastAsia="ja-JP"/>
        </w:rPr>
      </w:pPr>
      <w:r w:rsidRPr="00A04E56">
        <w:rPr>
          <w:rFonts w:eastAsia="MS Mincho"/>
          <w:szCs w:val="20"/>
          <w:lang w:eastAsia="ja-JP"/>
        </w:rPr>
        <w:t>The Common Foreign and Security Policy will remain one of the key instruments used to implement the global strategy for the EU’s Foreign and Security policy under the next multiannual financial framework.</w:t>
      </w:r>
    </w:p>
    <w:p w14:paraId="214CE9CF" w14:textId="63B05835" w:rsidR="005D36C6" w:rsidRPr="00A04E56" w:rsidRDefault="005D36C6" w:rsidP="005D36C6">
      <w:pPr>
        <w:pStyle w:val="BodyText1spaceafter"/>
        <w:rPr>
          <w:rFonts w:eastAsia="MS Mincho"/>
          <w:szCs w:val="20"/>
          <w:lang w:eastAsia="ja-JP"/>
        </w:rPr>
      </w:pPr>
      <w:r w:rsidRPr="00A04E56">
        <w:rPr>
          <w:rFonts w:eastAsia="MS Mincho"/>
          <w:szCs w:val="20"/>
          <w:lang w:eastAsia="ja-JP"/>
        </w:rPr>
        <w:t>For the period after 2020, the</w:t>
      </w:r>
      <w:r w:rsidR="00270AAB" w:rsidRPr="00A04E56">
        <w:rPr>
          <w:rFonts w:eastAsia="MS Mincho"/>
          <w:szCs w:val="20"/>
          <w:lang w:eastAsia="ja-JP"/>
        </w:rPr>
        <w:t xml:space="preserve"> High Representative</w:t>
      </w:r>
      <w:r w:rsidRPr="00A04E56" w:rsidDel="00270AAB">
        <w:rPr>
          <w:rFonts w:eastAsia="MS Mincho"/>
          <w:szCs w:val="20"/>
          <w:lang w:eastAsia="ja-JP"/>
        </w:rPr>
        <w:t xml:space="preserve"> </w:t>
      </w:r>
      <w:r w:rsidR="001E70D2" w:rsidRPr="00A04E56">
        <w:rPr>
          <w:rFonts w:eastAsia="MS Mincho"/>
          <w:szCs w:val="20"/>
          <w:lang w:eastAsia="ja-JP"/>
        </w:rPr>
        <w:t>of the Union for Foreign Affairs and Security Policy</w:t>
      </w:r>
      <w:r w:rsidRPr="00A04E56">
        <w:rPr>
          <w:rFonts w:eastAsia="MS Mincho"/>
          <w:szCs w:val="20"/>
          <w:lang w:eastAsia="ja-JP"/>
        </w:rPr>
        <w:t xml:space="preserve"> has</w:t>
      </w:r>
      <w:r w:rsidR="006A5332" w:rsidRPr="00A04E56">
        <w:rPr>
          <w:rFonts w:eastAsia="MS Mincho"/>
          <w:szCs w:val="20"/>
          <w:lang w:eastAsia="ja-JP"/>
        </w:rPr>
        <w:t>,</w:t>
      </w:r>
      <w:r w:rsidRPr="00A04E56">
        <w:rPr>
          <w:rFonts w:eastAsia="MS Mincho"/>
          <w:szCs w:val="20"/>
          <w:lang w:eastAsia="ja-JP"/>
        </w:rPr>
        <w:t xml:space="preserve"> </w:t>
      </w:r>
      <w:r w:rsidR="006A5332" w:rsidRPr="00A04E56">
        <w:rPr>
          <w:rFonts w:eastAsia="MS Mincho"/>
          <w:szCs w:val="20"/>
          <w:lang w:eastAsia="ja-JP"/>
        </w:rPr>
        <w:t xml:space="preserve">with Commission support, </w:t>
      </w:r>
      <w:r w:rsidRPr="00A04E56">
        <w:rPr>
          <w:rFonts w:eastAsia="MS Mincho"/>
          <w:szCs w:val="20"/>
          <w:lang w:eastAsia="ja-JP"/>
        </w:rPr>
        <w:t>put forward</w:t>
      </w:r>
      <w:r w:rsidR="00270AAB" w:rsidRPr="00A04E56">
        <w:rPr>
          <w:rFonts w:eastAsia="MS Mincho"/>
          <w:szCs w:val="20"/>
          <w:lang w:eastAsia="ja-JP"/>
        </w:rPr>
        <w:t xml:space="preserve"> </w:t>
      </w:r>
      <w:r w:rsidRPr="00A04E56">
        <w:rPr>
          <w:rFonts w:eastAsia="MS Mincho"/>
          <w:szCs w:val="20"/>
          <w:lang w:eastAsia="ja-JP"/>
        </w:rPr>
        <w:t>a proposal for the European Peace Facility</w:t>
      </w:r>
      <w:r w:rsidRPr="00A04E56">
        <w:rPr>
          <w:rStyle w:val="fnRef"/>
          <w:rFonts w:ascii="Calibri" w:hAnsi="Calibri" w:cs="Calibri"/>
        </w:rPr>
        <w:t> </w:t>
      </w:r>
      <w:r w:rsidRPr="00A04E56">
        <w:rPr>
          <w:rStyle w:val="fnRef"/>
        </w:rPr>
        <w:t>(</w:t>
      </w:r>
      <w:r w:rsidRPr="00A04E56">
        <w:rPr>
          <w:rStyle w:val="fnRefNo"/>
        </w:rPr>
        <w:footnoteReference w:id="320"/>
      </w:r>
      <w:r w:rsidRPr="00A04E56">
        <w:rPr>
          <w:rStyle w:val="fnRef"/>
        </w:rPr>
        <w:t>)</w:t>
      </w:r>
      <w:r w:rsidRPr="00A04E56">
        <w:rPr>
          <w:rFonts w:eastAsia="MS Mincho"/>
          <w:szCs w:val="20"/>
          <w:lang w:eastAsia="ja-JP"/>
        </w:rPr>
        <w:t xml:space="preserve">: an off-budget fund (not under the multiannual financial framework) of </w:t>
      </w:r>
      <w:r w:rsidRPr="00A04E56" w:rsidDel="00717F2A">
        <w:rPr>
          <w:rFonts w:eastAsia="MS Mincho"/>
          <w:szCs w:val="20"/>
          <w:lang w:eastAsia="ja-JP"/>
        </w:rPr>
        <w:t>EUR</w:t>
      </w:r>
      <w:r w:rsidRPr="00A04E56" w:rsidDel="00717F2A">
        <w:rPr>
          <w:rFonts w:ascii="Calibri" w:hAnsi="Calibri" w:cs="Calibri"/>
        </w:rPr>
        <w:t> </w:t>
      </w:r>
      <w:r w:rsidRPr="00A04E56">
        <w:rPr>
          <w:rFonts w:eastAsia="MS Mincho"/>
          <w:szCs w:val="20"/>
          <w:lang w:eastAsia="ja-JP"/>
        </w:rPr>
        <w:t>10.5 billion over a 7-year period coinciding with the timeframe of the next multiannual financial framework. The initiative is</w:t>
      </w:r>
      <w:r w:rsidRPr="00A04E56" w:rsidDel="00760ECE">
        <w:rPr>
          <w:rFonts w:eastAsia="MS Mincho"/>
          <w:szCs w:val="20"/>
          <w:lang w:eastAsia="ja-JP"/>
        </w:rPr>
        <w:t xml:space="preserve"> </w:t>
      </w:r>
      <w:r w:rsidRPr="00A04E56">
        <w:rPr>
          <w:rFonts w:eastAsia="MS Mincho"/>
          <w:szCs w:val="20"/>
          <w:lang w:eastAsia="ja-JP"/>
        </w:rPr>
        <w:t>intended to enhance the EU’s ability to finance operational actions under the Common Foreign and Security Policy that have military or defence implications, and that therefore cannot be financed under the EU budget</w:t>
      </w:r>
      <w:r w:rsidRPr="00A04E56">
        <w:rPr>
          <w:rStyle w:val="fnRef"/>
          <w:rFonts w:ascii="Calibri" w:hAnsi="Calibri" w:cs="Calibri"/>
        </w:rPr>
        <w:t> </w:t>
      </w:r>
      <w:r w:rsidRPr="00A04E56">
        <w:rPr>
          <w:rStyle w:val="fnRef"/>
        </w:rPr>
        <w:t>(</w:t>
      </w:r>
      <w:r w:rsidRPr="00A04E56">
        <w:rPr>
          <w:rStyle w:val="fnRefNo"/>
        </w:rPr>
        <w:footnoteReference w:id="321"/>
      </w:r>
      <w:r w:rsidRPr="00A04E56">
        <w:rPr>
          <w:rStyle w:val="fnRef"/>
        </w:rPr>
        <w:t>)</w:t>
      </w:r>
      <w:r w:rsidRPr="00A04E56">
        <w:rPr>
          <w:rFonts w:eastAsia="MS Mincho"/>
          <w:szCs w:val="20"/>
          <w:lang w:eastAsia="ja-JP"/>
        </w:rPr>
        <w:t>.</w:t>
      </w:r>
    </w:p>
    <w:p w14:paraId="1EB27D72" w14:textId="77777777" w:rsidR="005D36C6" w:rsidRPr="00A04E56" w:rsidRDefault="005D36C6" w:rsidP="00C53476">
      <w:pPr>
        <w:pStyle w:val="BodyText1spaceafter"/>
        <w:keepNext/>
        <w:rPr>
          <w:rFonts w:eastAsia="MS Mincho"/>
          <w:szCs w:val="20"/>
          <w:lang w:eastAsia="ja-JP"/>
        </w:rPr>
      </w:pPr>
      <w:r w:rsidRPr="00A04E56">
        <w:rPr>
          <w:rFonts w:eastAsia="MS Mincho"/>
          <w:szCs w:val="20"/>
          <w:lang w:eastAsia="ja-JP"/>
        </w:rPr>
        <w:t>It is proposed that the European Peace Facility do the following.</w:t>
      </w:r>
    </w:p>
    <w:p w14:paraId="408350B0" w14:textId="77777777" w:rsidR="005D36C6" w:rsidRPr="00A04E56" w:rsidRDefault="005D36C6" w:rsidP="00277538">
      <w:pPr>
        <w:pStyle w:val="BulletsblueNew"/>
      </w:pPr>
      <w:r w:rsidRPr="00A04E56">
        <w:t>Fund the common costs of EU military operations under the Common Security and Defence Policy.</w:t>
      </w:r>
    </w:p>
    <w:p w14:paraId="08BB345A" w14:textId="77777777" w:rsidR="005D36C6" w:rsidRPr="00A04E56" w:rsidRDefault="005D36C6" w:rsidP="00277538">
      <w:pPr>
        <w:pStyle w:val="BulletsblueNew"/>
      </w:pPr>
      <w:r w:rsidRPr="00A04E56">
        <w:t xml:space="preserve">Contribute to the financing of military peace-support </w:t>
      </w:r>
      <w:r w:rsidRPr="000956AF">
        <w:t>operations</w:t>
      </w:r>
      <w:r w:rsidRPr="00A04E56">
        <w:t xml:space="preserve"> led by other international players.</w:t>
      </w:r>
    </w:p>
    <w:p w14:paraId="10D40DF5" w14:textId="77777777" w:rsidR="005D36C6" w:rsidRPr="00A04E56" w:rsidRDefault="005D36C6" w:rsidP="00277538">
      <w:pPr>
        <w:pStyle w:val="BulletsblueNew"/>
      </w:pPr>
      <w:r w:rsidRPr="00A04E56">
        <w:t xml:space="preserve">Engage in broader actions aimed at supporting </w:t>
      </w:r>
      <w:r w:rsidRPr="000956AF">
        <w:t>partner</w:t>
      </w:r>
      <w:r w:rsidRPr="00A04E56">
        <w:t xml:space="preserve"> countries' armed forces with infrastructure, equipment or military assistance, as well as in other operational actions under </w:t>
      </w:r>
      <w:r w:rsidRPr="00A04E56" w:rsidDel="00416AC9">
        <w:t xml:space="preserve">the </w:t>
      </w:r>
      <w:r w:rsidRPr="00A04E56">
        <w:t>EU's Common Foreign and Security Policy with military or defence implications, when so decided by the Council.</w:t>
      </w:r>
    </w:p>
    <w:p w14:paraId="473C8A7F" w14:textId="77777777" w:rsidR="005D36C6" w:rsidRPr="00A04E56" w:rsidRDefault="005D36C6" w:rsidP="005D36C6">
      <w:pPr>
        <w:pStyle w:val="Title2Report"/>
      </w:pPr>
      <w:bookmarkStart w:id="205" w:name="_Toc12021038"/>
      <w:r w:rsidRPr="00A04E56">
        <w:t>Instrument contributing to Stability and Peace</w:t>
      </w:r>
      <w:bookmarkEnd w:id="205"/>
      <w:r w:rsidRPr="00A04E56">
        <w:t xml:space="preserve"> </w:t>
      </w:r>
    </w:p>
    <w:p w14:paraId="7899FFA0" w14:textId="77777777" w:rsidR="005D36C6" w:rsidRPr="00A04E56" w:rsidRDefault="005D36C6" w:rsidP="00AA0340">
      <w:pPr>
        <w:pStyle w:val="Title3NumberedReport"/>
      </w:pPr>
      <w:r w:rsidRPr="00A04E56">
        <w:t xml:space="preserve">Programme objectives </w:t>
      </w:r>
    </w:p>
    <w:p w14:paraId="46F0A6FE" w14:textId="7F34D153" w:rsidR="005D36C6" w:rsidRPr="00A04E56" w:rsidRDefault="005D36C6" w:rsidP="005D36C6">
      <w:pPr>
        <w:pStyle w:val="BodyText1spaceafter"/>
        <w:rPr>
          <w:rFonts w:eastAsia="MS Mincho"/>
          <w:szCs w:val="20"/>
          <w:lang w:eastAsia="ja-JP"/>
        </w:rPr>
      </w:pPr>
      <w:r w:rsidRPr="00A04E56">
        <w:rPr>
          <w:rFonts w:eastAsia="MS Mincho"/>
          <w:szCs w:val="20"/>
          <w:lang w:eastAsia="ja-JP"/>
        </w:rPr>
        <w:t xml:space="preserve">The Instrument contributing to Stability and Peace provides quick, short-term support in countries or regions where a crisis is emerging or unfolding. It also provides a longer-term support to </w:t>
      </w:r>
      <w:r w:rsidRPr="00A04E56">
        <w:rPr>
          <w:rStyle w:val="BOLDLIGHTBLUEReport"/>
          <w:rFonts w:eastAsia="MS Mincho"/>
        </w:rPr>
        <w:t>conflict prevention, peace</w:t>
      </w:r>
      <w:r w:rsidR="003B6127" w:rsidRPr="00A04E56">
        <w:rPr>
          <w:rStyle w:val="BOLDLIGHTBLUEReport"/>
          <w:rFonts w:eastAsia="MS Mincho"/>
        </w:rPr>
        <w:t>building</w:t>
      </w:r>
      <w:r w:rsidRPr="00A04E56">
        <w:rPr>
          <w:rStyle w:val="BOLDLIGHTBLUEReport"/>
          <w:rFonts w:eastAsia="MS Mincho"/>
        </w:rPr>
        <w:t xml:space="preserve"> and crisis-preparedness activities</w:t>
      </w:r>
      <w:r w:rsidRPr="00A04E56">
        <w:rPr>
          <w:rFonts w:eastAsia="MS Mincho"/>
          <w:szCs w:val="20"/>
          <w:lang w:eastAsia="ja-JP"/>
        </w:rPr>
        <w:t xml:space="preserve"> as well as activities </w:t>
      </w:r>
      <w:r w:rsidRPr="00A04E56">
        <w:rPr>
          <w:rStyle w:val="BOLDLIGHTBLUEReport"/>
          <w:rFonts w:eastAsia="MS Mincho"/>
        </w:rPr>
        <w:t>addressing global and trans-regional threats and emerging threats</w:t>
      </w:r>
      <w:r w:rsidRPr="00A04E56">
        <w:rPr>
          <w:rFonts w:eastAsia="MS Mincho"/>
          <w:szCs w:val="20"/>
          <w:lang w:eastAsia="ja-JP"/>
        </w:rPr>
        <w:t>.</w:t>
      </w:r>
    </w:p>
    <w:p w14:paraId="19434082" w14:textId="097509F2" w:rsidR="005D36C6" w:rsidRPr="00A04E56" w:rsidRDefault="008C1D39" w:rsidP="00AA0340">
      <w:pPr>
        <w:pStyle w:val="Title3NumberedReport"/>
      </w:pPr>
      <w:r w:rsidRPr="00A04E56">
        <w:t>Implementation and latest achievements</w:t>
      </w:r>
    </w:p>
    <w:p w14:paraId="440E73B9" w14:textId="2386281A" w:rsidR="005D36C6" w:rsidRPr="00A04E56" w:rsidRDefault="008C1D39" w:rsidP="005D36C6">
      <w:pPr>
        <w:pStyle w:val="BodyText1spaceafter"/>
        <w:rPr>
          <w:szCs w:val="20"/>
        </w:rPr>
      </w:pPr>
      <w:r w:rsidRPr="00A04E56">
        <w:rPr>
          <w:i/>
          <w:szCs w:val="20"/>
          <w:u w:val="single"/>
        </w:rPr>
        <w:t>In 2018</w:t>
      </w:r>
      <w:r w:rsidR="005D36C6" w:rsidRPr="00A04E56">
        <w:rPr>
          <w:szCs w:val="20"/>
        </w:rPr>
        <w:t>, the EU continued to respond to crises in Europe, Africa, the Middle East, Asia and the Americas</w:t>
      </w:r>
      <w:r w:rsidR="005D36C6" w:rsidRPr="00A04E56">
        <w:rPr>
          <w:rFonts w:eastAsia="MS Mincho"/>
          <w:szCs w:val="20"/>
          <w:lang w:eastAsia="ja-JP"/>
        </w:rPr>
        <w:t xml:space="preserve"> through the </w:t>
      </w:r>
      <w:r w:rsidR="005D36C6" w:rsidRPr="00A04E56">
        <w:rPr>
          <w:rStyle w:val="BOLDLIGHTBLUEReport"/>
          <w:rFonts w:eastAsia="MS Mincho"/>
        </w:rPr>
        <w:t>Instrument contributing to Stability and Peace</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22"/>
      </w:r>
      <w:r w:rsidR="005D36C6" w:rsidRPr="00A04E56">
        <w:rPr>
          <w:rStyle w:val="fnRef"/>
        </w:rPr>
        <w:t>)</w:t>
      </w:r>
      <w:r w:rsidR="005D36C6" w:rsidRPr="00A04E56">
        <w:rPr>
          <w:szCs w:val="20"/>
        </w:rPr>
        <w:t>. A total of</w:t>
      </w:r>
      <w:r w:rsidR="005D36C6" w:rsidRPr="00A04E56" w:rsidDel="00717F2A">
        <w:rPr>
          <w:szCs w:val="20"/>
        </w:rPr>
        <w:t xml:space="preserve"> </w:t>
      </w:r>
      <w:r w:rsidR="005D36C6" w:rsidRPr="00A04E56">
        <w:rPr>
          <w:szCs w:val="20"/>
        </w:rPr>
        <w:t>EUR</w:t>
      </w:r>
      <w:r w:rsidR="005D36C6" w:rsidRPr="00A04E56">
        <w:rPr>
          <w:rFonts w:ascii="Calibri" w:hAnsi="Calibri" w:cs="Calibri"/>
          <w:szCs w:val="20"/>
        </w:rPr>
        <w:t> </w:t>
      </w:r>
      <w:r w:rsidR="005D36C6" w:rsidRPr="00A04E56">
        <w:rPr>
          <w:szCs w:val="20"/>
        </w:rPr>
        <w:t>360</w:t>
      </w:r>
      <w:r w:rsidR="005D36C6" w:rsidRPr="00A04E56">
        <w:rPr>
          <w:rFonts w:ascii="Calibri" w:hAnsi="Calibri" w:cs="Calibri"/>
          <w:szCs w:val="20"/>
        </w:rPr>
        <w:t> </w:t>
      </w:r>
      <w:r w:rsidR="005D36C6" w:rsidRPr="00A04E56">
        <w:rPr>
          <w:szCs w:val="20"/>
        </w:rPr>
        <w:t>million was committed</w:t>
      </w:r>
      <w:r w:rsidR="005D36C6" w:rsidRPr="00A04E56">
        <w:rPr>
          <w:rFonts w:eastAsia="MS Mincho"/>
          <w:szCs w:val="20"/>
          <w:lang w:eastAsia="ja-JP"/>
        </w:rPr>
        <w:t xml:space="preserve"> of which </w:t>
      </w:r>
      <w:r w:rsidR="005D36C6" w:rsidRPr="00A04E56" w:rsidDel="00717F2A">
        <w:rPr>
          <w:szCs w:val="20"/>
        </w:rPr>
        <w:t>EUR</w:t>
      </w:r>
      <w:r w:rsidR="005D36C6" w:rsidRPr="00A04E56">
        <w:rPr>
          <w:rFonts w:ascii="Calibri" w:hAnsi="Calibri" w:cs="Calibri"/>
          <w:szCs w:val="20"/>
        </w:rPr>
        <w:t> </w:t>
      </w:r>
      <w:r w:rsidR="005D36C6" w:rsidRPr="00A04E56">
        <w:rPr>
          <w:szCs w:val="20"/>
        </w:rPr>
        <w:t>254.1</w:t>
      </w:r>
      <w:r w:rsidR="005D36C6" w:rsidRPr="00A04E56">
        <w:rPr>
          <w:rFonts w:ascii="Calibri" w:hAnsi="Calibri" w:cs="Calibri"/>
          <w:szCs w:val="20"/>
        </w:rPr>
        <w:t> </w:t>
      </w:r>
      <w:r w:rsidR="005D36C6" w:rsidRPr="00A04E56">
        <w:rPr>
          <w:szCs w:val="20"/>
        </w:rPr>
        <w:t>million under the short-term crisis</w:t>
      </w:r>
      <w:r w:rsidR="00BB6A2D" w:rsidRPr="00A04E56">
        <w:rPr>
          <w:szCs w:val="20"/>
        </w:rPr>
        <w:t>-</w:t>
      </w:r>
      <w:r w:rsidR="005D36C6" w:rsidRPr="00A04E56">
        <w:rPr>
          <w:szCs w:val="20"/>
        </w:rPr>
        <w:t xml:space="preserve">response component and </w:t>
      </w:r>
      <w:r w:rsidR="005D36C6" w:rsidRPr="00A04E56" w:rsidDel="00717F2A">
        <w:rPr>
          <w:szCs w:val="20"/>
        </w:rPr>
        <w:t>EUR</w:t>
      </w:r>
      <w:r w:rsidR="005D36C6" w:rsidRPr="00A04E56" w:rsidDel="00717F2A">
        <w:rPr>
          <w:rFonts w:ascii="Calibri" w:hAnsi="Calibri" w:cs="Calibri"/>
        </w:rPr>
        <w:t> </w:t>
      </w:r>
      <w:r w:rsidR="005D36C6" w:rsidRPr="00A04E56">
        <w:rPr>
          <w:szCs w:val="20"/>
        </w:rPr>
        <w:t>33.7</w:t>
      </w:r>
      <w:r w:rsidR="005D36C6" w:rsidRPr="00A04E56">
        <w:rPr>
          <w:rFonts w:ascii="Calibri" w:hAnsi="Calibri" w:cs="Calibri"/>
          <w:szCs w:val="20"/>
        </w:rPr>
        <w:t> </w:t>
      </w:r>
      <w:r w:rsidR="005D36C6" w:rsidRPr="00A04E56">
        <w:rPr>
          <w:szCs w:val="20"/>
        </w:rPr>
        <w:t>million under the structural peace</w:t>
      </w:r>
      <w:r w:rsidR="003B6127" w:rsidRPr="00A04E56">
        <w:rPr>
          <w:szCs w:val="20"/>
        </w:rPr>
        <w:t>building</w:t>
      </w:r>
      <w:r w:rsidR="005D36C6" w:rsidRPr="00A04E56">
        <w:rPr>
          <w:szCs w:val="20"/>
        </w:rPr>
        <w:t xml:space="preserve"> component. The </w:t>
      </w:r>
      <w:r w:rsidR="005D36C6" w:rsidRPr="00A04E56" w:rsidDel="00717F2A">
        <w:rPr>
          <w:szCs w:val="20"/>
        </w:rPr>
        <w:t>EUR</w:t>
      </w:r>
      <w:r w:rsidR="005D36C6" w:rsidRPr="00A04E56">
        <w:rPr>
          <w:rFonts w:ascii="Calibri" w:hAnsi="Calibri" w:cs="Calibri"/>
          <w:szCs w:val="20"/>
        </w:rPr>
        <w:t> </w:t>
      </w:r>
      <w:r w:rsidR="005D36C6" w:rsidRPr="00A04E56">
        <w:rPr>
          <w:szCs w:val="20"/>
        </w:rPr>
        <w:t>254.1</w:t>
      </w:r>
      <w:r w:rsidR="005D36C6" w:rsidRPr="00A04E56">
        <w:rPr>
          <w:rFonts w:ascii="Calibri" w:hAnsi="Calibri" w:cs="Calibri"/>
          <w:szCs w:val="20"/>
        </w:rPr>
        <w:t> </w:t>
      </w:r>
      <w:r w:rsidR="005D36C6" w:rsidRPr="00A04E56">
        <w:rPr>
          <w:szCs w:val="20"/>
        </w:rPr>
        <w:t xml:space="preserve">million was </w:t>
      </w:r>
      <w:r w:rsidR="000F2DB6" w:rsidRPr="00A04E56">
        <w:rPr>
          <w:szCs w:val="20"/>
        </w:rPr>
        <w:t>dedicated to the response and prevention of crises worldwide, responding directly to EU political priorities, and covered different thematic areas, including stabilisation and security reform, mediation, dialogue and confidence building, elections and political transition, as well as counter terrorism and preventing violent extremism</w:t>
      </w:r>
      <w:r w:rsidR="004E71E5" w:rsidRPr="00A04E56">
        <w:rPr>
          <w:rFonts w:ascii="Calibri" w:hAnsi="Calibri" w:cs="Calibri"/>
          <w:szCs w:val="20"/>
        </w:rPr>
        <w:t> </w:t>
      </w:r>
      <w:r w:rsidR="005D36C6" w:rsidRPr="00A04E56">
        <w:rPr>
          <w:rStyle w:val="fnRef"/>
        </w:rPr>
        <w:t>(</w:t>
      </w:r>
      <w:r w:rsidR="005D36C6" w:rsidRPr="00A04E56">
        <w:rPr>
          <w:rStyle w:val="fnRefNo"/>
        </w:rPr>
        <w:footnoteReference w:id="323"/>
      </w:r>
      <w:r w:rsidR="005D36C6" w:rsidRPr="00A04E56">
        <w:rPr>
          <w:rStyle w:val="fnRef"/>
        </w:rPr>
        <w:t>)</w:t>
      </w:r>
      <w:r w:rsidR="005D36C6" w:rsidRPr="00A04E56">
        <w:rPr>
          <w:szCs w:val="20"/>
        </w:rPr>
        <w:t xml:space="preserve">. </w:t>
      </w:r>
    </w:p>
    <w:p w14:paraId="797A5865" w14:textId="6CBD3C0B" w:rsidR="005D36C6" w:rsidRPr="00A04E56" w:rsidRDefault="008C1D39" w:rsidP="00C257BF">
      <w:pPr>
        <w:pStyle w:val="BOX3BluedashedborderBluetext"/>
      </w:pPr>
      <w:r w:rsidRPr="00A04E56">
        <w:rPr>
          <w:i/>
          <w:u w:val="single"/>
        </w:rPr>
        <w:t>In 2018</w:t>
      </w:r>
      <w:r w:rsidR="005D36C6" w:rsidRPr="00A04E56">
        <w:t xml:space="preserve">, the </w:t>
      </w:r>
      <w:r w:rsidR="005D36C6" w:rsidRPr="00A04E56">
        <w:rPr>
          <w:rStyle w:val="BOLDLIGHTBLUEReport"/>
          <w:rFonts w:eastAsiaTheme="minorHAnsi"/>
        </w:rPr>
        <w:t>Instrument contributing to Stability and Peace</w:t>
      </w:r>
      <w:r w:rsidR="005D36C6" w:rsidRPr="00A04E56">
        <w:t xml:space="preserve"> launched its first EU-funded project in the north-eastern part of Syria in areas liberated from Daesh by the Global Coalition. The mine-action project (</w:t>
      </w:r>
      <w:r w:rsidR="005D36C6" w:rsidRPr="00A04E56" w:rsidDel="00717F2A">
        <w:t>EUR</w:t>
      </w:r>
      <w:r w:rsidR="005D36C6" w:rsidRPr="00A04E56">
        <w:rPr>
          <w:rFonts w:ascii="Calibri" w:hAnsi="Calibri" w:cs="Calibri"/>
        </w:rPr>
        <w:t> </w:t>
      </w:r>
      <w:r w:rsidR="005D36C6" w:rsidRPr="00A04E56">
        <w:t>10</w:t>
      </w:r>
      <w:r w:rsidR="005D36C6" w:rsidRPr="00A04E56">
        <w:rPr>
          <w:rFonts w:ascii="Calibri" w:hAnsi="Calibri" w:cs="Calibri"/>
        </w:rPr>
        <w:t> </w:t>
      </w:r>
      <w:r w:rsidR="005D36C6" w:rsidRPr="00A04E56">
        <w:t xml:space="preserve">million) aims to </w:t>
      </w:r>
      <w:r w:rsidR="005D36C6" w:rsidRPr="00A04E56">
        <w:rPr>
          <w:rStyle w:val="BOLDLIGHTBLUEReport"/>
          <w:rFonts w:eastAsiaTheme="minorHAnsi"/>
        </w:rPr>
        <w:t>improve physical safety conditions</w:t>
      </w:r>
      <w:r w:rsidR="005D36C6" w:rsidRPr="00A04E56">
        <w:t xml:space="preserve"> and to </w:t>
      </w:r>
      <w:r w:rsidR="005D36C6" w:rsidRPr="00A04E56">
        <w:rPr>
          <w:rStyle w:val="BOLDLIGHTBLUEReport"/>
          <w:rFonts w:eastAsiaTheme="minorHAnsi"/>
        </w:rPr>
        <w:t>facilitate access to land and infrastructure</w:t>
      </w:r>
      <w:r w:rsidR="005D36C6" w:rsidRPr="00A04E56">
        <w:t xml:space="preserve"> — including through mine-risk education for returnees, displaced people and host communities. It represents the first EU non-humanitarian intervention in the area since the conflict started</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24"/>
      </w:r>
      <w:r w:rsidR="005D36C6" w:rsidRPr="00A04E56">
        <w:rPr>
          <w:rStyle w:val="fnRef"/>
        </w:rPr>
        <w:t>)</w:t>
      </w:r>
      <w:r w:rsidR="005D36C6" w:rsidRPr="00A04E56">
        <w:t>.</w:t>
      </w:r>
    </w:p>
    <w:p w14:paraId="659E12E0" w14:textId="77777777" w:rsidR="005D36C6" w:rsidRPr="00A04E56" w:rsidRDefault="005D36C6" w:rsidP="00C257BF">
      <w:pPr>
        <w:pStyle w:val="BOX3BluedashedborderBluetext"/>
      </w:pPr>
      <w:r w:rsidRPr="00A04E56">
        <w:t xml:space="preserve">The Central African Republic remains of significant concern to the EU. During 2018, the instrument devoted </w:t>
      </w:r>
      <w:r w:rsidRPr="00A04E56" w:rsidDel="00717F2A">
        <w:t>EUR</w:t>
      </w:r>
      <w:r w:rsidRPr="00A04E56">
        <w:rPr>
          <w:rFonts w:ascii="Calibri" w:hAnsi="Calibri" w:cs="Calibri"/>
        </w:rPr>
        <w:t> </w:t>
      </w:r>
      <w:r w:rsidRPr="00A04E56">
        <w:t>40.5</w:t>
      </w:r>
      <w:r w:rsidRPr="00A04E56">
        <w:rPr>
          <w:rFonts w:ascii="Calibri" w:hAnsi="Calibri" w:cs="Calibri"/>
        </w:rPr>
        <w:t> </w:t>
      </w:r>
      <w:r w:rsidRPr="00A04E56">
        <w:t xml:space="preserve">million in additional funding to sustain the EU engagement in the country. The funding provided </w:t>
      </w:r>
      <w:r w:rsidRPr="00A04E56">
        <w:rPr>
          <w:rStyle w:val="BOLDLIGHTBLUEReport"/>
          <w:rFonts w:eastAsiaTheme="minorHAnsi"/>
        </w:rPr>
        <w:t>new and sustained impetus to the peace process</w:t>
      </w:r>
      <w:r w:rsidRPr="00A04E56">
        <w:t>, which was on the verge of collapse at the end of 2017, nurturing hopes for a negotiated ceasefire and a comprehensive political agreement, which at the end of 2018 gave reason for cautious hope</w:t>
      </w:r>
      <w:r w:rsidRPr="00A04E56">
        <w:rPr>
          <w:rStyle w:val="fnRef"/>
          <w:rFonts w:ascii="Calibri" w:hAnsi="Calibri" w:cs="Calibri"/>
        </w:rPr>
        <w:t> </w:t>
      </w:r>
      <w:r w:rsidRPr="00A04E56">
        <w:rPr>
          <w:rStyle w:val="fnRef"/>
        </w:rPr>
        <w:t>(</w:t>
      </w:r>
      <w:r w:rsidRPr="00A04E56">
        <w:rPr>
          <w:rStyle w:val="fnRefNo"/>
        </w:rPr>
        <w:footnoteReference w:id="325"/>
      </w:r>
      <w:r w:rsidRPr="00A04E56">
        <w:rPr>
          <w:rStyle w:val="fnRef"/>
        </w:rPr>
        <w:t>)</w:t>
      </w:r>
      <w:r w:rsidRPr="00A04E56">
        <w:t>.</w:t>
      </w:r>
    </w:p>
    <w:p w14:paraId="66D390FF" w14:textId="4561F0A2" w:rsidR="0032629A" w:rsidRPr="00A04E56" w:rsidRDefault="00C81E38" w:rsidP="00C257BF">
      <w:pPr>
        <w:pStyle w:val="BOX3BluedashedborderBluetext"/>
      </w:pPr>
      <w:r w:rsidRPr="00A04E56">
        <w:t xml:space="preserve">Furthermore, 2018 was the first year of implementation of </w:t>
      </w:r>
      <w:r w:rsidR="002239B8" w:rsidRPr="00A04E56">
        <w:t xml:space="preserve">capacity building </w:t>
      </w:r>
      <w:r w:rsidRPr="00A04E56">
        <w:t>in supp</w:t>
      </w:r>
      <w:r w:rsidR="00E72EA1" w:rsidRPr="00A04E56">
        <w:t xml:space="preserve">ort of security and development </w:t>
      </w:r>
      <w:r w:rsidRPr="00A04E56">
        <w:t xml:space="preserve">(CBSD) actions </w:t>
      </w:r>
      <w:r w:rsidR="0007067D" w:rsidRPr="00A04E56">
        <w:t xml:space="preserve">, in particular </w:t>
      </w:r>
      <w:r w:rsidRPr="00A04E56">
        <w:t>where there is a major threat to the functioning of state institutions. Eight such actions have been launched in Mali, the Central African Republic, Somalia and Lebanon</w:t>
      </w:r>
      <w:r w:rsidR="002453D8">
        <w:rPr>
          <w:rFonts w:ascii="Calibri" w:hAnsi="Calibri" w:cs="Calibri"/>
        </w:rPr>
        <w:t> </w:t>
      </w:r>
      <w:r w:rsidRPr="00A04E56">
        <w:t>(</w:t>
      </w:r>
      <w:r w:rsidRPr="002453D8">
        <w:rPr>
          <w:rStyle w:val="fnRefNo"/>
        </w:rPr>
        <w:footnoteReference w:id="326"/>
      </w:r>
      <w:r w:rsidRPr="00A04E56">
        <w:t xml:space="preserve">). </w:t>
      </w:r>
    </w:p>
    <w:p w14:paraId="7C4702B3" w14:textId="19A91B5D" w:rsidR="005D36C6" w:rsidRPr="00A04E56" w:rsidRDefault="00DC34A2" w:rsidP="00AA0340">
      <w:pPr>
        <w:pStyle w:val="Title3NumberedReport"/>
      </w:pPr>
      <w:r w:rsidRPr="00A04E56">
        <w:t>Assessment and evaluation</w:t>
      </w:r>
    </w:p>
    <w:p w14:paraId="4B3F7960" w14:textId="078B8AFE" w:rsidR="005D36C6" w:rsidRPr="00A04E56" w:rsidRDefault="005D36C6" w:rsidP="005D36C6">
      <w:pPr>
        <w:pStyle w:val="BodyText1spaceafter"/>
        <w:rPr>
          <w:rFonts w:eastAsia="MS Mincho"/>
          <w:szCs w:val="20"/>
          <w:lang w:eastAsia="ja-JP"/>
        </w:rPr>
      </w:pPr>
      <w:r w:rsidRPr="00A04E56">
        <w:rPr>
          <w:szCs w:val="20"/>
        </w:rPr>
        <w:t>The evaluation</w:t>
      </w:r>
      <w:r w:rsidRPr="00A04E56">
        <w:rPr>
          <w:rStyle w:val="fnRef"/>
          <w:rFonts w:ascii="Calibri" w:hAnsi="Calibri" w:cs="Calibri"/>
        </w:rPr>
        <w:t> </w:t>
      </w:r>
      <w:r w:rsidRPr="00A04E56">
        <w:rPr>
          <w:rStyle w:val="fnRef"/>
        </w:rPr>
        <w:t>(</w:t>
      </w:r>
      <w:r w:rsidRPr="00A04E56">
        <w:rPr>
          <w:rStyle w:val="fnRefNo"/>
        </w:rPr>
        <w:footnoteReference w:id="327"/>
      </w:r>
      <w:r w:rsidRPr="00A04E56">
        <w:rPr>
          <w:rStyle w:val="fnRef"/>
        </w:rPr>
        <w:t>)</w:t>
      </w:r>
      <w:r w:rsidRPr="00A04E56">
        <w:rPr>
          <w:szCs w:val="20"/>
        </w:rPr>
        <w:t xml:space="preserve"> concluded that the </w:t>
      </w:r>
      <w:r w:rsidR="009B541E" w:rsidRPr="00A04E56">
        <w:rPr>
          <w:szCs w:val="20"/>
        </w:rPr>
        <w:t>instrume</w:t>
      </w:r>
      <w:r w:rsidRPr="00A04E56">
        <w:rPr>
          <w:szCs w:val="20"/>
        </w:rPr>
        <w:t>nt delivers on its objectives. When it comes to crisis</w:t>
      </w:r>
      <w:r w:rsidR="00724FE9" w:rsidRPr="00A04E56">
        <w:rPr>
          <w:szCs w:val="20"/>
        </w:rPr>
        <w:t>-</w:t>
      </w:r>
      <w:r w:rsidRPr="00A04E56">
        <w:rPr>
          <w:szCs w:val="20"/>
        </w:rPr>
        <w:t>response measures, the evaluation found that</w:t>
      </w:r>
      <w:r w:rsidRPr="00A04E56">
        <w:rPr>
          <w:rFonts w:eastAsia="MS Mincho"/>
          <w:szCs w:val="20"/>
          <w:lang w:eastAsia="ja-JP"/>
        </w:rPr>
        <w:t xml:space="preserve"> this component has delivered on its commitments, yielded important outcomes and is responsive and flexible given the fast-evolving peace and security context. The</w:t>
      </w:r>
      <w:r w:rsidR="009B541E" w:rsidRPr="00A04E56">
        <w:rPr>
          <w:rFonts w:eastAsia="MS Mincho"/>
          <w:szCs w:val="20"/>
          <w:lang w:eastAsia="ja-JP"/>
        </w:rPr>
        <w:t xml:space="preserve"> instrument </w:t>
      </w:r>
      <w:r w:rsidRPr="00A04E56">
        <w:rPr>
          <w:rFonts w:eastAsia="MS Mincho"/>
          <w:szCs w:val="20"/>
          <w:lang w:eastAsia="ja-JP"/>
        </w:rPr>
        <w:t>allowed the EU to make important contributions to address threats to international and EU peace and security by addressing both existing and emerging global threats. It has offered opportunities for a broader political exchange platform on key security-policy issues with beneficiary governments and institutional partners.</w:t>
      </w:r>
    </w:p>
    <w:p w14:paraId="5D202486" w14:textId="0F5FDB56" w:rsidR="005D36C6" w:rsidRPr="00A04E56" w:rsidRDefault="005D36C6" w:rsidP="005D36C6">
      <w:pPr>
        <w:pStyle w:val="BodyText1spaceafter"/>
        <w:rPr>
          <w:szCs w:val="20"/>
          <w:lang w:eastAsia="zh-CN"/>
        </w:rPr>
      </w:pPr>
      <w:r w:rsidRPr="00A04E56">
        <w:rPr>
          <w:rFonts w:eastAsia="MS Mincho"/>
          <w:szCs w:val="20"/>
          <w:lang w:eastAsia="ja-JP"/>
        </w:rPr>
        <w:t>The evaluation underlined that the capacity for the EU to react quickly to the unforeseen events and to address key security issues globally must be further strengthened in any future external-action instruments</w:t>
      </w:r>
      <w:r w:rsidRPr="00A04E56">
        <w:rPr>
          <w:rStyle w:val="fnRef"/>
          <w:rFonts w:ascii="Calibri" w:hAnsi="Calibri" w:cs="Calibri"/>
        </w:rPr>
        <w:t> </w:t>
      </w:r>
      <w:r w:rsidRPr="00A04E56">
        <w:rPr>
          <w:rStyle w:val="fnRef"/>
        </w:rPr>
        <w:t>(</w:t>
      </w:r>
      <w:r w:rsidRPr="00A04E56">
        <w:rPr>
          <w:rStyle w:val="fnRefNo"/>
        </w:rPr>
        <w:footnoteReference w:id="328"/>
      </w:r>
      <w:r w:rsidRPr="00A04E56">
        <w:rPr>
          <w:rStyle w:val="fnRef"/>
        </w:rPr>
        <w:t>)</w:t>
      </w:r>
      <w:r w:rsidRPr="00A04E56">
        <w:rPr>
          <w:rFonts w:eastAsia="MS Mincho"/>
          <w:szCs w:val="20"/>
          <w:lang w:eastAsia="ja-JP"/>
        </w:rPr>
        <w:t xml:space="preserve">. Consequently, the Commission is proposing under the next multiannual financial framework to bring together several external-action instruments to provide a comprehensive approach in an integrated </w:t>
      </w:r>
      <w:r w:rsidR="00A0507C" w:rsidRPr="00A04E56">
        <w:rPr>
          <w:rFonts w:eastAsia="MS Mincho"/>
          <w:szCs w:val="20"/>
          <w:lang w:eastAsia="ja-JP"/>
        </w:rPr>
        <w:t>neighbourhood, development and international cooperation instrument</w:t>
      </w:r>
      <w:r w:rsidR="00A0507C" w:rsidRPr="00A04E56">
        <w:rPr>
          <w:rStyle w:val="fnRef"/>
          <w:rFonts w:ascii="Calibri" w:hAnsi="Calibri" w:cs="Calibri"/>
        </w:rPr>
        <w:t> </w:t>
      </w:r>
      <w:r w:rsidRPr="00A04E56">
        <w:rPr>
          <w:rStyle w:val="fnRef"/>
        </w:rPr>
        <w:t>(</w:t>
      </w:r>
      <w:r w:rsidRPr="00A04E56">
        <w:rPr>
          <w:rStyle w:val="fnRefNo"/>
        </w:rPr>
        <w:footnoteReference w:id="329"/>
      </w:r>
      <w:r w:rsidRPr="00A04E56">
        <w:rPr>
          <w:rStyle w:val="fnRef"/>
        </w:rPr>
        <w:t>)</w:t>
      </w:r>
      <w:r w:rsidRPr="00A04E56">
        <w:rPr>
          <w:rFonts w:eastAsia="MS Mincho"/>
          <w:szCs w:val="20"/>
          <w:lang w:eastAsia="ja-JP"/>
        </w:rPr>
        <w:t xml:space="preserve"> providing</w:t>
      </w:r>
      <w:r w:rsidR="00A0507C" w:rsidRPr="00A04E56">
        <w:rPr>
          <w:rFonts w:eastAsia="MS Mincho"/>
          <w:szCs w:val="20"/>
          <w:lang w:eastAsia="ja-JP"/>
        </w:rPr>
        <w:t>,</w:t>
      </w:r>
      <w:r w:rsidRPr="00A04E56">
        <w:rPr>
          <w:rFonts w:eastAsia="MS Mincho"/>
          <w:szCs w:val="20"/>
          <w:lang w:eastAsia="ja-JP"/>
        </w:rPr>
        <w:t xml:space="preserve"> amongst other</w:t>
      </w:r>
      <w:r w:rsidR="00A0507C" w:rsidRPr="00A04E56">
        <w:rPr>
          <w:rFonts w:eastAsia="MS Mincho"/>
          <w:szCs w:val="20"/>
          <w:lang w:eastAsia="ja-JP"/>
        </w:rPr>
        <w:t xml:space="preserve"> things,</w:t>
      </w:r>
      <w:r w:rsidRPr="00A04E56">
        <w:rPr>
          <w:rFonts w:eastAsia="MS Mincho"/>
          <w:szCs w:val="20"/>
          <w:lang w:eastAsia="ja-JP"/>
        </w:rPr>
        <w:t xml:space="preserve"> flexibility to target resources to where they are most needed in changing international situation</w:t>
      </w:r>
      <w:r w:rsidRPr="00A04E56">
        <w:rPr>
          <w:szCs w:val="20"/>
          <w:lang w:eastAsia="zh-CN"/>
        </w:rPr>
        <w:t>s</w:t>
      </w:r>
      <w:r w:rsidRPr="00A04E56">
        <w:rPr>
          <w:rStyle w:val="fnRef"/>
          <w:rFonts w:ascii="Calibri" w:hAnsi="Calibri" w:cs="Calibri"/>
        </w:rPr>
        <w:t> </w:t>
      </w:r>
      <w:r w:rsidRPr="00A04E56">
        <w:rPr>
          <w:rStyle w:val="fnRef"/>
        </w:rPr>
        <w:t>(</w:t>
      </w:r>
      <w:r w:rsidRPr="00A04E56">
        <w:rPr>
          <w:rStyle w:val="fnRefNo"/>
        </w:rPr>
        <w:footnoteReference w:id="330"/>
      </w:r>
      <w:r w:rsidRPr="00A04E56">
        <w:rPr>
          <w:rStyle w:val="fnRef"/>
        </w:rPr>
        <w:t>)</w:t>
      </w:r>
      <w:r w:rsidRPr="00A04E56">
        <w:rPr>
          <w:szCs w:val="20"/>
          <w:lang w:eastAsia="zh-CN"/>
        </w:rPr>
        <w:t>.</w:t>
      </w:r>
    </w:p>
    <w:p w14:paraId="12EFE3CE" w14:textId="77777777" w:rsidR="005D36C6" w:rsidRPr="00A04E56" w:rsidRDefault="005D36C6" w:rsidP="005D36C6">
      <w:pPr>
        <w:pStyle w:val="Title2Report"/>
      </w:pPr>
      <w:bookmarkStart w:id="206" w:name="_Toc12021039"/>
      <w:r w:rsidRPr="00A04E56">
        <w:t>Partnership Instrument for Cooperation with Third Countries</w:t>
      </w:r>
      <w:bookmarkEnd w:id="206"/>
      <w:r w:rsidRPr="00A04E56">
        <w:t xml:space="preserve"> </w:t>
      </w:r>
    </w:p>
    <w:p w14:paraId="1803087D" w14:textId="77777777" w:rsidR="005D36C6" w:rsidRPr="00A04E56" w:rsidRDefault="005D36C6" w:rsidP="00C53476">
      <w:pPr>
        <w:pStyle w:val="BodyText1spaceafter"/>
        <w:keepNext/>
        <w:rPr>
          <w:szCs w:val="20"/>
        </w:rPr>
      </w:pPr>
      <w:r w:rsidRPr="00A04E56">
        <w:rPr>
          <w:szCs w:val="20"/>
        </w:rPr>
        <w:t xml:space="preserve">The Partnership Instrument for Cooperation with Third Countries is the first instrument specifically aimed at </w:t>
      </w:r>
      <w:r w:rsidRPr="00A04E56">
        <w:rPr>
          <w:rStyle w:val="BOLDLIGHTBLUEReport"/>
          <w:rFonts w:eastAsia="Calibri"/>
        </w:rPr>
        <w:t>promoting the EU's strategic interests worldwide</w:t>
      </w:r>
      <w:r w:rsidRPr="00A04E56">
        <w:rPr>
          <w:szCs w:val="20"/>
        </w:rPr>
        <w:t xml:space="preserve"> by consolidating its external strategies, policies and actions</w:t>
      </w:r>
      <w:r w:rsidRPr="00A04E56">
        <w:rPr>
          <w:rStyle w:val="fnRef"/>
          <w:rFonts w:ascii="Calibri" w:hAnsi="Calibri" w:cs="Calibri"/>
        </w:rPr>
        <w:t> </w:t>
      </w:r>
      <w:r w:rsidRPr="00A04E56">
        <w:rPr>
          <w:szCs w:val="20"/>
        </w:rPr>
        <w:t>. The instrument has four main objectives:</w:t>
      </w:r>
    </w:p>
    <w:p w14:paraId="47697528" w14:textId="77777777" w:rsidR="005D36C6" w:rsidRPr="00A04E56" w:rsidRDefault="005D36C6" w:rsidP="00277538">
      <w:pPr>
        <w:pStyle w:val="BulletsblueNew"/>
      </w:pPr>
      <w:r w:rsidRPr="00A04E56">
        <w:t xml:space="preserve">offering policy support and </w:t>
      </w:r>
      <w:r w:rsidRPr="000956AF">
        <w:t>responding</w:t>
      </w:r>
      <w:r w:rsidRPr="00A04E56">
        <w:t xml:space="preserve"> to global challenges;</w:t>
      </w:r>
    </w:p>
    <w:p w14:paraId="33C05FE4" w14:textId="77777777" w:rsidR="005D36C6" w:rsidRPr="00A04E56" w:rsidRDefault="005D36C6" w:rsidP="00277538">
      <w:pPr>
        <w:pStyle w:val="BulletsblueNew"/>
      </w:pPr>
      <w:r w:rsidRPr="00A04E56">
        <w:t xml:space="preserve">projecting the international </w:t>
      </w:r>
      <w:r w:rsidRPr="000956AF">
        <w:t>dimension</w:t>
      </w:r>
      <w:r w:rsidRPr="00A04E56">
        <w:t xml:space="preserve"> of Europe 2020;</w:t>
      </w:r>
    </w:p>
    <w:p w14:paraId="762B77EE" w14:textId="77777777" w:rsidR="005D36C6" w:rsidRPr="00A04E56" w:rsidRDefault="005D36C6" w:rsidP="00277538">
      <w:pPr>
        <w:pStyle w:val="BulletsblueNew"/>
      </w:pPr>
      <w:r w:rsidRPr="00A04E56">
        <w:t xml:space="preserve">enhancing market access </w:t>
      </w:r>
      <w:r w:rsidRPr="000956AF">
        <w:t>and</w:t>
      </w:r>
      <w:r w:rsidRPr="00A04E56">
        <w:t xml:space="preserve"> boosting trade, investment and business opportunities for EU companies;</w:t>
      </w:r>
    </w:p>
    <w:p w14:paraId="7CA4D7F3" w14:textId="77777777" w:rsidR="005D36C6" w:rsidRPr="00A04E56" w:rsidRDefault="005D36C6" w:rsidP="00277538">
      <w:pPr>
        <w:pStyle w:val="BulletsblueNew-Spaceafter"/>
      </w:pPr>
      <w:r w:rsidRPr="00A04E56">
        <w:t>promoting public diplomacy and academic cooperation.</w:t>
      </w:r>
    </w:p>
    <w:p w14:paraId="5AFD7418" w14:textId="608FB3DD" w:rsidR="005D36C6" w:rsidRPr="00A04E56" w:rsidRDefault="005D36C6" w:rsidP="00C53476">
      <w:pPr>
        <w:pStyle w:val="BodyText1spaceafter"/>
        <w:rPr>
          <w:szCs w:val="20"/>
        </w:rPr>
      </w:pPr>
      <w:r w:rsidRPr="00A04E56">
        <w:rPr>
          <w:szCs w:val="20"/>
        </w:rPr>
        <w:t>The EU has numerous international agreements with partner countries all over the world, which gives it influence in many fields of international relations. By combining the weight of all Member States acting within common policies and strategies, the EU has the critical weight to respond to global challenges</w:t>
      </w:r>
      <w:r w:rsidR="0086729A" w:rsidRPr="00A04E56">
        <w:rPr>
          <w:rStyle w:val="fnRef"/>
          <w:rFonts w:ascii="Calibri" w:hAnsi="Calibri"/>
        </w:rPr>
        <w:t> </w:t>
      </w:r>
      <w:r w:rsidRPr="00A04E56">
        <w:rPr>
          <w:rStyle w:val="fnRef"/>
        </w:rPr>
        <w:t>(</w:t>
      </w:r>
      <w:r w:rsidRPr="00A04E56">
        <w:rPr>
          <w:rStyle w:val="fnRefNo"/>
        </w:rPr>
        <w:footnoteReference w:id="331"/>
      </w:r>
      <w:r w:rsidRPr="00A04E56">
        <w:rPr>
          <w:rStyle w:val="fnRef"/>
        </w:rPr>
        <w:t>)</w:t>
      </w:r>
      <w:r w:rsidRPr="00A04E56">
        <w:rPr>
          <w:szCs w:val="20"/>
        </w:rPr>
        <w:t xml:space="preserve">. </w:t>
      </w:r>
    </w:p>
    <w:p w14:paraId="485BAF6F" w14:textId="6B6E3A65" w:rsidR="005D36C6" w:rsidRPr="00A04E56" w:rsidRDefault="005D36C6" w:rsidP="006A619F">
      <w:pPr>
        <w:pStyle w:val="BodyText1spaceafter"/>
        <w:keepNext/>
        <w:rPr>
          <w:szCs w:val="20"/>
        </w:rPr>
      </w:pPr>
      <w:r w:rsidRPr="00A04E56">
        <w:rPr>
          <w:szCs w:val="20"/>
        </w:rPr>
        <w:t xml:space="preserve">The budget allocated for actions under the Partnership Instrument </w:t>
      </w:r>
      <w:r w:rsidR="008C1D39" w:rsidRPr="00A04E56">
        <w:rPr>
          <w:i/>
          <w:szCs w:val="20"/>
          <w:u w:val="single"/>
        </w:rPr>
        <w:t>in 2018</w:t>
      </w:r>
      <w:r w:rsidRPr="00A04E56">
        <w:rPr>
          <w:szCs w:val="20"/>
        </w:rPr>
        <w:t xml:space="preserve"> amounted to </w:t>
      </w:r>
      <w:r w:rsidRPr="00A04E56" w:rsidDel="00717F2A">
        <w:rPr>
          <w:szCs w:val="20"/>
        </w:rPr>
        <w:t>EUR</w:t>
      </w:r>
      <w:r w:rsidRPr="00A04E56">
        <w:rPr>
          <w:rFonts w:ascii="Calibri" w:hAnsi="Calibri" w:cs="Calibri"/>
          <w:szCs w:val="20"/>
        </w:rPr>
        <w:t> </w:t>
      </w:r>
      <w:r w:rsidRPr="00A04E56">
        <w:rPr>
          <w:szCs w:val="20"/>
        </w:rPr>
        <w:t>126.9</w:t>
      </w:r>
      <w:r w:rsidRPr="00A04E56">
        <w:rPr>
          <w:rFonts w:ascii="Calibri" w:hAnsi="Calibri" w:cs="Calibri"/>
          <w:szCs w:val="20"/>
        </w:rPr>
        <w:t> </w:t>
      </w:r>
      <w:r w:rsidRPr="00A04E56" w:rsidDel="00EB0D87">
        <w:rPr>
          <w:szCs w:val="20"/>
        </w:rPr>
        <w:t>million</w:t>
      </w:r>
      <w:r w:rsidRPr="00A04E56">
        <w:rPr>
          <w:rStyle w:val="fnRef"/>
          <w:rFonts w:ascii="Calibri" w:hAnsi="Calibri" w:cs="Calibri"/>
        </w:rPr>
        <w:t> </w:t>
      </w:r>
      <w:r w:rsidRPr="00A04E56">
        <w:rPr>
          <w:rStyle w:val="fnRef"/>
        </w:rPr>
        <w:t>(</w:t>
      </w:r>
      <w:r w:rsidRPr="00A04E56">
        <w:rPr>
          <w:rStyle w:val="fnRefNo"/>
        </w:rPr>
        <w:footnoteReference w:id="332"/>
      </w:r>
      <w:r w:rsidRPr="00A04E56">
        <w:rPr>
          <w:rStyle w:val="fnRef"/>
        </w:rPr>
        <w:t>)</w:t>
      </w:r>
      <w:r w:rsidRPr="00A04E56">
        <w:rPr>
          <w:szCs w:val="20"/>
        </w:rPr>
        <w:t>. The funded activities can be divided into three main categories:</w:t>
      </w:r>
    </w:p>
    <w:p w14:paraId="006612B0" w14:textId="77777777" w:rsidR="005D36C6" w:rsidRPr="00A04E56" w:rsidRDefault="005D36C6" w:rsidP="00277538">
      <w:pPr>
        <w:pStyle w:val="BulletsblueNew"/>
      </w:pPr>
      <w:r w:rsidRPr="00A04E56">
        <w:t>exchanges, events, knowledge sharing;</w:t>
      </w:r>
    </w:p>
    <w:p w14:paraId="66E7A9D9" w14:textId="77777777" w:rsidR="005D36C6" w:rsidRPr="00A04E56" w:rsidRDefault="005D36C6" w:rsidP="00277538">
      <w:pPr>
        <w:pStyle w:val="BulletsblueNew"/>
      </w:pPr>
      <w:r w:rsidRPr="00A04E56">
        <w:t>expertise, technical assistance;</w:t>
      </w:r>
    </w:p>
    <w:p w14:paraId="606BE7B6" w14:textId="77777777" w:rsidR="005D36C6" w:rsidRPr="00A04E56" w:rsidRDefault="005D36C6" w:rsidP="00277538">
      <w:pPr>
        <w:pStyle w:val="BulletsblueNew-Spaceafter"/>
      </w:pPr>
      <w:r w:rsidRPr="00A04E56">
        <w:t>promotion, outreach, engagement</w:t>
      </w:r>
      <w:r w:rsidRPr="00A04E56">
        <w:rPr>
          <w:rStyle w:val="fnRef"/>
          <w:rFonts w:ascii="Calibri" w:hAnsi="Calibri" w:cs="Calibri"/>
        </w:rPr>
        <w:t> </w:t>
      </w:r>
      <w:r w:rsidRPr="00A04E56">
        <w:rPr>
          <w:rStyle w:val="fnRef"/>
        </w:rPr>
        <w:t>(</w:t>
      </w:r>
      <w:r w:rsidRPr="00A04E56">
        <w:rPr>
          <w:rStyle w:val="fnRefNo"/>
        </w:rPr>
        <w:footnoteReference w:id="333"/>
      </w:r>
      <w:r w:rsidRPr="00A04E56">
        <w:rPr>
          <w:rStyle w:val="fnRef"/>
        </w:rPr>
        <w:t>).</w:t>
      </w:r>
    </w:p>
    <w:p w14:paraId="27B00780" w14:textId="77777777" w:rsidR="005D36C6" w:rsidRPr="00A04E56" w:rsidRDefault="005D36C6" w:rsidP="000956AF">
      <w:pPr>
        <w:pStyle w:val="BodyText1spacebeforeandafter"/>
      </w:pPr>
      <w:r w:rsidRPr="00A04E56">
        <w:t>The evaluation support study</w:t>
      </w:r>
      <w:r w:rsidRPr="00A04E56">
        <w:rPr>
          <w:rStyle w:val="fnRef"/>
          <w:rFonts w:ascii="Calibri" w:hAnsi="Calibri" w:cs="Calibri"/>
        </w:rPr>
        <w:t> </w:t>
      </w:r>
      <w:r w:rsidRPr="00A04E56">
        <w:rPr>
          <w:rStyle w:val="fnRef"/>
        </w:rPr>
        <w:t>(</w:t>
      </w:r>
      <w:r w:rsidRPr="00A04E56">
        <w:rPr>
          <w:rStyle w:val="fnRefNo"/>
        </w:rPr>
        <w:footnoteReference w:id="334"/>
      </w:r>
      <w:r w:rsidRPr="00A04E56">
        <w:rPr>
          <w:rStyle w:val="fnRef"/>
        </w:rPr>
        <w:t>)</w:t>
      </w:r>
      <w:r w:rsidRPr="00A04E56">
        <w:t xml:space="preserve"> found evidence that the Partnership Instrument played an often-critical enabling role through both strengthening and opening up areas for cooperation and dialogue between the EU and third countries. The evaluation of the instrument</w:t>
      </w:r>
      <w:r w:rsidRPr="00A04E56">
        <w:rPr>
          <w:rStyle w:val="fnRef"/>
          <w:rFonts w:ascii="Calibri" w:hAnsi="Calibri" w:cs="Calibri"/>
        </w:rPr>
        <w:t> </w:t>
      </w:r>
      <w:r w:rsidRPr="00A04E56">
        <w:rPr>
          <w:rStyle w:val="fnRef"/>
        </w:rPr>
        <w:t>(</w:t>
      </w:r>
      <w:r w:rsidRPr="00A04E56">
        <w:rPr>
          <w:rStyle w:val="fnRefNo"/>
        </w:rPr>
        <w:footnoteReference w:id="335"/>
      </w:r>
      <w:r w:rsidRPr="00A04E56">
        <w:rPr>
          <w:rStyle w:val="fnRef"/>
        </w:rPr>
        <w:t>)</w:t>
      </w:r>
      <w:r w:rsidRPr="00A04E56">
        <w:t xml:space="preserve"> found that it has an impact on policy/political processes in partner countries in line with EU interests and that it has contributed to developing mutually beneficial relationships with these countries</w:t>
      </w:r>
      <w:r w:rsidRPr="00A04E56">
        <w:rPr>
          <w:rStyle w:val="fnRef"/>
          <w:rFonts w:ascii="Calibri" w:hAnsi="Calibri" w:cs="Calibri"/>
        </w:rPr>
        <w:t> </w:t>
      </w:r>
      <w:r w:rsidRPr="00A04E56">
        <w:rPr>
          <w:rStyle w:val="fnRef"/>
        </w:rPr>
        <w:t>(</w:t>
      </w:r>
      <w:r w:rsidRPr="00A04E56">
        <w:rPr>
          <w:rStyle w:val="fnRefNo"/>
        </w:rPr>
        <w:footnoteReference w:id="336"/>
      </w:r>
      <w:r w:rsidRPr="00A04E56">
        <w:rPr>
          <w:rStyle w:val="fnRef"/>
        </w:rPr>
        <w:t>)</w:t>
      </w:r>
      <w:r w:rsidRPr="00A04E56">
        <w:t xml:space="preserve">. </w:t>
      </w:r>
    </w:p>
    <w:p w14:paraId="271C8A80" w14:textId="48EBDC62" w:rsidR="005D36C6" w:rsidRPr="00A04E56" w:rsidRDefault="005D36C6" w:rsidP="005D36C6">
      <w:pPr>
        <w:pStyle w:val="BodyText1spacebeforeandafter"/>
        <w:rPr>
          <w:szCs w:val="20"/>
        </w:rPr>
      </w:pPr>
      <w:r w:rsidRPr="00A04E56">
        <w:rPr>
          <w:szCs w:val="20"/>
        </w:rPr>
        <w:t xml:space="preserve">The Partnership Instrument will be integrated into a </w:t>
      </w:r>
      <w:r w:rsidR="00827D3C" w:rsidRPr="00A04E56">
        <w:rPr>
          <w:szCs w:val="20"/>
        </w:rPr>
        <w:t>new neighbourhood, development and international cooperation instrument</w:t>
      </w:r>
      <w:r w:rsidR="00827D3C" w:rsidRPr="00A04E56">
        <w:rPr>
          <w:rStyle w:val="fnRef"/>
          <w:rFonts w:ascii="Calibri" w:hAnsi="Calibri" w:cs="Calibri"/>
        </w:rPr>
        <w:t> </w:t>
      </w:r>
      <w:r w:rsidRPr="00A04E56">
        <w:rPr>
          <w:rStyle w:val="fnRef"/>
        </w:rPr>
        <w:t>(</w:t>
      </w:r>
      <w:r w:rsidRPr="00A04E56">
        <w:rPr>
          <w:rStyle w:val="fnRefNo"/>
        </w:rPr>
        <w:footnoteReference w:id="337"/>
      </w:r>
      <w:r w:rsidRPr="00A04E56">
        <w:rPr>
          <w:rStyle w:val="fnRef"/>
        </w:rPr>
        <w:t>)</w:t>
      </w:r>
      <w:r w:rsidRPr="00A04E56">
        <w:rPr>
          <w:szCs w:val="20"/>
        </w:rPr>
        <w:t xml:space="preserve"> under the next multiannual financial framework ensuring greater consistency and efficiency in supporting EU’s external policies.</w:t>
      </w:r>
    </w:p>
    <w:p w14:paraId="707FA815" w14:textId="77777777" w:rsidR="005D36C6" w:rsidRPr="00A04E56" w:rsidRDefault="005D36C6" w:rsidP="00AC1D4D">
      <w:pPr>
        <w:pStyle w:val="Title2Report"/>
        <w:spacing w:before="400"/>
      </w:pPr>
      <w:bookmarkStart w:id="207" w:name="_Toc12021040"/>
      <w:r w:rsidRPr="00A04E56">
        <w:t>Cooperation with Greenland</w:t>
      </w:r>
      <w:bookmarkEnd w:id="207"/>
    </w:p>
    <w:p w14:paraId="6C601C5F" w14:textId="77777777" w:rsidR="005D36C6" w:rsidRPr="00A04E56" w:rsidRDefault="005D36C6" w:rsidP="005D36C6">
      <w:pPr>
        <w:pStyle w:val="BodyText1spaceafter"/>
        <w:rPr>
          <w:rFonts w:eastAsiaTheme="minorHAnsi"/>
          <w:b/>
          <w:color w:val="65BBC8"/>
          <w:szCs w:val="20"/>
          <w:lang w:eastAsia="en-GB"/>
        </w:rPr>
      </w:pPr>
      <w:r w:rsidRPr="00A04E56">
        <w:t>In 2014</w:t>
      </w:r>
      <w:r w:rsidRPr="00A04E56">
        <w:rPr>
          <w:rStyle w:val="fnRef"/>
          <w:rFonts w:ascii="Calibri" w:hAnsi="Calibri" w:cs="Calibri"/>
        </w:rPr>
        <w:t> </w:t>
      </w:r>
      <w:r w:rsidRPr="00A04E56">
        <w:rPr>
          <w:rStyle w:val="fnRef"/>
        </w:rPr>
        <w:t>(</w:t>
      </w:r>
      <w:r w:rsidRPr="00A04E56">
        <w:rPr>
          <w:rStyle w:val="fnRefNo"/>
        </w:rPr>
        <w:footnoteReference w:id="338"/>
      </w:r>
      <w:r w:rsidRPr="00A04E56">
        <w:rPr>
          <w:rStyle w:val="fnRef"/>
        </w:rPr>
        <w:t>)</w:t>
      </w:r>
      <w:r w:rsidRPr="00A04E56">
        <w:rPr>
          <w:rFonts w:ascii="Arial" w:hAnsi="Arial"/>
        </w:rPr>
        <w:t xml:space="preserve">, </w:t>
      </w:r>
      <w:r w:rsidRPr="00A04E56">
        <w:t>the Commission agreed a</w:t>
      </w:r>
      <w:r w:rsidRPr="00A04E56">
        <w:rPr>
          <w:rFonts w:ascii="Arial" w:hAnsi="Arial"/>
        </w:rPr>
        <w:t xml:space="preserve"> </w:t>
      </w:r>
      <w:r w:rsidRPr="00A04E56">
        <w:rPr>
          <w:rStyle w:val="BOLDLIGHTBLUEReport"/>
          <w:rFonts w:eastAsiaTheme="minorHAnsi"/>
        </w:rPr>
        <w:t>‘</w:t>
      </w:r>
      <w:r w:rsidRPr="00A04E56">
        <w:rPr>
          <w:rStyle w:val="BOLDLIGHTBLUEReport"/>
          <w:rFonts w:eastAsia="Calibri"/>
        </w:rPr>
        <w:t>Programming document for the sustainable development of Greenland 2014-</w:t>
      </w:r>
      <w:r w:rsidRPr="00A04E56">
        <w:rPr>
          <w:rStyle w:val="BOLDLIGHTBLUEReport"/>
          <w:rFonts w:eastAsiaTheme="minorHAnsi"/>
        </w:rPr>
        <w:t xml:space="preserve">2020’ </w:t>
      </w:r>
      <w:r w:rsidRPr="00A04E56">
        <w:t>with the government of Greenland</w:t>
      </w:r>
      <w:r w:rsidRPr="00A04E56" w:rsidDel="00C67429">
        <w:t>.</w:t>
      </w:r>
    </w:p>
    <w:p w14:paraId="3E2D5455" w14:textId="77777777" w:rsidR="005D36C6" w:rsidRPr="00A04E56" w:rsidRDefault="005D36C6" w:rsidP="005D36C6">
      <w:pPr>
        <w:pStyle w:val="BodyText1spaceafter"/>
      </w:pPr>
      <w:r w:rsidRPr="00A04E56">
        <w:t xml:space="preserve">The objective of this programme is to </w:t>
      </w:r>
      <w:r w:rsidRPr="00A04E56">
        <w:rPr>
          <w:rStyle w:val="BOLDLIGHTBLUEReport"/>
          <w:rFonts w:eastAsia="Calibri"/>
        </w:rPr>
        <w:t>contribute to a higher standard of living</w:t>
      </w:r>
      <w:r w:rsidRPr="00A04E56">
        <w:t xml:space="preserve"> through improved education, skills development and knowledge. This will ensure Greenland’s continuous economic progress in the increasingly globalised world economy through a critical mass of qualified people and a competitive workforce. Increased productivity in the working-age population will reduce the growing pressure on the public finances resulting from the growing share of elderly people. Furthermore, a highly educated and skilled labour force will reduce the economic dependence on certain sectors and is a prerequisite for development and inclusive growth in emerging sectors.</w:t>
      </w:r>
    </w:p>
    <w:p w14:paraId="6C092967" w14:textId="77777777" w:rsidR="005D36C6" w:rsidRPr="00A04E56" w:rsidDel="008174C9" w:rsidRDefault="005D36C6" w:rsidP="005D36C6">
      <w:pPr>
        <w:pStyle w:val="BodyText1spaceafter"/>
      </w:pPr>
      <w:r w:rsidRPr="00A04E56">
        <w:t>EU cooperation with overseas countries and territories, including Greenland, will continue under the next multiannual financial framework</w:t>
      </w:r>
      <w:r w:rsidRPr="00A04E56">
        <w:rPr>
          <w:rStyle w:val="fnRef"/>
          <w:rFonts w:ascii="Arial" w:hAnsi="Arial" w:cs="Arial"/>
        </w:rPr>
        <w:t> </w:t>
      </w:r>
      <w:r w:rsidRPr="00A04E56">
        <w:rPr>
          <w:rStyle w:val="fnRef"/>
        </w:rPr>
        <w:t>(</w:t>
      </w:r>
      <w:r w:rsidRPr="00A04E56">
        <w:rPr>
          <w:rStyle w:val="fnRefNo"/>
        </w:rPr>
        <w:footnoteReference w:id="339"/>
      </w:r>
      <w:r w:rsidRPr="00A04E56">
        <w:rPr>
          <w:rStyle w:val="fnRef"/>
        </w:rPr>
        <w:t>)</w:t>
      </w:r>
      <w:r w:rsidRPr="00A04E56">
        <w:t xml:space="preserve"> in synergy with the actions carried out under the Neighbourhood, Development and International Cooperation instrument.</w:t>
      </w:r>
    </w:p>
    <w:p w14:paraId="56E57210" w14:textId="1A7E2E97" w:rsidR="005D36C6" w:rsidRPr="00A04E56" w:rsidRDefault="009E1DEB" w:rsidP="00AC1D4D">
      <w:pPr>
        <w:pStyle w:val="Title2Report"/>
        <w:spacing w:before="400"/>
      </w:pPr>
      <w:bookmarkStart w:id="208" w:name="_Toc12021041"/>
      <w:bookmarkEnd w:id="195"/>
      <w:bookmarkEnd w:id="196"/>
      <w:bookmarkEnd w:id="197"/>
      <w:bookmarkEnd w:id="198"/>
      <w:r>
        <w:t xml:space="preserve">Instrument of financial support for encouraging the economic development of the Turkish Cypriot </w:t>
      </w:r>
      <w:r w:rsidR="00F04976">
        <w:t>community</w:t>
      </w:r>
      <w:bookmarkEnd w:id="208"/>
    </w:p>
    <w:p w14:paraId="3B55A8AE" w14:textId="1D71EF78" w:rsidR="005D36C6" w:rsidRPr="00A04E56" w:rsidRDefault="005D36C6" w:rsidP="005D36C6">
      <w:pPr>
        <w:pStyle w:val="BodyText1spaceafter"/>
      </w:pPr>
      <w:r w:rsidRPr="00A04E56">
        <w:t xml:space="preserve">This </w:t>
      </w:r>
      <w:r w:rsidR="009E1DEB">
        <w:t>instrument</w:t>
      </w:r>
      <w:r w:rsidR="009E1DEB" w:rsidRPr="00A04E56">
        <w:t xml:space="preserve"> </w:t>
      </w:r>
      <w:r w:rsidRPr="00A04E56">
        <w:rPr>
          <w:rStyle w:val="BOLDLIGHTBLUEReport"/>
          <w:rFonts w:eastAsia="Calibri"/>
        </w:rPr>
        <w:t>facilitates the reunification of Cyprus</w:t>
      </w:r>
      <w:r w:rsidRPr="00A04E56">
        <w:t xml:space="preserve"> by encouraging (a) economic development of the Turkish Cypriot community, (b) the economic integration of the island (c) improving contact between the two communities and with the EU and (d) the preparation for the EU body of laws following a comprehensive political settlement of the Cyprus issue.</w:t>
      </w:r>
    </w:p>
    <w:p w14:paraId="6034DF05" w14:textId="099CA90B" w:rsidR="005D36C6" w:rsidRPr="00A04E56" w:rsidRDefault="005D36C6" w:rsidP="005D36C6">
      <w:pPr>
        <w:pStyle w:val="BodyText1spaceafter"/>
      </w:pPr>
      <w:r w:rsidRPr="00A04E56">
        <w:t>The Commission encountered some difficulties when implementing</w:t>
      </w:r>
      <w:r w:rsidR="00B01BE4" w:rsidRPr="00A04E56">
        <w:rPr>
          <w:rFonts w:ascii="Calibri" w:hAnsi="Calibri" w:cs="Calibri"/>
        </w:rPr>
        <w:t> </w:t>
      </w:r>
      <w:r w:rsidRPr="00A04E56">
        <w:rPr>
          <w:rStyle w:val="fnRef"/>
        </w:rPr>
        <w:t>(</w:t>
      </w:r>
      <w:r w:rsidRPr="00A04E56">
        <w:rPr>
          <w:rStyle w:val="fnRefNo"/>
        </w:rPr>
        <w:footnoteReference w:id="340"/>
      </w:r>
      <w:r w:rsidRPr="00A04E56">
        <w:rPr>
          <w:rStyle w:val="fnRef"/>
        </w:rPr>
        <w:t>)</w:t>
      </w:r>
      <w:r w:rsidRPr="00A04E56">
        <w:t xml:space="preserve"> this programme. Examples are the internationally non-recognised status of the beneficiary (Turkish Cypriot community), poor absorption capacity of funds and disputes with contractors. Despite this, </w:t>
      </w:r>
      <w:r w:rsidR="008C1D39" w:rsidRPr="00A04E56">
        <w:rPr>
          <w:i/>
          <w:u w:val="single"/>
        </w:rPr>
        <w:t>in 2018</w:t>
      </w:r>
      <w:r w:rsidRPr="00A04E56">
        <w:t xml:space="preserve">, major infrastructure works mostly contracted in 2009 have been completed. Further infrastructure investments, with a strong environmental and bi-communal focus, are going to be implemented. Continued support is provided for strengthening the private sector and labour-market measures, with an emphasis on innovation and increasing employability. Likewise, concrete measures have been put in place aimed at eradicating animal disease and improving food-safety standards. </w:t>
      </w:r>
    </w:p>
    <w:p w14:paraId="675CAB6A" w14:textId="0CD0832E" w:rsidR="005D36C6" w:rsidRPr="00A04E56" w:rsidRDefault="005D36C6" w:rsidP="005D36C6">
      <w:pPr>
        <w:pStyle w:val="BodyText1spaceafter"/>
      </w:pPr>
      <w:r w:rsidRPr="00A04E56">
        <w:t xml:space="preserve">An evaluation of the </w:t>
      </w:r>
      <w:r w:rsidR="00615985" w:rsidRPr="00A04E56">
        <w:t xml:space="preserve">aid programme </w:t>
      </w:r>
      <w:r w:rsidRPr="00A04E56">
        <w:t xml:space="preserve">provided during the period 2013-2018 is currently ongoing and due to be finalised by </w:t>
      </w:r>
      <w:r w:rsidR="00615985" w:rsidRPr="00A04E56">
        <w:t xml:space="preserve">the </w:t>
      </w:r>
      <w:r w:rsidRPr="00A04E56">
        <w:t xml:space="preserve">end </w:t>
      </w:r>
      <w:r w:rsidR="00615985" w:rsidRPr="00A04E56">
        <w:t xml:space="preserve">of </w:t>
      </w:r>
      <w:r w:rsidRPr="00A04E56">
        <w:t>2019.</w:t>
      </w:r>
    </w:p>
    <w:p w14:paraId="6928F139" w14:textId="77777777" w:rsidR="005D36C6" w:rsidRPr="00A04E56" w:rsidRDefault="005D36C6" w:rsidP="005D36C6">
      <w:pPr>
        <w:pStyle w:val="BodyText1spaceafter"/>
      </w:pPr>
      <w:r w:rsidRPr="00A04E56">
        <w:t>The programme is intended to continue under the next multiannual financial framework programme to facilitate the reunification of Cyprus by encouraging the economic development of the Turkish Cypriot community.</w:t>
      </w:r>
    </w:p>
    <w:p w14:paraId="3D9142D4" w14:textId="2A9D1480" w:rsidR="005D36C6" w:rsidRPr="00A04E56" w:rsidRDefault="005D36C6" w:rsidP="00AC1D4D">
      <w:pPr>
        <w:pStyle w:val="Title2Report"/>
        <w:spacing w:before="400"/>
      </w:pPr>
      <w:bookmarkStart w:id="209" w:name="_Toc4603990"/>
      <w:bookmarkStart w:id="210" w:name="_Toc4680787"/>
      <w:bookmarkStart w:id="211" w:name="_Toc4683060"/>
      <w:bookmarkStart w:id="212" w:name="_Toc4683111"/>
      <w:bookmarkStart w:id="213" w:name="_Toc12021042"/>
      <w:r w:rsidRPr="00A04E56">
        <w:t>Instrument for Nuclear Safety Cooperation</w:t>
      </w:r>
      <w:bookmarkEnd w:id="209"/>
      <w:bookmarkEnd w:id="210"/>
      <w:bookmarkEnd w:id="211"/>
      <w:bookmarkEnd w:id="212"/>
      <w:bookmarkEnd w:id="213"/>
    </w:p>
    <w:p w14:paraId="08BD878D" w14:textId="77777777" w:rsidR="005D36C6" w:rsidRPr="00A04E56" w:rsidRDefault="005D36C6" w:rsidP="005D36C6">
      <w:pPr>
        <w:pStyle w:val="BodyText1spaceafter"/>
      </w:pPr>
      <w:r w:rsidRPr="00A04E56">
        <w:t>The Instrument for Nuclear Safety Cooperation</w:t>
      </w:r>
      <w:r w:rsidRPr="00A04E56">
        <w:rPr>
          <w:rStyle w:val="fnRef"/>
          <w:rFonts w:ascii="Calibri" w:hAnsi="Calibri" w:cs="Calibri"/>
        </w:rPr>
        <w:t> </w:t>
      </w:r>
      <w:r w:rsidRPr="00A04E56">
        <w:rPr>
          <w:rStyle w:val="fnRef"/>
        </w:rPr>
        <w:t>(</w:t>
      </w:r>
      <w:r w:rsidRPr="00A04E56">
        <w:rPr>
          <w:rStyle w:val="fnRefNo"/>
        </w:rPr>
        <w:footnoteReference w:id="341"/>
      </w:r>
      <w:r w:rsidRPr="00A04E56">
        <w:rPr>
          <w:rStyle w:val="fnRef"/>
        </w:rPr>
        <w:t>)</w:t>
      </w:r>
      <w:r w:rsidRPr="00A04E56">
        <w:t xml:space="preserve"> contributes to the promotion of the implementation of international treaties and conventions as well as the adoption of the highest safety standards complementing work inside the EU. It also exports the </w:t>
      </w:r>
      <w:r w:rsidRPr="00A04E56">
        <w:rPr>
          <w:i/>
        </w:rPr>
        <w:t>acquis communautaire</w:t>
      </w:r>
      <w:r w:rsidRPr="00A04E56">
        <w:t xml:space="preserve"> (‘Union </w:t>
      </w:r>
      <w:r w:rsidRPr="00A04E56">
        <w:rPr>
          <w:i/>
        </w:rPr>
        <w:t>acquis</w:t>
      </w:r>
      <w:r w:rsidRPr="00A04E56">
        <w:t xml:space="preserve">’) worldwide and promotes nuclear-safety cooperation. The Instrument for Nuclear Safety Cooperation is the only specific tool of the European Union </w:t>
      </w:r>
      <w:r w:rsidRPr="00A04E56">
        <w:rPr>
          <w:rStyle w:val="BOLDLIGHTBLUEReport"/>
          <w:rFonts w:eastAsia="Calibri"/>
        </w:rPr>
        <w:t>addressing nuclear-safety issues in partner countries</w:t>
      </w:r>
      <w:r w:rsidRPr="00A04E56">
        <w:t xml:space="preserve">, complementing other external financing instruments, for example as part of the Neighbourhood Policy. It covers cooperation in nuclear safeguards which is essential to the global non-proliferation policy. </w:t>
      </w:r>
    </w:p>
    <w:p w14:paraId="6A05D91A" w14:textId="11B9D542" w:rsidR="005D36C6" w:rsidRPr="00A04E56" w:rsidRDefault="005D36C6" w:rsidP="005D36C6">
      <w:pPr>
        <w:pStyle w:val="BodyText1spaceafter"/>
      </w:pPr>
      <w:r w:rsidRPr="00A04E56">
        <w:t>One of the key achievements is related to</w:t>
      </w:r>
      <w:r w:rsidRPr="00A04E56">
        <w:rPr>
          <w:rStyle w:val="BOLDLIGHTBLUEReport"/>
          <w:rFonts w:eastAsiaTheme="minorHAnsi"/>
        </w:rPr>
        <w:t xml:space="preserve"> safe management of radioactive waste. </w:t>
      </w:r>
      <w:r w:rsidRPr="00A04E56">
        <w:t>A major milestone, to make the Chernobyl site environmentally stable and safe, was met on 29</w:t>
      </w:r>
      <w:r w:rsidRPr="00A04E56">
        <w:rPr>
          <w:rFonts w:ascii="Calibri" w:hAnsi="Calibri" w:cs="Calibri"/>
        </w:rPr>
        <w:t> </w:t>
      </w:r>
      <w:r w:rsidRPr="00A04E56">
        <w:t>November</w:t>
      </w:r>
      <w:r w:rsidRPr="00A04E56">
        <w:rPr>
          <w:rFonts w:ascii="Calibri" w:hAnsi="Calibri" w:cs="Calibri"/>
        </w:rPr>
        <w:t> </w:t>
      </w:r>
      <w:r w:rsidRPr="00A04E56">
        <w:t>2016 by sliding the new safe-confinement structure over the nuclear reactor destroyed in April 1986. The new safe confinement is a giant arch-shaped structure that covers the damaged Chernobyl Unit 4 in order to prevent any further radioactive release. The new safe confinement also contains the remotely operated equipment for ultimate removal of the damaged reactor and radioactive material. This important milestone in the project was achieved thanks to the joint effort of the European Union, Ukraine, the European Bank for Reconstruction and Development, and the international community. The total project cost is in the order of</w:t>
      </w:r>
      <w:r w:rsidRPr="00A04E56" w:rsidDel="00717F2A">
        <w:t xml:space="preserve"> </w:t>
      </w:r>
      <w:r w:rsidRPr="00A04E56">
        <w:t>EUR</w:t>
      </w:r>
      <w:r w:rsidRPr="00A04E56">
        <w:rPr>
          <w:rFonts w:ascii="Calibri" w:hAnsi="Calibri" w:cs="Calibri"/>
        </w:rPr>
        <w:t> </w:t>
      </w:r>
      <w:r w:rsidRPr="00A04E56">
        <w:t>1.5</w:t>
      </w:r>
      <w:r w:rsidRPr="00A04E56">
        <w:rPr>
          <w:rFonts w:ascii="Calibri" w:hAnsi="Calibri" w:cs="Calibri"/>
        </w:rPr>
        <w:t> </w:t>
      </w:r>
      <w:r w:rsidRPr="00A04E56">
        <w:t xml:space="preserve">billion, to which the EU contributed more than </w:t>
      </w:r>
      <w:r w:rsidR="00420F9F" w:rsidRPr="00A04E56">
        <w:t>EUR </w:t>
      </w:r>
      <w:r w:rsidRPr="00A04E56">
        <w:t>430</w:t>
      </w:r>
      <w:r w:rsidRPr="00A04E56">
        <w:rPr>
          <w:rFonts w:ascii="Calibri" w:hAnsi="Calibri" w:cs="Calibri"/>
        </w:rPr>
        <w:t> </w:t>
      </w:r>
      <w:r w:rsidRPr="00A04E56">
        <w:t xml:space="preserve">million (under the </w:t>
      </w:r>
      <w:r w:rsidR="004951CC" w:rsidRPr="00A04E56">
        <w:t>t</w:t>
      </w:r>
      <w:r w:rsidRPr="00A04E56">
        <w:t>echnical assistance programme stimulating partnerships between the EU and the Commonwealth of Independent States and Georgia (Tacis)</w:t>
      </w:r>
      <w:r w:rsidR="00C96AD0" w:rsidRPr="00A04E56">
        <w:rPr>
          <w:rStyle w:val="fnRef"/>
          <w:rFonts w:ascii="Calibri" w:hAnsi="Calibri"/>
        </w:rPr>
        <w:t> </w:t>
      </w:r>
      <w:r w:rsidRPr="00A04E56">
        <w:rPr>
          <w:rStyle w:val="fnRef"/>
        </w:rPr>
        <w:t>(</w:t>
      </w:r>
      <w:r w:rsidRPr="00A04E56">
        <w:rPr>
          <w:rStyle w:val="fnRefNo"/>
        </w:rPr>
        <w:footnoteReference w:id="342"/>
      </w:r>
      <w:r w:rsidRPr="00A04E56">
        <w:rPr>
          <w:rStyle w:val="fnRef"/>
        </w:rPr>
        <w:t>)</w:t>
      </w:r>
      <w:r w:rsidR="008F74A5" w:rsidRPr="00A04E56">
        <w:rPr>
          <w:rStyle w:val="fnRef"/>
        </w:rPr>
        <w:t xml:space="preserve"> </w:t>
      </w:r>
      <w:r w:rsidRPr="00A04E56">
        <w:t>(</w:t>
      </w:r>
      <w:r w:rsidRPr="00A04E56" w:rsidDel="00717F2A">
        <w:t>EUR</w:t>
      </w:r>
      <w:r w:rsidRPr="00A04E56">
        <w:rPr>
          <w:rFonts w:ascii="Calibri" w:hAnsi="Calibri" w:cs="Calibri"/>
        </w:rPr>
        <w:t> </w:t>
      </w:r>
      <w:r w:rsidRPr="00A04E56">
        <w:t>210</w:t>
      </w:r>
      <w:r w:rsidRPr="00A04E56">
        <w:rPr>
          <w:rFonts w:ascii="Calibri" w:hAnsi="Calibri" w:cs="Calibri"/>
        </w:rPr>
        <w:t> </w:t>
      </w:r>
      <w:r w:rsidRPr="00A04E56">
        <w:t>million) and Nuclear Safety Cooperation (</w:t>
      </w:r>
      <w:r w:rsidRPr="00A04E56" w:rsidDel="00717F2A">
        <w:t>EUR</w:t>
      </w:r>
      <w:r w:rsidRPr="00A04E56">
        <w:rPr>
          <w:rFonts w:ascii="Calibri" w:hAnsi="Calibri" w:cs="Calibri"/>
        </w:rPr>
        <w:t> </w:t>
      </w:r>
      <w:r w:rsidRPr="00A04E56">
        <w:t>220</w:t>
      </w:r>
      <w:r w:rsidRPr="00A04E56">
        <w:rPr>
          <w:rFonts w:ascii="Calibri" w:hAnsi="Calibri" w:cs="Calibri"/>
        </w:rPr>
        <w:t> </w:t>
      </w:r>
      <w:r w:rsidRPr="00A04E56">
        <w:t xml:space="preserve">million) programmes). </w:t>
      </w:r>
    </w:p>
    <w:p w14:paraId="7D66B314" w14:textId="77777777" w:rsidR="005D36C6" w:rsidRPr="00A04E56" w:rsidRDefault="005D36C6" w:rsidP="005D36C6">
      <w:pPr>
        <w:pStyle w:val="BodyText1spaceafter"/>
      </w:pPr>
      <w:r w:rsidRPr="00A04E56">
        <w:t>The Commission proposed</w:t>
      </w:r>
      <w:r w:rsidRPr="00A04E56" w:rsidDel="00314C65">
        <w:t xml:space="preserve"> </w:t>
      </w:r>
      <w:r w:rsidRPr="00A04E56">
        <w:t xml:space="preserve">to </w:t>
      </w:r>
      <w:r w:rsidRPr="00A04E56">
        <w:rPr>
          <w:rFonts w:eastAsiaTheme="minorHAnsi"/>
        </w:rPr>
        <w:t>establish a European Instrument for Nuclear Safety, with</w:t>
      </w:r>
      <w:r w:rsidRPr="00A04E56">
        <w:t xml:space="preserve">in the multiannual financial framework 2021-2027, </w:t>
      </w:r>
      <w:r w:rsidRPr="00A04E56">
        <w:rPr>
          <w:rFonts w:eastAsiaTheme="minorHAnsi"/>
        </w:rPr>
        <w:t>complementing the Neighbourhood, Development and International Cooperation Instrument on the basis of the Euratom Treaty</w:t>
      </w:r>
      <w:r w:rsidRPr="00A04E56">
        <w:rPr>
          <w:rStyle w:val="fnRef"/>
          <w:rFonts w:ascii="Arial" w:hAnsi="Arial" w:cs="Arial"/>
        </w:rPr>
        <w:t> </w:t>
      </w:r>
      <w:r w:rsidRPr="00A04E56">
        <w:rPr>
          <w:rStyle w:val="fnRef"/>
        </w:rPr>
        <w:t>(</w:t>
      </w:r>
      <w:r w:rsidRPr="00A04E56">
        <w:rPr>
          <w:rStyle w:val="fnRefNo"/>
        </w:rPr>
        <w:footnoteReference w:id="343"/>
      </w:r>
      <w:r w:rsidRPr="00A04E56">
        <w:rPr>
          <w:rStyle w:val="fnRef"/>
        </w:rPr>
        <w:t>)</w:t>
      </w:r>
      <w:r w:rsidRPr="00A04E56">
        <w:rPr>
          <w:rFonts w:eastAsiaTheme="minorHAnsi"/>
        </w:rPr>
        <w:t xml:space="preserve">. </w:t>
      </w:r>
    </w:p>
    <w:p w14:paraId="67F0F109" w14:textId="1EE292A3" w:rsidR="005D36C6" w:rsidRPr="00A04E56" w:rsidRDefault="005D36C6" w:rsidP="00AC1D4D">
      <w:pPr>
        <w:pStyle w:val="Title2Report"/>
        <w:spacing w:before="400"/>
      </w:pPr>
      <w:bookmarkStart w:id="214" w:name="_Toc12021043"/>
      <w:r w:rsidRPr="00A04E56">
        <w:t>Facility for</w:t>
      </w:r>
      <w:r w:rsidR="006F59B8" w:rsidRPr="00A04E56">
        <w:t xml:space="preserve"> refugees </w:t>
      </w:r>
      <w:r w:rsidRPr="00A04E56">
        <w:t>in Turkey</w:t>
      </w:r>
      <w:bookmarkEnd w:id="214"/>
    </w:p>
    <w:p w14:paraId="215BE054" w14:textId="665B26CA" w:rsidR="005D36C6" w:rsidRPr="00A04E56" w:rsidRDefault="005D36C6" w:rsidP="005D36C6">
      <w:pPr>
        <w:pStyle w:val="BodyText1spaceafter"/>
        <w:rPr>
          <w:rFonts w:eastAsia="Times New Roman"/>
          <w:szCs w:val="20"/>
          <w:lang w:eastAsia="en-GB"/>
        </w:rPr>
      </w:pPr>
      <w:r w:rsidRPr="00A04E56">
        <w:rPr>
          <w:rStyle w:val="BOLDLIGHTBLUEReport"/>
          <w:rFonts w:eastAsiaTheme="minorHAnsi"/>
        </w:rPr>
        <w:t>Turkey</w:t>
      </w:r>
      <w:r w:rsidRPr="00A04E56">
        <w:t xml:space="preserve"> currently hosts close to 4</w:t>
      </w:r>
      <w:r w:rsidRPr="00A04E56">
        <w:rPr>
          <w:rFonts w:ascii="Calibri" w:hAnsi="Calibri" w:cs="Calibri"/>
        </w:rPr>
        <w:t> </w:t>
      </w:r>
      <w:r w:rsidRPr="00A04E56">
        <w:t xml:space="preserve">million refugees and the EU is committed to assist Turkey in dealing with this challenge. The </w:t>
      </w:r>
      <w:r w:rsidRPr="00A04E56">
        <w:rPr>
          <w:rStyle w:val="BOLDLIGHTBLUEReport"/>
          <w:rFonts w:eastAsiaTheme="minorHAnsi"/>
        </w:rPr>
        <w:t xml:space="preserve">EU </w:t>
      </w:r>
      <w:r w:rsidR="00AE4B2D" w:rsidRPr="00A04E56">
        <w:rPr>
          <w:rStyle w:val="BOLDLIGHTBLUEReport"/>
          <w:rFonts w:eastAsiaTheme="minorHAnsi"/>
        </w:rPr>
        <w:t>f</w:t>
      </w:r>
      <w:r w:rsidRPr="00A04E56">
        <w:rPr>
          <w:rStyle w:val="BOLDLIGHTBLUEReport"/>
          <w:rFonts w:eastAsiaTheme="minorHAnsi"/>
        </w:rPr>
        <w:t xml:space="preserve">acility for </w:t>
      </w:r>
      <w:r w:rsidR="00AE4B2D" w:rsidRPr="00A04E56">
        <w:rPr>
          <w:rStyle w:val="BOLDLIGHTBLUEReport"/>
          <w:rFonts w:eastAsiaTheme="minorHAnsi"/>
        </w:rPr>
        <w:t>r</w:t>
      </w:r>
      <w:r w:rsidRPr="00A04E56">
        <w:rPr>
          <w:rStyle w:val="BOLDLIGHTBLUEReport"/>
          <w:rFonts w:eastAsiaTheme="minorHAnsi"/>
        </w:rPr>
        <w:t>efugees in Turkey</w:t>
      </w:r>
      <w:r w:rsidRPr="00A04E56">
        <w:t xml:space="preserve">, managing a total of </w:t>
      </w:r>
      <w:r w:rsidRPr="00A04E56" w:rsidDel="00717F2A">
        <w:t>EUR</w:t>
      </w:r>
      <w:r w:rsidRPr="00A04E56">
        <w:rPr>
          <w:rFonts w:ascii="Calibri" w:hAnsi="Calibri" w:cs="Calibri"/>
        </w:rPr>
        <w:t> </w:t>
      </w:r>
      <w:r w:rsidRPr="00A04E56">
        <w:t>6</w:t>
      </w:r>
      <w:r w:rsidRPr="00A04E56">
        <w:rPr>
          <w:rFonts w:ascii="Calibri" w:hAnsi="Calibri" w:cs="Calibri"/>
        </w:rPr>
        <w:t> </w:t>
      </w:r>
      <w:r w:rsidRPr="00A04E56" w:rsidDel="0047720B">
        <w:t>billion</w:t>
      </w:r>
      <w:r w:rsidRPr="00A04E56">
        <w:t xml:space="preserve"> (EUR</w:t>
      </w:r>
      <w:r w:rsidRPr="00A04E56">
        <w:rPr>
          <w:rFonts w:ascii="Calibri" w:hAnsi="Calibri" w:cs="Calibri"/>
        </w:rPr>
        <w:t> </w:t>
      </w:r>
      <w:r w:rsidRPr="00A04E56">
        <w:t>3</w:t>
      </w:r>
      <w:r w:rsidRPr="00A04E56">
        <w:rPr>
          <w:rFonts w:ascii="Calibri" w:hAnsi="Calibri" w:cs="Calibri"/>
        </w:rPr>
        <w:t> </w:t>
      </w:r>
      <w:r w:rsidRPr="00A04E56">
        <w:t xml:space="preserve">billion for 2016-2017 and </w:t>
      </w:r>
      <w:r w:rsidRPr="00A04E56" w:rsidDel="00717F2A">
        <w:t>EUR</w:t>
      </w:r>
      <w:r w:rsidRPr="00A04E56">
        <w:rPr>
          <w:rFonts w:ascii="Calibri" w:hAnsi="Calibri" w:cs="Calibri"/>
        </w:rPr>
        <w:t> </w:t>
      </w:r>
      <w:r w:rsidRPr="00A04E56">
        <w:t>3</w:t>
      </w:r>
      <w:r w:rsidRPr="00A04E56">
        <w:rPr>
          <w:rFonts w:ascii="Calibri" w:hAnsi="Calibri" w:cs="Calibri"/>
        </w:rPr>
        <w:t> </w:t>
      </w:r>
      <w:r w:rsidRPr="00A04E56">
        <w:t>billion for 2018-2019), provides for a joint coordination mechanism, designed to ensure that the needs of refugees and host communities in Turkey are addressed in a comprehensive and coordinated manner. The main focus areas are humanitarian assistance, education, health, municipal infrastructure and socioeconomic support. The facility channels financing contributions from the EU budget, mainly the humanitarian</w:t>
      </w:r>
      <w:r w:rsidR="00DF0116" w:rsidRPr="00A04E56">
        <w:t>-</w:t>
      </w:r>
      <w:r w:rsidRPr="00A04E56">
        <w:t xml:space="preserve">aid programme and the Instrument for Pre-Accession Assistance, as well as contributions from Member States. </w:t>
      </w:r>
    </w:p>
    <w:p w14:paraId="5CB9CC3B" w14:textId="77777777" w:rsidR="005D36C6" w:rsidRPr="00A04E56" w:rsidRDefault="005D36C6" w:rsidP="005D36C6">
      <w:pPr>
        <w:pStyle w:val="BodyText1spaceafter"/>
        <w:rPr>
          <w:rFonts w:eastAsia="Times New Roman"/>
          <w:lang w:eastAsia="en-GB"/>
        </w:rPr>
      </w:pPr>
      <w:r w:rsidRPr="00A04E56">
        <w:t>The 2016-2017 EUR</w:t>
      </w:r>
      <w:r w:rsidRPr="00A04E56">
        <w:rPr>
          <w:rFonts w:ascii="Calibri" w:hAnsi="Calibri" w:cs="Calibri"/>
        </w:rPr>
        <w:t> </w:t>
      </w:r>
      <w:r w:rsidRPr="00A04E56">
        <w:t>3</w:t>
      </w:r>
      <w:r w:rsidRPr="00A04E56">
        <w:rPr>
          <w:rFonts w:ascii="Calibri" w:hAnsi="Calibri" w:cs="Calibri"/>
        </w:rPr>
        <w:t> </w:t>
      </w:r>
      <w:r w:rsidRPr="00A04E56">
        <w:t>billion allocation was fully contracted with 72 projects rolled out, showing tangible results. In</w:t>
      </w:r>
      <w:r w:rsidRPr="00A04E56" w:rsidDel="00065AEC">
        <w:t xml:space="preserve"> </w:t>
      </w:r>
      <w:r w:rsidRPr="00A04E56">
        <w:rPr>
          <w:rStyle w:val="BOLDLIGHTBLUEReport"/>
          <w:rFonts w:eastAsia="Calibri"/>
        </w:rPr>
        <w:t>education</w:t>
      </w:r>
      <w:r w:rsidRPr="00A04E56">
        <w:rPr>
          <w:rFonts w:eastAsia="Times New Roman"/>
          <w:lang w:eastAsia="en-GB"/>
        </w:rPr>
        <w:t xml:space="preserve"> a </w:t>
      </w:r>
      <w:r w:rsidRPr="00A04E56" w:rsidDel="00717F2A">
        <w:rPr>
          <w:rFonts w:eastAsia="Times New Roman"/>
          <w:lang w:eastAsia="en-GB"/>
        </w:rPr>
        <w:t>EUR</w:t>
      </w:r>
      <w:r w:rsidRPr="00A04E56">
        <w:rPr>
          <w:rFonts w:ascii="Calibri" w:eastAsia="Times New Roman" w:hAnsi="Calibri" w:cs="Calibri"/>
          <w:lang w:eastAsia="en-GB"/>
        </w:rPr>
        <w:t> </w:t>
      </w:r>
      <w:r w:rsidRPr="00A04E56">
        <w:rPr>
          <w:rFonts w:eastAsia="Times New Roman"/>
          <w:lang w:eastAsia="en-GB"/>
        </w:rPr>
        <w:t>300</w:t>
      </w:r>
      <w:r w:rsidRPr="00A04E56">
        <w:rPr>
          <w:rFonts w:ascii="Calibri" w:eastAsia="Times New Roman" w:hAnsi="Calibri" w:cs="Calibri"/>
          <w:lang w:eastAsia="en-GB"/>
        </w:rPr>
        <w:t> </w:t>
      </w:r>
      <w:r w:rsidRPr="00A04E56">
        <w:rPr>
          <w:rFonts w:eastAsia="Times New Roman"/>
          <w:lang w:eastAsia="en-GB"/>
        </w:rPr>
        <w:t xml:space="preserve">million grant has been implemented in cooperation with the Turkish ministry of national education. It has supported the integration of Syrian children into the Turkish education system by providing </w:t>
      </w:r>
      <w:r w:rsidRPr="00A04E56">
        <w:rPr>
          <w:rStyle w:val="BOLDLIGHTBLUEReport"/>
          <w:rFonts w:eastAsia="Calibri"/>
        </w:rPr>
        <w:t>access to education to</w:t>
      </w:r>
      <w:r w:rsidRPr="00A04E56">
        <w:t xml:space="preserve"> over 600 000</w:t>
      </w:r>
      <w:r w:rsidRPr="00A04E56">
        <w:rPr>
          <w:rStyle w:val="BOLDLIGHTBLUEReport"/>
          <w:rFonts w:eastAsia="Calibri"/>
        </w:rPr>
        <w:t xml:space="preserve"> children</w:t>
      </w:r>
      <w:r w:rsidRPr="00A04E56">
        <w:rPr>
          <w:rFonts w:eastAsia="Times New Roman"/>
          <w:lang w:eastAsia="en-GB"/>
        </w:rPr>
        <w:t xml:space="preserve">. This support continues also under the second tranche and a new project with the ministry of national education was signed, worth </w:t>
      </w:r>
      <w:r w:rsidRPr="00A04E56" w:rsidDel="00717F2A">
        <w:rPr>
          <w:rFonts w:eastAsia="Times New Roman"/>
          <w:lang w:eastAsia="en-GB"/>
        </w:rPr>
        <w:t>EUR</w:t>
      </w:r>
      <w:r w:rsidRPr="00A04E56">
        <w:rPr>
          <w:rFonts w:ascii="Calibri" w:eastAsia="Times New Roman" w:hAnsi="Calibri" w:cs="Calibri"/>
          <w:lang w:eastAsia="en-GB"/>
        </w:rPr>
        <w:t> </w:t>
      </w:r>
      <w:r w:rsidRPr="00A04E56">
        <w:rPr>
          <w:rFonts w:eastAsia="Times New Roman"/>
          <w:lang w:eastAsia="en-GB"/>
        </w:rPr>
        <w:t>400</w:t>
      </w:r>
      <w:r w:rsidRPr="00A04E56">
        <w:rPr>
          <w:rFonts w:ascii="Calibri" w:eastAsia="Times New Roman" w:hAnsi="Calibri" w:cs="Calibri"/>
          <w:lang w:eastAsia="en-GB"/>
        </w:rPr>
        <w:t> </w:t>
      </w:r>
      <w:r w:rsidRPr="00A04E56">
        <w:rPr>
          <w:rFonts w:eastAsia="Times New Roman"/>
          <w:lang w:eastAsia="en-GB"/>
        </w:rPr>
        <w:t>million.</w:t>
      </w:r>
    </w:p>
    <w:p w14:paraId="5EDCEBD8" w14:textId="5666B53F" w:rsidR="005D36C6" w:rsidRPr="00A04E56" w:rsidRDefault="005D36C6" w:rsidP="005D36C6">
      <w:pPr>
        <w:pStyle w:val="BodyText1spaceafter"/>
        <w:rPr>
          <w:rFonts w:eastAsia="Times New Roman"/>
          <w:lang w:eastAsia="en-GB"/>
        </w:rPr>
      </w:pPr>
      <w:r w:rsidRPr="00A04E56">
        <w:rPr>
          <w:rFonts w:eastAsia="Times New Roman"/>
          <w:lang w:eastAsia="en-GB"/>
        </w:rPr>
        <w:t xml:space="preserve">The facility has delivered </w:t>
      </w:r>
      <w:r w:rsidRPr="00A04E56" w:rsidDel="00717F2A">
        <w:rPr>
          <w:rFonts w:eastAsia="Times New Roman"/>
          <w:lang w:eastAsia="en-GB"/>
        </w:rPr>
        <w:t>EUR</w:t>
      </w:r>
      <w:r w:rsidRPr="00A04E56">
        <w:rPr>
          <w:rFonts w:ascii="Calibri" w:eastAsia="Times New Roman" w:hAnsi="Calibri" w:cs="Calibri"/>
          <w:lang w:eastAsia="en-GB"/>
        </w:rPr>
        <w:t> </w:t>
      </w:r>
      <w:r w:rsidRPr="00A04E56">
        <w:rPr>
          <w:rFonts w:eastAsia="Times New Roman"/>
          <w:lang w:eastAsia="en-GB"/>
        </w:rPr>
        <w:t>300</w:t>
      </w:r>
      <w:r w:rsidRPr="00A04E56">
        <w:rPr>
          <w:rFonts w:ascii="Calibri" w:eastAsia="Times New Roman" w:hAnsi="Calibri" w:cs="Calibri"/>
          <w:lang w:eastAsia="en-GB"/>
        </w:rPr>
        <w:t> </w:t>
      </w:r>
      <w:r w:rsidRPr="00A04E56">
        <w:rPr>
          <w:rFonts w:eastAsia="Times New Roman"/>
          <w:lang w:eastAsia="en-GB"/>
        </w:rPr>
        <w:t xml:space="preserve">million in aid to ensure refugees can access </w:t>
      </w:r>
      <w:r w:rsidRPr="00A04E56">
        <w:rPr>
          <w:rStyle w:val="BOLDLIGHTBLUEReport"/>
          <w:rFonts w:eastAsia="Calibri"/>
        </w:rPr>
        <w:t>health</w:t>
      </w:r>
      <w:r w:rsidR="003B6127" w:rsidRPr="00A04E56">
        <w:rPr>
          <w:rStyle w:val="BOLDLIGHTBLUEReport"/>
          <w:rFonts w:eastAsia="Calibri"/>
        </w:rPr>
        <w:t>-care</w:t>
      </w:r>
      <w:r w:rsidRPr="00A04E56">
        <w:rPr>
          <w:rStyle w:val="BOLDLIGHTBLUEReport"/>
          <w:rFonts w:eastAsia="Calibri"/>
        </w:rPr>
        <w:t xml:space="preserve"> services</w:t>
      </w:r>
      <w:r w:rsidRPr="00A04E56">
        <w:rPr>
          <w:rFonts w:eastAsia="Times New Roman"/>
          <w:lang w:eastAsia="en-GB"/>
        </w:rPr>
        <w:t xml:space="preserve">. </w:t>
      </w:r>
      <w:r w:rsidRPr="00A04E56">
        <w:rPr>
          <w:rFonts w:eastAsia="Times New Roman"/>
        </w:rPr>
        <w:t xml:space="preserve">Over 4 million primary health-care consultations </w:t>
      </w:r>
      <w:r w:rsidRPr="00A04E56">
        <w:rPr>
          <w:rFonts w:eastAsia="Times New Roman"/>
          <w:lang w:eastAsia="en-GB"/>
        </w:rPr>
        <w:t xml:space="preserve">were carried out and </w:t>
      </w:r>
      <w:r w:rsidRPr="00A04E56">
        <w:rPr>
          <w:rFonts w:eastAsia="Times New Roman"/>
        </w:rPr>
        <w:t>over 500 000 Syrian refugee children were vaccinated</w:t>
      </w:r>
      <w:r w:rsidRPr="00A04E56">
        <w:rPr>
          <w:rFonts w:eastAsia="Times New Roman"/>
          <w:lang w:eastAsia="en-GB"/>
        </w:rPr>
        <w:t>. Furthermore, 143 migrant health centres are now operational with over 2</w:t>
      </w:r>
      <w:r w:rsidRPr="00A04E56">
        <w:rPr>
          <w:rFonts w:ascii="Calibri" w:eastAsia="Times New Roman" w:hAnsi="Calibri" w:cs="Calibri"/>
          <w:lang w:eastAsia="en-GB"/>
        </w:rPr>
        <w:t> </w:t>
      </w:r>
      <w:r w:rsidRPr="00A04E56">
        <w:rPr>
          <w:rFonts w:eastAsia="Times New Roman"/>
          <w:lang w:eastAsia="en-GB"/>
        </w:rPr>
        <w:t xml:space="preserve">000 staff employed. The facility will continue to provide assistance in health, education, municipal infrastructure and socioeconomic support, with a special focus on creating livelihood opportunities for refugees in Turkey. </w:t>
      </w:r>
      <w:r w:rsidRPr="00A04E56">
        <w:rPr>
          <w:rFonts w:eastAsia="Times New Roman"/>
        </w:rPr>
        <w:t>1.5</w:t>
      </w:r>
      <w:r w:rsidRPr="00A04E56">
        <w:rPr>
          <w:rFonts w:ascii="Calibri" w:eastAsia="Times New Roman" w:hAnsi="Calibri" w:cs="Calibri"/>
          <w:lang w:eastAsia="en-GB"/>
        </w:rPr>
        <w:t> </w:t>
      </w:r>
      <w:r w:rsidRPr="00A04E56">
        <w:rPr>
          <w:rFonts w:eastAsia="Times New Roman"/>
          <w:lang w:eastAsia="en-GB"/>
        </w:rPr>
        <w:t>million of the most vulnerable refugees are provided with monthly cash transfers under the emergency social safety net</w:t>
      </w:r>
      <w:r w:rsidR="003F5E45">
        <w:rPr>
          <w:rFonts w:ascii="Calibri" w:eastAsia="Times New Roman" w:hAnsi="Calibri" w:cs="Calibri"/>
          <w:lang w:eastAsia="en-GB"/>
        </w:rPr>
        <w:t> </w:t>
      </w:r>
      <w:r w:rsidR="00B75CBF" w:rsidRPr="00A04E56">
        <w:rPr>
          <w:rFonts w:eastAsia="Times New Roman"/>
          <w:lang w:eastAsia="en-GB"/>
        </w:rPr>
        <w:t>(</w:t>
      </w:r>
      <w:r w:rsidR="000D0979" w:rsidRPr="003F5E45">
        <w:rPr>
          <w:rStyle w:val="fnRefNo"/>
        </w:rPr>
        <w:footnoteReference w:id="344"/>
      </w:r>
      <w:r w:rsidR="00B75CBF" w:rsidRPr="00A04E56">
        <w:rPr>
          <w:rFonts w:eastAsia="Times New Roman"/>
          <w:lang w:eastAsia="en-GB"/>
        </w:rPr>
        <w:t>)</w:t>
      </w:r>
      <w:r w:rsidRPr="00A04E56">
        <w:rPr>
          <w:rFonts w:eastAsia="Times New Roman"/>
          <w:lang w:eastAsia="en-GB"/>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4A0" w:firstRow="1" w:lastRow="0" w:firstColumn="1" w:lastColumn="0" w:noHBand="0" w:noVBand="1"/>
      </w:tblPr>
      <w:tblGrid>
        <w:gridCol w:w="1361"/>
        <w:gridCol w:w="3175"/>
        <w:gridCol w:w="1361"/>
        <w:gridCol w:w="3175"/>
      </w:tblGrid>
      <w:tr w:rsidR="001004B7" w:rsidRPr="00955275" w14:paraId="62AE7C2D" w14:textId="77777777" w:rsidTr="00663AE4">
        <w:trPr>
          <w:trHeight w:val="1134"/>
          <w:jc w:val="center"/>
        </w:trPr>
        <w:tc>
          <w:tcPr>
            <w:tcW w:w="1361" w:type="dxa"/>
            <w:tcBorders>
              <w:top w:val="single" w:sz="8" w:space="0" w:color="E5F6FA"/>
              <w:left w:val="single" w:sz="8" w:space="0" w:color="E5F6FA"/>
              <w:bottom w:val="single" w:sz="8" w:space="0" w:color="FFFFFF"/>
              <w:right w:val="single" w:sz="8" w:space="0" w:color="E5F6FA"/>
            </w:tcBorders>
            <w:shd w:val="clear" w:color="auto" w:fill="E5F6FA"/>
            <w:vAlign w:val="center"/>
          </w:tcPr>
          <w:p w14:paraId="2E85C1E0" w14:textId="77777777" w:rsidR="00955275" w:rsidRPr="00955275" w:rsidRDefault="00955275" w:rsidP="00A92F69">
            <w:pPr>
              <w:spacing w:line="276" w:lineRule="auto"/>
              <w:jc w:val="center"/>
              <w:rPr>
                <w:rFonts w:eastAsia="EC Square Sans Pro" w:cs="EC Square Sans Pro"/>
                <w:szCs w:val="20"/>
              </w:rPr>
            </w:pPr>
            <w:r w:rsidRPr="00F30C9B">
              <w:rPr>
                <w:rFonts w:eastAsia="Calibri"/>
                <w:b/>
                <w:noProof/>
                <w:color w:val="0070C0"/>
                <w:sz w:val="22"/>
                <w:lang w:val="fr-BE" w:eastAsia="fr-BE"/>
              </w:rPr>
              <mc:AlternateContent>
                <mc:Choice Requires="wpg">
                  <w:drawing>
                    <wp:inline distT="0" distB="0" distL="0" distR="0" wp14:anchorId="1774C75B" wp14:editId="1415A1CC">
                      <wp:extent cx="468000" cy="468000"/>
                      <wp:effectExtent l="0" t="0" r="8255" b="8255"/>
                      <wp:docPr id="334" name="Group 334"/>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35" name="Oval 335"/>
                              <wps:cNvSpPr/>
                              <wps:spPr>
                                <a:xfrm>
                                  <a:off x="0" y="0"/>
                                  <a:ext cx="450000" cy="450000"/>
                                </a:xfrm>
                                <a:prstGeom prst="ellipse">
                                  <a:avLst/>
                                </a:prstGeom>
                                <a:grpFill/>
                                <a:ln w="25400" cap="flat" cmpd="sng" algn="ctr">
                                  <a:noFill/>
                                  <a:prstDash val="solid"/>
                                </a:ln>
                                <a:effectLst/>
                              </wps:spPr>
                              <wps:txbx>
                                <w:txbxContent>
                                  <w:p w14:paraId="2923FA35"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8" name="Picture 338"/>
                                <pic:cNvPicPr>
                                  <a:picLocks noChangeAspect="1"/>
                                </pic:cNvPicPr>
                              </pic:nvPicPr>
                              <pic:blipFill>
                                <a:blip r:embed="rId209" cstate="email">
                                  <a:lum bright="100000" contrast="-70000"/>
                                  <a:extLst>
                                    <a:ext uri="{28A0092B-C50C-407E-A947-70E740481C1C}">
                                      <a14:useLocalDpi xmlns:a14="http://schemas.microsoft.com/office/drawing/2010/main"/>
                                    </a:ext>
                                  </a:extLst>
                                </a:blip>
                                <a:stretch>
                                  <a:fillRect/>
                                </a:stretch>
                              </pic:blipFill>
                              <pic:spPr>
                                <a:xfrm>
                                  <a:off x="135172" y="95416"/>
                                  <a:ext cx="172085" cy="269875"/>
                                </a:xfrm>
                                <a:prstGeom prst="rect">
                                  <a:avLst/>
                                </a:prstGeom>
                                <a:grpFill/>
                              </pic:spPr>
                            </pic:pic>
                          </wpg:wgp>
                        </a:graphicData>
                      </a:graphic>
                    </wp:inline>
                  </w:drawing>
                </mc:Choice>
                <mc:Fallback>
                  <w:pict>
                    <v:group w14:anchorId="1774C75B" id="Group 334" o:spid="_x0000_s1130"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">
                      <v:oval id="Oval 335" o:spid="_x0000_s1131"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" filled="f" stroked="f" strokeweight="2pt">
                        <v:textbox>
                          <w:txbxContent>
                            <w:p w14:paraId="2923FA35" w14:textId="77777777" w:rsidR="003C0461" w:rsidRDefault="003C0461" w:rsidP="00955275">
                              <w:pPr>
                                <w:jc w:val="center"/>
                              </w:pPr>
                            </w:p>
                          </w:txbxContent>
                        </v:textbox>
                      </v:oval>
                      <v:shape id="Picture 338" o:spid="_x0000_s1132" type="#_x0000_t75" style="position:absolute;left:135172;top:95416;width:172085;height:26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">
                        <v:imagedata r:id="rId210" o:title="" gain="19661f" blacklevel=".5"/>
                        <v:path arrowok="t"/>
                      </v:shape>
                      <w10:anchorlock/>
                    </v:group>
                  </w:pict>
                </mc:Fallback>
              </mc:AlternateContent>
            </w:r>
          </w:p>
        </w:tc>
        <w:tc>
          <w:tcPr>
            <w:tcW w:w="3175" w:type="dxa"/>
            <w:tcBorders>
              <w:top w:val="single" w:sz="8" w:space="0" w:color="E5F6FA"/>
              <w:left w:val="single" w:sz="8" w:space="0" w:color="E5F6FA"/>
              <w:bottom w:val="single" w:sz="8" w:space="0" w:color="FFFFFF"/>
              <w:right w:val="single" w:sz="8" w:space="0" w:color="FFFFFF"/>
            </w:tcBorders>
            <w:shd w:val="clear" w:color="auto" w:fill="E5F6FA"/>
            <w:vAlign w:val="center"/>
          </w:tcPr>
          <w:p w14:paraId="5C6B6A77" w14:textId="77777777" w:rsidR="00955275" w:rsidRPr="00955275" w:rsidRDefault="00955275" w:rsidP="00663AE4">
            <w:pPr>
              <w:spacing w:line="276" w:lineRule="auto"/>
              <w:rPr>
                <w:rFonts w:eastAsia="EC Square Sans Pro" w:cs="EC Square Sans Pro"/>
                <w:szCs w:val="20"/>
              </w:rPr>
            </w:pPr>
            <w:r w:rsidRPr="00955275">
              <w:rPr>
                <w:rFonts w:eastAsia="Calibri"/>
                <w:b/>
                <w:sz w:val="18"/>
              </w:rPr>
              <w:t>1.5 million</w:t>
            </w:r>
            <w:r w:rsidRPr="00955275">
              <w:rPr>
                <w:rFonts w:eastAsia="Calibri"/>
                <w:sz w:val="18"/>
              </w:rPr>
              <w:t xml:space="preserve"> recipients of the emergency social safety net </w:t>
            </w:r>
            <w:r w:rsidRPr="00955275">
              <w:rPr>
                <w:rFonts w:eastAsia="Calibri"/>
                <w:sz w:val="18"/>
              </w:rPr>
              <w:br/>
              <w:t>to cover basic needs</w:t>
            </w:r>
          </w:p>
        </w:tc>
        <w:tc>
          <w:tcPr>
            <w:tcW w:w="1361" w:type="dxa"/>
            <w:tcBorders>
              <w:top w:val="single" w:sz="8" w:space="0" w:color="E5F6FA"/>
              <w:left w:val="single" w:sz="8" w:space="0" w:color="FFFFFF"/>
              <w:bottom w:val="single" w:sz="8" w:space="0" w:color="FFFFFF"/>
              <w:right w:val="single" w:sz="8" w:space="0" w:color="E5F6FA"/>
            </w:tcBorders>
            <w:shd w:val="clear" w:color="auto" w:fill="E5F6FA"/>
            <w:vAlign w:val="center"/>
          </w:tcPr>
          <w:p w14:paraId="1FE04AFF" w14:textId="77777777" w:rsidR="00955275" w:rsidRPr="00955275" w:rsidRDefault="00955275" w:rsidP="00A92F69">
            <w:pPr>
              <w:spacing w:line="276" w:lineRule="auto"/>
              <w:jc w:val="center"/>
              <w:rPr>
                <w:rFonts w:eastAsia="EC Square Sans Pro" w:cs="EC Square Sans Pro"/>
                <w:szCs w:val="20"/>
                <w:lang w:eastAsia="hu-HU"/>
              </w:rPr>
            </w:pPr>
            <w:r w:rsidRPr="00A92F69">
              <w:rPr>
                <w:rFonts w:eastAsia="Calibri"/>
                <w:b/>
                <w:noProof/>
                <w:sz w:val="22"/>
                <w:lang w:val="fr-BE" w:eastAsia="fr-BE"/>
              </w:rPr>
              <mc:AlternateContent>
                <mc:Choice Requires="wpg">
                  <w:drawing>
                    <wp:inline distT="0" distB="0" distL="0" distR="0" wp14:anchorId="7922BEA4" wp14:editId="1CECCD61">
                      <wp:extent cx="468000" cy="468000"/>
                      <wp:effectExtent l="0" t="0" r="8255" b="8255"/>
                      <wp:docPr id="339" name="Group 339"/>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0" name="Oval 340"/>
                              <wps:cNvSpPr/>
                              <wps:spPr>
                                <a:xfrm>
                                  <a:off x="0" y="0"/>
                                  <a:ext cx="450000" cy="450000"/>
                                </a:xfrm>
                                <a:prstGeom prst="ellipse">
                                  <a:avLst/>
                                </a:prstGeom>
                                <a:grpFill/>
                                <a:ln w="25400" cap="flat" cmpd="sng" algn="ctr">
                                  <a:noFill/>
                                  <a:prstDash val="solid"/>
                                </a:ln>
                                <a:effectLst/>
                              </wps:spPr>
                              <wps:txbx>
                                <w:txbxContent>
                                  <w:p w14:paraId="64427DB2"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1" name="Picture 341"/>
                                <pic:cNvPicPr>
                                  <a:picLocks noChangeAspect="1"/>
                                </pic:cNvPicPr>
                              </pic:nvPicPr>
                              <pic:blipFill>
                                <a:blip r:embed="rId211" cstate="email">
                                  <a:lum bright="100000" contrast="-70000"/>
                                  <a:extLst>
                                    <a:ext uri="{28A0092B-C50C-407E-A947-70E740481C1C}">
                                      <a14:useLocalDpi xmlns:a14="http://schemas.microsoft.com/office/drawing/2010/main"/>
                                    </a:ext>
                                  </a:extLst>
                                </a:blip>
                                <a:stretch>
                                  <a:fillRect/>
                                </a:stretch>
                              </pic:blipFill>
                              <pic:spPr>
                                <a:xfrm>
                                  <a:off x="95415" y="87464"/>
                                  <a:ext cx="264795" cy="269875"/>
                                </a:xfrm>
                                <a:prstGeom prst="rect">
                                  <a:avLst/>
                                </a:prstGeom>
                                <a:grpFill/>
                              </pic:spPr>
                            </pic:pic>
                          </wpg:wgp>
                        </a:graphicData>
                      </a:graphic>
                    </wp:inline>
                  </w:drawing>
                </mc:Choice>
                <mc:Fallback>
                  <w:pict>
                    <v:group w14:anchorId="7922BEA4" id="Group 339" o:spid="_x0000_s1133"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">
                      <v:oval id="Oval 340" o:spid="_x0000_s1134"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" filled="f" stroked="f" strokeweight="2pt">
                        <v:textbox>
                          <w:txbxContent>
                            <w:p w14:paraId="64427DB2" w14:textId="77777777" w:rsidR="003C0461" w:rsidRDefault="003C0461" w:rsidP="00955275">
                              <w:pPr>
                                <w:jc w:val="center"/>
                              </w:pPr>
                            </w:p>
                          </w:txbxContent>
                        </v:textbox>
                      </v:oval>
                      <v:shape id="Picture 341" o:spid="_x0000_s1135" type="#_x0000_t75" style="position:absolute;left:95415;top:87464;width:264795;height:26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">
                        <v:imagedata r:id="rId212" o:title="" gain="19661f" blacklevel=".5"/>
                        <v:path arrowok="t"/>
                      </v:shape>
                      <w10:anchorlock/>
                    </v:group>
                  </w:pict>
                </mc:Fallback>
              </mc:AlternateContent>
            </w:r>
          </w:p>
        </w:tc>
        <w:tc>
          <w:tcPr>
            <w:tcW w:w="3175" w:type="dxa"/>
            <w:tcBorders>
              <w:top w:val="single" w:sz="8" w:space="0" w:color="E5F6FA"/>
              <w:left w:val="single" w:sz="8" w:space="0" w:color="E5F6FA"/>
              <w:bottom w:val="single" w:sz="8" w:space="0" w:color="FFFFFF"/>
              <w:right w:val="single" w:sz="8" w:space="0" w:color="E5F6FA"/>
            </w:tcBorders>
            <w:shd w:val="clear" w:color="auto" w:fill="E5F6FA"/>
            <w:vAlign w:val="center"/>
          </w:tcPr>
          <w:p w14:paraId="7AA9E476" w14:textId="77777777" w:rsidR="00955275" w:rsidRPr="00A92F69" w:rsidRDefault="00955275" w:rsidP="00663AE4">
            <w:pPr>
              <w:keepNext/>
              <w:spacing w:line="259" w:lineRule="auto"/>
              <w:rPr>
                <w:rFonts w:eastAsia="Calibri"/>
                <w:sz w:val="18"/>
              </w:rPr>
            </w:pPr>
            <w:r w:rsidRPr="00A92F69">
              <w:rPr>
                <w:rFonts w:eastAsia="Calibri"/>
                <w:b/>
                <w:sz w:val="18"/>
              </w:rPr>
              <w:t>4 500</w:t>
            </w:r>
            <w:r w:rsidRPr="00A92F69">
              <w:rPr>
                <w:rFonts w:eastAsia="Calibri"/>
                <w:sz w:val="18"/>
              </w:rPr>
              <w:t xml:space="preserve"> Turkish language teachers employed in 23 provinces have provided language training to over 400 000 children </w:t>
            </w:r>
          </w:p>
        </w:tc>
      </w:tr>
      <w:tr w:rsidR="001004B7" w:rsidRPr="00955275" w14:paraId="0B4950A6" w14:textId="77777777" w:rsidTr="00663AE4">
        <w:trPr>
          <w:trHeight w:val="1247"/>
          <w:jc w:val="center"/>
        </w:trPr>
        <w:tc>
          <w:tcPr>
            <w:tcW w:w="1361" w:type="dxa"/>
            <w:tcBorders>
              <w:top w:val="single" w:sz="8" w:space="0" w:color="FFFFFF"/>
              <w:left w:val="single" w:sz="8" w:space="0" w:color="E5F6FA"/>
              <w:bottom w:val="single" w:sz="8" w:space="0" w:color="FFFFFF"/>
              <w:right w:val="single" w:sz="8" w:space="0" w:color="E5F6FA"/>
            </w:tcBorders>
            <w:shd w:val="clear" w:color="auto" w:fill="E5F6FA"/>
            <w:vAlign w:val="center"/>
          </w:tcPr>
          <w:p w14:paraId="5ADEA72F" w14:textId="77777777" w:rsidR="00955275" w:rsidRPr="00955275" w:rsidRDefault="00955275" w:rsidP="00A92F69">
            <w:pPr>
              <w:spacing w:line="276" w:lineRule="auto"/>
              <w:jc w:val="center"/>
              <w:rPr>
                <w:rFonts w:eastAsia="EC Square Sans Pro" w:cs="EC Square Sans Pro"/>
                <w:szCs w:val="20"/>
                <w:lang w:eastAsia="hu-HU"/>
              </w:rPr>
            </w:pPr>
            <w:r w:rsidRPr="00F30C9B">
              <w:rPr>
                <w:rFonts w:eastAsia="Calibri"/>
                <w:b/>
                <w:noProof/>
                <w:sz w:val="22"/>
                <w:lang w:val="fr-BE" w:eastAsia="fr-BE"/>
              </w:rPr>
              <mc:AlternateContent>
                <mc:Choice Requires="wpg">
                  <w:drawing>
                    <wp:inline distT="0" distB="0" distL="0" distR="0" wp14:anchorId="117DD068" wp14:editId="438FB38B">
                      <wp:extent cx="468000" cy="468000"/>
                      <wp:effectExtent l="0" t="0" r="8255" b="8255"/>
                      <wp:docPr id="342" name="Group 342"/>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3" name="Oval 343"/>
                              <wps:cNvSpPr/>
                              <wps:spPr>
                                <a:xfrm>
                                  <a:off x="0" y="0"/>
                                  <a:ext cx="450000" cy="450000"/>
                                </a:xfrm>
                                <a:prstGeom prst="ellipse">
                                  <a:avLst/>
                                </a:prstGeom>
                                <a:solidFill>
                                  <a:srgbClr val="65BBC8"/>
                                </a:solidFill>
                                <a:ln w="25400" cap="flat" cmpd="sng" algn="ctr">
                                  <a:noFill/>
                                  <a:prstDash val="solid"/>
                                </a:ln>
                                <a:effectLst/>
                              </wps:spPr>
                              <wps:txbx>
                                <w:txbxContent>
                                  <w:p w14:paraId="65DD0993"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4" name="Picture 344"/>
                                <pic:cNvPicPr>
                                  <a:picLocks noChangeAspect="1"/>
                                </pic:cNvPicPr>
                              </pic:nvPicPr>
                              <pic:blipFill>
                                <a:blip r:embed="rId213" cstate="email">
                                  <a:lum bright="100000" contrast="-70000"/>
                                  <a:extLst>
                                    <a:ext uri="{28A0092B-C50C-407E-A947-70E740481C1C}">
                                      <a14:useLocalDpi xmlns:a14="http://schemas.microsoft.com/office/drawing/2010/main"/>
                                    </a:ext>
                                  </a:extLst>
                                </a:blip>
                                <a:stretch>
                                  <a:fillRect/>
                                </a:stretch>
                              </pic:blipFill>
                              <pic:spPr>
                                <a:xfrm>
                                  <a:off x="87464" y="103366"/>
                                  <a:ext cx="269875" cy="233680"/>
                                </a:xfrm>
                                <a:prstGeom prst="rect">
                                  <a:avLst/>
                                </a:prstGeom>
                                <a:grpFill/>
                              </pic:spPr>
                            </pic:pic>
                          </wpg:wgp>
                        </a:graphicData>
                      </a:graphic>
                    </wp:inline>
                  </w:drawing>
                </mc:Choice>
                <mc:Fallback>
                  <w:pict>
                    <v:group w14:anchorId="117DD068" id="Group 342" o:spid="_x0000_s1136"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">
                      <v:oval id="Oval 343" o:spid="_x0000_s1137"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" fillcolor="#65bbc8" stroked="f" strokeweight="2pt">
                        <v:textbox>
                          <w:txbxContent>
                            <w:p w14:paraId="65DD0993" w14:textId="77777777" w:rsidR="003C0461" w:rsidRDefault="003C0461" w:rsidP="00955275">
                              <w:pPr>
                                <w:jc w:val="center"/>
                              </w:pPr>
                            </w:p>
                          </w:txbxContent>
                        </v:textbox>
                      </v:oval>
                      <v:shape id="Picture 344" o:spid="_x0000_s1138" type="#_x0000_t75" style="position:absolute;left:87464;top:103366;width:269875;height:23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">
                        <v:imagedata r:id="rId214"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FFFFFF"/>
            </w:tcBorders>
            <w:shd w:val="clear" w:color="auto" w:fill="E5F6FA"/>
            <w:vAlign w:val="center"/>
          </w:tcPr>
          <w:p w14:paraId="2AC091F0" w14:textId="77777777" w:rsidR="00955275" w:rsidRPr="00955275" w:rsidRDefault="00955275" w:rsidP="00663AE4">
            <w:pPr>
              <w:spacing w:line="276" w:lineRule="auto"/>
              <w:rPr>
                <w:rFonts w:eastAsia="EC Square Sans Pro" w:cs="EC Square Sans Pro"/>
                <w:szCs w:val="20"/>
              </w:rPr>
            </w:pPr>
            <w:r w:rsidRPr="00955275">
              <w:rPr>
                <w:rFonts w:eastAsia="Calibri"/>
                <w:b/>
                <w:sz w:val="18"/>
              </w:rPr>
              <w:t>470 000</w:t>
            </w:r>
            <w:r w:rsidRPr="00955275">
              <w:rPr>
                <w:rFonts w:eastAsia="Calibri"/>
                <w:sz w:val="18"/>
              </w:rPr>
              <w:t xml:space="preserve"> children attending school and their families received support through the conditional cash transfer for education programme</w:t>
            </w:r>
          </w:p>
        </w:tc>
        <w:tc>
          <w:tcPr>
            <w:tcW w:w="1361" w:type="dxa"/>
            <w:tcBorders>
              <w:top w:val="single" w:sz="8" w:space="0" w:color="FFFFFF"/>
              <w:left w:val="single" w:sz="8" w:space="0" w:color="FFFFFF"/>
              <w:bottom w:val="single" w:sz="8" w:space="0" w:color="FFFFFF"/>
              <w:right w:val="single" w:sz="8" w:space="0" w:color="E5F6FA"/>
            </w:tcBorders>
            <w:shd w:val="clear" w:color="auto" w:fill="E5F6FA"/>
            <w:vAlign w:val="center"/>
          </w:tcPr>
          <w:p w14:paraId="38AB7230" w14:textId="77777777" w:rsidR="00955275" w:rsidRPr="00955275" w:rsidRDefault="00955275" w:rsidP="00A92F69">
            <w:pPr>
              <w:spacing w:line="276" w:lineRule="auto"/>
              <w:jc w:val="center"/>
              <w:rPr>
                <w:rFonts w:eastAsia="EC Square Sans Pro"/>
                <w:lang w:eastAsia="hu-HU"/>
              </w:rPr>
            </w:pPr>
            <w:r w:rsidRPr="00A92F69">
              <w:rPr>
                <w:rFonts w:eastAsia="Calibri"/>
                <w:b/>
                <w:noProof/>
                <w:sz w:val="22"/>
                <w:lang w:val="fr-BE" w:eastAsia="fr-BE"/>
              </w:rPr>
              <mc:AlternateContent>
                <mc:Choice Requires="wpg">
                  <w:drawing>
                    <wp:inline distT="0" distB="0" distL="0" distR="0" wp14:anchorId="73DF3DEA" wp14:editId="7AE7A2E6">
                      <wp:extent cx="468000" cy="468000"/>
                      <wp:effectExtent l="0" t="0" r="8255" b="8255"/>
                      <wp:docPr id="345" name="Group 345"/>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6" name="Oval 346"/>
                              <wps:cNvSpPr/>
                              <wps:spPr>
                                <a:xfrm>
                                  <a:off x="0" y="0"/>
                                  <a:ext cx="450000" cy="450000"/>
                                </a:xfrm>
                                <a:prstGeom prst="ellipse">
                                  <a:avLst/>
                                </a:prstGeom>
                                <a:grpFill/>
                                <a:ln w="25400" cap="flat" cmpd="sng" algn="ctr">
                                  <a:noFill/>
                                  <a:prstDash val="solid"/>
                                </a:ln>
                                <a:effectLst/>
                              </wps:spPr>
                              <wps:txbx>
                                <w:txbxContent>
                                  <w:p w14:paraId="6BC54C87"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7" name="Picture 347"/>
                                <pic:cNvPicPr>
                                  <a:picLocks noChangeAspect="1"/>
                                </pic:cNvPicPr>
                              </pic:nvPicPr>
                              <pic:blipFill>
                                <a:blip r:embed="rId215" cstate="email">
                                  <a:lum bright="100000" contrast="-70000"/>
                                  <a:extLst>
                                    <a:ext uri="{28A0092B-C50C-407E-A947-70E740481C1C}">
                                      <a14:useLocalDpi xmlns:a14="http://schemas.microsoft.com/office/drawing/2010/main"/>
                                    </a:ext>
                                  </a:extLst>
                                </a:blip>
                                <a:stretch>
                                  <a:fillRect/>
                                </a:stretch>
                              </pic:blipFill>
                              <pic:spPr>
                                <a:xfrm>
                                  <a:off x="87464" y="87464"/>
                                  <a:ext cx="272415" cy="269875"/>
                                </a:xfrm>
                                <a:prstGeom prst="rect">
                                  <a:avLst/>
                                </a:prstGeom>
                                <a:grpFill/>
                              </pic:spPr>
                            </pic:pic>
                          </wpg:wgp>
                        </a:graphicData>
                      </a:graphic>
                    </wp:inline>
                  </w:drawing>
                </mc:Choice>
                <mc:Fallback>
                  <w:pict>
                    <v:group w14:anchorId="73DF3DEA" id="Group 345" o:spid="_x0000_s1139"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">
                      <v:oval id="Oval 346" o:spid="_x0000_s1140"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" filled="f" stroked="f" strokeweight="2pt">
                        <v:textbox>
                          <w:txbxContent>
                            <w:p w14:paraId="6BC54C87" w14:textId="77777777" w:rsidR="003C0461" w:rsidRDefault="003C0461" w:rsidP="00955275">
                              <w:pPr>
                                <w:jc w:val="center"/>
                              </w:pPr>
                            </w:p>
                          </w:txbxContent>
                        </v:textbox>
                      </v:oval>
                      <v:shape id="Picture 347" o:spid="_x0000_s1141" type="#_x0000_t75" style="position:absolute;left:87464;top:87464;width:272415;height:26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">
                        <v:imagedata r:id="rId216"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E5F6FA"/>
            </w:tcBorders>
            <w:shd w:val="clear" w:color="auto" w:fill="E5F6FA"/>
            <w:vAlign w:val="center"/>
          </w:tcPr>
          <w:p w14:paraId="244878A6" w14:textId="77777777" w:rsidR="00955275" w:rsidRPr="00955275" w:rsidRDefault="00955275" w:rsidP="00663AE4">
            <w:pPr>
              <w:spacing w:line="276" w:lineRule="auto"/>
              <w:rPr>
                <w:rFonts w:eastAsia="EC Square Sans Pro" w:cs="EC Square Sans Pro"/>
                <w:szCs w:val="20"/>
              </w:rPr>
            </w:pPr>
            <w:r w:rsidRPr="00A92F69">
              <w:rPr>
                <w:rFonts w:eastAsia="Calibri"/>
                <w:b/>
                <w:sz w:val="18"/>
              </w:rPr>
              <w:t>136</w:t>
            </w:r>
            <w:r w:rsidRPr="00A92F69">
              <w:rPr>
                <w:rFonts w:eastAsia="Calibri"/>
                <w:sz w:val="18"/>
              </w:rPr>
              <w:t xml:space="preserve"> new schools are currently being constructed to respond to education needs</w:t>
            </w:r>
          </w:p>
        </w:tc>
      </w:tr>
      <w:tr w:rsidR="001004B7" w:rsidRPr="00955275" w14:paraId="3AB8F321" w14:textId="77777777" w:rsidTr="00663AE4">
        <w:trPr>
          <w:trHeight w:val="964"/>
          <w:jc w:val="center"/>
        </w:trPr>
        <w:tc>
          <w:tcPr>
            <w:tcW w:w="1361" w:type="dxa"/>
            <w:tcBorders>
              <w:top w:val="single" w:sz="8" w:space="0" w:color="FFFFFF"/>
              <w:left w:val="single" w:sz="8" w:space="0" w:color="E5F6FA"/>
              <w:bottom w:val="single" w:sz="8" w:space="0" w:color="FFFFFF"/>
              <w:right w:val="single" w:sz="8" w:space="0" w:color="E5F6FA"/>
            </w:tcBorders>
            <w:shd w:val="clear" w:color="auto" w:fill="E5F6FA"/>
            <w:vAlign w:val="center"/>
          </w:tcPr>
          <w:p w14:paraId="16A7A9B4" w14:textId="77777777" w:rsidR="00955275" w:rsidRPr="00955275" w:rsidRDefault="00955275" w:rsidP="00A92F69">
            <w:pPr>
              <w:spacing w:line="276" w:lineRule="auto"/>
              <w:jc w:val="center"/>
              <w:rPr>
                <w:rFonts w:eastAsia="EC Square Sans Pro"/>
                <w:noProof/>
                <w:lang w:eastAsia="en-GB"/>
              </w:rPr>
            </w:pPr>
            <w:r w:rsidRPr="00A92F69">
              <w:rPr>
                <w:rFonts w:eastAsia="Calibri"/>
                <w:b/>
                <w:noProof/>
                <w:sz w:val="22"/>
                <w:lang w:val="fr-BE" w:eastAsia="fr-BE"/>
              </w:rPr>
              <mc:AlternateContent>
                <mc:Choice Requires="wpg">
                  <w:drawing>
                    <wp:inline distT="0" distB="0" distL="0" distR="0" wp14:anchorId="6B585BAD" wp14:editId="236155BB">
                      <wp:extent cx="468000" cy="468000"/>
                      <wp:effectExtent l="0" t="0" r="8255" b="8255"/>
                      <wp:docPr id="348" name="Group 348"/>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49" name="Oval 349"/>
                              <wps:cNvSpPr/>
                              <wps:spPr>
                                <a:xfrm>
                                  <a:off x="0" y="0"/>
                                  <a:ext cx="450000" cy="450000"/>
                                </a:xfrm>
                                <a:prstGeom prst="ellipse">
                                  <a:avLst/>
                                </a:prstGeom>
                                <a:grpFill/>
                                <a:ln w="25400" cap="flat" cmpd="sng" algn="ctr">
                                  <a:noFill/>
                                  <a:prstDash val="solid"/>
                                </a:ln>
                                <a:effectLst/>
                              </wps:spPr>
                              <wps:txbx>
                                <w:txbxContent>
                                  <w:p w14:paraId="0B15C81D"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3" name="Picture 353"/>
                                <pic:cNvPicPr>
                                  <a:picLocks noChangeAspect="1"/>
                                </pic:cNvPicPr>
                              </pic:nvPicPr>
                              <pic:blipFill>
                                <a:blip r:embed="rId217" cstate="email">
                                  <a:lum bright="100000" contrast="-70000"/>
                                  <a:extLst>
                                    <a:ext uri="{28A0092B-C50C-407E-A947-70E740481C1C}">
                                      <a14:useLocalDpi xmlns:a14="http://schemas.microsoft.com/office/drawing/2010/main"/>
                                    </a:ext>
                                  </a:extLst>
                                </a:blip>
                                <a:stretch>
                                  <a:fillRect/>
                                </a:stretch>
                              </pic:blipFill>
                              <pic:spPr>
                                <a:xfrm>
                                  <a:off x="127221" y="39756"/>
                                  <a:ext cx="200660" cy="359410"/>
                                </a:xfrm>
                                <a:prstGeom prst="rect">
                                  <a:avLst/>
                                </a:prstGeom>
                                <a:grpFill/>
                              </pic:spPr>
                            </pic:pic>
                          </wpg:wgp>
                        </a:graphicData>
                      </a:graphic>
                    </wp:inline>
                  </w:drawing>
                </mc:Choice>
                <mc:Fallback>
                  <w:pict>
                    <v:group w14:anchorId="6B585BAD" id="Group 348" o:spid="_x0000_s1142"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">
                      <v:oval id="Oval 349" o:spid="_x0000_s1143"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" filled="f" stroked="f" strokeweight="2pt">
                        <v:textbox>
                          <w:txbxContent>
                            <w:p w14:paraId="0B15C81D" w14:textId="77777777" w:rsidR="003C0461" w:rsidRDefault="003C0461" w:rsidP="00955275">
                              <w:pPr>
                                <w:jc w:val="center"/>
                              </w:pPr>
                            </w:p>
                          </w:txbxContent>
                        </v:textbox>
                      </v:oval>
                      <v:shape id="Picture 353" o:spid="_x0000_s1144" type="#_x0000_t75" style="position:absolute;left:127221;top:39756;width:200660;height:35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">
                        <v:imagedata r:id="rId218"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FFFFFF"/>
            </w:tcBorders>
            <w:shd w:val="clear" w:color="auto" w:fill="E5F6FA"/>
            <w:vAlign w:val="center"/>
          </w:tcPr>
          <w:p w14:paraId="3926171D" w14:textId="77777777" w:rsidR="00955275" w:rsidRPr="00A92F69" w:rsidRDefault="00955275" w:rsidP="00663AE4">
            <w:pPr>
              <w:keepNext/>
              <w:spacing w:line="259" w:lineRule="auto"/>
              <w:rPr>
                <w:rFonts w:eastAsia="Calibri"/>
                <w:sz w:val="18"/>
              </w:rPr>
            </w:pPr>
            <w:r w:rsidRPr="00A92F69">
              <w:rPr>
                <w:rFonts w:eastAsia="Calibri"/>
                <w:sz w:val="18"/>
              </w:rPr>
              <w:t>Over</w:t>
            </w:r>
            <w:r w:rsidRPr="00A92F69">
              <w:rPr>
                <w:rFonts w:eastAsia="Calibri"/>
                <w:b/>
                <w:sz w:val="18"/>
              </w:rPr>
              <w:t xml:space="preserve"> 1.2 million</w:t>
            </w:r>
            <w:r w:rsidRPr="00A92F69">
              <w:rPr>
                <w:rFonts w:eastAsia="Calibri"/>
                <w:sz w:val="18"/>
              </w:rPr>
              <w:t xml:space="preserve"> ante-natal consultations delivered</w:t>
            </w:r>
          </w:p>
        </w:tc>
        <w:tc>
          <w:tcPr>
            <w:tcW w:w="1361" w:type="dxa"/>
            <w:tcBorders>
              <w:top w:val="single" w:sz="8" w:space="0" w:color="FFFFFF"/>
              <w:left w:val="single" w:sz="8" w:space="0" w:color="FFFFFF"/>
              <w:bottom w:val="single" w:sz="8" w:space="0" w:color="FFFFFF"/>
              <w:right w:val="single" w:sz="8" w:space="0" w:color="E5F6FA"/>
            </w:tcBorders>
            <w:shd w:val="clear" w:color="auto" w:fill="E5F6FA"/>
            <w:vAlign w:val="center"/>
          </w:tcPr>
          <w:p w14:paraId="05517A45" w14:textId="77777777" w:rsidR="00955275" w:rsidRPr="00955275" w:rsidRDefault="00955275" w:rsidP="00A92F69">
            <w:pPr>
              <w:spacing w:line="276" w:lineRule="auto"/>
              <w:jc w:val="center"/>
              <w:rPr>
                <w:rFonts w:eastAsia="EC Square Sans Pro"/>
                <w:noProof/>
                <w:lang w:eastAsia="en-GB"/>
              </w:rPr>
            </w:pPr>
            <w:r w:rsidRPr="00A92F69">
              <w:rPr>
                <w:rFonts w:eastAsia="Calibri"/>
                <w:b/>
                <w:noProof/>
                <w:color w:val="0070C0"/>
                <w:sz w:val="22"/>
                <w:lang w:val="fr-BE" w:eastAsia="fr-BE"/>
              </w:rPr>
              <mc:AlternateContent>
                <mc:Choice Requires="wpg">
                  <w:drawing>
                    <wp:inline distT="0" distB="0" distL="0" distR="0" wp14:anchorId="23F89E33" wp14:editId="6822AA4B">
                      <wp:extent cx="468000" cy="468000"/>
                      <wp:effectExtent l="0" t="0" r="8255" b="8255"/>
                      <wp:docPr id="354" name="Group 354"/>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55" name="Oval 355"/>
                              <wps:cNvSpPr/>
                              <wps:spPr>
                                <a:xfrm>
                                  <a:off x="0" y="0"/>
                                  <a:ext cx="450000" cy="450000"/>
                                </a:xfrm>
                                <a:prstGeom prst="ellipse">
                                  <a:avLst/>
                                </a:prstGeom>
                                <a:grpFill/>
                                <a:ln w="25400" cap="flat" cmpd="sng" algn="ctr">
                                  <a:noFill/>
                                  <a:prstDash val="solid"/>
                                </a:ln>
                                <a:effectLst/>
                              </wps:spPr>
                              <wps:txbx>
                                <w:txbxContent>
                                  <w:p w14:paraId="5DAAB7C1"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6" name="Picture 356"/>
                                <pic:cNvPicPr>
                                  <a:picLocks noChangeAspect="1"/>
                                </pic:cNvPicPr>
                              </pic:nvPicPr>
                              <pic:blipFill>
                                <a:blip r:embed="rId219" cstate="email">
                                  <a:lum bright="100000" contrast="-70000"/>
                                  <a:extLst>
                                    <a:ext uri="{28A0092B-C50C-407E-A947-70E740481C1C}">
                                      <a14:useLocalDpi xmlns:a14="http://schemas.microsoft.com/office/drawing/2010/main"/>
                                    </a:ext>
                                  </a:extLst>
                                </a:blip>
                                <a:stretch>
                                  <a:fillRect/>
                                </a:stretch>
                              </pic:blipFill>
                              <pic:spPr>
                                <a:xfrm>
                                  <a:off x="87464" y="127221"/>
                                  <a:ext cx="269875" cy="196850"/>
                                </a:xfrm>
                                <a:prstGeom prst="rect">
                                  <a:avLst/>
                                </a:prstGeom>
                                <a:grpFill/>
                              </pic:spPr>
                            </pic:pic>
                          </wpg:wgp>
                        </a:graphicData>
                      </a:graphic>
                    </wp:inline>
                  </w:drawing>
                </mc:Choice>
                <mc:Fallback>
                  <w:pict>
                    <v:group w14:anchorId="23F89E33" id="Group 354" o:spid="_x0000_s1145"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">
                      <v:oval id="Oval 355" o:spid="_x0000_s1146"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" filled="f" stroked="f" strokeweight="2pt">
                        <v:textbox>
                          <w:txbxContent>
                            <w:p w14:paraId="5DAAB7C1" w14:textId="77777777" w:rsidR="003C0461" w:rsidRDefault="003C0461" w:rsidP="00955275">
                              <w:pPr>
                                <w:jc w:val="center"/>
                              </w:pPr>
                            </w:p>
                          </w:txbxContent>
                        </v:textbox>
                      </v:oval>
                      <v:shape id="Picture 356" o:spid="_x0000_s1147" type="#_x0000_t75" style="position:absolute;left:87464;top:127221;width:269875;height:19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">
                        <v:imagedata r:id="rId220"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E5F6FA"/>
            </w:tcBorders>
            <w:shd w:val="clear" w:color="auto" w:fill="E5F6FA"/>
            <w:vAlign w:val="center"/>
          </w:tcPr>
          <w:p w14:paraId="21CC6E87" w14:textId="77777777" w:rsidR="00955275" w:rsidRPr="00955275" w:rsidRDefault="00955275" w:rsidP="00663AE4">
            <w:pPr>
              <w:spacing w:line="276" w:lineRule="auto"/>
              <w:rPr>
                <w:rFonts w:eastAsia="EC Square Sans Pro" w:cs="EC Square Sans Pro"/>
                <w:szCs w:val="20"/>
              </w:rPr>
            </w:pPr>
            <w:r w:rsidRPr="00A92F69">
              <w:rPr>
                <w:rFonts w:eastAsia="Calibri"/>
                <w:sz w:val="18"/>
              </w:rPr>
              <w:t xml:space="preserve">Over </w:t>
            </w:r>
            <w:r w:rsidRPr="00A92F69">
              <w:rPr>
                <w:rFonts w:eastAsia="Calibri"/>
                <w:b/>
                <w:sz w:val="18"/>
              </w:rPr>
              <w:t xml:space="preserve">60 000 </w:t>
            </w:r>
            <w:r w:rsidRPr="00A92F69">
              <w:rPr>
                <w:rFonts w:eastAsia="Calibri"/>
                <w:sz w:val="18"/>
              </w:rPr>
              <w:t>students have benefited from catch-up and back-up classes</w:t>
            </w:r>
          </w:p>
        </w:tc>
      </w:tr>
      <w:tr w:rsidR="001004B7" w:rsidRPr="00955275" w14:paraId="3FA426E4" w14:textId="77777777" w:rsidTr="00663AE4">
        <w:trPr>
          <w:trHeight w:val="964"/>
          <w:jc w:val="center"/>
        </w:trPr>
        <w:tc>
          <w:tcPr>
            <w:tcW w:w="1361" w:type="dxa"/>
            <w:tcBorders>
              <w:top w:val="single" w:sz="8" w:space="0" w:color="FFFFFF"/>
              <w:left w:val="single" w:sz="8" w:space="0" w:color="E5F6FA"/>
              <w:bottom w:val="single" w:sz="8" w:space="0" w:color="FFFFFF"/>
              <w:right w:val="single" w:sz="8" w:space="0" w:color="E5F6FA"/>
            </w:tcBorders>
            <w:shd w:val="clear" w:color="auto" w:fill="E5F6FA"/>
            <w:vAlign w:val="center"/>
          </w:tcPr>
          <w:p w14:paraId="64541AC5" w14:textId="77777777" w:rsidR="00955275" w:rsidRPr="00955275" w:rsidRDefault="00955275" w:rsidP="00A92F69">
            <w:pPr>
              <w:spacing w:line="276" w:lineRule="auto"/>
              <w:jc w:val="center"/>
              <w:rPr>
                <w:rFonts w:eastAsia="EC Square Sans Pro"/>
                <w:noProof/>
                <w:lang w:eastAsia="en-GB"/>
              </w:rPr>
            </w:pPr>
            <w:r w:rsidRPr="00A92F69">
              <w:rPr>
                <w:rFonts w:eastAsia="Calibri"/>
                <w:b/>
                <w:noProof/>
                <w:color w:val="0070C0"/>
                <w:sz w:val="22"/>
                <w:lang w:val="fr-BE" w:eastAsia="fr-BE"/>
              </w:rPr>
              <mc:AlternateContent>
                <mc:Choice Requires="wpg">
                  <w:drawing>
                    <wp:inline distT="0" distB="0" distL="0" distR="0" wp14:anchorId="24EA8C10" wp14:editId="14EBE467">
                      <wp:extent cx="468000" cy="468000"/>
                      <wp:effectExtent l="0" t="0" r="8255" b="8255"/>
                      <wp:docPr id="357" name="Group 357"/>
                      <wp:cNvGraphicFramePr/>
                      <a:graphic xmlns:a="http://schemas.openxmlformats.org/drawingml/2006/main">
                        <a:graphicData uri="http://schemas.microsoft.com/office/word/2010/wordprocessingGroup">
                          <wpg:wgp>
                            <wpg:cNvGrpSpPr/>
                            <wpg:grpSpPr>
                              <a:xfrm>
                                <a:off x="0" y="0"/>
                                <a:ext cx="468000" cy="468000"/>
                                <a:chOff x="0" y="0"/>
                                <a:chExt cx="450000" cy="450000"/>
                              </a:xfrm>
                              <a:solidFill>
                                <a:srgbClr val="65BBC8"/>
                              </a:solidFill>
                            </wpg:grpSpPr>
                            <wps:wsp>
                              <wps:cNvPr id="358" name="Oval 358"/>
                              <wps:cNvSpPr/>
                              <wps:spPr>
                                <a:xfrm>
                                  <a:off x="0" y="0"/>
                                  <a:ext cx="450000" cy="450000"/>
                                </a:xfrm>
                                <a:prstGeom prst="ellipse">
                                  <a:avLst/>
                                </a:prstGeom>
                                <a:grpFill/>
                                <a:ln w="25400" cap="flat" cmpd="sng" algn="ctr">
                                  <a:noFill/>
                                  <a:prstDash val="solid"/>
                                </a:ln>
                                <a:effectLst/>
                              </wps:spPr>
                              <wps:txbx>
                                <w:txbxContent>
                                  <w:p w14:paraId="7958624B"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9" name="Picture 359"/>
                                <pic:cNvPicPr>
                                  <a:picLocks noChangeAspect="1"/>
                                </pic:cNvPicPr>
                              </pic:nvPicPr>
                              <pic:blipFill>
                                <a:blip r:embed="rId219" cstate="email">
                                  <a:lum bright="100000" contrast="-70000"/>
                                  <a:extLst>
                                    <a:ext uri="{28A0092B-C50C-407E-A947-70E740481C1C}">
                                      <a14:useLocalDpi xmlns:a14="http://schemas.microsoft.com/office/drawing/2010/main"/>
                                    </a:ext>
                                  </a:extLst>
                                </a:blip>
                                <a:stretch>
                                  <a:fillRect/>
                                </a:stretch>
                              </pic:blipFill>
                              <pic:spPr>
                                <a:xfrm>
                                  <a:off x="87464" y="127221"/>
                                  <a:ext cx="269875" cy="196850"/>
                                </a:xfrm>
                                <a:prstGeom prst="rect">
                                  <a:avLst/>
                                </a:prstGeom>
                                <a:grpFill/>
                              </pic:spPr>
                            </pic:pic>
                          </wpg:wgp>
                        </a:graphicData>
                      </a:graphic>
                    </wp:inline>
                  </w:drawing>
                </mc:Choice>
                <mc:Fallback>
                  <w:pict>
                    <v:group w14:anchorId="24EA8C10" id="Group 357" o:spid="_x0000_s1148"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">
                      <v:oval id="Oval 358" o:spid="_x0000_s1149"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" filled="f" stroked="f" strokeweight="2pt">
                        <v:textbox>
                          <w:txbxContent>
                            <w:p w14:paraId="7958624B" w14:textId="77777777" w:rsidR="003C0461" w:rsidRDefault="003C0461" w:rsidP="00955275">
                              <w:pPr>
                                <w:jc w:val="center"/>
                              </w:pPr>
                            </w:p>
                          </w:txbxContent>
                        </v:textbox>
                      </v:oval>
                      <v:shape id="Picture 359" o:spid="_x0000_s1150" type="#_x0000_t75" style="position:absolute;left:87464;top:127221;width:269875;height:19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">
                        <v:imagedata r:id="rId220"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FFFFFF"/>
            </w:tcBorders>
            <w:shd w:val="clear" w:color="auto" w:fill="E5F6FA"/>
            <w:vAlign w:val="center"/>
          </w:tcPr>
          <w:p w14:paraId="0993D2FC" w14:textId="77777777" w:rsidR="00955275" w:rsidRPr="00A92F69" w:rsidRDefault="00955275" w:rsidP="00663AE4">
            <w:pPr>
              <w:keepNext/>
              <w:spacing w:line="259" w:lineRule="auto"/>
              <w:rPr>
                <w:rFonts w:eastAsia="Calibri"/>
                <w:sz w:val="18"/>
              </w:rPr>
            </w:pPr>
            <w:r w:rsidRPr="00A92F69">
              <w:rPr>
                <w:rFonts w:eastAsia="Calibri"/>
                <w:sz w:val="18"/>
              </w:rPr>
              <w:t xml:space="preserve">More than </w:t>
            </w:r>
            <w:r w:rsidRPr="00A92F69">
              <w:rPr>
                <w:rFonts w:eastAsia="Calibri"/>
                <w:b/>
                <w:sz w:val="18"/>
              </w:rPr>
              <w:t>635 000</w:t>
            </w:r>
            <w:r w:rsidRPr="00A92F69">
              <w:rPr>
                <w:rFonts w:eastAsia="Calibri"/>
                <w:sz w:val="18"/>
              </w:rPr>
              <w:t xml:space="preserve"> Syrian refugee children have access to education</w:t>
            </w:r>
          </w:p>
        </w:tc>
        <w:tc>
          <w:tcPr>
            <w:tcW w:w="1361" w:type="dxa"/>
            <w:tcBorders>
              <w:top w:val="single" w:sz="8" w:space="0" w:color="FFFFFF"/>
              <w:left w:val="single" w:sz="8" w:space="0" w:color="FFFFFF"/>
              <w:bottom w:val="single" w:sz="8" w:space="0" w:color="FFFFFF"/>
              <w:right w:val="single" w:sz="8" w:space="0" w:color="E5F6FA"/>
            </w:tcBorders>
            <w:shd w:val="clear" w:color="auto" w:fill="E5F6FA"/>
            <w:vAlign w:val="center"/>
          </w:tcPr>
          <w:p w14:paraId="0711B1BE" w14:textId="77777777" w:rsidR="00955275" w:rsidRPr="00955275" w:rsidRDefault="00955275" w:rsidP="00A92F69">
            <w:pPr>
              <w:spacing w:line="276" w:lineRule="auto"/>
              <w:jc w:val="center"/>
              <w:rPr>
                <w:rFonts w:eastAsia="EC Square Sans Pro"/>
                <w:noProof/>
                <w:lang w:eastAsia="en-GB"/>
              </w:rPr>
            </w:pPr>
            <w:r w:rsidRPr="00A92F69">
              <w:rPr>
                <w:rFonts w:eastAsia="Calibri"/>
                <w:b/>
                <w:noProof/>
                <w:sz w:val="22"/>
                <w:lang w:val="fr-BE" w:eastAsia="fr-BE"/>
              </w:rPr>
              <mc:AlternateContent>
                <mc:Choice Requires="wpg">
                  <w:drawing>
                    <wp:inline distT="0" distB="0" distL="0" distR="0" wp14:anchorId="472145CE" wp14:editId="38A5FF23">
                      <wp:extent cx="468000" cy="468000"/>
                      <wp:effectExtent l="0" t="0" r="8255" b="8255"/>
                      <wp:docPr id="227" name="Group 227"/>
                      <wp:cNvGraphicFramePr/>
                      <a:graphic xmlns:a="http://schemas.openxmlformats.org/drawingml/2006/main">
                        <a:graphicData uri="http://schemas.microsoft.com/office/word/2010/wordprocessingGroup">
                          <wpg:wgp>
                            <wpg:cNvGrpSpPr/>
                            <wpg:grpSpPr>
                              <a:xfrm>
                                <a:off x="0" y="0"/>
                                <a:ext cx="468000" cy="468000"/>
                                <a:chOff x="0" y="0"/>
                                <a:chExt cx="450000" cy="450000"/>
                              </a:xfrm>
                            </wpg:grpSpPr>
                            <wps:wsp>
                              <wps:cNvPr id="228" name="Oval 228"/>
                              <wps:cNvSpPr/>
                              <wps:spPr>
                                <a:xfrm>
                                  <a:off x="0" y="0"/>
                                  <a:ext cx="450000" cy="450000"/>
                                </a:xfrm>
                                <a:prstGeom prst="ellipse">
                                  <a:avLst/>
                                </a:prstGeom>
                                <a:solidFill>
                                  <a:srgbClr val="65BBC8"/>
                                </a:solidFill>
                                <a:ln w="25400" cap="flat" cmpd="sng" algn="ctr">
                                  <a:noFill/>
                                  <a:prstDash val="solid"/>
                                </a:ln>
                                <a:effectLst/>
                              </wps:spPr>
                              <wps:txbx>
                                <w:txbxContent>
                                  <w:p w14:paraId="4EBFC8C3" w14:textId="77777777" w:rsidR="003C0461" w:rsidRDefault="003C0461" w:rsidP="009552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1" name="Picture 231"/>
                                <pic:cNvPicPr>
                                  <a:picLocks noChangeAspect="1"/>
                                </pic:cNvPicPr>
                              </pic:nvPicPr>
                              <pic:blipFill>
                                <a:blip r:embed="rId221" cstate="email">
                                  <a:lum bright="100000" contrast="-70000"/>
                                  <a:extLst>
                                    <a:ext uri="{28A0092B-C50C-407E-A947-70E740481C1C}">
                                      <a14:useLocalDpi xmlns:a14="http://schemas.microsoft.com/office/drawing/2010/main"/>
                                    </a:ext>
                                  </a:extLst>
                                </a:blip>
                                <a:stretch>
                                  <a:fillRect/>
                                </a:stretch>
                              </pic:blipFill>
                              <pic:spPr>
                                <a:xfrm>
                                  <a:off x="87464" y="87464"/>
                                  <a:ext cx="269875" cy="269875"/>
                                </a:xfrm>
                                <a:prstGeom prst="rect">
                                  <a:avLst/>
                                </a:prstGeom>
                              </pic:spPr>
                            </pic:pic>
                          </wpg:wgp>
                        </a:graphicData>
                      </a:graphic>
                    </wp:inline>
                  </w:drawing>
                </mc:Choice>
                <mc:Fallback>
                  <w:pict>
                    <v:group w14:anchorId="472145CE" id="Group 227" o:spid="_x0000_s1151" style="width:36.85pt;height:36.85pt;mso-position-horizontal-relative:char;mso-position-vertical-relative:line" coordsize="450000,4500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">
                      <v:oval id="Oval 228" o:spid="_x0000_s1152" style="position:absolute;width:450000;height:45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" fillcolor="#65bbc8" stroked="f" strokeweight="2pt">
                        <v:textbox>
                          <w:txbxContent>
                            <w:p w14:paraId="4EBFC8C3" w14:textId="77777777" w:rsidR="003C0461" w:rsidRDefault="003C0461" w:rsidP="00955275">
                              <w:pPr>
                                <w:jc w:val="center"/>
                              </w:pPr>
                            </w:p>
                          </w:txbxContent>
                        </v:textbox>
                      </v:oval>
                      <v:shape id="Picture 231" o:spid="_x0000_s1153" type="#_x0000_t75" style="position:absolute;left:87464;top:87464;width:269875;height:269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">
                        <v:imagedata r:id="rId222" o:title="" gain="19661f" blacklevel=".5"/>
                        <v:path arrowok="t"/>
                      </v:shape>
                      <w10:anchorlock/>
                    </v:group>
                  </w:pict>
                </mc:Fallback>
              </mc:AlternateContent>
            </w:r>
          </w:p>
        </w:tc>
        <w:tc>
          <w:tcPr>
            <w:tcW w:w="3175" w:type="dxa"/>
            <w:tcBorders>
              <w:top w:val="single" w:sz="8" w:space="0" w:color="FFFFFF"/>
              <w:left w:val="single" w:sz="8" w:space="0" w:color="E5F6FA"/>
              <w:bottom w:val="single" w:sz="8" w:space="0" w:color="FFFFFF"/>
              <w:right w:val="single" w:sz="8" w:space="0" w:color="E5F6FA"/>
            </w:tcBorders>
            <w:shd w:val="clear" w:color="auto" w:fill="E5F6FA"/>
            <w:vAlign w:val="center"/>
          </w:tcPr>
          <w:p w14:paraId="4CDC6F3C" w14:textId="77777777" w:rsidR="00955275" w:rsidRPr="00955275" w:rsidRDefault="00955275" w:rsidP="00663AE4">
            <w:pPr>
              <w:spacing w:line="276" w:lineRule="auto"/>
              <w:rPr>
                <w:rFonts w:eastAsia="EC Square Sans Pro" w:cs="EC Square Sans Pro"/>
                <w:szCs w:val="20"/>
              </w:rPr>
            </w:pPr>
            <w:r w:rsidRPr="00A92F69">
              <w:rPr>
                <w:rFonts w:eastAsia="Calibri"/>
                <w:sz w:val="18"/>
              </w:rPr>
              <w:t xml:space="preserve">Almost </w:t>
            </w:r>
            <w:r w:rsidRPr="00A92F69">
              <w:rPr>
                <w:rFonts w:eastAsia="Calibri"/>
                <w:b/>
                <w:sz w:val="18"/>
              </w:rPr>
              <w:t>67 500</w:t>
            </w:r>
            <w:r w:rsidRPr="00A92F69">
              <w:rPr>
                <w:rFonts w:eastAsia="Calibri"/>
                <w:sz w:val="18"/>
              </w:rPr>
              <w:t xml:space="preserve"> children benefited from school transportation</w:t>
            </w:r>
          </w:p>
        </w:tc>
      </w:tr>
    </w:tbl>
    <w:p w14:paraId="6F4D67D2" w14:textId="77777777" w:rsidR="005D36C6" w:rsidRPr="00A04E56" w:rsidRDefault="005D36C6" w:rsidP="006A619F">
      <w:pPr>
        <w:pStyle w:val="BodyText1spacebeforeandafter"/>
      </w:pPr>
      <w:r w:rsidRPr="00A04E56">
        <w:t xml:space="preserve">The EU’s engagement with Turkey has also helped reduce irregular and unsafe border crossings into the EU and to cut the number of lives lost at sea. </w:t>
      </w:r>
    </w:p>
    <w:p w14:paraId="0794C380" w14:textId="77777777" w:rsidR="005D36C6" w:rsidRPr="00A04E56" w:rsidRDefault="005D36C6" w:rsidP="005D36C6">
      <w:pPr>
        <w:pStyle w:val="BodyText1spaceafter"/>
      </w:pPr>
      <w:r w:rsidRPr="00A04E56">
        <w:t xml:space="preserve">The Court of Auditors in its </w:t>
      </w:r>
      <w:r w:rsidRPr="00A04E56">
        <w:rPr>
          <w:rFonts w:eastAsia="Times New Roman"/>
          <w:szCs w:val="20"/>
          <w:lang w:eastAsia="en-GB"/>
        </w:rPr>
        <w:t>special report on the facility for refugees for Turkey</w:t>
      </w:r>
      <w:r w:rsidRPr="00A04E56">
        <w:rPr>
          <w:rStyle w:val="fnRef"/>
          <w:rFonts w:ascii="Calibri" w:hAnsi="Calibri" w:cs="Calibri"/>
        </w:rPr>
        <w:t> </w:t>
      </w:r>
      <w:r w:rsidRPr="00A04E56">
        <w:rPr>
          <w:rStyle w:val="fnRef"/>
        </w:rPr>
        <w:t>(</w:t>
      </w:r>
      <w:r w:rsidRPr="00A04E56">
        <w:rPr>
          <w:rStyle w:val="fnRefNo"/>
        </w:rPr>
        <w:footnoteReference w:id="345"/>
      </w:r>
      <w:r w:rsidRPr="00A04E56">
        <w:rPr>
          <w:rStyle w:val="fnRef"/>
        </w:rPr>
        <w:t>)</w:t>
      </w:r>
      <w:r w:rsidRPr="00A04E56">
        <w:rPr>
          <w:rStyle w:val="FootnoteReference"/>
          <w:rFonts w:eastAsia="Times New Roman"/>
          <w:lang w:eastAsia="en-GB"/>
        </w:rPr>
        <w:t xml:space="preserve"> </w:t>
      </w:r>
      <w:r w:rsidRPr="00A04E56">
        <w:t>examined whether the facility effectively supported the refugees in Turkey, focused on the management of the first tranche of the facility and results achieved in the area of humanitarian support. The Court found that this facility rapidly mobilised needed resources to provide a swift response to the refugee crisis. However, it did not fully achieve its objective of coordinating this response effectively.</w:t>
      </w:r>
    </w:p>
    <w:p w14:paraId="773E917D" w14:textId="39F5D183" w:rsidR="005D36C6" w:rsidRPr="00A04E56" w:rsidRDefault="00436E5A" w:rsidP="005D36C6">
      <w:pPr>
        <w:pStyle w:val="Title2Report"/>
      </w:pPr>
      <w:bookmarkStart w:id="215" w:name="_Toc12021044"/>
      <w:r w:rsidRPr="00A04E56">
        <w:t>Guarantee Fund for External Action</w:t>
      </w:r>
      <w:bookmarkEnd w:id="215"/>
      <w:r w:rsidRPr="00A04E56">
        <w:t xml:space="preserve"> </w:t>
      </w:r>
    </w:p>
    <w:p w14:paraId="366056A1" w14:textId="77777777" w:rsidR="005D36C6" w:rsidRPr="00A04E56" w:rsidRDefault="005D36C6" w:rsidP="00C53476">
      <w:pPr>
        <w:pStyle w:val="BodyText1spaceafter"/>
      </w:pPr>
      <w:r w:rsidRPr="00A04E56">
        <w:t xml:space="preserve">Lending operations covered by the </w:t>
      </w:r>
      <w:r w:rsidRPr="00A04E56">
        <w:rPr>
          <w:rFonts w:eastAsia="EC Square Sans Pro"/>
          <w:b/>
          <w:color w:val="65BBC8"/>
          <w:lang w:eastAsia="zh-CN"/>
        </w:rPr>
        <w:t>External Guarantee Fund</w:t>
      </w:r>
      <w:r w:rsidRPr="00A04E56">
        <w:t xml:space="preserve"> relate to three different instruments; the external lending mandate, which benefits from a guarantee from the EU budget to the European Investment Bank; Euratom external lending; and EU macro-financial assistance loans to third countries. The fund is provisioned from the EU budget and has to be maintained at a certain percentage (the target rate is currently 9%) of the outstanding amount of the loans and loans guaranteed.</w:t>
      </w:r>
    </w:p>
    <w:p w14:paraId="28E83FD2" w14:textId="236413A1" w:rsidR="005D36C6" w:rsidRPr="00A04E56" w:rsidRDefault="005D36C6" w:rsidP="00C53476">
      <w:pPr>
        <w:pStyle w:val="BodyText1spaceafter"/>
      </w:pPr>
      <w:r w:rsidRPr="00A04E56">
        <w:rPr>
          <w:rFonts w:eastAsia="EC Square Sans Pro"/>
          <w:b/>
          <w:color w:val="65BBC8"/>
          <w:szCs w:val="20"/>
          <w:lang w:eastAsia="zh-CN"/>
        </w:rPr>
        <w:t>Macro-Financial Assistance</w:t>
      </w:r>
      <w:r w:rsidRPr="00A04E56">
        <w:rPr>
          <w:rStyle w:val="fnRef"/>
          <w:rFonts w:ascii="Calibri" w:hAnsi="Calibri" w:cs="Calibri"/>
        </w:rPr>
        <w:t> </w:t>
      </w:r>
      <w:r w:rsidRPr="00A04E56">
        <w:rPr>
          <w:rStyle w:val="fnRef"/>
        </w:rPr>
        <w:t>(</w:t>
      </w:r>
      <w:r w:rsidRPr="00A04E56">
        <w:rPr>
          <w:rStyle w:val="fnRefNo"/>
        </w:rPr>
        <w:footnoteReference w:id="346"/>
      </w:r>
      <w:r w:rsidRPr="00A04E56">
        <w:rPr>
          <w:rStyle w:val="fnRef"/>
        </w:rPr>
        <w:t>)</w:t>
      </w:r>
      <w:r w:rsidRPr="00A04E56">
        <w:t xml:space="preserve"> programmes</w:t>
      </w:r>
      <w:r w:rsidRPr="00A04E56">
        <w:rPr>
          <w:rStyle w:val="fnRef"/>
          <w:rFonts w:ascii="Calibri" w:hAnsi="Calibri" w:cs="Calibri"/>
        </w:rPr>
        <w:t> </w:t>
      </w:r>
      <w:r w:rsidRPr="00A04E56">
        <w:rPr>
          <w:rStyle w:val="fnRef"/>
        </w:rPr>
        <w:t>(</w:t>
      </w:r>
      <w:r w:rsidRPr="00A04E56">
        <w:rPr>
          <w:rStyle w:val="fnRefNo"/>
        </w:rPr>
        <w:footnoteReference w:id="347"/>
      </w:r>
      <w:r w:rsidRPr="00A04E56">
        <w:rPr>
          <w:rStyle w:val="fnRef"/>
        </w:rPr>
        <w:t>)</w:t>
      </w:r>
      <w:r w:rsidR="00436E5A" w:rsidRPr="00A04E56">
        <w:t xml:space="preserve"> </w:t>
      </w:r>
      <w:r w:rsidRPr="00A04E56">
        <w:t>provide financial support to partner countries which experience a balance of payments crisis and are under an International Monetary Fund programme. This takes mainly the form of medium- and long-term loans, sometimes combined with grants. The objective of macro-financial assistance is to restore a sustainable external financial situation, while encouraging economic adjustments and structural reforms. Disbursements are tied to the fulfilment of specific policy conditions (listed in the Memorandum of Understanding and mutually agreed with the beneficiary country), and successful reviews.</w:t>
      </w:r>
    </w:p>
    <w:p w14:paraId="70E53341" w14:textId="334A7B3B" w:rsidR="005D36C6" w:rsidRPr="00A04E56" w:rsidRDefault="008C1D39" w:rsidP="005D36C6">
      <w:pPr>
        <w:pStyle w:val="BodyText1spaceafter"/>
      </w:pPr>
      <w:r w:rsidRPr="00A04E56">
        <w:rPr>
          <w:i/>
          <w:u w:val="single"/>
        </w:rPr>
        <w:t>In 2018</w:t>
      </w:r>
      <w:r w:rsidR="005D36C6" w:rsidRPr="00A04E56">
        <w:t xml:space="preserve">, the Commission </w:t>
      </w:r>
      <w:r w:rsidR="00436E5A" w:rsidRPr="00A04E56">
        <w:t xml:space="preserve">presented two new legislative proposals for macro-financial assistance operations, which were </w:t>
      </w:r>
      <w:r w:rsidR="005D36C6" w:rsidRPr="00A04E56">
        <w:t>adopted by the Parliament and Council</w:t>
      </w:r>
      <w:r w:rsidR="00756904" w:rsidRPr="00A04E56">
        <w:t xml:space="preserve"> </w:t>
      </w:r>
      <w:r w:rsidRPr="00A04E56">
        <w:rPr>
          <w:i/>
          <w:u w:val="single"/>
        </w:rPr>
        <w:t>in 2018</w:t>
      </w:r>
      <w:r w:rsidR="005D36C6" w:rsidRPr="00A04E56">
        <w:t xml:space="preserve">. These are </w:t>
      </w:r>
      <w:r w:rsidR="005D36C6" w:rsidRPr="00A04E56">
        <w:rPr>
          <w:lang w:eastAsia="en-US"/>
        </w:rPr>
        <w:t>Georgia II</w:t>
      </w:r>
      <w:r w:rsidR="005D36C6" w:rsidRPr="00A04E56">
        <w:t xml:space="preserve"> (EUR</w:t>
      </w:r>
      <w:r w:rsidR="005D36C6" w:rsidRPr="00A04E56">
        <w:rPr>
          <w:rFonts w:ascii="Calibri" w:hAnsi="Calibri" w:cs="Calibri"/>
        </w:rPr>
        <w:t> </w:t>
      </w:r>
      <w:r w:rsidR="005D36C6" w:rsidRPr="00A04E56">
        <w:t>45</w:t>
      </w:r>
      <w:r w:rsidR="005D36C6" w:rsidRPr="00A04E56">
        <w:rPr>
          <w:rFonts w:ascii="Calibri" w:hAnsi="Calibri" w:cs="Calibri"/>
        </w:rPr>
        <w:t> </w:t>
      </w:r>
      <w:r w:rsidR="005D36C6" w:rsidRPr="00A04E56">
        <w:t xml:space="preserve">million, including </w:t>
      </w:r>
      <w:r w:rsidR="005D36C6" w:rsidRPr="00A04E56" w:rsidDel="00717F2A">
        <w:t>EUR</w:t>
      </w:r>
      <w:r w:rsidR="005D36C6" w:rsidRPr="00A04E56">
        <w:rPr>
          <w:rFonts w:ascii="Calibri" w:hAnsi="Calibri" w:cs="Calibri"/>
        </w:rPr>
        <w:t> </w:t>
      </w:r>
      <w:r w:rsidR="005D36C6" w:rsidRPr="00A04E56">
        <w:t>10</w:t>
      </w:r>
      <w:r w:rsidR="005D36C6" w:rsidRPr="00A04E56">
        <w:rPr>
          <w:rFonts w:ascii="Calibri" w:hAnsi="Calibri" w:cs="Calibri"/>
        </w:rPr>
        <w:t> </w:t>
      </w:r>
      <w:r w:rsidR="005D36C6" w:rsidRPr="00A04E56">
        <w:t>million i</w:t>
      </w:r>
      <w:r w:rsidR="00436E5A" w:rsidRPr="00A04E56">
        <w:t>n</w:t>
      </w:r>
      <w:r w:rsidR="005D36C6" w:rsidRPr="00A04E56">
        <w:t xml:space="preserve"> grants) and </w:t>
      </w:r>
      <w:r w:rsidR="005D36C6" w:rsidRPr="00A04E56">
        <w:rPr>
          <w:lang w:eastAsia="en-US"/>
        </w:rPr>
        <w:t>Ukraine IV</w:t>
      </w:r>
      <w:r w:rsidR="005D36C6" w:rsidRPr="00A04E56">
        <w:t xml:space="preserve"> (</w:t>
      </w:r>
      <w:r w:rsidR="005D36C6" w:rsidRPr="00A04E56" w:rsidDel="00717F2A">
        <w:t>EUR</w:t>
      </w:r>
      <w:r w:rsidR="005D36C6" w:rsidRPr="00A04E56">
        <w:rPr>
          <w:rFonts w:ascii="Calibri" w:hAnsi="Calibri" w:cs="Calibri"/>
        </w:rPr>
        <w:t> </w:t>
      </w:r>
      <w:r w:rsidR="005D36C6" w:rsidRPr="00A04E56">
        <w:t>1</w:t>
      </w:r>
      <w:r w:rsidR="005D36C6" w:rsidRPr="00A04E56">
        <w:rPr>
          <w:rFonts w:ascii="Calibri" w:hAnsi="Calibri" w:cs="Calibri"/>
        </w:rPr>
        <w:t> </w:t>
      </w:r>
      <w:r w:rsidR="005D36C6" w:rsidRPr="00A04E56">
        <w:t xml:space="preserve">billion in loans). </w:t>
      </w:r>
      <w:r w:rsidR="00436E5A" w:rsidRPr="00A04E56">
        <w:t>In both cases, the disbursement of the first tranche took place in a single transaction in December 2018: Georgia II (EUR 15 million) and Ukraine IV (EUR 500 million).</w:t>
      </w:r>
      <w:r w:rsidR="005D36C6" w:rsidRPr="00A04E56">
        <w:t xml:space="preserve"> </w:t>
      </w:r>
    </w:p>
    <w:p w14:paraId="23EC27E5" w14:textId="15C24B4D" w:rsidR="005D36C6" w:rsidRPr="00A04E56" w:rsidRDefault="005D36C6" w:rsidP="00C53476">
      <w:pPr>
        <w:pStyle w:val="BodyText1spaceafter"/>
      </w:pPr>
      <w:r w:rsidRPr="00A04E56">
        <w:t xml:space="preserve">The objective of the </w:t>
      </w:r>
      <w:r w:rsidRPr="00A04E56">
        <w:rPr>
          <w:rFonts w:eastAsia="EC Square Sans Pro"/>
          <w:b/>
          <w:color w:val="65BBC8"/>
          <w:szCs w:val="20"/>
          <w:lang w:eastAsia="zh-CN"/>
        </w:rPr>
        <w:t>external lending mandate</w:t>
      </w:r>
      <w:r w:rsidRPr="00A04E56">
        <w:t xml:space="preserve"> of the European Investment Bank is to support private</w:t>
      </w:r>
      <w:r w:rsidR="002B5F47" w:rsidRPr="00A04E56">
        <w:t>-</w:t>
      </w:r>
      <w:r w:rsidRPr="00A04E56">
        <w:t>sector development in targeted third countries, the development of social and economic infrastructure, climate</w:t>
      </w:r>
      <w:r w:rsidR="00C6111C" w:rsidRPr="00A04E56">
        <w:t>-</w:t>
      </w:r>
      <w:r w:rsidRPr="00A04E56">
        <w:t xml:space="preserve">change mitigation and adaptation, and long-term economic resilience in relation to migration. </w:t>
      </w:r>
      <w:r w:rsidR="008C1D39" w:rsidRPr="00A04E56">
        <w:rPr>
          <w:i/>
          <w:u w:val="single"/>
        </w:rPr>
        <w:t>In 2018</w:t>
      </w:r>
      <w:r w:rsidRPr="00A04E56">
        <w:t xml:space="preserve">, for a total amount of </w:t>
      </w:r>
      <w:r w:rsidRPr="00A04E56" w:rsidDel="00717F2A">
        <w:t>EUR</w:t>
      </w:r>
      <w:r w:rsidRPr="00A04E56">
        <w:rPr>
          <w:rFonts w:ascii="Calibri" w:hAnsi="Calibri" w:cs="Calibri"/>
        </w:rPr>
        <w:t> </w:t>
      </w:r>
      <w:r w:rsidRPr="00A04E56">
        <w:t>4.</w:t>
      </w:r>
      <w:r w:rsidR="00436E5A" w:rsidRPr="00A04E56">
        <w:t>5</w:t>
      </w:r>
      <w:r w:rsidRPr="00A04E56">
        <w:t xml:space="preserve"> billion projects were signed by the European Investment Bank. </w:t>
      </w:r>
    </w:p>
    <w:p w14:paraId="35C34998" w14:textId="0A9ADA49" w:rsidR="005D36C6" w:rsidRPr="00A04E56" w:rsidRDefault="005D36C6" w:rsidP="00C53476">
      <w:pPr>
        <w:pStyle w:val="BodyText1spaceafter"/>
      </w:pPr>
      <w:r w:rsidRPr="00A04E56">
        <w:t xml:space="preserve">The </w:t>
      </w:r>
      <w:r w:rsidRPr="00A04E56">
        <w:rPr>
          <w:i/>
        </w:rPr>
        <w:t>ex post</w:t>
      </w:r>
      <w:r w:rsidRPr="00A04E56">
        <w:t xml:space="preserve"> evaluation reports on macro-financial assistance</w:t>
      </w:r>
      <w:r w:rsidR="00310C14" w:rsidRPr="00A04E56">
        <w:rPr>
          <w:rStyle w:val="fnRef"/>
          <w:rFonts w:ascii="Calibri" w:hAnsi="Calibri"/>
        </w:rPr>
        <w:t> </w:t>
      </w:r>
      <w:r w:rsidR="00310C14" w:rsidRPr="00A04E56">
        <w:rPr>
          <w:rStyle w:val="fnRef"/>
        </w:rPr>
        <w:t>(</w:t>
      </w:r>
      <w:r w:rsidR="00436E5A" w:rsidRPr="00A04E56">
        <w:rPr>
          <w:rStyle w:val="fnRefNo"/>
        </w:rPr>
        <w:footnoteReference w:id="348"/>
      </w:r>
      <w:r w:rsidR="00310C14" w:rsidRPr="00A04E56">
        <w:rPr>
          <w:rStyle w:val="fnRef"/>
        </w:rPr>
        <w:t>)</w:t>
      </w:r>
      <w:r w:rsidR="00310C14" w:rsidRPr="00A04E56">
        <w:t xml:space="preserve"> </w:t>
      </w:r>
      <w:r w:rsidRPr="00A04E56">
        <w:t>and the midterm review on the European Investment Bank external lending mandate</w:t>
      </w:r>
      <w:r w:rsidRPr="00A04E56">
        <w:rPr>
          <w:rStyle w:val="fnRef"/>
          <w:rFonts w:ascii="Calibri" w:hAnsi="Calibri" w:cs="Calibri"/>
        </w:rPr>
        <w:t> </w:t>
      </w:r>
      <w:r w:rsidRPr="00A04E56">
        <w:rPr>
          <w:rStyle w:val="fnRef"/>
        </w:rPr>
        <w:t>(</w:t>
      </w:r>
      <w:r w:rsidRPr="00A04E56">
        <w:rPr>
          <w:rStyle w:val="fnRefNo"/>
        </w:rPr>
        <w:footnoteReference w:id="349"/>
      </w:r>
      <w:r w:rsidRPr="00A04E56">
        <w:rPr>
          <w:rStyle w:val="fnRef"/>
        </w:rPr>
        <w:t>)</w:t>
      </w:r>
      <w:r w:rsidRPr="00A04E56">
        <w:t xml:space="preserve"> concluded that the external financing instruments were, overall, fit for purpose and that positive trends were emerging in relation to the achievement of objectives. The reports show that more resources are needed for external financing instruments because they have been stretched to their financial limit. </w:t>
      </w:r>
    </w:p>
    <w:p w14:paraId="1FEB180C" w14:textId="1EC1EE98" w:rsidR="005D36C6" w:rsidRPr="00277538" w:rsidRDefault="005D36C6" w:rsidP="00C53476">
      <w:pPr>
        <w:pStyle w:val="BodyText1spaceafter"/>
        <w:rPr>
          <w:spacing w:val="-2"/>
        </w:rPr>
      </w:pPr>
      <w:r w:rsidRPr="00277538">
        <w:rPr>
          <w:spacing w:val="-2"/>
        </w:rPr>
        <w:t xml:space="preserve">In response to this midterm review, as well as the sharp increase in the number of people trying to migrate to Europe illegally, the Commission proposed an </w:t>
      </w:r>
      <w:r w:rsidRPr="00277538">
        <w:rPr>
          <w:rStyle w:val="BOLDLIGHTBLUEReport"/>
          <w:rFonts w:eastAsiaTheme="minorHAnsi"/>
          <w:spacing w:val="-2"/>
        </w:rPr>
        <w:t>external investment plan</w:t>
      </w:r>
      <w:r w:rsidRPr="00277538">
        <w:rPr>
          <w:spacing w:val="-2"/>
        </w:rPr>
        <w:t xml:space="preserve"> to tackle the root causes of migration from countries neighbouring the European Union, consisting of a European </w:t>
      </w:r>
      <w:r w:rsidR="003D55F2" w:rsidRPr="00277538">
        <w:rPr>
          <w:spacing w:val="-2"/>
        </w:rPr>
        <w:t>F</w:t>
      </w:r>
      <w:r w:rsidR="009D4CC0" w:rsidRPr="00277538">
        <w:rPr>
          <w:spacing w:val="-2"/>
        </w:rPr>
        <w:t xml:space="preserve">und for </w:t>
      </w:r>
      <w:r w:rsidR="003D55F2" w:rsidRPr="00277538">
        <w:rPr>
          <w:spacing w:val="-2"/>
        </w:rPr>
        <w:t>S</w:t>
      </w:r>
      <w:r w:rsidR="009D4CC0" w:rsidRPr="00277538">
        <w:rPr>
          <w:spacing w:val="-2"/>
        </w:rPr>
        <w:t xml:space="preserve">ustainable </w:t>
      </w:r>
      <w:r w:rsidR="003D55F2" w:rsidRPr="00277538">
        <w:rPr>
          <w:spacing w:val="-2"/>
        </w:rPr>
        <w:t>D</w:t>
      </w:r>
      <w:r w:rsidR="009D4CC0" w:rsidRPr="00277538">
        <w:rPr>
          <w:spacing w:val="-2"/>
        </w:rPr>
        <w:t xml:space="preserve">evelopment </w:t>
      </w:r>
      <w:r w:rsidRPr="00277538">
        <w:rPr>
          <w:spacing w:val="-2"/>
        </w:rPr>
        <w:t>and quantitative and qualitative changes to the external lending mandate. For the next multiannual financial framework the Commission will further build on that. The new European Fund for Sustainable Development Plus, should constitute an integrated financial package supplying financing capacity in the form of grants, budgetary guarantees and financial instruments worldwide. It should support the external investment plan and combine blending and budgetary guarantee operations covered by the External</w:t>
      </w:r>
      <w:r w:rsidR="00DF5B84" w:rsidRPr="00277538">
        <w:rPr>
          <w:spacing w:val="-2"/>
        </w:rPr>
        <w:t>-</w:t>
      </w:r>
      <w:r w:rsidRPr="00277538">
        <w:rPr>
          <w:spacing w:val="-2"/>
        </w:rPr>
        <w:t>Action Guarantee, including those covering sovereign risks associated with lending operations, previously carried out under the external lending mandate to the European Investment Bank. Given its role under the treaties and its experience over the last decades in supporting EU policies, the European Investment Bank should remain a natural partner for the Commission for the implementation of operations under the External</w:t>
      </w:r>
      <w:r w:rsidR="00DF5B84" w:rsidRPr="00277538">
        <w:rPr>
          <w:spacing w:val="-2"/>
        </w:rPr>
        <w:t>-</w:t>
      </w:r>
      <w:r w:rsidRPr="00277538">
        <w:rPr>
          <w:spacing w:val="-2"/>
        </w:rPr>
        <w:t>Action Guarantee.</w:t>
      </w:r>
    </w:p>
    <w:p w14:paraId="23502819" w14:textId="4BCD2DCF" w:rsidR="005D36C6" w:rsidRPr="00A04E56" w:rsidRDefault="005D36C6" w:rsidP="005D36C6">
      <w:pPr>
        <w:pStyle w:val="Title2Report"/>
      </w:pPr>
      <w:bookmarkStart w:id="216" w:name="_Toc12021045"/>
      <w:r w:rsidRPr="00A04E56">
        <w:t>EU Civil Protection Mechanism</w:t>
      </w:r>
      <w:bookmarkEnd w:id="216"/>
      <w:r w:rsidRPr="00A04E56">
        <w:t xml:space="preserve"> </w:t>
      </w:r>
    </w:p>
    <w:p w14:paraId="551F1BFA" w14:textId="10EAFA83" w:rsidR="005D36C6" w:rsidRPr="00277538" w:rsidRDefault="005D36C6" w:rsidP="005D36C6">
      <w:pPr>
        <w:pStyle w:val="BodyText1spaceafter"/>
        <w:rPr>
          <w:spacing w:val="-2"/>
          <w:szCs w:val="20"/>
        </w:rPr>
      </w:pPr>
      <w:r w:rsidRPr="00277538">
        <w:rPr>
          <w:spacing w:val="-2"/>
          <w:szCs w:val="20"/>
        </w:rPr>
        <w:t xml:space="preserve">The aim of </w:t>
      </w:r>
      <w:r w:rsidRPr="00277538" w:rsidDel="00416AC9">
        <w:rPr>
          <w:spacing w:val="-2"/>
          <w:szCs w:val="20"/>
        </w:rPr>
        <w:t xml:space="preserve">the </w:t>
      </w:r>
      <w:r w:rsidRPr="00277538">
        <w:rPr>
          <w:spacing w:val="-2"/>
          <w:szCs w:val="20"/>
        </w:rPr>
        <w:t>EU Civil Protection Mechanism is to support, coordinate and supplement the disaster-management-coordination actions of the Member States in order to improve the systems for preventing, preparing for and responding to natural and man-made disasters. Through a comprehensive approach encompassing disaster prevention, preparedness and response, the programme aims to reduce the loss of human life and to minimise environmental and material damage caused by disasters. Member States put together resources and experts into a voluntary pool and keep them on standby for EU civil</w:t>
      </w:r>
      <w:r w:rsidR="00DF5B84" w:rsidRPr="00277538">
        <w:rPr>
          <w:spacing w:val="-2"/>
          <w:szCs w:val="20"/>
        </w:rPr>
        <w:t>-</w:t>
      </w:r>
      <w:r w:rsidRPr="00277538">
        <w:rPr>
          <w:spacing w:val="-2"/>
          <w:szCs w:val="20"/>
        </w:rPr>
        <w:t xml:space="preserve">protection missions. </w:t>
      </w:r>
    </w:p>
    <w:p w14:paraId="64805563" w14:textId="21993D65" w:rsidR="005D36C6" w:rsidRPr="00A04E56" w:rsidRDefault="005D36C6" w:rsidP="00C53476">
      <w:pPr>
        <w:keepNext/>
        <w:jc w:val="center"/>
        <w:rPr>
          <w:sz w:val="32"/>
        </w:rPr>
      </w:pPr>
      <w:r w:rsidRPr="00A04E56">
        <w:rPr>
          <w:b/>
          <w:color w:val="65BBC8"/>
          <w:sz w:val="32"/>
        </w:rPr>
        <w:t>EU Civil Protection Mechanism</w:t>
      </w:r>
      <w:r w:rsidRPr="00A04E56">
        <w:rPr>
          <w:color w:val="65BBC8"/>
          <w:sz w:val="32"/>
        </w:rPr>
        <w:t xml:space="preserve"> </w:t>
      </w:r>
      <w:r w:rsidRPr="00A04E56">
        <w:rPr>
          <w:sz w:val="32"/>
        </w:rPr>
        <w:t xml:space="preserve">response </w:t>
      </w:r>
      <w:r w:rsidR="008C1D39" w:rsidRPr="00A04E56">
        <w:rPr>
          <w:sz w:val="32"/>
        </w:rPr>
        <w:t>in 2018</w:t>
      </w:r>
    </w:p>
    <w:p w14:paraId="2A5892D4" w14:textId="74EE08B7" w:rsidR="005D36C6" w:rsidRPr="00A04E56" w:rsidRDefault="005D36C6" w:rsidP="006A619F">
      <w:pPr>
        <w:keepNext/>
        <w:spacing w:after="240"/>
        <w:jc w:val="center"/>
        <w:rPr>
          <w:sz w:val="27"/>
          <w:szCs w:val="27"/>
        </w:rPr>
      </w:pPr>
      <w:r w:rsidRPr="00A04E56">
        <w:rPr>
          <w:b/>
          <w:color w:val="65BBC8"/>
          <w:sz w:val="27"/>
          <w:szCs w:val="27"/>
        </w:rPr>
        <w:t>17</w:t>
      </w:r>
      <w:r w:rsidRPr="00A04E56">
        <w:rPr>
          <w:sz w:val="27"/>
          <w:szCs w:val="27"/>
        </w:rPr>
        <w:t xml:space="preserve"> participating states have contributed to </w:t>
      </w:r>
      <w:r w:rsidRPr="00A04E56">
        <w:rPr>
          <w:b/>
          <w:color w:val="65BBC8"/>
          <w:sz w:val="27"/>
          <w:szCs w:val="27"/>
        </w:rPr>
        <w:t>20</w:t>
      </w:r>
      <w:r w:rsidRPr="00A04E56">
        <w:rPr>
          <w:sz w:val="27"/>
          <w:szCs w:val="27"/>
        </w:rPr>
        <w:t xml:space="preserve"> emergencies</w:t>
      </w:r>
    </w:p>
    <w:tbl>
      <w:tblPr>
        <w:tblStyle w:val="TableGrid"/>
        <w:tblW w:w="907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left w:w="170" w:type="dxa"/>
          <w:bottom w:w="113" w:type="dxa"/>
          <w:right w:w="170" w:type="dxa"/>
        </w:tblCellMar>
        <w:tblLook w:val="04A0" w:firstRow="1" w:lastRow="0" w:firstColumn="1" w:lastColumn="0" w:noHBand="0" w:noVBand="1"/>
      </w:tblPr>
      <w:tblGrid>
        <w:gridCol w:w="4096"/>
        <w:gridCol w:w="880"/>
        <w:gridCol w:w="4096"/>
      </w:tblGrid>
      <w:tr w:rsidR="006C4609" w:rsidRPr="00A04E56" w14:paraId="589C1FD7" w14:textId="77777777" w:rsidTr="00B5418A">
        <w:trPr>
          <w:jc w:val="center"/>
        </w:trPr>
        <w:tc>
          <w:tcPr>
            <w:tcW w:w="4139" w:type="dxa"/>
            <w:shd w:val="clear" w:color="auto" w:fill="65BBC8"/>
          </w:tcPr>
          <w:p w14:paraId="23059D05" w14:textId="77777777" w:rsidR="005D36C6" w:rsidRPr="00B5418A" w:rsidRDefault="005D36C6" w:rsidP="00C53476">
            <w:pPr>
              <w:keepNext/>
              <w:jc w:val="center"/>
              <w:rPr>
                <w:b/>
                <w:color w:val="FFFFFF" w:themeColor="background1"/>
                <w:sz w:val="22"/>
              </w:rPr>
            </w:pPr>
            <w:r w:rsidRPr="00B5418A">
              <w:rPr>
                <w:b/>
                <w:color w:val="FFFFFF" w:themeColor="background1"/>
                <w:sz w:val="22"/>
              </w:rPr>
              <w:t>Assets and expertise</w:t>
            </w:r>
          </w:p>
        </w:tc>
        <w:tc>
          <w:tcPr>
            <w:tcW w:w="794" w:type="dxa"/>
            <w:shd w:val="clear" w:color="auto" w:fill="auto"/>
          </w:tcPr>
          <w:p w14:paraId="29657FAA" w14:textId="77777777" w:rsidR="005D36C6" w:rsidRPr="00B5418A" w:rsidRDefault="005D36C6" w:rsidP="00C53476">
            <w:pPr>
              <w:keepNext/>
              <w:jc w:val="center"/>
              <w:rPr>
                <w:b/>
                <w:color w:val="FFFFFF" w:themeColor="background1"/>
                <w:sz w:val="22"/>
              </w:rPr>
            </w:pPr>
          </w:p>
        </w:tc>
        <w:tc>
          <w:tcPr>
            <w:tcW w:w="4139" w:type="dxa"/>
            <w:shd w:val="clear" w:color="auto" w:fill="65BBC8"/>
          </w:tcPr>
          <w:p w14:paraId="35DF7519" w14:textId="77777777" w:rsidR="005D36C6" w:rsidRPr="00B5418A" w:rsidRDefault="005D36C6" w:rsidP="00C53476">
            <w:pPr>
              <w:keepNext/>
              <w:jc w:val="center"/>
              <w:rPr>
                <w:b/>
                <w:color w:val="FFFFFF" w:themeColor="background1"/>
                <w:sz w:val="22"/>
              </w:rPr>
            </w:pPr>
            <w:r w:rsidRPr="00B5418A">
              <w:rPr>
                <w:b/>
                <w:color w:val="FFFFFF" w:themeColor="background1"/>
                <w:sz w:val="22"/>
              </w:rPr>
              <w:t>Material assistance</w:t>
            </w:r>
          </w:p>
        </w:tc>
      </w:tr>
      <w:tr w:rsidR="006C4609" w:rsidRPr="00A04E56" w14:paraId="2555E286" w14:textId="77777777" w:rsidTr="00B5418A">
        <w:trPr>
          <w:trHeight w:val="454"/>
          <w:jc w:val="center"/>
        </w:trPr>
        <w:tc>
          <w:tcPr>
            <w:tcW w:w="4139" w:type="dxa"/>
            <w:shd w:val="clear" w:color="auto" w:fill="CBE8ED"/>
            <w:vAlign w:val="center"/>
          </w:tcPr>
          <w:p w14:paraId="787E5A30" w14:textId="77777777" w:rsidR="005D36C6" w:rsidRPr="00A04E56" w:rsidRDefault="005D36C6" w:rsidP="00C53476">
            <w:pPr>
              <w:keepNext/>
            </w:pPr>
            <w:r w:rsidRPr="00A04E56">
              <w:rPr>
                <w:b/>
              </w:rPr>
              <w:t>500+</w:t>
            </w:r>
            <w:r w:rsidRPr="00A04E56">
              <w:t xml:space="preserve"> firefighters</w:t>
            </w:r>
          </w:p>
        </w:tc>
        <w:tc>
          <w:tcPr>
            <w:tcW w:w="794" w:type="dxa"/>
            <w:shd w:val="clear" w:color="auto" w:fill="auto"/>
            <w:vAlign w:val="center"/>
          </w:tcPr>
          <w:p w14:paraId="2256D089" w14:textId="77777777" w:rsidR="005D36C6" w:rsidRPr="00A04E56" w:rsidRDefault="005D36C6" w:rsidP="00B5418A">
            <w:pPr>
              <w:keepNext/>
              <w:jc w:val="center"/>
            </w:pPr>
            <w:r w:rsidRPr="00A04E56">
              <w:rPr>
                <w:noProof/>
                <w:lang w:val="fr-BE" w:eastAsia="fr-BE"/>
              </w:rPr>
              <mc:AlternateContent>
                <mc:Choice Requires="wps">
                  <w:drawing>
                    <wp:inline distT="0" distB="0" distL="0" distR="0" wp14:anchorId="1D8A30C9" wp14:editId="5339B2A3">
                      <wp:extent cx="252730" cy="248285"/>
                      <wp:effectExtent l="0" t="0" r="13970" b="18415"/>
                      <wp:docPr id="10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52730" cy="248285"/>
                              </a:xfrm>
                              <a:custGeom>
                                <a:avLst/>
                                <a:gdLst>
                                  <a:gd name="T0" fmla="*/ 190 w 190"/>
                                  <a:gd name="T1" fmla="*/ 111 h 185"/>
                                  <a:gd name="T2" fmla="*/ 149 w 190"/>
                                  <a:gd name="T3" fmla="*/ 154 h 185"/>
                                  <a:gd name="T4" fmla="*/ 142 w 190"/>
                                  <a:gd name="T5" fmla="*/ 155 h 185"/>
                                  <a:gd name="T6" fmla="*/ 95 w 190"/>
                                  <a:gd name="T7" fmla="*/ 185 h 185"/>
                                  <a:gd name="T8" fmla="*/ 49 w 190"/>
                                  <a:gd name="T9" fmla="*/ 156 h 185"/>
                                  <a:gd name="T10" fmla="*/ 41 w 190"/>
                                  <a:gd name="T11" fmla="*/ 154 h 185"/>
                                  <a:gd name="T12" fmla="*/ 0 w 190"/>
                                  <a:gd name="T13" fmla="*/ 111 h 185"/>
                                  <a:gd name="T14" fmla="*/ 29 w 190"/>
                                  <a:gd name="T15" fmla="*/ 78 h 185"/>
                                  <a:gd name="T16" fmla="*/ 80 w 190"/>
                                  <a:gd name="T17" fmla="*/ 10 h 185"/>
                                  <a:gd name="T18" fmla="*/ 80 w 190"/>
                                  <a:gd name="T19" fmla="*/ 7 h 185"/>
                                  <a:gd name="T20" fmla="*/ 88 w 190"/>
                                  <a:gd name="T21" fmla="*/ 0 h 185"/>
                                  <a:gd name="T22" fmla="*/ 102 w 190"/>
                                  <a:gd name="T23" fmla="*/ 0 h 185"/>
                                  <a:gd name="T24" fmla="*/ 110 w 190"/>
                                  <a:gd name="T25" fmla="*/ 7 h 185"/>
                                  <a:gd name="T26" fmla="*/ 110 w 190"/>
                                  <a:gd name="T27" fmla="*/ 10 h 185"/>
                                  <a:gd name="T28" fmla="*/ 161 w 190"/>
                                  <a:gd name="T29" fmla="*/ 78 h 185"/>
                                  <a:gd name="T30" fmla="*/ 190 w 190"/>
                                  <a:gd name="T31" fmla="*/ 111 h 185"/>
                                  <a:gd name="T32" fmla="*/ 80 w 190"/>
                                  <a:gd name="T33" fmla="*/ 45 h 185"/>
                                  <a:gd name="T34" fmla="*/ 93 w 190"/>
                                  <a:gd name="T35" fmla="*/ 58 h 185"/>
                                  <a:gd name="T36" fmla="*/ 95 w 190"/>
                                  <a:gd name="T37" fmla="*/ 58 h 185"/>
                                  <a:gd name="T38" fmla="*/ 97 w 190"/>
                                  <a:gd name="T39" fmla="*/ 58 h 185"/>
                                  <a:gd name="T40" fmla="*/ 110 w 190"/>
                                  <a:gd name="T41" fmla="*/ 45 h 185"/>
                                  <a:gd name="T42" fmla="*/ 110 w 190"/>
                                  <a:gd name="T43" fmla="*/ 30 h 185"/>
                                  <a:gd name="T44" fmla="*/ 80 w 190"/>
                                  <a:gd name="T45" fmla="*/ 30 h 185"/>
                                  <a:gd name="T46" fmla="*/ 80 w 190"/>
                                  <a:gd name="T47" fmla="*/ 45 h 185"/>
                                  <a:gd name="T48" fmla="*/ 145 w 190"/>
                                  <a:gd name="T49" fmla="*/ 136 h 185"/>
                                  <a:gd name="T50" fmla="*/ 154 w 190"/>
                                  <a:gd name="T51" fmla="*/ 131 h 185"/>
                                  <a:gd name="T52" fmla="*/ 170 w 190"/>
                                  <a:gd name="T53" fmla="*/ 117 h 185"/>
                                  <a:gd name="T54" fmla="*/ 162 w 190"/>
                                  <a:gd name="T55" fmla="*/ 104 h 185"/>
                                  <a:gd name="T56" fmla="*/ 154 w 190"/>
                                  <a:gd name="T57" fmla="*/ 98 h 185"/>
                                  <a:gd name="T58" fmla="*/ 152 w 190"/>
                                  <a:gd name="T59" fmla="*/ 90 h 185"/>
                                  <a:gd name="T60" fmla="*/ 95 w 190"/>
                                  <a:gd name="T61" fmla="*/ 80 h 185"/>
                                  <a:gd name="T62" fmla="*/ 38 w 190"/>
                                  <a:gd name="T63" fmla="*/ 90 h 185"/>
                                  <a:gd name="T64" fmla="*/ 36 w 190"/>
                                  <a:gd name="T65" fmla="*/ 98 h 185"/>
                                  <a:gd name="T66" fmla="*/ 28 w 190"/>
                                  <a:gd name="T67" fmla="*/ 104 h 185"/>
                                  <a:gd name="T68" fmla="*/ 20 w 190"/>
                                  <a:gd name="T69" fmla="*/ 117 h 185"/>
                                  <a:gd name="T70" fmla="*/ 36 w 190"/>
                                  <a:gd name="T71" fmla="*/ 131 h 185"/>
                                  <a:gd name="T72" fmla="*/ 45 w 190"/>
                                  <a:gd name="T73" fmla="*/ 136 h 185"/>
                                  <a:gd name="T74" fmla="*/ 95 w 190"/>
                                  <a:gd name="T75" fmla="*/ 185 h 185"/>
                                  <a:gd name="T76" fmla="*/ 145 w 190"/>
                                  <a:gd name="T77" fmla="*/ 136 h 185"/>
                                  <a:gd name="T78" fmla="*/ 135 w 190"/>
                                  <a:gd name="T79" fmla="*/ 136 h 185"/>
                                  <a:gd name="T80" fmla="*/ 135 w 190"/>
                                  <a:gd name="T81" fmla="*/ 136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0" h="185">
                                    <a:moveTo>
                                      <a:pt x="190" y="111"/>
                                    </a:moveTo>
                                    <a:cubicBezTo>
                                      <a:pt x="190" y="126"/>
                                      <a:pt x="174" y="146"/>
                                      <a:pt x="149" y="154"/>
                                    </a:cubicBezTo>
                                    <a:cubicBezTo>
                                      <a:pt x="148" y="154"/>
                                      <a:pt x="145" y="155"/>
                                      <a:pt x="142" y="155"/>
                                    </a:cubicBezTo>
                                    <a:cubicBezTo>
                                      <a:pt x="129" y="176"/>
                                      <a:pt x="105" y="185"/>
                                      <a:pt x="95" y="185"/>
                                    </a:cubicBezTo>
                                    <a:cubicBezTo>
                                      <a:pt x="85" y="185"/>
                                      <a:pt x="61" y="176"/>
                                      <a:pt x="49" y="156"/>
                                    </a:cubicBezTo>
                                    <a:cubicBezTo>
                                      <a:pt x="46" y="156"/>
                                      <a:pt x="44" y="155"/>
                                      <a:pt x="41" y="154"/>
                                    </a:cubicBezTo>
                                    <a:cubicBezTo>
                                      <a:pt x="16" y="146"/>
                                      <a:pt x="0" y="126"/>
                                      <a:pt x="0" y="111"/>
                                    </a:cubicBezTo>
                                    <a:cubicBezTo>
                                      <a:pt x="0" y="86"/>
                                      <a:pt x="29" y="78"/>
                                      <a:pt x="29" y="78"/>
                                    </a:cubicBezTo>
                                    <a:cubicBezTo>
                                      <a:pt x="29" y="45"/>
                                      <a:pt x="51" y="17"/>
                                      <a:pt x="80" y="10"/>
                                    </a:cubicBezTo>
                                    <a:cubicBezTo>
                                      <a:pt x="80" y="7"/>
                                      <a:pt x="80" y="7"/>
                                      <a:pt x="80" y="7"/>
                                    </a:cubicBezTo>
                                    <a:cubicBezTo>
                                      <a:pt x="80" y="3"/>
                                      <a:pt x="83" y="0"/>
                                      <a:pt x="88" y="0"/>
                                    </a:cubicBezTo>
                                    <a:cubicBezTo>
                                      <a:pt x="102" y="0"/>
                                      <a:pt x="102" y="0"/>
                                      <a:pt x="102" y="0"/>
                                    </a:cubicBezTo>
                                    <a:cubicBezTo>
                                      <a:pt x="106" y="0"/>
                                      <a:pt x="110" y="3"/>
                                      <a:pt x="110" y="7"/>
                                    </a:cubicBezTo>
                                    <a:cubicBezTo>
                                      <a:pt x="110" y="10"/>
                                      <a:pt x="110" y="10"/>
                                      <a:pt x="110" y="10"/>
                                    </a:cubicBezTo>
                                    <a:cubicBezTo>
                                      <a:pt x="139" y="17"/>
                                      <a:pt x="161" y="45"/>
                                      <a:pt x="161" y="78"/>
                                    </a:cubicBezTo>
                                    <a:cubicBezTo>
                                      <a:pt x="161" y="78"/>
                                      <a:pt x="190" y="87"/>
                                      <a:pt x="190" y="111"/>
                                    </a:cubicBezTo>
                                    <a:close/>
                                    <a:moveTo>
                                      <a:pt x="80" y="45"/>
                                    </a:moveTo>
                                    <a:cubicBezTo>
                                      <a:pt x="80" y="50"/>
                                      <a:pt x="88" y="56"/>
                                      <a:pt x="93" y="58"/>
                                    </a:cubicBezTo>
                                    <a:cubicBezTo>
                                      <a:pt x="93" y="58"/>
                                      <a:pt x="94" y="58"/>
                                      <a:pt x="95" y="58"/>
                                    </a:cubicBezTo>
                                    <a:cubicBezTo>
                                      <a:pt x="96" y="58"/>
                                      <a:pt x="96" y="58"/>
                                      <a:pt x="97" y="58"/>
                                    </a:cubicBezTo>
                                    <a:cubicBezTo>
                                      <a:pt x="101" y="56"/>
                                      <a:pt x="110" y="50"/>
                                      <a:pt x="110" y="45"/>
                                    </a:cubicBezTo>
                                    <a:cubicBezTo>
                                      <a:pt x="110" y="37"/>
                                      <a:pt x="110" y="30"/>
                                      <a:pt x="110" y="30"/>
                                    </a:cubicBezTo>
                                    <a:cubicBezTo>
                                      <a:pt x="80" y="30"/>
                                      <a:pt x="80" y="30"/>
                                      <a:pt x="80" y="30"/>
                                    </a:cubicBezTo>
                                    <a:cubicBezTo>
                                      <a:pt x="80" y="30"/>
                                      <a:pt x="80" y="37"/>
                                      <a:pt x="80" y="45"/>
                                    </a:cubicBezTo>
                                    <a:close/>
                                    <a:moveTo>
                                      <a:pt x="145" y="136"/>
                                    </a:moveTo>
                                    <a:cubicBezTo>
                                      <a:pt x="146" y="133"/>
                                      <a:pt x="150" y="131"/>
                                      <a:pt x="154" y="131"/>
                                    </a:cubicBezTo>
                                    <a:cubicBezTo>
                                      <a:pt x="158" y="131"/>
                                      <a:pt x="170" y="123"/>
                                      <a:pt x="170" y="117"/>
                                    </a:cubicBezTo>
                                    <a:cubicBezTo>
                                      <a:pt x="170" y="109"/>
                                      <a:pt x="165" y="104"/>
                                      <a:pt x="162" y="104"/>
                                    </a:cubicBezTo>
                                    <a:cubicBezTo>
                                      <a:pt x="157" y="104"/>
                                      <a:pt x="154" y="102"/>
                                      <a:pt x="154" y="98"/>
                                    </a:cubicBezTo>
                                    <a:cubicBezTo>
                                      <a:pt x="153" y="95"/>
                                      <a:pt x="153" y="92"/>
                                      <a:pt x="152" y="90"/>
                                    </a:cubicBezTo>
                                    <a:cubicBezTo>
                                      <a:pt x="138" y="84"/>
                                      <a:pt x="117" y="80"/>
                                      <a:pt x="95" y="80"/>
                                    </a:cubicBezTo>
                                    <a:cubicBezTo>
                                      <a:pt x="73" y="80"/>
                                      <a:pt x="52" y="84"/>
                                      <a:pt x="38" y="90"/>
                                    </a:cubicBezTo>
                                    <a:cubicBezTo>
                                      <a:pt x="37" y="92"/>
                                      <a:pt x="37" y="95"/>
                                      <a:pt x="36" y="98"/>
                                    </a:cubicBezTo>
                                    <a:cubicBezTo>
                                      <a:pt x="36" y="102"/>
                                      <a:pt x="32" y="104"/>
                                      <a:pt x="28" y="104"/>
                                    </a:cubicBezTo>
                                    <a:cubicBezTo>
                                      <a:pt x="24" y="104"/>
                                      <a:pt x="20" y="109"/>
                                      <a:pt x="20" y="117"/>
                                    </a:cubicBezTo>
                                    <a:cubicBezTo>
                                      <a:pt x="20" y="124"/>
                                      <a:pt x="33" y="131"/>
                                      <a:pt x="36" y="131"/>
                                    </a:cubicBezTo>
                                    <a:cubicBezTo>
                                      <a:pt x="40" y="131"/>
                                      <a:pt x="44" y="134"/>
                                      <a:pt x="45" y="136"/>
                                    </a:cubicBezTo>
                                    <a:cubicBezTo>
                                      <a:pt x="51" y="161"/>
                                      <a:pt x="85" y="185"/>
                                      <a:pt x="95" y="185"/>
                                    </a:cubicBezTo>
                                    <a:cubicBezTo>
                                      <a:pt x="105" y="185"/>
                                      <a:pt x="139" y="161"/>
                                      <a:pt x="145" y="136"/>
                                    </a:cubicBezTo>
                                    <a:close/>
                                    <a:moveTo>
                                      <a:pt x="135" y="136"/>
                                    </a:moveTo>
                                    <a:cubicBezTo>
                                      <a:pt x="135" y="136"/>
                                      <a:pt x="135" y="136"/>
                                      <a:pt x="135" y="136"/>
                                    </a:cubicBezTo>
                                  </a:path>
                                </a:pathLst>
                              </a:custGeom>
                              <a:noFill/>
                              <a:ln w="15875" cap="flat">
                                <a:solidFill>
                                  <a:srgbClr val="65BBC8"/>
                                </a:solidFill>
                                <a:prstDash val="solid"/>
                                <a:miter lim="800000"/>
                                <a:headEnd/>
                                <a:tailEnd/>
                              </a:ln>
                              <a:extLst/>
                            </wps:spPr>
                            <wps:bodyPr rot="0" vert="horz" wrap="square" lIns="91440" tIns="45720" rIns="91440" bIns="45720" anchor="t" anchorCtr="0" upright="1">
                              <a:noAutofit/>
                            </wps:bodyPr>
                          </wps:wsp>
                        </a:graphicData>
                      </a:graphic>
                    </wp:inline>
                  </w:drawing>
                </mc:Choice>
                <mc:Fallback>
                  <w:pict>
                    <v:shape w14:anchorId="1246243A" id="Freeform 28" o:spid="_x0000_s1026" style="width:19.9pt;height:19.55pt;visibility:visible;mso-wrap-style:square;mso-left-percent:-10001;mso-top-percent:-10001;mso-position-horizontal:absolute;mso-position-horizontal-relative:char;mso-position-vertical:absolute;mso-position-vertical-relative:line;mso-left-percent:-10001;mso-top-percent:-10001;v-text-anchor:top" coordsize="190,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" path="m190,111v,15,-16,35,-41,43c148,154,145,155,142,155v-13,21,-37,30,-47,30c85,185,61,176,49,156v-3,,-5,-1,-8,-2c16,146,,126,,111,,86,29,78,29,78,29,45,51,17,80,10v,-3,,-3,,-3c80,3,83,,88,v14,,14,,14,c106,,110,3,110,7v,3,,3,,3c139,17,161,45,161,78v,,29,9,29,33xm80,45v,5,8,11,13,13c93,58,94,58,95,58v1,,1,,2,c101,56,110,50,110,45v,-8,,-15,,-15c80,30,80,30,80,30v,,,7,,15xm145,136v1,-3,5,-5,9,-5c158,131,170,123,170,117v,-8,-5,-13,-8,-13c157,104,154,102,154,98v-1,-3,-1,-6,-2,-8c138,84,117,80,95,80,73,80,52,84,38,90v-1,2,-1,5,-2,8c36,102,32,104,28,104v-4,,-8,5,-8,13c20,124,33,131,36,131v4,,8,3,9,5c51,161,85,185,95,185v10,,44,-24,50,-49xm135,136v,,,,,e" filled="f" strokecolor="#65bbc8" strokeweight="1.25pt">
                      <v:stroke joinstyle="miter"/>
                      <v:path arrowok="t" o:connecttype="custom" o:connectlocs="252730,148971;198194,206680;188882,208023;126365,248285;65178,209365;54536,206680;0,148971;38575,104682;106413,13421;106413,9395;117054,0;135676,0;146317,9395;146317,13421;214155,104682;252730,148971;106413,60394;123705,77841;126365,77841;129025,77841;146317,60394;146317,40262;106413,40262;106413,60394;192873,182523;204844,175813;226127,157023;215486,139576;204844,131524;202184,120787;126365,107366;50546,120787;47886,131524;37244,139576;26603,157023;47886,175813;59857,182523;126365,248285;192873,182523;179571,182523;179571,182523" o:connectangles="0,0,0,0,0,0,0,0,0,0,0,0,0,0,0,0,0,0,0,0,0,0,0,0,0,0,0,0,0,0,0,0,0,0,0,0,0,0,0,0,0"/>
                      <o:lock v:ext="edit" verticies="t"/>
                      <w10:anchorlock/>
                    </v:shape>
                  </w:pict>
                </mc:Fallback>
              </mc:AlternateContent>
            </w:r>
          </w:p>
        </w:tc>
        <w:tc>
          <w:tcPr>
            <w:tcW w:w="4139" w:type="dxa"/>
            <w:shd w:val="clear" w:color="auto" w:fill="CBE8ED"/>
            <w:vAlign w:val="center"/>
          </w:tcPr>
          <w:p w14:paraId="778ADD3A" w14:textId="77777777" w:rsidR="005D36C6" w:rsidRPr="00A04E56" w:rsidRDefault="005D36C6" w:rsidP="00C53476">
            <w:pPr>
              <w:keepNext/>
            </w:pPr>
            <w:r w:rsidRPr="00A04E56">
              <w:rPr>
                <w:b/>
              </w:rPr>
              <w:t>1 728</w:t>
            </w:r>
            <w:r w:rsidRPr="00A04E56">
              <w:t xml:space="preserve"> shelter kits</w:t>
            </w:r>
          </w:p>
        </w:tc>
      </w:tr>
      <w:tr w:rsidR="006C4609" w:rsidRPr="00A04E56" w14:paraId="006B7C07" w14:textId="77777777" w:rsidTr="00B5418A">
        <w:trPr>
          <w:trHeight w:val="454"/>
          <w:jc w:val="center"/>
        </w:trPr>
        <w:tc>
          <w:tcPr>
            <w:tcW w:w="4139" w:type="dxa"/>
            <w:shd w:val="clear" w:color="auto" w:fill="CBE8ED"/>
            <w:vAlign w:val="center"/>
          </w:tcPr>
          <w:p w14:paraId="6ADFEA3F" w14:textId="77777777" w:rsidR="005D36C6" w:rsidRPr="00A04E56" w:rsidRDefault="005D36C6" w:rsidP="00C53476">
            <w:pPr>
              <w:keepNext/>
            </w:pPr>
            <w:r w:rsidRPr="00A04E56">
              <w:rPr>
                <w:b/>
              </w:rPr>
              <w:t>30</w:t>
            </w:r>
            <w:r w:rsidRPr="00A04E56">
              <w:t xml:space="preserve"> EU Civil Protection Mechanism (EUCPM) experts</w:t>
            </w:r>
          </w:p>
        </w:tc>
        <w:tc>
          <w:tcPr>
            <w:tcW w:w="794" w:type="dxa"/>
            <w:shd w:val="clear" w:color="auto" w:fill="auto"/>
            <w:vAlign w:val="center"/>
          </w:tcPr>
          <w:p w14:paraId="2B2A5C3D" w14:textId="77777777" w:rsidR="005D36C6" w:rsidRPr="00A04E56" w:rsidRDefault="005D36C6" w:rsidP="00B5418A">
            <w:pPr>
              <w:keepNext/>
              <w:jc w:val="center"/>
            </w:pPr>
            <w:r w:rsidRPr="00A04E56">
              <w:rPr>
                <w:noProof/>
                <w:lang w:val="fr-BE" w:eastAsia="fr-BE"/>
              </w:rPr>
              <mc:AlternateContent>
                <mc:Choice Requires="wpg">
                  <w:drawing>
                    <wp:inline distT="0" distB="0" distL="0" distR="0" wp14:anchorId="09AAE4DC" wp14:editId="6786F7A5">
                      <wp:extent cx="227330" cy="226695"/>
                      <wp:effectExtent l="0" t="0" r="20320" b="20955"/>
                      <wp:docPr id="108" name="Group 108"/>
                      <wp:cNvGraphicFramePr/>
                      <a:graphic xmlns:a="http://schemas.openxmlformats.org/drawingml/2006/main">
                        <a:graphicData uri="http://schemas.microsoft.com/office/word/2010/wordprocessingGroup">
                          <wpg:wgp>
                            <wpg:cNvGrpSpPr/>
                            <wpg:grpSpPr>
                              <a:xfrm>
                                <a:off x="0" y="0"/>
                                <a:ext cx="227330" cy="226695"/>
                                <a:chOff x="0" y="0"/>
                                <a:chExt cx="227956" cy="226998"/>
                              </a:xfrm>
                              <a:noFill/>
                            </wpg:grpSpPr>
                            <wps:wsp>
                              <wps:cNvPr id="109" name="Freeform 37"/>
                              <wps:cNvSpPr>
                                <a:spLocks noEditPoints="1"/>
                              </wps:cNvSpPr>
                              <wps:spPr bwMode="auto">
                                <a:xfrm>
                                  <a:off x="27296" y="0"/>
                                  <a:ext cx="200660" cy="201295"/>
                                </a:xfrm>
                                <a:custGeom>
                                  <a:avLst/>
                                  <a:gdLst>
                                    <a:gd name="T0" fmla="*/ 33 w 112"/>
                                    <a:gd name="T1" fmla="*/ 107 h 111"/>
                                    <a:gd name="T2" fmla="*/ 42 w 112"/>
                                    <a:gd name="T3" fmla="*/ 111 h 111"/>
                                    <a:gd name="T4" fmla="*/ 44 w 112"/>
                                    <a:gd name="T5" fmla="*/ 111 h 111"/>
                                    <a:gd name="T6" fmla="*/ 54 w 112"/>
                                    <a:gd name="T7" fmla="*/ 105 h 111"/>
                                    <a:gd name="T8" fmla="*/ 108 w 112"/>
                                    <a:gd name="T9" fmla="*/ 23 h 111"/>
                                    <a:gd name="T10" fmla="*/ 104 w 112"/>
                                    <a:gd name="T11" fmla="*/ 4 h 111"/>
                                    <a:gd name="T12" fmla="*/ 86 w 112"/>
                                    <a:gd name="T13" fmla="*/ 8 h 111"/>
                                    <a:gd name="T14" fmla="*/ 40 w 112"/>
                                    <a:gd name="T15" fmla="*/ 76 h 111"/>
                                    <a:gd name="T16" fmla="*/ 25 w 112"/>
                                    <a:gd name="T17" fmla="*/ 60 h 111"/>
                                    <a:gd name="T18" fmla="*/ 6 w 112"/>
                                    <a:gd name="T19" fmla="*/ 60 h 111"/>
                                    <a:gd name="T20" fmla="*/ 6 w 112"/>
                                    <a:gd name="T21" fmla="*/ 80 h 111"/>
                                    <a:gd name="T22" fmla="*/ 33 w 112"/>
                                    <a:gd name="T23" fmla="*/ 107 h 111"/>
                                    <a:gd name="T24" fmla="*/ 33 w 112"/>
                                    <a:gd name="T25" fmla="*/ 107 h 111"/>
                                    <a:gd name="T26" fmla="*/ 33 w 112"/>
                                    <a:gd name="T27" fmla="*/ 107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2" h="111">
                                      <a:moveTo>
                                        <a:pt x="33" y="107"/>
                                      </a:moveTo>
                                      <a:cubicBezTo>
                                        <a:pt x="35" y="109"/>
                                        <a:pt x="39" y="111"/>
                                        <a:pt x="42" y="111"/>
                                      </a:cubicBezTo>
                                      <a:cubicBezTo>
                                        <a:pt x="43" y="111"/>
                                        <a:pt x="43" y="111"/>
                                        <a:pt x="44" y="111"/>
                                      </a:cubicBezTo>
                                      <a:cubicBezTo>
                                        <a:pt x="48" y="110"/>
                                        <a:pt x="52" y="108"/>
                                        <a:pt x="54" y="105"/>
                                      </a:cubicBezTo>
                                      <a:cubicBezTo>
                                        <a:pt x="108" y="23"/>
                                        <a:pt x="108" y="23"/>
                                        <a:pt x="108" y="23"/>
                                      </a:cubicBezTo>
                                      <a:cubicBezTo>
                                        <a:pt x="112" y="17"/>
                                        <a:pt x="111" y="8"/>
                                        <a:pt x="104" y="4"/>
                                      </a:cubicBezTo>
                                      <a:cubicBezTo>
                                        <a:pt x="98" y="0"/>
                                        <a:pt x="90" y="2"/>
                                        <a:pt x="86" y="8"/>
                                      </a:cubicBezTo>
                                      <a:cubicBezTo>
                                        <a:pt x="40" y="76"/>
                                        <a:pt x="40" y="76"/>
                                        <a:pt x="40" y="76"/>
                                      </a:cubicBezTo>
                                      <a:cubicBezTo>
                                        <a:pt x="25" y="60"/>
                                        <a:pt x="25" y="60"/>
                                        <a:pt x="25" y="60"/>
                                      </a:cubicBezTo>
                                      <a:cubicBezTo>
                                        <a:pt x="20" y="55"/>
                                        <a:pt x="11" y="55"/>
                                        <a:pt x="6" y="60"/>
                                      </a:cubicBezTo>
                                      <a:cubicBezTo>
                                        <a:pt x="0" y="66"/>
                                        <a:pt x="0" y="74"/>
                                        <a:pt x="6" y="80"/>
                                      </a:cubicBezTo>
                                      <a:lnTo>
                                        <a:pt x="33" y="107"/>
                                      </a:lnTo>
                                      <a:close/>
                                      <a:moveTo>
                                        <a:pt x="33" y="107"/>
                                      </a:moveTo>
                                      <a:cubicBezTo>
                                        <a:pt x="33" y="107"/>
                                        <a:pt x="33" y="107"/>
                                        <a:pt x="33" y="107"/>
                                      </a:cubicBezTo>
                                    </a:path>
                                  </a:pathLst>
                                </a:custGeom>
                                <a:grpFill/>
                                <a:ln w="15875" cap="flat">
                                  <a:solidFill>
                                    <a:srgbClr val="65BBC8"/>
                                  </a:solidFill>
                                  <a:prstDash val="solid"/>
                                  <a:miter lim="800000"/>
                                  <a:headEnd/>
                                  <a:tailEnd/>
                                </a:ln>
                                <a:extLst/>
                              </wps:spPr>
                              <wps:bodyPr rot="0" vert="horz" wrap="square" lIns="91440" tIns="45720" rIns="91440" bIns="45720" anchor="t" anchorCtr="0" upright="1">
                                <a:noAutofit/>
                              </wps:bodyPr>
                            </wps:wsp>
                            <wps:wsp>
                              <wps:cNvPr id="110" name="Freeform 38"/>
                              <wps:cNvSpPr>
                                <a:spLocks/>
                              </wps:cNvSpPr>
                              <wps:spPr bwMode="auto">
                                <a:xfrm>
                                  <a:off x="0" y="40943"/>
                                  <a:ext cx="186690" cy="186055"/>
                                </a:xfrm>
                                <a:custGeom>
                                  <a:avLst/>
                                  <a:gdLst>
                                    <a:gd name="T0" fmla="*/ 73 w 104"/>
                                    <a:gd name="T1" fmla="*/ 0 h 103"/>
                                    <a:gd name="T2" fmla="*/ 9 w 104"/>
                                    <a:gd name="T3" fmla="*/ 0 h 103"/>
                                    <a:gd name="T4" fmla="*/ 0 w 104"/>
                                    <a:gd name="T5" fmla="*/ 8 h 103"/>
                                    <a:gd name="T6" fmla="*/ 0 w 104"/>
                                    <a:gd name="T7" fmla="*/ 95 h 103"/>
                                    <a:gd name="T8" fmla="*/ 9 w 104"/>
                                    <a:gd name="T9" fmla="*/ 103 h 103"/>
                                    <a:gd name="T10" fmla="*/ 95 w 104"/>
                                    <a:gd name="T11" fmla="*/ 103 h 103"/>
                                    <a:gd name="T12" fmla="*/ 104 w 104"/>
                                    <a:gd name="T13" fmla="*/ 95 h 103"/>
                                    <a:gd name="T14" fmla="*/ 104 w 104"/>
                                    <a:gd name="T15" fmla="*/ 56 h 1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 h="103">
                                      <a:moveTo>
                                        <a:pt x="73" y="0"/>
                                      </a:moveTo>
                                      <a:cubicBezTo>
                                        <a:pt x="9" y="0"/>
                                        <a:pt x="9" y="0"/>
                                        <a:pt x="9" y="0"/>
                                      </a:cubicBezTo>
                                      <a:cubicBezTo>
                                        <a:pt x="4" y="0"/>
                                        <a:pt x="0" y="3"/>
                                        <a:pt x="0" y="8"/>
                                      </a:cubicBezTo>
                                      <a:cubicBezTo>
                                        <a:pt x="0" y="95"/>
                                        <a:pt x="0" y="95"/>
                                        <a:pt x="0" y="95"/>
                                      </a:cubicBezTo>
                                      <a:cubicBezTo>
                                        <a:pt x="0" y="99"/>
                                        <a:pt x="4" y="103"/>
                                        <a:pt x="9" y="103"/>
                                      </a:cubicBezTo>
                                      <a:cubicBezTo>
                                        <a:pt x="95" y="103"/>
                                        <a:pt x="95" y="103"/>
                                        <a:pt x="95" y="103"/>
                                      </a:cubicBezTo>
                                      <a:cubicBezTo>
                                        <a:pt x="100" y="103"/>
                                        <a:pt x="104" y="99"/>
                                        <a:pt x="104" y="95"/>
                                      </a:cubicBezTo>
                                      <a:cubicBezTo>
                                        <a:pt x="104" y="56"/>
                                        <a:pt x="104" y="56"/>
                                        <a:pt x="104" y="56"/>
                                      </a:cubicBezTo>
                                    </a:path>
                                  </a:pathLst>
                                </a:custGeom>
                                <a:grpFill/>
                                <a:ln w="15875" cap="flat">
                                  <a:solidFill>
                                    <a:srgbClr val="65BBC8"/>
                                  </a:solidFill>
                                  <a:prstDash val="solid"/>
                                  <a:miter lim="800000"/>
                                  <a:headEnd/>
                                  <a:tailEnd/>
                                </a:ln>
                                <a:extLst/>
                              </wps:spPr>
                              <wps:bodyPr rot="0" vert="horz" wrap="square" lIns="91440" tIns="45720" rIns="91440" bIns="45720" anchor="t" anchorCtr="0" upright="1">
                                <a:noAutofit/>
                              </wps:bodyPr>
                            </wps:wsp>
                          </wpg:wgp>
                        </a:graphicData>
                      </a:graphic>
                    </wp:inline>
                  </w:drawing>
                </mc:Choice>
                <mc:Fallback>
                  <w:pict>
                    <v:group w14:anchorId="5B8B2028" id="Group 108" o:spid="_x0000_s1026" style="width:17.9pt;height:17.85pt;mso-position-horizontal-relative:char;mso-position-vertical-relative:line" coordsize="227956,226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">
                      <v:shape id="Freeform 37" o:spid="_x0000_s1027" style="position:absolute;left:27296;width:200660;height:201295;visibility:visible;mso-wrap-style:square;v-text-anchor:top" coordsize="11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" path="m33,107v2,2,6,4,9,4c43,111,43,111,44,111v4,-1,8,-3,10,-6c108,23,108,23,108,23v4,-6,3,-15,-4,-19c98,,90,2,86,8,40,76,40,76,40,76,25,60,25,60,25,60,20,55,11,55,6,60,,66,,74,6,80r27,27xm33,107v,,,,,e" filled="f" strokecolor="#65bbc8" strokeweight="1.25pt">
                        <v:stroke joinstyle="miter"/>
                        <v:path arrowok="t" o:connecttype="custom" o:connectlocs="59123,194041;75248,201295;78831,201295;96747,190414;193494,41710;186327,7254;154078,14508;71664,137824;44790,108808;10750,108808;10750,145077;59123,194041;59123,194041;59123,194041" o:connectangles="0,0,0,0,0,0,0,0,0,0,0,0,0,0"/>
                        <o:lock v:ext="edit" verticies="t"/>
                      </v:shape>
                      <v:shape id="Freeform 38" o:spid="_x0000_s1028" style="position:absolute;top:40943;width:186690;height:186055;visibility:visible;mso-wrap-style:square;v-text-anchor:top" coordsize="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" path="m73,c9,,9,,9,,4,,,3,,8,,95,,95,,95v,4,4,8,9,8c95,103,95,103,95,103v5,,9,-4,9,-8c104,56,104,56,104,56e" filled="f" strokecolor="#65bbc8" strokeweight="1.25pt">
                        <v:stroke joinstyle="miter"/>
                        <v:path arrowok="t" o:connecttype="custom" o:connectlocs="131042,0;16156,0;0,14451;0,171604;16156,186055;170534,186055;186690,171604;186690,101156" o:connectangles="0,0,0,0,0,0,0,0"/>
                      </v:shape>
                      <w10:anchorlock/>
                    </v:group>
                  </w:pict>
                </mc:Fallback>
              </mc:AlternateContent>
            </w:r>
          </w:p>
        </w:tc>
        <w:tc>
          <w:tcPr>
            <w:tcW w:w="4139" w:type="dxa"/>
            <w:shd w:val="clear" w:color="auto" w:fill="CBE8ED"/>
            <w:vAlign w:val="center"/>
          </w:tcPr>
          <w:p w14:paraId="132152A0" w14:textId="77777777" w:rsidR="005D36C6" w:rsidRPr="00A04E56" w:rsidRDefault="005D36C6" w:rsidP="00C53476">
            <w:pPr>
              <w:keepNext/>
            </w:pPr>
            <w:r w:rsidRPr="00A04E56">
              <w:t xml:space="preserve">Tents/shelter </w:t>
            </w:r>
            <w:r w:rsidRPr="00A04E56">
              <w:rPr>
                <w:b/>
              </w:rPr>
              <w:t>for 8</w:t>
            </w:r>
            <w:r w:rsidRPr="00A04E56">
              <w:rPr>
                <w:rFonts w:ascii="Calibri" w:hAnsi="Calibri" w:cs="Calibri"/>
                <w:b/>
              </w:rPr>
              <w:t> </w:t>
            </w:r>
            <w:r w:rsidRPr="00A04E56" w:rsidDel="006B6F86">
              <w:rPr>
                <w:b/>
              </w:rPr>
              <w:t>500</w:t>
            </w:r>
            <w:r w:rsidRPr="00A04E56">
              <w:rPr>
                <w:b/>
              </w:rPr>
              <w:t xml:space="preserve"> people</w:t>
            </w:r>
          </w:p>
        </w:tc>
      </w:tr>
      <w:tr w:rsidR="006C4609" w:rsidRPr="00A04E56" w14:paraId="6E395868" w14:textId="77777777" w:rsidTr="00B5418A">
        <w:trPr>
          <w:trHeight w:val="454"/>
          <w:jc w:val="center"/>
        </w:trPr>
        <w:tc>
          <w:tcPr>
            <w:tcW w:w="4139" w:type="dxa"/>
            <w:shd w:val="clear" w:color="auto" w:fill="CBE8ED"/>
            <w:vAlign w:val="center"/>
          </w:tcPr>
          <w:p w14:paraId="3681B8FD" w14:textId="7A88A35A" w:rsidR="005D36C6" w:rsidRPr="00A04E56" w:rsidRDefault="005D36C6" w:rsidP="00DF0116">
            <w:pPr>
              <w:keepNext/>
            </w:pPr>
            <w:r w:rsidRPr="00A04E56">
              <w:rPr>
                <w:b/>
              </w:rPr>
              <w:t>9</w:t>
            </w:r>
            <w:r w:rsidRPr="00A04E56">
              <w:t xml:space="preserve"> Emergency</w:t>
            </w:r>
            <w:r w:rsidR="00C6111C" w:rsidRPr="00A04E56">
              <w:t>-</w:t>
            </w:r>
            <w:r w:rsidRPr="00A04E56">
              <w:t>response</w:t>
            </w:r>
            <w:r w:rsidR="00C6111C" w:rsidRPr="00A04E56">
              <w:t>-</w:t>
            </w:r>
            <w:r w:rsidRPr="00A04E56">
              <w:t>coordination</w:t>
            </w:r>
            <w:r w:rsidR="009911E2" w:rsidRPr="00A04E56">
              <w:t>-</w:t>
            </w:r>
            <w:r w:rsidRPr="00A04E56">
              <w:t>centre (ERCC) liaison officers</w:t>
            </w:r>
          </w:p>
        </w:tc>
        <w:tc>
          <w:tcPr>
            <w:tcW w:w="794" w:type="dxa"/>
            <w:shd w:val="clear" w:color="auto" w:fill="auto"/>
            <w:vAlign w:val="center"/>
          </w:tcPr>
          <w:p w14:paraId="29A28E57" w14:textId="77777777" w:rsidR="005D36C6" w:rsidRPr="00A04E56" w:rsidRDefault="005D36C6" w:rsidP="00B5418A">
            <w:pPr>
              <w:keepNext/>
              <w:jc w:val="center"/>
            </w:pPr>
            <w:r w:rsidRPr="00A04E56">
              <w:rPr>
                <w:noProof/>
                <w:lang w:val="fr-BE" w:eastAsia="fr-BE"/>
              </w:rPr>
              <mc:AlternateContent>
                <mc:Choice Requires="wpg">
                  <w:drawing>
                    <wp:anchor distT="0" distB="0" distL="114300" distR="114300" simplePos="0" relativeHeight="251641856" behindDoc="0" locked="0" layoutInCell="1" allowOverlap="1" wp14:anchorId="167898D3" wp14:editId="3FD76C61">
                      <wp:simplePos x="0" y="0"/>
                      <wp:positionH relativeFrom="column">
                        <wp:posOffset>-10160</wp:posOffset>
                      </wp:positionH>
                      <wp:positionV relativeFrom="paragraph">
                        <wp:posOffset>33020</wp:posOffset>
                      </wp:positionV>
                      <wp:extent cx="334645" cy="237490"/>
                      <wp:effectExtent l="0" t="0" r="27305" b="10160"/>
                      <wp:wrapNone/>
                      <wp:docPr id="112" name="Group 112"/>
                      <wp:cNvGraphicFramePr/>
                      <a:graphic xmlns:a="http://schemas.openxmlformats.org/drawingml/2006/main">
                        <a:graphicData uri="http://schemas.microsoft.com/office/word/2010/wordprocessingGroup">
                          <wpg:wgp>
                            <wpg:cNvGrpSpPr/>
                            <wpg:grpSpPr>
                              <a:xfrm>
                                <a:off x="0" y="0"/>
                                <a:ext cx="334645" cy="237490"/>
                                <a:chOff x="0" y="0"/>
                                <a:chExt cx="401866" cy="284629"/>
                              </a:xfrm>
                            </wpg:grpSpPr>
                            <wps:wsp>
                              <wps:cNvPr id="113" name="Oval 39"/>
                              <wps:cNvSpPr>
                                <a:spLocks noChangeArrowheads="1"/>
                              </wps:cNvSpPr>
                              <wps:spPr bwMode="auto">
                                <a:xfrm>
                                  <a:off x="156950" y="13648"/>
                                  <a:ext cx="86358" cy="86928"/>
                                </a:xfrm>
                                <a:prstGeom prst="ellipse">
                                  <a:avLst/>
                                </a:pr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40"/>
                              <wps:cNvSpPr>
                                <a:spLocks/>
                              </wps:cNvSpPr>
                              <wps:spPr bwMode="auto">
                                <a:xfrm>
                                  <a:off x="109183" y="122830"/>
                                  <a:ext cx="183510" cy="161799"/>
                                </a:xfrm>
                                <a:custGeom>
                                  <a:avLst/>
                                  <a:gdLst>
                                    <a:gd name="T0" fmla="*/ 73 w 102"/>
                                    <a:gd name="T1" fmla="*/ 79 h 89"/>
                                    <a:gd name="T2" fmla="*/ 73 w 102"/>
                                    <a:gd name="T3" fmla="*/ 78 h 89"/>
                                    <a:gd name="T4" fmla="*/ 73 w 102"/>
                                    <a:gd name="T5" fmla="*/ 76 h 89"/>
                                    <a:gd name="T6" fmla="*/ 77 w 102"/>
                                    <a:gd name="T7" fmla="*/ 29 h 89"/>
                                    <a:gd name="T8" fmla="*/ 79 w 102"/>
                                    <a:gd name="T9" fmla="*/ 34 h 89"/>
                                    <a:gd name="T10" fmla="*/ 81 w 102"/>
                                    <a:gd name="T11" fmla="*/ 47 h 89"/>
                                    <a:gd name="T12" fmla="*/ 83 w 102"/>
                                    <a:gd name="T13" fmla="*/ 70 h 89"/>
                                    <a:gd name="T14" fmla="*/ 84 w 102"/>
                                    <a:gd name="T15" fmla="*/ 77 h 89"/>
                                    <a:gd name="T16" fmla="*/ 84 w 102"/>
                                    <a:gd name="T17" fmla="*/ 80 h 89"/>
                                    <a:gd name="T18" fmla="*/ 84 w 102"/>
                                    <a:gd name="T19" fmla="*/ 80 h 89"/>
                                    <a:gd name="T20" fmla="*/ 93 w 102"/>
                                    <a:gd name="T21" fmla="*/ 89 h 89"/>
                                    <a:gd name="T22" fmla="*/ 102 w 102"/>
                                    <a:gd name="T23" fmla="*/ 79 h 89"/>
                                    <a:gd name="T24" fmla="*/ 100 w 102"/>
                                    <a:gd name="T25" fmla="*/ 61 h 89"/>
                                    <a:gd name="T26" fmla="*/ 98 w 102"/>
                                    <a:gd name="T27" fmla="*/ 45 h 89"/>
                                    <a:gd name="T28" fmla="*/ 96 w 102"/>
                                    <a:gd name="T29" fmla="*/ 29 h 89"/>
                                    <a:gd name="T30" fmla="*/ 87 w 102"/>
                                    <a:gd name="T31" fmla="*/ 13 h 89"/>
                                    <a:gd name="T32" fmla="*/ 78 w 102"/>
                                    <a:gd name="T33" fmla="*/ 6 h 89"/>
                                    <a:gd name="T34" fmla="*/ 66 w 102"/>
                                    <a:gd name="T35" fmla="*/ 1 h 89"/>
                                    <a:gd name="T36" fmla="*/ 64 w 102"/>
                                    <a:gd name="T37" fmla="*/ 1 h 89"/>
                                    <a:gd name="T38" fmla="*/ 59 w 102"/>
                                    <a:gd name="T39" fmla="*/ 0 h 89"/>
                                    <a:gd name="T40" fmla="*/ 42 w 102"/>
                                    <a:gd name="T41" fmla="*/ 0 h 89"/>
                                    <a:gd name="T42" fmla="*/ 38 w 102"/>
                                    <a:gd name="T43" fmla="*/ 1 h 89"/>
                                    <a:gd name="T44" fmla="*/ 26 w 102"/>
                                    <a:gd name="T45" fmla="*/ 4 h 89"/>
                                    <a:gd name="T46" fmla="*/ 14 w 102"/>
                                    <a:gd name="T47" fmla="*/ 13 h 89"/>
                                    <a:gd name="T48" fmla="*/ 6 w 102"/>
                                    <a:gd name="T49" fmla="*/ 29 h 89"/>
                                    <a:gd name="T50" fmla="*/ 3 w 102"/>
                                    <a:gd name="T51" fmla="*/ 45 h 89"/>
                                    <a:gd name="T52" fmla="*/ 0 w 102"/>
                                    <a:gd name="T53" fmla="*/ 79 h 89"/>
                                    <a:gd name="T54" fmla="*/ 8 w 102"/>
                                    <a:gd name="T55" fmla="*/ 89 h 89"/>
                                    <a:gd name="T56" fmla="*/ 18 w 102"/>
                                    <a:gd name="T57" fmla="*/ 80 h 89"/>
                                    <a:gd name="T58" fmla="*/ 18 w 102"/>
                                    <a:gd name="T59" fmla="*/ 79 h 89"/>
                                    <a:gd name="T60" fmla="*/ 19 w 102"/>
                                    <a:gd name="T61" fmla="*/ 59 h 89"/>
                                    <a:gd name="T62" fmla="*/ 21 w 102"/>
                                    <a:gd name="T63" fmla="*/ 45 h 89"/>
                                    <a:gd name="T64" fmla="*/ 23 w 102"/>
                                    <a:gd name="T65" fmla="*/ 34 h 89"/>
                                    <a:gd name="T66" fmla="*/ 25 w 102"/>
                                    <a:gd name="T67" fmla="*/ 29 h 89"/>
                                    <a:gd name="T68" fmla="*/ 29 w 102"/>
                                    <a:gd name="T69" fmla="*/ 77 h 89"/>
                                    <a:gd name="T70" fmla="*/ 29 w 102"/>
                                    <a:gd name="T71" fmla="*/ 79 h 89"/>
                                    <a:gd name="T72" fmla="*/ 29 w 102"/>
                                    <a:gd name="T73" fmla="*/ 8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2" h="89">
                                      <a:moveTo>
                                        <a:pt x="73" y="79"/>
                                      </a:moveTo>
                                      <a:cubicBezTo>
                                        <a:pt x="73" y="79"/>
                                        <a:pt x="73" y="79"/>
                                        <a:pt x="73" y="78"/>
                                      </a:cubicBezTo>
                                      <a:cubicBezTo>
                                        <a:pt x="73" y="78"/>
                                        <a:pt x="73" y="77"/>
                                        <a:pt x="73" y="76"/>
                                      </a:cubicBezTo>
                                      <a:cubicBezTo>
                                        <a:pt x="77" y="29"/>
                                        <a:pt x="77" y="29"/>
                                        <a:pt x="77" y="29"/>
                                      </a:cubicBezTo>
                                      <a:cubicBezTo>
                                        <a:pt x="78" y="30"/>
                                        <a:pt x="78" y="32"/>
                                        <a:pt x="79" y="34"/>
                                      </a:cubicBezTo>
                                      <a:cubicBezTo>
                                        <a:pt x="79" y="37"/>
                                        <a:pt x="80" y="42"/>
                                        <a:pt x="81" y="47"/>
                                      </a:cubicBezTo>
                                      <a:cubicBezTo>
                                        <a:pt x="82" y="55"/>
                                        <a:pt x="83" y="63"/>
                                        <a:pt x="83" y="70"/>
                                      </a:cubicBezTo>
                                      <a:cubicBezTo>
                                        <a:pt x="84" y="73"/>
                                        <a:pt x="84" y="75"/>
                                        <a:pt x="84" y="77"/>
                                      </a:cubicBezTo>
                                      <a:cubicBezTo>
                                        <a:pt x="84" y="78"/>
                                        <a:pt x="84" y="79"/>
                                        <a:pt x="84" y="80"/>
                                      </a:cubicBezTo>
                                      <a:cubicBezTo>
                                        <a:pt x="84" y="80"/>
                                        <a:pt x="84" y="80"/>
                                        <a:pt x="84" y="80"/>
                                      </a:cubicBezTo>
                                      <a:cubicBezTo>
                                        <a:pt x="84" y="85"/>
                                        <a:pt x="88" y="89"/>
                                        <a:pt x="93" y="89"/>
                                      </a:cubicBezTo>
                                      <a:cubicBezTo>
                                        <a:pt x="98" y="88"/>
                                        <a:pt x="102" y="84"/>
                                        <a:pt x="102" y="79"/>
                                      </a:cubicBezTo>
                                      <a:cubicBezTo>
                                        <a:pt x="102" y="79"/>
                                        <a:pt x="101" y="71"/>
                                        <a:pt x="100" y="61"/>
                                      </a:cubicBezTo>
                                      <a:cubicBezTo>
                                        <a:pt x="100" y="56"/>
                                        <a:pt x="99" y="50"/>
                                        <a:pt x="98" y="45"/>
                                      </a:cubicBezTo>
                                      <a:cubicBezTo>
                                        <a:pt x="98" y="39"/>
                                        <a:pt x="97" y="34"/>
                                        <a:pt x="96" y="29"/>
                                      </a:cubicBezTo>
                                      <a:cubicBezTo>
                                        <a:pt x="94" y="23"/>
                                        <a:pt x="91" y="17"/>
                                        <a:pt x="87" y="13"/>
                                      </a:cubicBezTo>
                                      <a:cubicBezTo>
                                        <a:pt x="84" y="10"/>
                                        <a:pt x="81" y="7"/>
                                        <a:pt x="78" y="6"/>
                                      </a:cubicBezTo>
                                      <a:cubicBezTo>
                                        <a:pt x="74" y="3"/>
                                        <a:pt x="69" y="2"/>
                                        <a:pt x="66" y="1"/>
                                      </a:cubicBezTo>
                                      <a:cubicBezTo>
                                        <a:pt x="65" y="1"/>
                                        <a:pt x="64" y="1"/>
                                        <a:pt x="64" y="1"/>
                                      </a:cubicBezTo>
                                      <a:cubicBezTo>
                                        <a:pt x="62" y="1"/>
                                        <a:pt x="61" y="0"/>
                                        <a:pt x="59" y="0"/>
                                      </a:cubicBezTo>
                                      <a:cubicBezTo>
                                        <a:pt x="42" y="0"/>
                                        <a:pt x="42" y="0"/>
                                        <a:pt x="42" y="0"/>
                                      </a:cubicBezTo>
                                      <a:cubicBezTo>
                                        <a:pt x="41" y="0"/>
                                        <a:pt x="39" y="1"/>
                                        <a:pt x="38" y="1"/>
                                      </a:cubicBezTo>
                                      <a:cubicBezTo>
                                        <a:pt x="35" y="1"/>
                                        <a:pt x="31" y="2"/>
                                        <a:pt x="26" y="4"/>
                                      </a:cubicBezTo>
                                      <a:cubicBezTo>
                                        <a:pt x="23" y="6"/>
                                        <a:pt x="18" y="9"/>
                                        <a:pt x="14" y="13"/>
                                      </a:cubicBezTo>
                                      <a:cubicBezTo>
                                        <a:pt x="11" y="17"/>
                                        <a:pt x="8" y="23"/>
                                        <a:pt x="6" y="29"/>
                                      </a:cubicBezTo>
                                      <a:cubicBezTo>
                                        <a:pt x="5" y="34"/>
                                        <a:pt x="4" y="39"/>
                                        <a:pt x="3" y="45"/>
                                      </a:cubicBezTo>
                                      <a:cubicBezTo>
                                        <a:pt x="1" y="61"/>
                                        <a:pt x="0" y="79"/>
                                        <a:pt x="0" y="79"/>
                                      </a:cubicBezTo>
                                      <a:cubicBezTo>
                                        <a:pt x="0" y="84"/>
                                        <a:pt x="3" y="88"/>
                                        <a:pt x="8" y="89"/>
                                      </a:cubicBezTo>
                                      <a:cubicBezTo>
                                        <a:pt x="13" y="89"/>
                                        <a:pt x="17" y="85"/>
                                        <a:pt x="18" y="80"/>
                                      </a:cubicBezTo>
                                      <a:cubicBezTo>
                                        <a:pt x="18" y="80"/>
                                        <a:pt x="18" y="80"/>
                                        <a:pt x="18" y="79"/>
                                      </a:cubicBezTo>
                                      <a:cubicBezTo>
                                        <a:pt x="18" y="76"/>
                                        <a:pt x="18" y="68"/>
                                        <a:pt x="19" y="59"/>
                                      </a:cubicBezTo>
                                      <a:cubicBezTo>
                                        <a:pt x="20" y="54"/>
                                        <a:pt x="20" y="50"/>
                                        <a:pt x="21" y="45"/>
                                      </a:cubicBezTo>
                                      <a:cubicBezTo>
                                        <a:pt x="21" y="41"/>
                                        <a:pt x="22" y="37"/>
                                        <a:pt x="23" y="34"/>
                                      </a:cubicBezTo>
                                      <a:cubicBezTo>
                                        <a:pt x="23" y="32"/>
                                        <a:pt x="24" y="30"/>
                                        <a:pt x="25" y="29"/>
                                      </a:cubicBezTo>
                                      <a:cubicBezTo>
                                        <a:pt x="29" y="77"/>
                                        <a:pt x="29" y="77"/>
                                        <a:pt x="29" y="77"/>
                                      </a:cubicBezTo>
                                      <a:cubicBezTo>
                                        <a:pt x="29" y="77"/>
                                        <a:pt x="29" y="78"/>
                                        <a:pt x="29" y="79"/>
                                      </a:cubicBezTo>
                                      <a:cubicBezTo>
                                        <a:pt x="29" y="79"/>
                                        <a:pt x="29" y="79"/>
                                        <a:pt x="29" y="80"/>
                                      </a:cubicBezTo>
                                    </a:path>
                                  </a:pathLst>
                                </a:cu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Oval 41"/>
                              <wps:cNvSpPr>
                                <a:spLocks noChangeArrowheads="1"/>
                              </wps:cNvSpPr>
                              <wps:spPr bwMode="auto">
                                <a:xfrm>
                                  <a:off x="266132" y="0"/>
                                  <a:ext cx="86358" cy="85659"/>
                                </a:xfrm>
                                <a:prstGeom prst="ellipse">
                                  <a:avLst/>
                                </a:pr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2"/>
                              <wps:cNvSpPr>
                                <a:spLocks/>
                              </wps:cNvSpPr>
                              <wps:spPr bwMode="auto">
                                <a:xfrm>
                                  <a:off x="245660" y="102358"/>
                                  <a:ext cx="156206" cy="159896"/>
                                </a:xfrm>
                                <a:custGeom>
                                  <a:avLst/>
                                  <a:gdLst>
                                    <a:gd name="T0" fmla="*/ 58 w 87"/>
                                    <a:gd name="T1" fmla="*/ 78 h 88"/>
                                    <a:gd name="T2" fmla="*/ 58 w 87"/>
                                    <a:gd name="T3" fmla="*/ 77 h 88"/>
                                    <a:gd name="T4" fmla="*/ 58 w 87"/>
                                    <a:gd name="T5" fmla="*/ 75 h 88"/>
                                    <a:gd name="T6" fmla="*/ 62 w 87"/>
                                    <a:gd name="T7" fmla="*/ 28 h 88"/>
                                    <a:gd name="T8" fmla="*/ 64 w 87"/>
                                    <a:gd name="T9" fmla="*/ 33 h 88"/>
                                    <a:gd name="T10" fmla="*/ 66 w 87"/>
                                    <a:gd name="T11" fmla="*/ 46 h 88"/>
                                    <a:gd name="T12" fmla="*/ 68 w 87"/>
                                    <a:gd name="T13" fmla="*/ 69 h 88"/>
                                    <a:gd name="T14" fmla="*/ 69 w 87"/>
                                    <a:gd name="T15" fmla="*/ 77 h 88"/>
                                    <a:gd name="T16" fmla="*/ 69 w 87"/>
                                    <a:gd name="T17" fmla="*/ 79 h 88"/>
                                    <a:gd name="T18" fmla="*/ 69 w 87"/>
                                    <a:gd name="T19" fmla="*/ 80 h 88"/>
                                    <a:gd name="T20" fmla="*/ 78 w 87"/>
                                    <a:gd name="T21" fmla="*/ 88 h 88"/>
                                    <a:gd name="T22" fmla="*/ 87 w 87"/>
                                    <a:gd name="T23" fmla="*/ 79 h 88"/>
                                    <a:gd name="T24" fmla="*/ 85 w 87"/>
                                    <a:gd name="T25" fmla="*/ 60 h 88"/>
                                    <a:gd name="T26" fmla="*/ 84 w 87"/>
                                    <a:gd name="T27" fmla="*/ 44 h 88"/>
                                    <a:gd name="T28" fmla="*/ 81 w 87"/>
                                    <a:gd name="T29" fmla="*/ 29 h 88"/>
                                    <a:gd name="T30" fmla="*/ 72 w 87"/>
                                    <a:gd name="T31" fmla="*/ 12 h 88"/>
                                    <a:gd name="T32" fmla="*/ 63 w 87"/>
                                    <a:gd name="T33" fmla="*/ 5 h 88"/>
                                    <a:gd name="T34" fmla="*/ 51 w 87"/>
                                    <a:gd name="T35" fmla="*/ 1 h 88"/>
                                    <a:gd name="T36" fmla="*/ 49 w 87"/>
                                    <a:gd name="T37" fmla="*/ 0 h 88"/>
                                    <a:gd name="T38" fmla="*/ 45 w 87"/>
                                    <a:gd name="T39" fmla="*/ 0 h 88"/>
                                    <a:gd name="T40" fmla="*/ 27 w 87"/>
                                    <a:gd name="T41" fmla="*/ 0 h 88"/>
                                    <a:gd name="T42" fmla="*/ 23 w 87"/>
                                    <a:gd name="T43" fmla="*/ 0 h 88"/>
                                    <a:gd name="T44" fmla="*/ 12 w 87"/>
                                    <a:gd name="T45" fmla="*/ 3 h 88"/>
                                    <a:gd name="T46" fmla="*/ 0 w 87"/>
                                    <a:gd name="T4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7" h="88">
                                      <a:moveTo>
                                        <a:pt x="58" y="78"/>
                                      </a:moveTo>
                                      <a:cubicBezTo>
                                        <a:pt x="58" y="78"/>
                                        <a:pt x="58" y="78"/>
                                        <a:pt x="58" y="77"/>
                                      </a:cubicBezTo>
                                      <a:cubicBezTo>
                                        <a:pt x="58" y="77"/>
                                        <a:pt x="58" y="76"/>
                                        <a:pt x="58" y="75"/>
                                      </a:cubicBezTo>
                                      <a:cubicBezTo>
                                        <a:pt x="62" y="28"/>
                                        <a:pt x="62" y="28"/>
                                        <a:pt x="62" y="28"/>
                                      </a:cubicBezTo>
                                      <a:cubicBezTo>
                                        <a:pt x="63" y="30"/>
                                        <a:pt x="63" y="31"/>
                                        <a:pt x="64" y="33"/>
                                      </a:cubicBezTo>
                                      <a:cubicBezTo>
                                        <a:pt x="65" y="36"/>
                                        <a:pt x="65" y="41"/>
                                        <a:pt x="66" y="46"/>
                                      </a:cubicBezTo>
                                      <a:cubicBezTo>
                                        <a:pt x="67" y="54"/>
                                        <a:pt x="68" y="62"/>
                                        <a:pt x="68" y="69"/>
                                      </a:cubicBezTo>
                                      <a:cubicBezTo>
                                        <a:pt x="69" y="72"/>
                                        <a:pt x="69" y="75"/>
                                        <a:pt x="69" y="77"/>
                                      </a:cubicBezTo>
                                      <a:cubicBezTo>
                                        <a:pt x="69" y="78"/>
                                        <a:pt x="69" y="78"/>
                                        <a:pt x="69" y="79"/>
                                      </a:cubicBezTo>
                                      <a:cubicBezTo>
                                        <a:pt x="69" y="79"/>
                                        <a:pt x="69" y="80"/>
                                        <a:pt x="69" y="80"/>
                                      </a:cubicBezTo>
                                      <a:cubicBezTo>
                                        <a:pt x="69" y="84"/>
                                        <a:pt x="74" y="88"/>
                                        <a:pt x="78" y="88"/>
                                      </a:cubicBezTo>
                                      <a:cubicBezTo>
                                        <a:pt x="83" y="88"/>
                                        <a:pt x="87" y="84"/>
                                        <a:pt x="87" y="79"/>
                                      </a:cubicBezTo>
                                      <a:cubicBezTo>
                                        <a:pt x="87" y="79"/>
                                        <a:pt x="86" y="70"/>
                                        <a:pt x="85" y="60"/>
                                      </a:cubicBezTo>
                                      <a:cubicBezTo>
                                        <a:pt x="85" y="55"/>
                                        <a:pt x="84" y="49"/>
                                        <a:pt x="84" y="44"/>
                                      </a:cubicBezTo>
                                      <a:cubicBezTo>
                                        <a:pt x="83" y="38"/>
                                        <a:pt x="82" y="33"/>
                                        <a:pt x="81" y="29"/>
                                      </a:cubicBezTo>
                                      <a:cubicBezTo>
                                        <a:pt x="79" y="22"/>
                                        <a:pt x="76" y="16"/>
                                        <a:pt x="72" y="12"/>
                                      </a:cubicBezTo>
                                      <a:cubicBezTo>
                                        <a:pt x="69" y="9"/>
                                        <a:pt x="66" y="7"/>
                                        <a:pt x="63" y="5"/>
                                      </a:cubicBezTo>
                                      <a:cubicBezTo>
                                        <a:pt x="59" y="2"/>
                                        <a:pt x="54" y="1"/>
                                        <a:pt x="51" y="1"/>
                                      </a:cubicBezTo>
                                      <a:cubicBezTo>
                                        <a:pt x="50" y="0"/>
                                        <a:pt x="49" y="0"/>
                                        <a:pt x="49" y="0"/>
                                      </a:cubicBezTo>
                                      <a:cubicBezTo>
                                        <a:pt x="47" y="0"/>
                                        <a:pt x="46" y="0"/>
                                        <a:pt x="45" y="0"/>
                                      </a:cubicBezTo>
                                      <a:cubicBezTo>
                                        <a:pt x="27" y="0"/>
                                        <a:pt x="27" y="0"/>
                                        <a:pt x="27" y="0"/>
                                      </a:cubicBezTo>
                                      <a:cubicBezTo>
                                        <a:pt x="26" y="0"/>
                                        <a:pt x="24" y="0"/>
                                        <a:pt x="23" y="0"/>
                                      </a:cubicBezTo>
                                      <a:cubicBezTo>
                                        <a:pt x="20" y="1"/>
                                        <a:pt x="16" y="1"/>
                                        <a:pt x="12" y="3"/>
                                      </a:cubicBezTo>
                                      <a:cubicBezTo>
                                        <a:pt x="8" y="5"/>
                                        <a:pt x="3" y="8"/>
                                        <a:pt x="0" y="12"/>
                                      </a:cubicBezTo>
                                    </a:path>
                                  </a:pathLst>
                                </a:cu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Oval 43"/>
                              <wps:cNvSpPr>
                                <a:spLocks noChangeArrowheads="1"/>
                              </wps:cNvSpPr>
                              <wps:spPr bwMode="auto">
                                <a:xfrm>
                                  <a:off x="54591" y="6824"/>
                                  <a:ext cx="86358" cy="86928"/>
                                </a:xfrm>
                                <a:prstGeom prst="ellipse">
                                  <a:avLst/>
                                </a:pr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44"/>
                              <wps:cNvSpPr>
                                <a:spLocks/>
                              </wps:cNvSpPr>
                              <wps:spPr bwMode="auto">
                                <a:xfrm>
                                  <a:off x="0" y="109182"/>
                                  <a:ext cx="158111" cy="159896"/>
                                </a:xfrm>
                                <a:custGeom>
                                  <a:avLst/>
                                  <a:gdLst>
                                    <a:gd name="T0" fmla="*/ 29 w 88"/>
                                    <a:gd name="T1" fmla="*/ 79 h 88"/>
                                    <a:gd name="T2" fmla="*/ 29 w 88"/>
                                    <a:gd name="T3" fmla="*/ 78 h 88"/>
                                    <a:gd name="T4" fmla="*/ 29 w 88"/>
                                    <a:gd name="T5" fmla="*/ 76 h 88"/>
                                    <a:gd name="T6" fmla="*/ 25 w 88"/>
                                    <a:gd name="T7" fmla="*/ 28 h 88"/>
                                    <a:gd name="T8" fmla="*/ 23 w 88"/>
                                    <a:gd name="T9" fmla="*/ 33 h 88"/>
                                    <a:gd name="T10" fmla="*/ 21 w 88"/>
                                    <a:gd name="T11" fmla="*/ 47 h 88"/>
                                    <a:gd name="T12" fmla="*/ 19 w 88"/>
                                    <a:gd name="T13" fmla="*/ 69 h 88"/>
                                    <a:gd name="T14" fmla="*/ 18 w 88"/>
                                    <a:gd name="T15" fmla="*/ 77 h 88"/>
                                    <a:gd name="T16" fmla="*/ 18 w 88"/>
                                    <a:gd name="T17" fmla="*/ 79 h 88"/>
                                    <a:gd name="T18" fmla="*/ 18 w 88"/>
                                    <a:gd name="T19" fmla="*/ 80 h 88"/>
                                    <a:gd name="T20" fmla="*/ 9 w 88"/>
                                    <a:gd name="T21" fmla="*/ 88 h 88"/>
                                    <a:gd name="T22" fmla="*/ 0 w 88"/>
                                    <a:gd name="T23" fmla="*/ 79 h 88"/>
                                    <a:gd name="T24" fmla="*/ 2 w 88"/>
                                    <a:gd name="T25" fmla="*/ 60 h 88"/>
                                    <a:gd name="T26" fmla="*/ 4 w 88"/>
                                    <a:gd name="T27" fmla="*/ 44 h 88"/>
                                    <a:gd name="T28" fmla="*/ 6 w 88"/>
                                    <a:gd name="T29" fmla="*/ 29 h 88"/>
                                    <a:gd name="T30" fmla="*/ 15 w 88"/>
                                    <a:gd name="T31" fmla="*/ 12 h 88"/>
                                    <a:gd name="T32" fmla="*/ 24 w 88"/>
                                    <a:gd name="T33" fmla="*/ 5 h 88"/>
                                    <a:gd name="T34" fmla="*/ 36 w 88"/>
                                    <a:gd name="T35" fmla="*/ 1 h 88"/>
                                    <a:gd name="T36" fmla="*/ 38 w 88"/>
                                    <a:gd name="T37" fmla="*/ 0 h 88"/>
                                    <a:gd name="T38" fmla="*/ 43 w 88"/>
                                    <a:gd name="T39" fmla="*/ 0 h 88"/>
                                    <a:gd name="T40" fmla="*/ 60 w 88"/>
                                    <a:gd name="T41" fmla="*/ 0 h 88"/>
                                    <a:gd name="T42" fmla="*/ 64 w 88"/>
                                    <a:gd name="T43" fmla="*/ 0 h 88"/>
                                    <a:gd name="T44" fmla="*/ 76 w 88"/>
                                    <a:gd name="T45" fmla="*/ 4 h 88"/>
                                    <a:gd name="T46" fmla="*/ 88 w 88"/>
                                    <a:gd name="T47" fmla="*/ 1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8" h="88">
                                      <a:moveTo>
                                        <a:pt x="29" y="79"/>
                                      </a:moveTo>
                                      <a:cubicBezTo>
                                        <a:pt x="29" y="78"/>
                                        <a:pt x="29" y="78"/>
                                        <a:pt x="29" y="78"/>
                                      </a:cubicBezTo>
                                      <a:cubicBezTo>
                                        <a:pt x="29" y="77"/>
                                        <a:pt x="29" y="76"/>
                                        <a:pt x="29" y="76"/>
                                      </a:cubicBezTo>
                                      <a:cubicBezTo>
                                        <a:pt x="25" y="28"/>
                                        <a:pt x="25" y="28"/>
                                        <a:pt x="25" y="28"/>
                                      </a:cubicBezTo>
                                      <a:cubicBezTo>
                                        <a:pt x="25" y="30"/>
                                        <a:pt x="24" y="31"/>
                                        <a:pt x="23" y="33"/>
                                      </a:cubicBezTo>
                                      <a:cubicBezTo>
                                        <a:pt x="23" y="37"/>
                                        <a:pt x="22" y="42"/>
                                        <a:pt x="21" y="47"/>
                                      </a:cubicBezTo>
                                      <a:cubicBezTo>
                                        <a:pt x="20" y="54"/>
                                        <a:pt x="19" y="63"/>
                                        <a:pt x="19" y="69"/>
                                      </a:cubicBezTo>
                                      <a:cubicBezTo>
                                        <a:pt x="18" y="72"/>
                                        <a:pt x="18" y="75"/>
                                        <a:pt x="18" y="77"/>
                                      </a:cubicBezTo>
                                      <a:cubicBezTo>
                                        <a:pt x="18" y="78"/>
                                        <a:pt x="18" y="79"/>
                                        <a:pt x="18" y="79"/>
                                      </a:cubicBezTo>
                                      <a:cubicBezTo>
                                        <a:pt x="18" y="80"/>
                                        <a:pt x="18" y="80"/>
                                        <a:pt x="18" y="80"/>
                                      </a:cubicBezTo>
                                      <a:cubicBezTo>
                                        <a:pt x="18" y="85"/>
                                        <a:pt x="14" y="88"/>
                                        <a:pt x="9" y="88"/>
                                      </a:cubicBezTo>
                                      <a:cubicBezTo>
                                        <a:pt x="4" y="88"/>
                                        <a:pt x="0" y="84"/>
                                        <a:pt x="0" y="79"/>
                                      </a:cubicBezTo>
                                      <a:cubicBezTo>
                                        <a:pt x="0" y="79"/>
                                        <a:pt x="1" y="71"/>
                                        <a:pt x="2" y="60"/>
                                      </a:cubicBezTo>
                                      <a:cubicBezTo>
                                        <a:pt x="2" y="55"/>
                                        <a:pt x="3" y="50"/>
                                        <a:pt x="4" y="44"/>
                                      </a:cubicBezTo>
                                      <a:cubicBezTo>
                                        <a:pt x="4" y="39"/>
                                        <a:pt x="5" y="33"/>
                                        <a:pt x="6" y="29"/>
                                      </a:cubicBezTo>
                                      <a:cubicBezTo>
                                        <a:pt x="8" y="22"/>
                                        <a:pt x="11" y="17"/>
                                        <a:pt x="15" y="12"/>
                                      </a:cubicBezTo>
                                      <a:cubicBezTo>
                                        <a:pt x="18" y="9"/>
                                        <a:pt x="21" y="7"/>
                                        <a:pt x="24" y="5"/>
                                      </a:cubicBezTo>
                                      <a:cubicBezTo>
                                        <a:pt x="28" y="3"/>
                                        <a:pt x="33" y="1"/>
                                        <a:pt x="36" y="1"/>
                                      </a:cubicBezTo>
                                      <a:cubicBezTo>
                                        <a:pt x="37" y="1"/>
                                        <a:pt x="38" y="1"/>
                                        <a:pt x="38" y="0"/>
                                      </a:cubicBezTo>
                                      <a:cubicBezTo>
                                        <a:pt x="40" y="0"/>
                                        <a:pt x="41" y="0"/>
                                        <a:pt x="43" y="0"/>
                                      </a:cubicBezTo>
                                      <a:cubicBezTo>
                                        <a:pt x="60" y="0"/>
                                        <a:pt x="60" y="0"/>
                                        <a:pt x="60" y="0"/>
                                      </a:cubicBezTo>
                                      <a:cubicBezTo>
                                        <a:pt x="61" y="0"/>
                                        <a:pt x="63" y="0"/>
                                        <a:pt x="64" y="0"/>
                                      </a:cubicBezTo>
                                      <a:cubicBezTo>
                                        <a:pt x="67" y="1"/>
                                        <a:pt x="71" y="2"/>
                                        <a:pt x="76" y="4"/>
                                      </a:cubicBezTo>
                                      <a:cubicBezTo>
                                        <a:pt x="80" y="5"/>
                                        <a:pt x="84" y="8"/>
                                        <a:pt x="88" y="12"/>
                                      </a:cubicBezTo>
                                    </a:path>
                                  </a:pathLst>
                                </a:custGeom>
                                <a:noFill/>
                                <a:ln w="14605" cap="flat">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94FA53" id="Group 112" o:spid="_x0000_s1026" style="position:absolute;margin-left:-.8pt;margin-top:2.6pt;width:26.35pt;height:18.7pt;z-index:251641856;mso-width-relative:margin;mso-height-relative:margin" coordsize="401866,28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">
                      <v:oval id="Oval 39" o:spid="_x0000_s1027" style="position:absolute;left:156950;top:13648;width:86358;height:8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" filled="f" strokecolor="#65bbc8" strokeweight="1.15pt"/>
                      <v:shape id="Freeform 40" o:spid="_x0000_s1028" style="position:absolute;left:109183;top:122830;width:183510;height:161799;visibility:visible;mso-wrap-style:square;v-text-anchor:top" coordsize="1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" path="m73,79v,,,,,-1c73,78,73,77,73,76,77,29,77,29,77,29v1,1,1,3,2,5c79,37,80,42,81,47v1,8,2,16,2,23c84,73,84,75,84,77v,1,,2,,3c84,80,84,80,84,80v,5,4,9,9,9c98,88,102,84,102,79v,,-1,-8,-2,-18c100,56,99,50,98,45,98,39,97,34,96,29,94,23,91,17,87,13,84,10,81,7,78,6,74,3,69,2,66,1v-1,,-2,,-2,c62,1,61,,59,,42,,42,,42,,41,,39,1,38,1,35,1,31,2,26,4,23,6,18,9,14,13,11,17,8,23,6,29,5,34,4,39,3,45,1,61,,79,,79v,5,3,9,8,10c13,89,17,85,18,80v,,,,,-1c18,76,18,68,19,59v1,-5,1,-9,2,-14c21,41,22,37,23,34v,-2,1,-4,2,-5c29,77,29,77,29,77v,,,1,,2c29,79,29,79,29,80e" filled="f" strokecolor="#65bbc8" strokeweight="1.15pt">
                        <v:path arrowok="t" o:connecttype="custom" o:connectlocs="131336,143619;131336,141801;131336,138165;138532,52721;142130,61811;145729,85444;149327,127258;151126,139983;151126,145437;151126,145437;167318,161799;183510,143619;179912,110896;176314,81808;172715,52721;156523,23634;140331,10908;118742,1818;115144,1818;106148,0;75563,0;68366,1818;46777,7272;25188,23634;10795,52721;5397,81808;0,143619;14393,161799;32384,145437;32384,143619;34183,107260;37781,81808;41380,61811;44978,52721;52174,139983;52174,143619;52174,145437" o:connectangles="0,0,0,0,0,0,0,0,0,0,0,0,0,0,0,0,0,0,0,0,0,0,0,0,0,0,0,0,0,0,0,0,0,0,0,0,0"/>
                      </v:shape>
                      <v:oval id="Oval 41" o:spid="_x0000_s1029" style="position:absolute;left:266132;width:86358;height:8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" filled="f" strokecolor="#65bbc8" strokeweight="1.15pt"/>
                      <v:shape id="Freeform 42" o:spid="_x0000_s1030" style="position:absolute;left:245660;top:102358;width:156206;height:159896;visibility:visible;mso-wrap-style:square;v-text-anchor:top" coordsize="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" path="m58,78v,,,,,-1c58,77,58,76,58,75,62,28,62,28,62,28v1,2,1,3,2,5c65,36,65,41,66,46v1,8,2,16,2,23c69,72,69,75,69,77v,1,,1,,2c69,79,69,80,69,80v,4,5,8,9,8c83,88,87,84,87,79v,,-1,-9,-2,-19c85,55,84,49,84,44,83,38,82,33,81,29,79,22,76,16,72,12,69,9,66,7,63,5,59,2,54,1,51,1,50,,49,,49,,47,,46,,45,,27,,27,,27,,26,,24,,23,,20,1,16,1,12,3,8,5,3,8,,12e" filled="f" strokecolor="#65bbc8" strokeweight="1.15pt">
                        <v:path arrowok="t" o:connecttype="custom" o:connectlocs="104137,141726;104137,139909;104137,136275;111319,50876;114910,59961;118501,83582;122092,125373;123888,139909;123888,143543;123888,145360;140047,159896;156206,143543;152615,109020;150820,79948;145433,52693;129274,21804;113115,9085;91569,1817;87978,0;80796,0;48478,0;41296,0;21546,5451;0,21804" o:connectangles="0,0,0,0,0,0,0,0,0,0,0,0,0,0,0,0,0,0,0,0,0,0,0,0"/>
                      </v:shape>
                      <v:oval id="Oval 43" o:spid="_x0000_s1031" style="position:absolute;left:54591;top:6824;width:86358;height:86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" filled="f" strokecolor="#65bbc8" strokeweight="1.15pt"/>
                      <v:shape id="Freeform 44" o:spid="_x0000_s1032" style="position:absolute;top:109182;width:158111;height:159896;visibility:visible;mso-wrap-style:square;v-text-anchor:top" coordsize="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" path="m29,79v,-1,,-1,,-1c29,77,29,76,29,76,25,28,25,28,25,28v,2,-1,3,-2,5c23,37,22,42,21,47v-1,7,-2,16,-2,22c18,72,18,75,18,77v,1,,2,,2c18,80,18,80,18,80v,5,-4,8,-9,8c4,88,,84,,79v,,1,-8,2,-19c2,55,3,50,4,44,4,39,5,33,6,29,8,22,11,17,15,12,18,9,21,7,24,5,28,3,33,1,36,1v1,,2,,2,-1c40,,41,,43,,60,,60,,60,v1,,3,,4,c67,1,71,2,76,4v4,1,8,4,12,8e" filled="f" strokecolor="#65bbc8" strokeweight="1.15pt">
                        <v:path arrowok="t" o:connecttype="custom" o:connectlocs="52105,143543;52105,141726;52105,138092;44918,50876;41324,59961;37731,85399;34138,125373;32341,139909;32341,143543;32341,145360;16170,159896;0,143543;3593,109020;7187,79948;10780,52693;26951,21804;43121,9085;64682,1817;68275,0;77259,0;107803,0;114990,0;136550,7268;158111,21804" o:connectangles="0,0,0,0,0,0,0,0,0,0,0,0,0,0,0,0,0,0,0,0,0,0,0,0"/>
                      </v:shape>
                    </v:group>
                  </w:pict>
                </mc:Fallback>
              </mc:AlternateContent>
            </w:r>
          </w:p>
        </w:tc>
        <w:tc>
          <w:tcPr>
            <w:tcW w:w="4139" w:type="dxa"/>
            <w:shd w:val="clear" w:color="auto" w:fill="CBE8ED"/>
            <w:vAlign w:val="center"/>
          </w:tcPr>
          <w:p w14:paraId="5C3B6909" w14:textId="77777777" w:rsidR="005D36C6" w:rsidRPr="00A04E56" w:rsidRDefault="005D36C6" w:rsidP="00C53476">
            <w:pPr>
              <w:keepNext/>
            </w:pPr>
            <w:r w:rsidRPr="00A04E56">
              <w:rPr>
                <w:b/>
              </w:rPr>
              <w:t>2.2</w:t>
            </w:r>
            <w:r w:rsidRPr="00A04E56">
              <w:rPr>
                <w:rFonts w:ascii="Calibri" w:hAnsi="Calibri" w:cs="Calibri"/>
                <w:b/>
              </w:rPr>
              <w:t> million</w:t>
            </w:r>
            <w:r w:rsidRPr="00A04E56">
              <w:t xml:space="preserve"> water-purification tablets</w:t>
            </w:r>
          </w:p>
        </w:tc>
      </w:tr>
      <w:tr w:rsidR="006C4609" w:rsidRPr="00A04E56" w14:paraId="5828B2D0" w14:textId="77777777" w:rsidTr="00B5418A">
        <w:trPr>
          <w:trHeight w:val="454"/>
          <w:jc w:val="center"/>
        </w:trPr>
        <w:tc>
          <w:tcPr>
            <w:tcW w:w="4139" w:type="dxa"/>
            <w:shd w:val="clear" w:color="auto" w:fill="CBE8ED"/>
            <w:vAlign w:val="center"/>
          </w:tcPr>
          <w:p w14:paraId="29017B54" w14:textId="77777777" w:rsidR="005D36C6" w:rsidRPr="00A04E56" w:rsidRDefault="005D36C6" w:rsidP="00C53476">
            <w:pPr>
              <w:keepNext/>
            </w:pPr>
            <w:r w:rsidRPr="00A04E56">
              <w:rPr>
                <w:b/>
              </w:rPr>
              <w:t>11</w:t>
            </w:r>
            <w:r w:rsidRPr="00A04E56">
              <w:t xml:space="preserve"> firefighting planes</w:t>
            </w:r>
          </w:p>
        </w:tc>
        <w:tc>
          <w:tcPr>
            <w:tcW w:w="794" w:type="dxa"/>
            <w:shd w:val="clear" w:color="auto" w:fill="auto"/>
            <w:vAlign w:val="center"/>
          </w:tcPr>
          <w:p w14:paraId="38E50E92" w14:textId="77777777" w:rsidR="005D36C6" w:rsidRPr="00A04E56" w:rsidRDefault="005D36C6" w:rsidP="00B5418A">
            <w:pPr>
              <w:keepNext/>
              <w:jc w:val="center"/>
            </w:pPr>
            <w:r w:rsidRPr="00A04E56">
              <w:rPr>
                <w:noProof/>
                <w:lang w:val="fr-BE" w:eastAsia="fr-BE"/>
              </w:rPr>
              <mc:AlternateContent>
                <mc:Choice Requires="wpg">
                  <w:drawing>
                    <wp:inline distT="0" distB="0" distL="0" distR="0" wp14:anchorId="3C04183B" wp14:editId="46658D3F">
                      <wp:extent cx="319405" cy="279400"/>
                      <wp:effectExtent l="0" t="0" r="23495" b="25400"/>
                      <wp:docPr id="119" name="Group 119"/>
                      <wp:cNvGraphicFramePr/>
                      <a:graphic xmlns:a="http://schemas.openxmlformats.org/drawingml/2006/main">
                        <a:graphicData uri="http://schemas.microsoft.com/office/word/2010/wordprocessingGroup">
                          <wpg:wgp>
                            <wpg:cNvGrpSpPr/>
                            <wpg:grpSpPr>
                              <a:xfrm>
                                <a:off x="0" y="0"/>
                                <a:ext cx="319405" cy="279400"/>
                                <a:chOff x="0" y="0"/>
                                <a:chExt cx="606410" cy="530411"/>
                              </a:xfrm>
                            </wpg:grpSpPr>
                            <wps:wsp>
                              <wps:cNvPr id="120" name="Freeform 22"/>
                              <wps:cNvSpPr>
                                <a:spLocks/>
                              </wps:cNvSpPr>
                              <wps:spPr bwMode="auto">
                                <a:xfrm>
                                  <a:off x="122830" y="279780"/>
                                  <a:ext cx="152396" cy="250631"/>
                                </a:xfrm>
                                <a:custGeom>
                                  <a:avLst/>
                                  <a:gdLst>
                                    <a:gd name="T0" fmla="*/ 0 w 85"/>
                                    <a:gd name="T1" fmla="*/ 95 h 138"/>
                                    <a:gd name="T2" fmla="*/ 42 w 85"/>
                                    <a:gd name="T3" fmla="*/ 138 h 138"/>
                                    <a:gd name="T4" fmla="*/ 42 w 85"/>
                                    <a:gd name="T5" fmla="*/ 138 h 138"/>
                                    <a:gd name="T6" fmla="*/ 85 w 85"/>
                                    <a:gd name="T7" fmla="*/ 95 h 138"/>
                                    <a:gd name="T8" fmla="*/ 81 w 85"/>
                                    <a:gd name="T9" fmla="*/ 36 h 138"/>
                                    <a:gd name="T10" fmla="*/ 61 w 85"/>
                                    <a:gd name="T11" fmla="*/ 57 h 138"/>
                                    <a:gd name="T12" fmla="*/ 48 w 85"/>
                                    <a:gd name="T13" fmla="*/ 0 h 138"/>
                                    <a:gd name="T14" fmla="*/ 26 w 85"/>
                                    <a:gd name="T15" fmla="*/ 41 h 138"/>
                                    <a:gd name="T16" fmla="*/ 24 w 85"/>
                                    <a:gd name="T17" fmla="*/ 71 h 138"/>
                                    <a:gd name="T18" fmla="*/ 7 w 85"/>
                                    <a:gd name="T19" fmla="*/ 41 h 138"/>
                                    <a:gd name="T20" fmla="*/ 0 w 85"/>
                                    <a:gd name="T21" fmla="*/ 9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5" h="138">
                                      <a:moveTo>
                                        <a:pt x="0" y="95"/>
                                      </a:moveTo>
                                      <a:cubicBezTo>
                                        <a:pt x="0" y="119"/>
                                        <a:pt x="19" y="138"/>
                                        <a:pt x="42" y="138"/>
                                      </a:cubicBezTo>
                                      <a:cubicBezTo>
                                        <a:pt x="42" y="138"/>
                                        <a:pt x="42" y="138"/>
                                        <a:pt x="42" y="138"/>
                                      </a:cubicBezTo>
                                      <a:cubicBezTo>
                                        <a:pt x="66" y="138"/>
                                        <a:pt x="85" y="119"/>
                                        <a:pt x="85" y="95"/>
                                      </a:cubicBezTo>
                                      <a:cubicBezTo>
                                        <a:pt x="85" y="71"/>
                                        <a:pt x="73" y="52"/>
                                        <a:pt x="81" y="36"/>
                                      </a:cubicBezTo>
                                      <a:cubicBezTo>
                                        <a:pt x="81" y="36"/>
                                        <a:pt x="68" y="38"/>
                                        <a:pt x="61" y="57"/>
                                      </a:cubicBezTo>
                                      <a:cubicBezTo>
                                        <a:pt x="61" y="57"/>
                                        <a:pt x="38" y="33"/>
                                        <a:pt x="48" y="0"/>
                                      </a:cubicBezTo>
                                      <a:cubicBezTo>
                                        <a:pt x="48" y="0"/>
                                        <a:pt x="24" y="10"/>
                                        <a:pt x="26" y="41"/>
                                      </a:cubicBezTo>
                                      <a:cubicBezTo>
                                        <a:pt x="28" y="67"/>
                                        <a:pt x="24" y="71"/>
                                        <a:pt x="24" y="71"/>
                                      </a:cubicBezTo>
                                      <a:cubicBezTo>
                                        <a:pt x="24" y="50"/>
                                        <a:pt x="7" y="41"/>
                                        <a:pt x="7" y="41"/>
                                      </a:cubicBezTo>
                                      <a:cubicBezTo>
                                        <a:pt x="12" y="67"/>
                                        <a:pt x="0" y="74"/>
                                        <a:pt x="0" y="95"/>
                                      </a:cubicBezTo>
                                      <a:close/>
                                    </a:path>
                                  </a:pathLst>
                                </a:custGeom>
                                <a:noFill/>
                                <a:ln w="14605" cap="flat">
                                  <a:solidFill>
                                    <a:srgbClr val="65BBC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23"/>
                              <wps:cNvSpPr>
                                <a:spLocks/>
                              </wps:cNvSpPr>
                              <wps:spPr bwMode="auto">
                                <a:xfrm>
                                  <a:off x="163774" y="416257"/>
                                  <a:ext cx="66038" cy="112942"/>
                                </a:xfrm>
                                <a:custGeom>
                                  <a:avLst/>
                                  <a:gdLst>
                                    <a:gd name="T0" fmla="*/ 7 w 37"/>
                                    <a:gd name="T1" fmla="*/ 14 h 62"/>
                                    <a:gd name="T2" fmla="*/ 0 w 37"/>
                                    <a:gd name="T3" fmla="*/ 43 h 62"/>
                                    <a:gd name="T4" fmla="*/ 18 w 37"/>
                                    <a:gd name="T5" fmla="*/ 62 h 62"/>
                                    <a:gd name="T6" fmla="*/ 18 w 37"/>
                                    <a:gd name="T7" fmla="*/ 62 h 62"/>
                                    <a:gd name="T8" fmla="*/ 37 w 37"/>
                                    <a:gd name="T9" fmla="*/ 42 h 62"/>
                                    <a:gd name="T10" fmla="*/ 21 w 37"/>
                                    <a:gd name="T11" fmla="*/ 0 h 62"/>
                                    <a:gd name="T12" fmla="*/ 16 w 37"/>
                                    <a:gd name="T13" fmla="*/ 21 h 62"/>
                                    <a:gd name="T14" fmla="*/ 7 w 37"/>
                                    <a:gd name="T15" fmla="*/ 14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7" h="62">
                                      <a:moveTo>
                                        <a:pt x="7" y="14"/>
                                      </a:moveTo>
                                      <a:cubicBezTo>
                                        <a:pt x="4" y="28"/>
                                        <a:pt x="0" y="34"/>
                                        <a:pt x="0" y="43"/>
                                      </a:cubicBezTo>
                                      <a:cubicBezTo>
                                        <a:pt x="0" y="52"/>
                                        <a:pt x="8" y="62"/>
                                        <a:pt x="18" y="62"/>
                                      </a:cubicBezTo>
                                      <a:cubicBezTo>
                                        <a:pt x="18" y="62"/>
                                        <a:pt x="18" y="62"/>
                                        <a:pt x="18" y="62"/>
                                      </a:cubicBezTo>
                                      <a:cubicBezTo>
                                        <a:pt x="29" y="62"/>
                                        <a:pt x="37" y="53"/>
                                        <a:pt x="37" y="42"/>
                                      </a:cubicBezTo>
                                      <a:cubicBezTo>
                                        <a:pt x="37" y="14"/>
                                        <a:pt x="21" y="0"/>
                                        <a:pt x="21" y="0"/>
                                      </a:cubicBezTo>
                                      <a:cubicBezTo>
                                        <a:pt x="23" y="14"/>
                                        <a:pt x="16" y="21"/>
                                        <a:pt x="16" y="21"/>
                                      </a:cubicBezTo>
                                      <a:cubicBezTo>
                                        <a:pt x="13" y="17"/>
                                        <a:pt x="7" y="14"/>
                                        <a:pt x="7" y="14"/>
                                      </a:cubicBezTo>
                                      <a:close/>
                                    </a:path>
                                  </a:pathLst>
                                </a:custGeom>
                                <a:noFill/>
                                <a:ln w="14605" cap="flat">
                                  <a:solidFill>
                                    <a:srgbClr val="65BBC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24"/>
                              <wps:cNvSpPr>
                                <a:spLocks/>
                              </wps:cNvSpPr>
                              <wps:spPr bwMode="auto">
                                <a:xfrm>
                                  <a:off x="0" y="109183"/>
                                  <a:ext cx="606410" cy="172586"/>
                                </a:xfrm>
                                <a:custGeom>
                                  <a:avLst/>
                                  <a:gdLst>
                                    <a:gd name="T0" fmla="*/ 219 w 337"/>
                                    <a:gd name="T1" fmla="*/ 16 h 95"/>
                                    <a:gd name="T2" fmla="*/ 231 w 337"/>
                                    <a:gd name="T3" fmla="*/ 15 h 95"/>
                                    <a:gd name="T4" fmla="*/ 316 w 337"/>
                                    <a:gd name="T5" fmla="*/ 52 h 95"/>
                                    <a:gd name="T6" fmla="*/ 248 w 337"/>
                                    <a:gd name="T7" fmla="*/ 87 h 95"/>
                                    <a:gd name="T8" fmla="*/ 108 w 337"/>
                                    <a:gd name="T9" fmla="*/ 93 h 95"/>
                                    <a:gd name="T10" fmla="*/ 1 w 337"/>
                                    <a:gd name="T11" fmla="*/ 52 h 95"/>
                                    <a:gd name="T12" fmla="*/ 0 w 337"/>
                                    <a:gd name="T13" fmla="*/ 43 h 95"/>
                                    <a:gd name="T14" fmla="*/ 30 w 337"/>
                                    <a:gd name="T15" fmla="*/ 41 h 95"/>
                                    <a:gd name="T16" fmla="*/ 32 w 337"/>
                                    <a:gd name="T17" fmla="*/ 1 h 95"/>
                                    <a:gd name="T18" fmla="*/ 50 w 337"/>
                                    <a:gd name="T19" fmla="*/ 0 h 95"/>
                                    <a:gd name="T20" fmla="*/ 65 w 337"/>
                                    <a:gd name="T21" fmla="*/ 39 h 95"/>
                                    <a:gd name="T22" fmla="*/ 149 w 337"/>
                                    <a:gd name="T23" fmla="*/ 2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37" h="95">
                                      <a:moveTo>
                                        <a:pt x="219" y="16"/>
                                      </a:moveTo>
                                      <a:cubicBezTo>
                                        <a:pt x="231" y="15"/>
                                        <a:pt x="231" y="15"/>
                                        <a:pt x="231" y="15"/>
                                      </a:cubicBezTo>
                                      <a:cubicBezTo>
                                        <a:pt x="231" y="15"/>
                                        <a:pt x="292" y="9"/>
                                        <a:pt x="316" y="52"/>
                                      </a:cubicBezTo>
                                      <a:cubicBezTo>
                                        <a:pt x="337" y="88"/>
                                        <a:pt x="248" y="87"/>
                                        <a:pt x="248" y="87"/>
                                      </a:cubicBezTo>
                                      <a:cubicBezTo>
                                        <a:pt x="108" y="93"/>
                                        <a:pt x="108" y="93"/>
                                        <a:pt x="108" y="93"/>
                                      </a:cubicBezTo>
                                      <a:cubicBezTo>
                                        <a:pt x="108" y="93"/>
                                        <a:pt x="42" y="95"/>
                                        <a:pt x="1" y="52"/>
                                      </a:cubicBezTo>
                                      <a:cubicBezTo>
                                        <a:pt x="0" y="43"/>
                                        <a:pt x="0" y="43"/>
                                        <a:pt x="0" y="43"/>
                                      </a:cubicBezTo>
                                      <a:cubicBezTo>
                                        <a:pt x="30" y="41"/>
                                        <a:pt x="30" y="41"/>
                                        <a:pt x="30" y="41"/>
                                      </a:cubicBezTo>
                                      <a:cubicBezTo>
                                        <a:pt x="32" y="1"/>
                                        <a:pt x="32" y="1"/>
                                        <a:pt x="32" y="1"/>
                                      </a:cubicBezTo>
                                      <a:cubicBezTo>
                                        <a:pt x="50" y="0"/>
                                        <a:pt x="50" y="0"/>
                                        <a:pt x="50" y="0"/>
                                      </a:cubicBezTo>
                                      <a:cubicBezTo>
                                        <a:pt x="65" y="39"/>
                                        <a:pt x="65" y="39"/>
                                        <a:pt x="65" y="39"/>
                                      </a:cubicBezTo>
                                      <a:cubicBezTo>
                                        <a:pt x="149" y="27"/>
                                        <a:pt x="149" y="27"/>
                                        <a:pt x="149" y="27"/>
                                      </a:cubicBezTo>
                                    </a:path>
                                  </a:pathLst>
                                </a:custGeom>
                                <a:noFill/>
                                <a:ln w="14605" cap="rnd">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25"/>
                              <wps:cNvSpPr>
                                <a:spLocks/>
                              </wps:cNvSpPr>
                              <wps:spPr bwMode="auto">
                                <a:xfrm>
                                  <a:off x="245660" y="0"/>
                                  <a:ext cx="172716" cy="192256"/>
                                </a:xfrm>
                                <a:custGeom>
                                  <a:avLst/>
                                  <a:gdLst>
                                    <a:gd name="T0" fmla="*/ 0 w 272"/>
                                    <a:gd name="T1" fmla="*/ 2 h 303"/>
                                    <a:gd name="T2" fmla="*/ 60 w 272"/>
                                    <a:gd name="T3" fmla="*/ 303 h 303"/>
                                    <a:gd name="T4" fmla="*/ 272 w 272"/>
                                    <a:gd name="T5" fmla="*/ 286 h 303"/>
                                    <a:gd name="T6" fmla="*/ 94 w 272"/>
                                    <a:gd name="T7" fmla="*/ 0 h 303"/>
                                    <a:gd name="T8" fmla="*/ 0 w 272"/>
                                    <a:gd name="T9" fmla="*/ 2 h 303"/>
                                  </a:gdLst>
                                  <a:ahLst/>
                                  <a:cxnLst>
                                    <a:cxn ang="0">
                                      <a:pos x="T0" y="T1"/>
                                    </a:cxn>
                                    <a:cxn ang="0">
                                      <a:pos x="T2" y="T3"/>
                                    </a:cxn>
                                    <a:cxn ang="0">
                                      <a:pos x="T4" y="T5"/>
                                    </a:cxn>
                                    <a:cxn ang="0">
                                      <a:pos x="T6" y="T7"/>
                                    </a:cxn>
                                    <a:cxn ang="0">
                                      <a:pos x="T8" y="T9"/>
                                    </a:cxn>
                                  </a:cxnLst>
                                  <a:rect l="0" t="0" r="r" b="b"/>
                                  <a:pathLst>
                                    <a:path w="272" h="303">
                                      <a:moveTo>
                                        <a:pt x="0" y="2"/>
                                      </a:moveTo>
                                      <a:lnTo>
                                        <a:pt x="60" y="303"/>
                                      </a:lnTo>
                                      <a:lnTo>
                                        <a:pt x="272" y="286"/>
                                      </a:lnTo>
                                      <a:lnTo>
                                        <a:pt x="94" y="0"/>
                                      </a:lnTo>
                                      <a:lnTo>
                                        <a:pt x="0" y="2"/>
                                      </a:lnTo>
                                      <a:close/>
                                    </a:path>
                                  </a:pathLst>
                                </a:custGeom>
                                <a:noFill/>
                                <a:ln w="14605" cap="rnd">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26"/>
                              <wps:cNvSpPr>
                                <a:spLocks/>
                              </wps:cNvSpPr>
                              <wps:spPr bwMode="auto">
                                <a:xfrm>
                                  <a:off x="300251" y="266132"/>
                                  <a:ext cx="122552" cy="137688"/>
                                </a:xfrm>
                                <a:custGeom>
                                  <a:avLst/>
                                  <a:gdLst>
                                    <a:gd name="T0" fmla="*/ 6 w 193"/>
                                    <a:gd name="T1" fmla="*/ 11 h 217"/>
                                    <a:gd name="T2" fmla="*/ 0 w 193"/>
                                    <a:gd name="T3" fmla="*/ 217 h 217"/>
                                    <a:gd name="T4" fmla="*/ 88 w 193"/>
                                    <a:gd name="T5" fmla="*/ 214 h 217"/>
                                    <a:gd name="T6" fmla="*/ 193 w 193"/>
                                    <a:gd name="T7" fmla="*/ 0 h 217"/>
                                    <a:gd name="T8" fmla="*/ 9 w 193"/>
                                    <a:gd name="T9" fmla="*/ 8 h 217"/>
                                  </a:gdLst>
                                  <a:ahLst/>
                                  <a:cxnLst>
                                    <a:cxn ang="0">
                                      <a:pos x="T0" y="T1"/>
                                    </a:cxn>
                                    <a:cxn ang="0">
                                      <a:pos x="T2" y="T3"/>
                                    </a:cxn>
                                    <a:cxn ang="0">
                                      <a:pos x="T4" y="T5"/>
                                    </a:cxn>
                                    <a:cxn ang="0">
                                      <a:pos x="T6" y="T7"/>
                                    </a:cxn>
                                    <a:cxn ang="0">
                                      <a:pos x="T8" y="T9"/>
                                    </a:cxn>
                                  </a:cxnLst>
                                  <a:rect l="0" t="0" r="r" b="b"/>
                                  <a:pathLst>
                                    <a:path w="193" h="217">
                                      <a:moveTo>
                                        <a:pt x="6" y="11"/>
                                      </a:moveTo>
                                      <a:lnTo>
                                        <a:pt x="0" y="217"/>
                                      </a:lnTo>
                                      <a:lnTo>
                                        <a:pt x="88" y="214"/>
                                      </a:lnTo>
                                      <a:lnTo>
                                        <a:pt x="193" y="0"/>
                                      </a:lnTo>
                                      <a:lnTo>
                                        <a:pt x="9" y="8"/>
                                      </a:lnTo>
                                    </a:path>
                                  </a:pathLst>
                                </a:custGeom>
                                <a:noFill/>
                                <a:ln w="14605" cap="rnd">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27"/>
                              <wps:cNvSpPr>
                                <a:spLocks/>
                              </wps:cNvSpPr>
                              <wps:spPr bwMode="auto">
                                <a:xfrm>
                                  <a:off x="436729" y="136478"/>
                                  <a:ext cx="134617" cy="71065"/>
                                </a:xfrm>
                                <a:custGeom>
                                  <a:avLst/>
                                  <a:gdLst>
                                    <a:gd name="T0" fmla="*/ 8 w 75"/>
                                    <a:gd name="T1" fmla="*/ 0 h 39"/>
                                    <a:gd name="T2" fmla="*/ 30 w 75"/>
                                    <a:gd name="T3" fmla="*/ 38 h 39"/>
                                    <a:gd name="T4" fmla="*/ 75 w 75"/>
                                    <a:gd name="T5" fmla="*/ 37 h 39"/>
                                  </a:gdLst>
                                  <a:ahLst/>
                                  <a:cxnLst>
                                    <a:cxn ang="0">
                                      <a:pos x="T0" y="T1"/>
                                    </a:cxn>
                                    <a:cxn ang="0">
                                      <a:pos x="T2" y="T3"/>
                                    </a:cxn>
                                    <a:cxn ang="0">
                                      <a:pos x="T4" y="T5"/>
                                    </a:cxn>
                                  </a:cxnLst>
                                  <a:rect l="0" t="0" r="r" b="b"/>
                                  <a:pathLst>
                                    <a:path w="75" h="39">
                                      <a:moveTo>
                                        <a:pt x="8" y="0"/>
                                      </a:moveTo>
                                      <a:cubicBezTo>
                                        <a:pt x="8" y="0"/>
                                        <a:pt x="0" y="37"/>
                                        <a:pt x="30" y="38"/>
                                      </a:cubicBezTo>
                                      <a:cubicBezTo>
                                        <a:pt x="60" y="39"/>
                                        <a:pt x="75" y="37"/>
                                        <a:pt x="75" y="37"/>
                                      </a:cubicBezTo>
                                    </a:path>
                                  </a:pathLst>
                                </a:custGeom>
                                <a:noFill/>
                                <a:ln w="14605" cap="rnd">
                                  <a:solidFill>
                                    <a:srgbClr val="65BBC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344A45" id="Group 119" o:spid="_x0000_s1026" style="width:25.15pt;height:22pt;mso-position-horizontal-relative:char;mso-position-vertical-relative:line" coordsize="6064,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">
                      <v:shape id="Freeform 22" o:spid="_x0000_s1027" style="position:absolute;left:1228;top:2797;width:1524;height:2507;visibility:visible;mso-wrap-style:square;v-text-anchor:top" coordsize="85,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" path="m,95v,24,19,43,42,43c42,138,42,138,42,138v24,,43,-19,43,-43c85,71,73,52,81,36v,,-13,2,-20,21c61,57,38,33,48,,48,,24,10,26,41v2,26,-2,30,-2,30c24,50,7,41,7,41,12,67,,74,,95xe" filled="f" strokecolor="#65bbc8" strokeweight="1.15pt">
                        <v:stroke joinstyle="miter"/>
                        <v:path arrowok="t" o:connecttype="custom" o:connectlocs="0,172536;75302,250631;75302,250631;152396,172536;145224,65382;109367,103522;86059,0;46615,74463;43029,128948;12550,74463;0,172536" o:connectangles="0,0,0,0,0,0,0,0,0,0,0"/>
                      </v:shape>
                      <v:shape id="Freeform 23" o:spid="_x0000_s1028" style="position:absolute;left:1637;top:4162;width:661;height:1129;visibility:visible;mso-wrap-style:square;v-text-anchor:top" coordsize="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" path="m7,14c4,28,,34,,43v,9,8,19,18,19c18,62,18,62,18,62v11,,19,-9,19,-20c37,14,21,,21,v2,14,-5,21,-5,21c13,17,7,14,7,14xe" filled="f" strokecolor="#65bbc8" strokeweight="1.15pt">
                        <v:stroke joinstyle="miter"/>
                        <v:path arrowok="t" o:connecttype="custom" o:connectlocs="12494,25503;0,78331;32127,112942;32127,112942;66038,76509;37481,0;28557,38255;12494,25503" o:connectangles="0,0,0,0,0,0,0,0"/>
                      </v:shape>
                      <v:shape id="Freeform 24" o:spid="_x0000_s1029" style="position:absolute;top:1091;width:6064;height:1726;visibility:visible;mso-wrap-style:square;v-text-anchor:top" coordsize="3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" path="m219,16v12,-1,12,-1,12,-1c231,15,292,9,316,52v21,36,-68,35,-68,35c108,93,108,93,108,93v,,-66,2,-107,-41c,43,,43,,43,30,41,30,41,30,41,32,1,32,1,32,1,50,,50,,50,,65,39,65,39,65,39,149,27,149,27,149,27e" filled="f" strokecolor="#65bbc8" strokeweight="1.15pt">
                        <v:stroke endcap="round"/>
                        <v:path arrowok="t" o:connecttype="custom" o:connectlocs="394077,29067;415670,27250;568622,94468;446260,158052;194339,168953;1799,94468;0,78118;53983,74484;57582,1817;89972,0;116963,70851;268116,49051" o:connectangles="0,0,0,0,0,0,0,0,0,0,0,0"/>
                      </v:shape>
                      <v:shape id="Freeform 25" o:spid="_x0000_s1030" style="position:absolute;left:2456;width:1727;height:1922;visibility:visible;mso-wrap-style:square;v-text-anchor:top" coordsize="27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" path="m,2l60,303,272,286,94,,,2xe" filled="f" strokecolor="#65bbc8" strokeweight="1.15pt">
                        <v:stroke endcap="round"/>
                        <v:path arrowok="t" o:connecttype="custom" o:connectlocs="0,1269;38099,192256;172716,181469;59689,0;0,1269" o:connectangles="0,0,0,0,0"/>
                      </v:shape>
                      <v:shape id="Freeform 26" o:spid="_x0000_s1031" style="position:absolute;left:3002;top:2661;width:1226;height:1377;visibility:visible;mso-wrap-style:square;v-text-anchor:top" coordsize="19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" path="m6,11l,217r88,-3l193,,9,8e" filled="f" strokecolor="#65bbc8" strokeweight="1.15pt">
                        <v:stroke endcap="round"/>
                        <v:path arrowok="t" o:connecttype="custom" o:connectlocs="3810,6980;0,137688;55879,135784;122552,0;5715,5076" o:connectangles="0,0,0,0,0"/>
                      </v:shape>
                      <v:shape id="Freeform 27" o:spid="_x0000_s1032" style="position:absolute;left:4367;top:1364;width:1346;height:711;visibility:visible;mso-wrap-style:square;v-text-anchor:top" coordsize="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" path="m8,c8,,,37,30,38v30,1,45,-1,45,-1e" filled="f" strokecolor="#65bbc8" strokeweight="1.15pt">
                        <v:stroke endcap="round"/>
                        <v:path arrowok="t" o:connecttype="custom" o:connectlocs="14359,0;53847,69243;134617,67421" o:connectangles="0,0,0"/>
                      </v:shape>
                      <w10:anchorlock/>
                    </v:group>
                  </w:pict>
                </mc:Fallback>
              </mc:AlternateContent>
            </w:r>
          </w:p>
        </w:tc>
        <w:tc>
          <w:tcPr>
            <w:tcW w:w="4139" w:type="dxa"/>
            <w:shd w:val="clear" w:color="auto" w:fill="CBE8ED"/>
            <w:vAlign w:val="center"/>
          </w:tcPr>
          <w:p w14:paraId="466CD4B3" w14:textId="77777777" w:rsidR="005D36C6" w:rsidRPr="00A04E56" w:rsidRDefault="005D36C6" w:rsidP="00C53476">
            <w:pPr>
              <w:keepNext/>
            </w:pPr>
            <w:r w:rsidRPr="00A04E56">
              <w:rPr>
                <w:b/>
              </w:rPr>
              <w:t>24</w:t>
            </w:r>
            <w:r w:rsidRPr="00A04E56">
              <w:rPr>
                <w:rFonts w:ascii="Calibri" w:hAnsi="Calibri" w:cs="Calibri"/>
                <w:b/>
              </w:rPr>
              <w:t> million</w:t>
            </w:r>
            <w:r w:rsidRPr="00A04E56">
              <w:t xml:space="preserve"> litres of water dropped</w:t>
            </w:r>
          </w:p>
        </w:tc>
      </w:tr>
      <w:tr w:rsidR="006C4609" w:rsidRPr="00A04E56" w14:paraId="7FCBE588" w14:textId="77777777" w:rsidTr="00B5418A">
        <w:trPr>
          <w:trHeight w:val="454"/>
          <w:jc w:val="center"/>
        </w:trPr>
        <w:tc>
          <w:tcPr>
            <w:tcW w:w="4139" w:type="dxa"/>
            <w:shd w:val="clear" w:color="auto" w:fill="CBE8ED"/>
            <w:vAlign w:val="center"/>
          </w:tcPr>
          <w:p w14:paraId="2C60C2F6" w14:textId="77777777" w:rsidR="005D36C6" w:rsidRPr="00A04E56" w:rsidRDefault="005D36C6" w:rsidP="00C53476">
            <w:pPr>
              <w:keepNext/>
            </w:pPr>
            <w:r w:rsidRPr="00A04E56">
              <w:rPr>
                <w:b/>
              </w:rPr>
              <w:t>6</w:t>
            </w:r>
            <w:r w:rsidRPr="00A04E56">
              <w:t xml:space="preserve"> firefighting helicopters</w:t>
            </w:r>
          </w:p>
        </w:tc>
        <w:tc>
          <w:tcPr>
            <w:tcW w:w="794" w:type="dxa"/>
            <w:shd w:val="clear" w:color="auto" w:fill="auto"/>
            <w:vAlign w:val="center"/>
          </w:tcPr>
          <w:p w14:paraId="17241257" w14:textId="77777777" w:rsidR="005D36C6" w:rsidRPr="00A04E56" w:rsidRDefault="005D36C6" w:rsidP="00B5418A">
            <w:pPr>
              <w:keepNext/>
              <w:jc w:val="center"/>
            </w:pPr>
            <w:r w:rsidRPr="00A04E56">
              <w:rPr>
                <w:noProof/>
                <w:lang w:val="fr-BE" w:eastAsia="fr-BE"/>
              </w:rPr>
              <mc:AlternateContent>
                <mc:Choice Requires="wpg">
                  <w:drawing>
                    <wp:inline distT="0" distB="0" distL="0" distR="0" wp14:anchorId="63E04372" wp14:editId="40E872B8">
                      <wp:extent cx="283210" cy="251460"/>
                      <wp:effectExtent l="0" t="0" r="21590" b="15240"/>
                      <wp:docPr id="126" name="Group 126"/>
                      <wp:cNvGraphicFramePr/>
                      <a:graphic xmlns:a="http://schemas.openxmlformats.org/drawingml/2006/main">
                        <a:graphicData uri="http://schemas.microsoft.com/office/word/2010/wordprocessingGroup">
                          <wpg:wgp>
                            <wpg:cNvGrpSpPr/>
                            <wpg:grpSpPr>
                              <a:xfrm>
                                <a:off x="0" y="0"/>
                                <a:ext cx="283210" cy="251460"/>
                                <a:chOff x="0" y="0"/>
                                <a:chExt cx="459094" cy="407580"/>
                              </a:xfrm>
                              <a:solidFill>
                                <a:srgbClr val="B0DAE6"/>
                              </a:solidFill>
                            </wpg:grpSpPr>
                            <wps:wsp>
                              <wps:cNvPr id="127" name="Freeform 19"/>
                              <wps:cNvSpPr>
                                <a:spLocks noEditPoints="1"/>
                              </wps:cNvSpPr>
                              <wps:spPr bwMode="auto">
                                <a:xfrm>
                                  <a:off x="0" y="0"/>
                                  <a:ext cx="459094" cy="251900"/>
                                </a:xfrm>
                                <a:custGeom>
                                  <a:avLst/>
                                  <a:gdLst>
                                    <a:gd name="T0" fmla="*/ 245 w 255"/>
                                    <a:gd name="T1" fmla="*/ 122 h 139"/>
                                    <a:gd name="T2" fmla="*/ 223 w 255"/>
                                    <a:gd name="T3" fmla="*/ 115 h 139"/>
                                    <a:gd name="T4" fmla="*/ 253 w 255"/>
                                    <a:gd name="T5" fmla="*/ 80 h 139"/>
                                    <a:gd name="T6" fmla="*/ 254 w 255"/>
                                    <a:gd name="T7" fmla="*/ 70 h 139"/>
                                    <a:gd name="T8" fmla="*/ 252 w 255"/>
                                    <a:gd name="T9" fmla="*/ 66 h 139"/>
                                    <a:gd name="T10" fmla="*/ 177 w 255"/>
                                    <a:gd name="T11" fmla="*/ 14 h 139"/>
                                    <a:gd name="T12" fmla="*/ 225 w 255"/>
                                    <a:gd name="T13" fmla="*/ 4 h 139"/>
                                    <a:gd name="T14" fmla="*/ 155 w 255"/>
                                    <a:gd name="T15" fmla="*/ 4 h 139"/>
                                    <a:gd name="T16" fmla="*/ 103 w 255"/>
                                    <a:gd name="T17" fmla="*/ 14 h 139"/>
                                    <a:gd name="T18" fmla="*/ 124 w 255"/>
                                    <a:gd name="T19" fmla="*/ 42 h 139"/>
                                    <a:gd name="T20" fmla="*/ 27 w 255"/>
                                    <a:gd name="T21" fmla="*/ 38 h 139"/>
                                    <a:gd name="T22" fmla="*/ 17 w 255"/>
                                    <a:gd name="T23" fmla="*/ 7 h 139"/>
                                    <a:gd name="T24" fmla="*/ 4 w 255"/>
                                    <a:gd name="T25" fmla="*/ 43 h 139"/>
                                    <a:gd name="T26" fmla="*/ 0 w 255"/>
                                    <a:gd name="T27" fmla="*/ 81 h 139"/>
                                    <a:gd name="T28" fmla="*/ 14 w 255"/>
                                    <a:gd name="T29" fmla="*/ 96 h 139"/>
                                    <a:gd name="T30" fmla="*/ 26 w 255"/>
                                    <a:gd name="T31" fmla="*/ 64 h 139"/>
                                    <a:gd name="T32" fmla="*/ 122 w 255"/>
                                    <a:gd name="T33" fmla="*/ 96 h 139"/>
                                    <a:gd name="T34" fmla="*/ 130 w 255"/>
                                    <a:gd name="T35" fmla="*/ 129 h 139"/>
                                    <a:gd name="T36" fmla="*/ 142 w 255"/>
                                    <a:gd name="T37" fmla="*/ 139 h 139"/>
                                    <a:gd name="T38" fmla="*/ 227 w 255"/>
                                    <a:gd name="T39" fmla="*/ 139 h 139"/>
                                    <a:gd name="T40" fmla="*/ 243 w 255"/>
                                    <a:gd name="T41" fmla="*/ 139 h 139"/>
                                    <a:gd name="T42" fmla="*/ 16 w 255"/>
                                    <a:gd name="T43" fmla="*/ 85 h 139"/>
                                    <a:gd name="T44" fmla="*/ 10 w 255"/>
                                    <a:gd name="T45" fmla="*/ 82 h 139"/>
                                    <a:gd name="T46" fmla="*/ 15 w 255"/>
                                    <a:gd name="T47" fmla="*/ 65 h 139"/>
                                    <a:gd name="T48" fmla="*/ 16 w 255"/>
                                    <a:gd name="T49" fmla="*/ 85 h 139"/>
                                    <a:gd name="T50" fmla="*/ 15 w 255"/>
                                    <a:gd name="T51" fmla="*/ 55 h 139"/>
                                    <a:gd name="T52" fmla="*/ 11 w 255"/>
                                    <a:gd name="T53" fmla="*/ 51 h 139"/>
                                    <a:gd name="T54" fmla="*/ 18 w 255"/>
                                    <a:gd name="T55" fmla="*/ 49 h 139"/>
                                    <a:gd name="T56" fmla="*/ 20 w 255"/>
                                    <a:gd name="T57" fmla="*/ 21 h 139"/>
                                    <a:gd name="T58" fmla="*/ 16 w 255"/>
                                    <a:gd name="T59" fmla="*/ 38 h 139"/>
                                    <a:gd name="T60" fmla="*/ 13 w 255"/>
                                    <a:gd name="T61" fmla="*/ 20 h 139"/>
                                    <a:gd name="T62" fmla="*/ 19 w 255"/>
                                    <a:gd name="T63" fmla="*/ 18 h 139"/>
                                    <a:gd name="T64" fmla="*/ 161 w 255"/>
                                    <a:gd name="T65" fmla="*/ 13 h 139"/>
                                    <a:gd name="T66" fmla="*/ 167 w 255"/>
                                    <a:gd name="T67" fmla="*/ 14 h 139"/>
                                    <a:gd name="T68" fmla="*/ 167 w 255"/>
                                    <a:gd name="T69" fmla="*/ 21 h 139"/>
                                    <a:gd name="T70" fmla="*/ 164 w 255"/>
                                    <a:gd name="T71" fmla="*/ 21 h 139"/>
                                    <a:gd name="T72" fmla="*/ 131 w 255"/>
                                    <a:gd name="T73" fmla="*/ 92 h 139"/>
                                    <a:gd name="T74" fmla="*/ 28 w 255"/>
                                    <a:gd name="T75" fmla="*/ 54 h 139"/>
                                    <a:gd name="T76" fmla="*/ 119 w 255"/>
                                    <a:gd name="T77" fmla="*/ 58 h 139"/>
                                    <a:gd name="T78" fmla="*/ 155 w 255"/>
                                    <a:gd name="T79" fmla="*/ 32 h 139"/>
                                    <a:gd name="T80" fmla="*/ 188 w 255"/>
                                    <a:gd name="T81" fmla="*/ 76 h 139"/>
                                    <a:gd name="T82" fmla="*/ 228 w 255"/>
                                    <a:gd name="T83" fmla="*/ 66 h 139"/>
                                    <a:gd name="T84" fmla="*/ 172 w 255"/>
                                    <a:gd name="T85" fmla="*/ 32 h 139"/>
                                    <a:gd name="T86" fmla="*/ 241 w 255"/>
                                    <a:gd name="T87" fmla="*/ 66 h 139"/>
                                    <a:gd name="T88" fmla="*/ 229 w 255"/>
                                    <a:gd name="T89" fmla="*/ 76 h 139"/>
                                    <a:gd name="T90" fmla="*/ 236 w 255"/>
                                    <a:gd name="T91" fmla="*/ 97 h 139"/>
                                    <a:gd name="T92" fmla="*/ 131 w 255"/>
                                    <a:gd name="T93" fmla="*/ 92 h 139"/>
                                    <a:gd name="T94" fmla="*/ 212 w 255"/>
                                    <a:gd name="T95" fmla="*/ 115 h 139"/>
                                    <a:gd name="T96" fmla="*/ 149 w 255"/>
                                    <a:gd name="T97" fmla="*/ 12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5" h="139">
                                      <a:moveTo>
                                        <a:pt x="255" y="121"/>
                                      </a:moveTo>
                                      <a:cubicBezTo>
                                        <a:pt x="254" y="118"/>
                                        <a:pt x="252" y="116"/>
                                        <a:pt x="249" y="116"/>
                                      </a:cubicBezTo>
                                      <a:cubicBezTo>
                                        <a:pt x="246" y="117"/>
                                        <a:pt x="244" y="119"/>
                                        <a:pt x="245" y="122"/>
                                      </a:cubicBezTo>
                                      <a:cubicBezTo>
                                        <a:pt x="245" y="124"/>
                                        <a:pt x="243" y="127"/>
                                        <a:pt x="241" y="129"/>
                                      </a:cubicBezTo>
                                      <a:cubicBezTo>
                                        <a:pt x="230" y="129"/>
                                        <a:pt x="230" y="129"/>
                                        <a:pt x="230" y="129"/>
                                      </a:cubicBezTo>
                                      <a:cubicBezTo>
                                        <a:pt x="223" y="115"/>
                                        <a:pt x="223" y="115"/>
                                        <a:pt x="223" y="115"/>
                                      </a:cubicBezTo>
                                      <a:cubicBezTo>
                                        <a:pt x="226" y="115"/>
                                        <a:pt x="226" y="115"/>
                                        <a:pt x="226" y="115"/>
                                      </a:cubicBezTo>
                                      <a:cubicBezTo>
                                        <a:pt x="235" y="115"/>
                                        <a:pt x="243" y="109"/>
                                        <a:pt x="246" y="101"/>
                                      </a:cubicBezTo>
                                      <a:cubicBezTo>
                                        <a:pt x="253" y="80"/>
                                        <a:pt x="253" y="80"/>
                                        <a:pt x="253" y="80"/>
                                      </a:cubicBezTo>
                                      <a:cubicBezTo>
                                        <a:pt x="255" y="77"/>
                                        <a:pt x="255" y="73"/>
                                        <a:pt x="254" y="70"/>
                                      </a:cubicBezTo>
                                      <a:cubicBezTo>
                                        <a:pt x="254" y="70"/>
                                        <a:pt x="254" y="70"/>
                                        <a:pt x="254" y="70"/>
                                      </a:cubicBezTo>
                                      <a:cubicBezTo>
                                        <a:pt x="254" y="70"/>
                                        <a:pt x="254" y="70"/>
                                        <a:pt x="254" y="70"/>
                                      </a:cubicBezTo>
                                      <a:cubicBezTo>
                                        <a:pt x="254" y="69"/>
                                        <a:pt x="254" y="69"/>
                                        <a:pt x="253" y="69"/>
                                      </a:cubicBezTo>
                                      <a:cubicBezTo>
                                        <a:pt x="253" y="68"/>
                                        <a:pt x="253" y="68"/>
                                        <a:pt x="253" y="67"/>
                                      </a:cubicBezTo>
                                      <a:cubicBezTo>
                                        <a:pt x="252" y="67"/>
                                        <a:pt x="252" y="66"/>
                                        <a:pt x="252" y="66"/>
                                      </a:cubicBezTo>
                                      <a:cubicBezTo>
                                        <a:pt x="252" y="65"/>
                                        <a:pt x="252" y="65"/>
                                        <a:pt x="252" y="65"/>
                                      </a:cubicBezTo>
                                      <a:cubicBezTo>
                                        <a:pt x="235" y="34"/>
                                        <a:pt x="203" y="24"/>
                                        <a:pt x="178" y="22"/>
                                      </a:cubicBezTo>
                                      <a:cubicBezTo>
                                        <a:pt x="177" y="14"/>
                                        <a:pt x="177" y="14"/>
                                        <a:pt x="177" y="14"/>
                                      </a:cubicBezTo>
                                      <a:cubicBezTo>
                                        <a:pt x="225" y="14"/>
                                        <a:pt x="225" y="14"/>
                                        <a:pt x="225" y="14"/>
                                      </a:cubicBezTo>
                                      <a:cubicBezTo>
                                        <a:pt x="228" y="14"/>
                                        <a:pt x="230" y="12"/>
                                        <a:pt x="230" y="9"/>
                                      </a:cubicBezTo>
                                      <a:cubicBezTo>
                                        <a:pt x="230" y="6"/>
                                        <a:pt x="228" y="4"/>
                                        <a:pt x="225" y="4"/>
                                      </a:cubicBezTo>
                                      <a:cubicBezTo>
                                        <a:pt x="173" y="4"/>
                                        <a:pt x="173" y="4"/>
                                        <a:pt x="173" y="4"/>
                                      </a:cubicBezTo>
                                      <a:cubicBezTo>
                                        <a:pt x="171" y="2"/>
                                        <a:pt x="167" y="0"/>
                                        <a:pt x="164" y="0"/>
                                      </a:cubicBezTo>
                                      <a:cubicBezTo>
                                        <a:pt x="161" y="0"/>
                                        <a:pt x="157" y="2"/>
                                        <a:pt x="155" y="4"/>
                                      </a:cubicBezTo>
                                      <a:cubicBezTo>
                                        <a:pt x="103" y="4"/>
                                        <a:pt x="103" y="4"/>
                                        <a:pt x="103" y="4"/>
                                      </a:cubicBezTo>
                                      <a:cubicBezTo>
                                        <a:pt x="100" y="4"/>
                                        <a:pt x="98" y="6"/>
                                        <a:pt x="98" y="9"/>
                                      </a:cubicBezTo>
                                      <a:cubicBezTo>
                                        <a:pt x="98" y="12"/>
                                        <a:pt x="100" y="14"/>
                                        <a:pt x="103" y="14"/>
                                      </a:cubicBezTo>
                                      <a:cubicBezTo>
                                        <a:pt x="151" y="14"/>
                                        <a:pt x="151" y="14"/>
                                        <a:pt x="151" y="14"/>
                                      </a:cubicBezTo>
                                      <a:cubicBezTo>
                                        <a:pt x="150" y="23"/>
                                        <a:pt x="150" y="23"/>
                                        <a:pt x="150" y="23"/>
                                      </a:cubicBezTo>
                                      <a:cubicBezTo>
                                        <a:pt x="140" y="26"/>
                                        <a:pt x="131" y="33"/>
                                        <a:pt x="124" y="42"/>
                                      </a:cubicBezTo>
                                      <a:cubicBezTo>
                                        <a:pt x="123" y="44"/>
                                        <a:pt x="122" y="46"/>
                                        <a:pt x="121" y="48"/>
                                      </a:cubicBezTo>
                                      <a:cubicBezTo>
                                        <a:pt x="121" y="48"/>
                                        <a:pt x="121" y="48"/>
                                        <a:pt x="120" y="48"/>
                                      </a:cubicBezTo>
                                      <a:cubicBezTo>
                                        <a:pt x="27" y="38"/>
                                        <a:pt x="27" y="38"/>
                                        <a:pt x="27" y="38"/>
                                      </a:cubicBezTo>
                                      <a:cubicBezTo>
                                        <a:pt x="30" y="22"/>
                                        <a:pt x="30" y="22"/>
                                        <a:pt x="30" y="22"/>
                                      </a:cubicBezTo>
                                      <a:cubicBezTo>
                                        <a:pt x="30" y="18"/>
                                        <a:pt x="29" y="15"/>
                                        <a:pt x="27" y="12"/>
                                      </a:cubicBezTo>
                                      <a:cubicBezTo>
                                        <a:pt x="24" y="9"/>
                                        <a:pt x="21" y="7"/>
                                        <a:pt x="17" y="7"/>
                                      </a:cubicBezTo>
                                      <a:cubicBezTo>
                                        <a:pt x="13" y="6"/>
                                        <a:pt x="9" y="8"/>
                                        <a:pt x="7" y="11"/>
                                      </a:cubicBezTo>
                                      <a:cubicBezTo>
                                        <a:pt x="4" y="13"/>
                                        <a:pt x="2" y="17"/>
                                        <a:pt x="3" y="21"/>
                                      </a:cubicBezTo>
                                      <a:cubicBezTo>
                                        <a:pt x="4" y="43"/>
                                        <a:pt x="4" y="43"/>
                                        <a:pt x="4" y="43"/>
                                      </a:cubicBezTo>
                                      <a:cubicBezTo>
                                        <a:pt x="2" y="46"/>
                                        <a:pt x="1" y="48"/>
                                        <a:pt x="1" y="51"/>
                                      </a:cubicBezTo>
                                      <a:cubicBezTo>
                                        <a:pt x="1" y="54"/>
                                        <a:pt x="2" y="56"/>
                                        <a:pt x="3" y="59"/>
                                      </a:cubicBezTo>
                                      <a:cubicBezTo>
                                        <a:pt x="0" y="81"/>
                                        <a:pt x="0" y="81"/>
                                        <a:pt x="0" y="81"/>
                                      </a:cubicBezTo>
                                      <a:cubicBezTo>
                                        <a:pt x="0" y="84"/>
                                        <a:pt x="1" y="88"/>
                                        <a:pt x="3" y="91"/>
                                      </a:cubicBezTo>
                                      <a:cubicBezTo>
                                        <a:pt x="6" y="94"/>
                                        <a:pt x="9" y="96"/>
                                        <a:pt x="13" y="96"/>
                                      </a:cubicBezTo>
                                      <a:cubicBezTo>
                                        <a:pt x="13" y="96"/>
                                        <a:pt x="14" y="96"/>
                                        <a:pt x="14" y="96"/>
                                      </a:cubicBezTo>
                                      <a:cubicBezTo>
                                        <a:pt x="17" y="96"/>
                                        <a:pt x="21" y="95"/>
                                        <a:pt x="23" y="92"/>
                                      </a:cubicBezTo>
                                      <a:cubicBezTo>
                                        <a:pt x="26" y="89"/>
                                        <a:pt x="28" y="86"/>
                                        <a:pt x="27" y="82"/>
                                      </a:cubicBezTo>
                                      <a:cubicBezTo>
                                        <a:pt x="26" y="64"/>
                                        <a:pt x="26" y="64"/>
                                        <a:pt x="26" y="64"/>
                                      </a:cubicBezTo>
                                      <a:cubicBezTo>
                                        <a:pt x="115" y="82"/>
                                        <a:pt x="115" y="82"/>
                                        <a:pt x="115" y="82"/>
                                      </a:cubicBezTo>
                                      <a:cubicBezTo>
                                        <a:pt x="116" y="82"/>
                                        <a:pt x="116" y="83"/>
                                        <a:pt x="117" y="83"/>
                                      </a:cubicBezTo>
                                      <a:cubicBezTo>
                                        <a:pt x="122" y="96"/>
                                        <a:pt x="122" y="96"/>
                                        <a:pt x="122" y="96"/>
                                      </a:cubicBezTo>
                                      <a:cubicBezTo>
                                        <a:pt x="126" y="105"/>
                                        <a:pt x="134" y="112"/>
                                        <a:pt x="144" y="114"/>
                                      </a:cubicBezTo>
                                      <a:cubicBezTo>
                                        <a:pt x="139" y="129"/>
                                        <a:pt x="139" y="129"/>
                                        <a:pt x="139" y="129"/>
                                      </a:cubicBezTo>
                                      <a:cubicBezTo>
                                        <a:pt x="130" y="129"/>
                                        <a:pt x="130" y="129"/>
                                        <a:pt x="130" y="129"/>
                                      </a:cubicBezTo>
                                      <a:cubicBezTo>
                                        <a:pt x="127" y="129"/>
                                        <a:pt x="125" y="131"/>
                                        <a:pt x="125" y="134"/>
                                      </a:cubicBezTo>
                                      <a:cubicBezTo>
                                        <a:pt x="125" y="136"/>
                                        <a:pt x="127" y="139"/>
                                        <a:pt x="130" y="139"/>
                                      </a:cubicBezTo>
                                      <a:cubicBezTo>
                                        <a:pt x="142" y="139"/>
                                        <a:pt x="142" y="139"/>
                                        <a:pt x="142" y="139"/>
                                      </a:cubicBezTo>
                                      <a:cubicBezTo>
                                        <a:pt x="142" y="139"/>
                                        <a:pt x="142" y="139"/>
                                        <a:pt x="142" y="139"/>
                                      </a:cubicBezTo>
                                      <a:cubicBezTo>
                                        <a:pt x="142" y="139"/>
                                        <a:pt x="142" y="139"/>
                                        <a:pt x="142" y="139"/>
                                      </a:cubicBezTo>
                                      <a:cubicBezTo>
                                        <a:pt x="227" y="139"/>
                                        <a:pt x="227" y="139"/>
                                        <a:pt x="227" y="139"/>
                                      </a:cubicBezTo>
                                      <a:cubicBezTo>
                                        <a:pt x="227" y="139"/>
                                        <a:pt x="227" y="139"/>
                                        <a:pt x="227" y="139"/>
                                      </a:cubicBezTo>
                                      <a:cubicBezTo>
                                        <a:pt x="227" y="139"/>
                                        <a:pt x="227" y="139"/>
                                        <a:pt x="227" y="139"/>
                                      </a:cubicBezTo>
                                      <a:cubicBezTo>
                                        <a:pt x="243" y="139"/>
                                        <a:pt x="243" y="139"/>
                                        <a:pt x="243" y="139"/>
                                      </a:cubicBezTo>
                                      <a:cubicBezTo>
                                        <a:pt x="244" y="139"/>
                                        <a:pt x="246" y="138"/>
                                        <a:pt x="246" y="137"/>
                                      </a:cubicBezTo>
                                      <a:cubicBezTo>
                                        <a:pt x="247" y="137"/>
                                        <a:pt x="255" y="130"/>
                                        <a:pt x="255" y="121"/>
                                      </a:cubicBezTo>
                                      <a:close/>
                                      <a:moveTo>
                                        <a:pt x="16" y="85"/>
                                      </a:moveTo>
                                      <a:cubicBezTo>
                                        <a:pt x="16" y="86"/>
                                        <a:pt x="15" y="86"/>
                                        <a:pt x="14" y="86"/>
                                      </a:cubicBezTo>
                                      <a:cubicBezTo>
                                        <a:pt x="12" y="86"/>
                                        <a:pt x="11" y="85"/>
                                        <a:pt x="11" y="85"/>
                                      </a:cubicBezTo>
                                      <a:cubicBezTo>
                                        <a:pt x="10" y="84"/>
                                        <a:pt x="10" y="83"/>
                                        <a:pt x="10" y="82"/>
                                      </a:cubicBezTo>
                                      <a:cubicBezTo>
                                        <a:pt x="13" y="65"/>
                                        <a:pt x="13" y="65"/>
                                        <a:pt x="13" y="65"/>
                                      </a:cubicBezTo>
                                      <a:cubicBezTo>
                                        <a:pt x="13" y="65"/>
                                        <a:pt x="14" y="65"/>
                                        <a:pt x="14" y="65"/>
                                      </a:cubicBezTo>
                                      <a:cubicBezTo>
                                        <a:pt x="15" y="65"/>
                                        <a:pt x="15" y="65"/>
                                        <a:pt x="15" y="65"/>
                                      </a:cubicBezTo>
                                      <a:cubicBezTo>
                                        <a:pt x="16" y="65"/>
                                        <a:pt x="16" y="65"/>
                                        <a:pt x="17" y="65"/>
                                      </a:cubicBezTo>
                                      <a:cubicBezTo>
                                        <a:pt x="17" y="82"/>
                                        <a:pt x="17" y="82"/>
                                        <a:pt x="17" y="82"/>
                                      </a:cubicBezTo>
                                      <a:cubicBezTo>
                                        <a:pt x="18" y="83"/>
                                        <a:pt x="17" y="84"/>
                                        <a:pt x="16" y="85"/>
                                      </a:cubicBezTo>
                                      <a:close/>
                                      <a:moveTo>
                                        <a:pt x="18" y="54"/>
                                      </a:moveTo>
                                      <a:cubicBezTo>
                                        <a:pt x="17" y="54"/>
                                        <a:pt x="17" y="54"/>
                                        <a:pt x="17" y="55"/>
                                      </a:cubicBezTo>
                                      <a:cubicBezTo>
                                        <a:pt x="16" y="55"/>
                                        <a:pt x="16" y="55"/>
                                        <a:pt x="15" y="55"/>
                                      </a:cubicBezTo>
                                      <a:cubicBezTo>
                                        <a:pt x="14" y="55"/>
                                        <a:pt x="13" y="55"/>
                                        <a:pt x="13" y="54"/>
                                      </a:cubicBezTo>
                                      <a:cubicBezTo>
                                        <a:pt x="13" y="54"/>
                                        <a:pt x="12" y="54"/>
                                        <a:pt x="12" y="54"/>
                                      </a:cubicBezTo>
                                      <a:cubicBezTo>
                                        <a:pt x="12" y="53"/>
                                        <a:pt x="11" y="52"/>
                                        <a:pt x="11" y="51"/>
                                      </a:cubicBezTo>
                                      <a:cubicBezTo>
                                        <a:pt x="11" y="49"/>
                                        <a:pt x="13" y="48"/>
                                        <a:pt x="15" y="48"/>
                                      </a:cubicBezTo>
                                      <a:cubicBezTo>
                                        <a:pt x="15" y="48"/>
                                        <a:pt x="15" y="48"/>
                                        <a:pt x="15" y="48"/>
                                      </a:cubicBezTo>
                                      <a:cubicBezTo>
                                        <a:pt x="16" y="48"/>
                                        <a:pt x="17" y="48"/>
                                        <a:pt x="18" y="49"/>
                                      </a:cubicBezTo>
                                      <a:cubicBezTo>
                                        <a:pt x="18" y="50"/>
                                        <a:pt x="19" y="50"/>
                                        <a:pt x="19" y="51"/>
                                      </a:cubicBezTo>
                                      <a:cubicBezTo>
                                        <a:pt x="19" y="52"/>
                                        <a:pt x="18" y="53"/>
                                        <a:pt x="18" y="54"/>
                                      </a:cubicBezTo>
                                      <a:close/>
                                      <a:moveTo>
                                        <a:pt x="20" y="21"/>
                                      </a:moveTo>
                                      <a:cubicBezTo>
                                        <a:pt x="18" y="37"/>
                                        <a:pt x="18" y="37"/>
                                        <a:pt x="18" y="37"/>
                                      </a:cubicBezTo>
                                      <a:cubicBezTo>
                                        <a:pt x="17" y="38"/>
                                        <a:pt x="17" y="38"/>
                                        <a:pt x="17" y="38"/>
                                      </a:cubicBezTo>
                                      <a:cubicBezTo>
                                        <a:pt x="17" y="38"/>
                                        <a:pt x="16" y="38"/>
                                        <a:pt x="16" y="38"/>
                                      </a:cubicBezTo>
                                      <a:cubicBezTo>
                                        <a:pt x="15" y="38"/>
                                        <a:pt x="14" y="38"/>
                                        <a:pt x="13" y="38"/>
                                      </a:cubicBezTo>
                                      <a:cubicBezTo>
                                        <a:pt x="13" y="37"/>
                                        <a:pt x="13" y="37"/>
                                        <a:pt x="13" y="37"/>
                                      </a:cubicBezTo>
                                      <a:cubicBezTo>
                                        <a:pt x="13" y="20"/>
                                        <a:pt x="13" y="20"/>
                                        <a:pt x="13" y="20"/>
                                      </a:cubicBezTo>
                                      <a:cubicBezTo>
                                        <a:pt x="12" y="19"/>
                                        <a:pt x="13" y="18"/>
                                        <a:pt x="14" y="18"/>
                                      </a:cubicBezTo>
                                      <a:cubicBezTo>
                                        <a:pt x="14" y="17"/>
                                        <a:pt x="15" y="16"/>
                                        <a:pt x="16" y="17"/>
                                      </a:cubicBezTo>
                                      <a:cubicBezTo>
                                        <a:pt x="18" y="17"/>
                                        <a:pt x="19" y="17"/>
                                        <a:pt x="19" y="18"/>
                                      </a:cubicBezTo>
                                      <a:cubicBezTo>
                                        <a:pt x="20" y="18"/>
                                        <a:pt x="20" y="19"/>
                                        <a:pt x="20" y="21"/>
                                      </a:cubicBezTo>
                                      <a:close/>
                                      <a:moveTo>
                                        <a:pt x="161" y="14"/>
                                      </a:moveTo>
                                      <a:cubicBezTo>
                                        <a:pt x="161" y="13"/>
                                        <a:pt x="161" y="13"/>
                                        <a:pt x="161" y="13"/>
                                      </a:cubicBezTo>
                                      <a:cubicBezTo>
                                        <a:pt x="162" y="11"/>
                                        <a:pt x="163" y="10"/>
                                        <a:pt x="164" y="10"/>
                                      </a:cubicBezTo>
                                      <a:cubicBezTo>
                                        <a:pt x="165" y="10"/>
                                        <a:pt x="166" y="11"/>
                                        <a:pt x="167" y="13"/>
                                      </a:cubicBezTo>
                                      <a:cubicBezTo>
                                        <a:pt x="167" y="14"/>
                                        <a:pt x="167" y="14"/>
                                        <a:pt x="167" y="14"/>
                                      </a:cubicBezTo>
                                      <a:cubicBezTo>
                                        <a:pt x="168" y="21"/>
                                        <a:pt x="168" y="21"/>
                                        <a:pt x="168" y="21"/>
                                      </a:cubicBezTo>
                                      <a:cubicBezTo>
                                        <a:pt x="167" y="21"/>
                                        <a:pt x="167" y="21"/>
                                        <a:pt x="167" y="21"/>
                                      </a:cubicBezTo>
                                      <a:cubicBezTo>
                                        <a:pt x="167" y="21"/>
                                        <a:pt x="167" y="21"/>
                                        <a:pt x="167" y="21"/>
                                      </a:cubicBezTo>
                                      <a:cubicBezTo>
                                        <a:pt x="167" y="21"/>
                                        <a:pt x="167" y="21"/>
                                        <a:pt x="167" y="21"/>
                                      </a:cubicBezTo>
                                      <a:cubicBezTo>
                                        <a:pt x="166" y="21"/>
                                        <a:pt x="165" y="21"/>
                                        <a:pt x="164" y="21"/>
                                      </a:cubicBezTo>
                                      <a:cubicBezTo>
                                        <a:pt x="164" y="21"/>
                                        <a:pt x="164" y="21"/>
                                        <a:pt x="164" y="21"/>
                                      </a:cubicBezTo>
                                      <a:cubicBezTo>
                                        <a:pt x="163" y="21"/>
                                        <a:pt x="161" y="21"/>
                                        <a:pt x="160" y="21"/>
                                      </a:cubicBezTo>
                                      <a:lnTo>
                                        <a:pt x="161" y="14"/>
                                      </a:lnTo>
                                      <a:close/>
                                      <a:moveTo>
                                        <a:pt x="131" y="92"/>
                                      </a:moveTo>
                                      <a:cubicBezTo>
                                        <a:pt x="126" y="79"/>
                                        <a:pt x="126" y="79"/>
                                        <a:pt x="126" y="79"/>
                                      </a:cubicBezTo>
                                      <a:cubicBezTo>
                                        <a:pt x="124" y="76"/>
                                        <a:pt x="121" y="73"/>
                                        <a:pt x="117" y="72"/>
                                      </a:cubicBezTo>
                                      <a:cubicBezTo>
                                        <a:pt x="28" y="54"/>
                                        <a:pt x="28" y="54"/>
                                        <a:pt x="28" y="54"/>
                                      </a:cubicBezTo>
                                      <a:cubicBezTo>
                                        <a:pt x="29" y="54"/>
                                        <a:pt x="29" y="53"/>
                                        <a:pt x="29" y="52"/>
                                      </a:cubicBezTo>
                                      <a:cubicBezTo>
                                        <a:pt x="29" y="51"/>
                                        <a:pt x="29" y="49"/>
                                        <a:pt x="28" y="48"/>
                                      </a:cubicBezTo>
                                      <a:cubicBezTo>
                                        <a:pt x="119" y="58"/>
                                        <a:pt x="119" y="58"/>
                                        <a:pt x="119" y="58"/>
                                      </a:cubicBezTo>
                                      <a:cubicBezTo>
                                        <a:pt x="123" y="58"/>
                                        <a:pt x="127" y="56"/>
                                        <a:pt x="130" y="53"/>
                                      </a:cubicBezTo>
                                      <a:cubicBezTo>
                                        <a:pt x="130" y="51"/>
                                        <a:pt x="131" y="49"/>
                                        <a:pt x="133" y="48"/>
                                      </a:cubicBezTo>
                                      <a:cubicBezTo>
                                        <a:pt x="138" y="40"/>
                                        <a:pt x="146" y="34"/>
                                        <a:pt x="155" y="32"/>
                                      </a:cubicBezTo>
                                      <a:cubicBezTo>
                                        <a:pt x="162" y="32"/>
                                        <a:pt x="162" y="32"/>
                                        <a:pt x="162" y="32"/>
                                      </a:cubicBezTo>
                                      <a:cubicBezTo>
                                        <a:pt x="165" y="56"/>
                                        <a:pt x="165" y="56"/>
                                        <a:pt x="165" y="56"/>
                                      </a:cubicBezTo>
                                      <a:cubicBezTo>
                                        <a:pt x="166" y="68"/>
                                        <a:pt x="176" y="76"/>
                                        <a:pt x="188" y="76"/>
                                      </a:cubicBezTo>
                                      <a:cubicBezTo>
                                        <a:pt x="228" y="76"/>
                                        <a:pt x="228" y="76"/>
                                        <a:pt x="228" y="76"/>
                                      </a:cubicBezTo>
                                      <a:cubicBezTo>
                                        <a:pt x="230" y="76"/>
                                        <a:pt x="233" y="74"/>
                                        <a:pt x="233" y="71"/>
                                      </a:cubicBezTo>
                                      <a:cubicBezTo>
                                        <a:pt x="233" y="69"/>
                                        <a:pt x="230" y="66"/>
                                        <a:pt x="228" y="66"/>
                                      </a:cubicBezTo>
                                      <a:cubicBezTo>
                                        <a:pt x="188" y="66"/>
                                        <a:pt x="188" y="66"/>
                                        <a:pt x="188" y="66"/>
                                      </a:cubicBezTo>
                                      <a:cubicBezTo>
                                        <a:pt x="181" y="66"/>
                                        <a:pt x="176" y="62"/>
                                        <a:pt x="175" y="55"/>
                                      </a:cubicBezTo>
                                      <a:cubicBezTo>
                                        <a:pt x="172" y="32"/>
                                        <a:pt x="172" y="32"/>
                                        <a:pt x="172" y="32"/>
                                      </a:cubicBezTo>
                                      <a:cubicBezTo>
                                        <a:pt x="173" y="32"/>
                                        <a:pt x="173" y="32"/>
                                        <a:pt x="173" y="32"/>
                                      </a:cubicBezTo>
                                      <a:cubicBezTo>
                                        <a:pt x="174" y="32"/>
                                        <a:pt x="175" y="32"/>
                                        <a:pt x="175" y="32"/>
                                      </a:cubicBezTo>
                                      <a:cubicBezTo>
                                        <a:pt x="196" y="34"/>
                                        <a:pt x="226" y="41"/>
                                        <a:pt x="241" y="66"/>
                                      </a:cubicBezTo>
                                      <a:cubicBezTo>
                                        <a:pt x="229" y="66"/>
                                        <a:pt x="229" y="66"/>
                                        <a:pt x="229" y="66"/>
                                      </a:cubicBezTo>
                                      <a:cubicBezTo>
                                        <a:pt x="227" y="66"/>
                                        <a:pt x="224" y="69"/>
                                        <a:pt x="224" y="71"/>
                                      </a:cubicBezTo>
                                      <a:cubicBezTo>
                                        <a:pt x="224" y="74"/>
                                        <a:pt x="227" y="76"/>
                                        <a:pt x="229" y="76"/>
                                      </a:cubicBezTo>
                                      <a:cubicBezTo>
                                        <a:pt x="244" y="76"/>
                                        <a:pt x="244" y="76"/>
                                        <a:pt x="244" y="76"/>
                                      </a:cubicBezTo>
                                      <a:cubicBezTo>
                                        <a:pt x="244" y="76"/>
                                        <a:pt x="244" y="77"/>
                                        <a:pt x="244" y="77"/>
                                      </a:cubicBezTo>
                                      <a:cubicBezTo>
                                        <a:pt x="236" y="97"/>
                                        <a:pt x="236" y="97"/>
                                        <a:pt x="236" y="97"/>
                                      </a:cubicBezTo>
                                      <a:cubicBezTo>
                                        <a:pt x="235" y="102"/>
                                        <a:pt x="230" y="105"/>
                                        <a:pt x="226" y="105"/>
                                      </a:cubicBezTo>
                                      <a:cubicBezTo>
                                        <a:pt x="151" y="105"/>
                                        <a:pt x="151" y="105"/>
                                        <a:pt x="151" y="105"/>
                                      </a:cubicBezTo>
                                      <a:cubicBezTo>
                                        <a:pt x="142" y="105"/>
                                        <a:pt x="135" y="100"/>
                                        <a:pt x="131" y="92"/>
                                      </a:cubicBezTo>
                                      <a:close/>
                                      <a:moveTo>
                                        <a:pt x="149" y="129"/>
                                      </a:moveTo>
                                      <a:cubicBezTo>
                                        <a:pt x="154" y="115"/>
                                        <a:pt x="154" y="115"/>
                                        <a:pt x="154" y="115"/>
                                      </a:cubicBezTo>
                                      <a:cubicBezTo>
                                        <a:pt x="212" y="115"/>
                                        <a:pt x="212" y="115"/>
                                        <a:pt x="212" y="115"/>
                                      </a:cubicBezTo>
                                      <a:cubicBezTo>
                                        <a:pt x="219" y="129"/>
                                        <a:pt x="219" y="129"/>
                                        <a:pt x="219" y="129"/>
                                      </a:cubicBezTo>
                                      <a:lnTo>
                                        <a:pt x="149" y="129"/>
                                      </a:lnTo>
                                      <a:close/>
                                      <a:moveTo>
                                        <a:pt x="149" y="129"/>
                                      </a:moveTo>
                                      <a:cubicBezTo>
                                        <a:pt x="149" y="129"/>
                                        <a:pt x="149" y="129"/>
                                        <a:pt x="149" y="129"/>
                                      </a:cubicBezTo>
                                    </a:path>
                                  </a:pathLst>
                                </a:custGeom>
                                <a:grpFill/>
                                <a:ln w="9525">
                                  <a:solidFill>
                                    <a:srgbClr val="65BBC8"/>
                                  </a:solidFill>
                                  <a:round/>
                                  <a:headEnd/>
                                  <a:tailEnd/>
                                </a:ln>
                                <a:extLst/>
                              </wps:spPr>
                              <wps:bodyPr rot="0" vert="horz" wrap="square" lIns="91440" tIns="45720" rIns="91440" bIns="45720" anchor="t" anchorCtr="0" upright="1">
                                <a:noAutofit/>
                              </wps:bodyPr>
                            </wps:wsp>
                            <wps:wsp>
                              <wps:cNvPr id="192" name="Freeform 20"/>
                              <wps:cNvSpPr>
                                <a:spLocks/>
                              </wps:cNvSpPr>
                              <wps:spPr bwMode="auto">
                                <a:xfrm>
                                  <a:off x="75063" y="156949"/>
                                  <a:ext cx="154301" cy="250631"/>
                                </a:xfrm>
                                <a:custGeom>
                                  <a:avLst/>
                                  <a:gdLst>
                                    <a:gd name="T0" fmla="*/ 0 w 86"/>
                                    <a:gd name="T1" fmla="*/ 95 h 138"/>
                                    <a:gd name="T2" fmla="*/ 43 w 86"/>
                                    <a:gd name="T3" fmla="*/ 138 h 138"/>
                                    <a:gd name="T4" fmla="*/ 43 w 86"/>
                                    <a:gd name="T5" fmla="*/ 138 h 138"/>
                                    <a:gd name="T6" fmla="*/ 86 w 86"/>
                                    <a:gd name="T7" fmla="*/ 95 h 138"/>
                                    <a:gd name="T8" fmla="*/ 82 w 86"/>
                                    <a:gd name="T9" fmla="*/ 36 h 138"/>
                                    <a:gd name="T10" fmla="*/ 62 w 86"/>
                                    <a:gd name="T11" fmla="*/ 57 h 138"/>
                                    <a:gd name="T12" fmla="*/ 48 w 86"/>
                                    <a:gd name="T13" fmla="*/ 0 h 138"/>
                                    <a:gd name="T14" fmla="*/ 27 w 86"/>
                                    <a:gd name="T15" fmla="*/ 41 h 138"/>
                                    <a:gd name="T16" fmla="*/ 24 w 86"/>
                                    <a:gd name="T17" fmla="*/ 71 h 138"/>
                                    <a:gd name="T18" fmla="*/ 7 w 86"/>
                                    <a:gd name="T19" fmla="*/ 41 h 138"/>
                                    <a:gd name="T20" fmla="*/ 0 w 86"/>
                                    <a:gd name="T21" fmla="*/ 95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138">
                                      <a:moveTo>
                                        <a:pt x="0" y="95"/>
                                      </a:moveTo>
                                      <a:cubicBezTo>
                                        <a:pt x="0" y="119"/>
                                        <a:pt x="19" y="138"/>
                                        <a:pt x="43" y="138"/>
                                      </a:cubicBezTo>
                                      <a:cubicBezTo>
                                        <a:pt x="43" y="138"/>
                                        <a:pt x="43" y="138"/>
                                        <a:pt x="43" y="138"/>
                                      </a:cubicBezTo>
                                      <a:cubicBezTo>
                                        <a:pt x="67" y="138"/>
                                        <a:pt x="86" y="119"/>
                                        <a:pt x="86" y="95"/>
                                      </a:cubicBezTo>
                                      <a:cubicBezTo>
                                        <a:pt x="86" y="71"/>
                                        <a:pt x="74" y="52"/>
                                        <a:pt x="82" y="36"/>
                                      </a:cubicBezTo>
                                      <a:cubicBezTo>
                                        <a:pt x="82" y="36"/>
                                        <a:pt x="69" y="38"/>
                                        <a:pt x="62" y="57"/>
                                      </a:cubicBezTo>
                                      <a:cubicBezTo>
                                        <a:pt x="62" y="57"/>
                                        <a:pt x="38" y="33"/>
                                        <a:pt x="48" y="0"/>
                                      </a:cubicBezTo>
                                      <a:cubicBezTo>
                                        <a:pt x="48" y="0"/>
                                        <a:pt x="24" y="10"/>
                                        <a:pt x="27" y="41"/>
                                      </a:cubicBezTo>
                                      <a:cubicBezTo>
                                        <a:pt x="29" y="67"/>
                                        <a:pt x="24" y="71"/>
                                        <a:pt x="24" y="71"/>
                                      </a:cubicBezTo>
                                      <a:cubicBezTo>
                                        <a:pt x="24" y="50"/>
                                        <a:pt x="7" y="41"/>
                                        <a:pt x="7" y="41"/>
                                      </a:cubicBezTo>
                                      <a:cubicBezTo>
                                        <a:pt x="12" y="67"/>
                                        <a:pt x="0" y="74"/>
                                        <a:pt x="0" y="95"/>
                                      </a:cubicBezTo>
                                      <a:close/>
                                    </a:path>
                                  </a:pathLst>
                                </a:custGeom>
                                <a:noFill/>
                                <a:ln w="14605" cap="flat">
                                  <a:solidFill>
                                    <a:srgbClr val="65BBC8"/>
                                  </a:solidFill>
                                  <a:prstDash val="solid"/>
                                  <a:miter lim="800000"/>
                                  <a:headEnd/>
                                  <a:tailEnd/>
                                </a:ln>
                              </wps:spPr>
                              <wps:bodyPr rot="0" vert="horz" wrap="square" lIns="91440" tIns="45720" rIns="91440" bIns="45720" anchor="t" anchorCtr="0" upright="1">
                                <a:noAutofit/>
                              </wps:bodyPr>
                            </wps:wsp>
                            <wps:wsp>
                              <wps:cNvPr id="193" name="Freeform 21"/>
                              <wps:cNvSpPr>
                                <a:spLocks/>
                              </wps:cNvSpPr>
                              <wps:spPr bwMode="auto">
                                <a:xfrm>
                                  <a:off x="122830" y="293427"/>
                                  <a:ext cx="67943" cy="112942"/>
                                </a:xfrm>
                                <a:custGeom>
                                  <a:avLst/>
                                  <a:gdLst>
                                    <a:gd name="T0" fmla="*/ 7 w 38"/>
                                    <a:gd name="T1" fmla="*/ 14 h 62"/>
                                    <a:gd name="T2" fmla="*/ 0 w 38"/>
                                    <a:gd name="T3" fmla="*/ 43 h 62"/>
                                    <a:gd name="T4" fmla="*/ 19 w 38"/>
                                    <a:gd name="T5" fmla="*/ 62 h 62"/>
                                    <a:gd name="T6" fmla="*/ 19 w 38"/>
                                    <a:gd name="T7" fmla="*/ 62 h 62"/>
                                    <a:gd name="T8" fmla="*/ 38 w 38"/>
                                    <a:gd name="T9" fmla="*/ 42 h 62"/>
                                    <a:gd name="T10" fmla="*/ 21 w 38"/>
                                    <a:gd name="T11" fmla="*/ 0 h 62"/>
                                    <a:gd name="T12" fmla="*/ 17 w 38"/>
                                    <a:gd name="T13" fmla="*/ 21 h 62"/>
                                    <a:gd name="T14" fmla="*/ 7 w 38"/>
                                    <a:gd name="T15" fmla="*/ 14 h 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62">
                                      <a:moveTo>
                                        <a:pt x="7" y="14"/>
                                      </a:moveTo>
                                      <a:cubicBezTo>
                                        <a:pt x="5" y="28"/>
                                        <a:pt x="0" y="34"/>
                                        <a:pt x="0" y="43"/>
                                      </a:cubicBezTo>
                                      <a:cubicBezTo>
                                        <a:pt x="0" y="52"/>
                                        <a:pt x="9" y="62"/>
                                        <a:pt x="19" y="62"/>
                                      </a:cubicBezTo>
                                      <a:cubicBezTo>
                                        <a:pt x="19" y="62"/>
                                        <a:pt x="19" y="62"/>
                                        <a:pt x="19" y="62"/>
                                      </a:cubicBezTo>
                                      <a:cubicBezTo>
                                        <a:pt x="30" y="62"/>
                                        <a:pt x="38" y="53"/>
                                        <a:pt x="38" y="42"/>
                                      </a:cubicBezTo>
                                      <a:cubicBezTo>
                                        <a:pt x="38" y="14"/>
                                        <a:pt x="21" y="0"/>
                                        <a:pt x="21" y="0"/>
                                      </a:cubicBezTo>
                                      <a:cubicBezTo>
                                        <a:pt x="24" y="14"/>
                                        <a:pt x="17" y="21"/>
                                        <a:pt x="17" y="21"/>
                                      </a:cubicBezTo>
                                      <a:cubicBezTo>
                                        <a:pt x="14" y="17"/>
                                        <a:pt x="7" y="14"/>
                                        <a:pt x="7" y="14"/>
                                      </a:cubicBezTo>
                                      <a:close/>
                                    </a:path>
                                  </a:pathLst>
                                </a:custGeom>
                                <a:noFill/>
                                <a:ln w="14605" cap="flat">
                                  <a:solidFill>
                                    <a:srgbClr val="65BBC8"/>
                                  </a:solidFill>
                                  <a:prstDash val="solid"/>
                                  <a:miter lim="800000"/>
                                  <a:headEnd/>
                                  <a:tailEnd/>
                                </a:ln>
                              </wps:spPr>
                              <wps:bodyPr rot="0" vert="horz" wrap="square" lIns="91440" tIns="45720" rIns="91440" bIns="45720" anchor="t" anchorCtr="0" upright="1">
                                <a:noAutofit/>
                              </wps:bodyPr>
                            </wps:wsp>
                          </wpg:wgp>
                        </a:graphicData>
                      </a:graphic>
                    </wp:inline>
                  </w:drawing>
                </mc:Choice>
                <mc:Fallback>
                  <w:pict>
                    <v:group w14:anchorId="588D6984" id="Group 126" o:spid="_x0000_s1026" style="width:22.3pt;height:19.8pt;mso-position-horizontal-relative:char;mso-position-vertical-relative:line" coordsize="459094,40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">
                      <v:shape id="Freeform 19" o:spid="_x0000_s1027" style="position:absolute;width:459094;height:251900;visibility:visible;mso-wrap-style:square;v-text-anchor:top" coordsize="25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" path="m255,121v-1,-3,-3,-5,-6,-5c246,117,244,119,245,122v,2,-2,5,-4,7c230,129,230,129,230,129v-7,-14,-7,-14,-7,-14c226,115,226,115,226,115v9,,17,-6,20,-14c253,80,253,80,253,80v2,-3,2,-7,1,-10c254,70,254,70,254,70v,,,,,c254,69,254,69,253,69v,-1,,-1,,-2c252,67,252,66,252,66v,-1,,-1,,-1c235,34,203,24,178,22v-1,-8,-1,-8,-1,-8c225,14,225,14,225,14v3,,5,-2,5,-5c230,6,228,4,225,4v-52,,-52,,-52,c171,2,167,,164,v-3,,-7,2,-9,4c103,4,103,4,103,4v-3,,-5,2,-5,5c98,12,100,14,103,14v48,,48,,48,c150,23,150,23,150,23v-10,3,-19,10,-26,19c123,44,122,46,121,48v,,,,-1,c27,38,27,38,27,38,30,22,30,22,30,22v,-4,-1,-7,-3,-10c24,9,21,7,17,7,13,6,9,8,7,11,4,13,2,17,3,21,4,43,4,43,4,43,2,46,1,48,1,51v,3,1,5,2,8c,81,,81,,81v,3,1,7,3,10c6,94,9,96,13,96v,,1,,1,c17,96,21,95,23,92v3,-3,5,-6,4,-10c26,64,26,64,26,64v89,18,89,18,89,18c116,82,116,83,117,83v5,13,5,13,5,13c126,105,134,112,144,114v-5,15,-5,15,-5,15c130,129,130,129,130,129v-3,,-5,2,-5,5c125,136,127,139,130,139v12,,12,,12,c142,139,142,139,142,139v,,,,,c227,139,227,139,227,139v,,,,,c227,139,227,139,227,139v16,,16,,16,c244,139,246,138,246,137v1,,9,-7,9,-16xm16,85v,1,-1,1,-2,1c12,86,11,85,11,85,10,84,10,83,10,82,13,65,13,65,13,65v,,1,,1,c15,65,15,65,15,65v1,,1,,2,c17,82,17,82,17,82v1,1,,2,-1,3xm18,54v-1,,-1,,-1,1c16,55,16,55,15,55v-1,,-2,,-2,-1c13,54,12,54,12,54v,-1,-1,-2,-1,-3c11,49,13,48,15,48v,,,,,c16,48,17,48,18,49v,1,1,1,1,2c19,52,18,53,18,54xm20,21c18,37,18,37,18,37v-1,1,-1,1,-1,1c17,38,16,38,16,38v-1,,-2,,-3,c13,37,13,37,13,37v,-17,,-17,,-17c12,19,13,18,14,18v,-1,1,-2,2,-1c18,17,19,17,19,18v1,,1,1,1,3xm161,14v,-1,,-1,,-1c162,11,163,10,164,10v1,,2,1,3,3c167,14,167,14,167,14v1,7,1,7,1,7c167,21,167,21,167,21v,,,,,c167,21,167,21,167,21v-1,,-2,,-3,c164,21,164,21,164,21v-1,,-3,,-4,l161,14xm131,92c126,79,126,79,126,79v-2,-3,-5,-6,-9,-7c28,54,28,54,28,54v1,,1,-1,1,-2c29,51,29,49,28,48v91,10,91,10,91,10c123,58,127,56,130,53v,-2,1,-4,3,-5c138,40,146,34,155,32v7,,7,,7,c165,56,165,56,165,56v1,12,11,20,23,20c228,76,228,76,228,76v2,,5,-2,5,-5c233,69,230,66,228,66v-40,,-40,,-40,c181,66,176,62,175,55,172,32,172,32,172,32v1,,1,,1,c174,32,175,32,175,32v21,2,51,9,66,34c229,66,229,66,229,66v-2,,-5,3,-5,5c224,74,227,76,229,76v15,,15,,15,c244,76,244,77,244,77v-8,20,-8,20,-8,20c235,102,230,105,226,105v-75,,-75,,-75,c142,105,135,100,131,92xm149,129v5,-14,5,-14,5,-14c212,115,212,115,212,115v7,14,7,14,7,14l149,129xm149,129v,,,,,e" filled="f" strokecolor="#65bbc8">
                        <v:path arrowok="t" o:connecttype="custom" o:connectlocs="441090,221092;401482,208406;455493,144978;457294,126856;453693,119607;318665,25371;405083,7249;279057,7249;185438,25371;223246,76114;48610,68865;30606,12686;7201,77926;0,146791;25205,173974;46810,115983;219645,173974;234048,233778;255652,251900;408684,251900;437490,251900;28806,154040;18004,148603;27006,117795;28806,154040;27006,99673;19804,92424;32407,88799;36007,38057;28806,68865;23405,36245;34207,32620;289859,23559;300662,25371;300662,38057;295260,38057;235848,166725;50410,97860;214244,105109;279057,57991;338469,137729;410484,119607;309663,57991;433889,119607;412284,137729;424887,175786;235848,166725;381678,208406;268255,233778" o:connectangles="0,0,0,0,0,0,0,0,0,0,0,0,0,0,0,0,0,0,0,0,0,0,0,0,0,0,0,0,0,0,0,0,0,0,0,0,0,0,0,0,0,0,0,0,0,0,0,0,0"/>
                        <o:lock v:ext="edit" verticies="t"/>
                      </v:shape>
                      <v:shape id="Freeform 20" o:spid="_x0000_s1028" style="position:absolute;left:75063;top:156949;width:154301;height:250631;visibility:visible;mso-wrap-style:square;v-text-anchor:top" coordsize="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" path="m,95v,24,19,43,43,43c43,138,43,138,43,138v24,,43,-19,43,-43c86,71,74,52,82,36v,,-13,2,-20,21c62,57,38,33,48,,48,,24,10,27,41v2,26,-3,30,-3,30c24,50,7,41,7,41,12,67,,74,,95xe" filled="f" strokecolor="#65bbc8" strokeweight="1.15pt">
                        <v:stroke joinstyle="miter"/>
                        <v:path arrowok="t" o:connecttype="custom" o:connectlocs="0,172536;77151,250631;77151,250631;154301,172536;147124,65382;111240,103522;86121,0;48443,74463;43061,128948;12559,74463;0,172536" o:connectangles="0,0,0,0,0,0,0,0,0,0,0"/>
                      </v:shape>
                      <v:shape id="Freeform 21" o:spid="_x0000_s1029" style="position:absolute;left:122830;top:293427;width:67943;height:112942;visibility:visible;mso-wrap-style:square;v-text-anchor:top" coordsize="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" path="m7,14c5,28,,34,,43v,9,9,19,19,19c19,62,19,62,19,62v11,,19,-9,19,-20c38,14,21,,21,v3,14,-4,21,-4,21c14,17,7,14,7,14xe" filled="f" strokecolor="#65bbc8" strokeweight="1.15pt">
                        <v:stroke joinstyle="miter"/>
                        <v:path arrowok="t" o:connecttype="custom" o:connectlocs="12516,25503;0,78331;33972,112942;33972,112942;67943,76509;37547,0;30396,38255;12516,25503" o:connectangles="0,0,0,0,0,0,0,0"/>
                      </v:shape>
                      <w10:anchorlock/>
                    </v:group>
                  </w:pict>
                </mc:Fallback>
              </mc:AlternateContent>
            </w:r>
          </w:p>
        </w:tc>
        <w:tc>
          <w:tcPr>
            <w:tcW w:w="4139" w:type="dxa"/>
            <w:shd w:val="clear" w:color="auto" w:fill="CBE8ED"/>
            <w:vAlign w:val="center"/>
          </w:tcPr>
          <w:p w14:paraId="5DE04535" w14:textId="77777777" w:rsidR="005D36C6" w:rsidRPr="00A04E56" w:rsidRDefault="005D36C6" w:rsidP="00C53476">
            <w:pPr>
              <w:keepNext/>
            </w:pPr>
            <w:r w:rsidRPr="00A04E56">
              <w:rPr>
                <w:b/>
              </w:rPr>
              <w:t>76</w:t>
            </w:r>
            <w:r w:rsidRPr="00A04E56">
              <w:t xml:space="preserve"> power generators</w:t>
            </w:r>
          </w:p>
        </w:tc>
      </w:tr>
      <w:tr w:rsidR="006C4609" w:rsidRPr="00A04E56" w14:paraId="0D7AA6CA" w14:textId="77777777" w:rsidTr="00B5418A">
        <w:trPr>
          <w:trHeight w:val="454"/>
          <w:jc w:val="center"/>
        </w:trPr>
        <w:tc>
          <w:tcPr>
            <w:tcW w:w="4139" w:type="dxa"/>
            <w:shd w:val="clear" w:color="auto" w:fill="CBE8ED"/>
            <w:vAlign w:val="center"/>
          </w:tcPr>
          <w:p w14:paraId="4C318618" w14:textId="66EFBE89" w:rsidR="005D36C6" w:rsidRPr="00A04E56" w:rsidRDefault="005D36C6" w:rsidP="00C53476">
            <w:pPr>
              <w:keepNext/>
            </w:pPr>
            <w:r w:rsidRPr="00A04E56">
              <w:rPr>
                <w:b/>
              </w:rPr>
              <w:t>2</w:t>
            </w:r>
            <w:r w:rsidRPr="00A04E56">
              <w:t xml:space="preserve"> water</w:t>
            </w:r>
            <w:r w:rsidR="00C010D2" w:rsidRPr="00A04E56">
              <w:t>-</w:t>
            </w:r>
            <w:r w:rsidRPr="00A04E56">
              <w:t>purification modules</w:t>
            </w:r>
          </w:p>
        </w:tc>
        <w:tc>
          <w:tcPr>
            <w:tcW w:w="794" w:type="dxa"/>
            <w:shd w:val="clear" w:color="auto" w:fill="auto"/>
            <w:vAlign w:val="center"/>
          </w:tcPr>
          <w:p w14:paraId="22F231F1" w14:textId="77777777" w:rsidR="005D36C6" w:rsidRPr="00A04E56" w:rsidRDefault="005D36C6" w:rsidP="00B5418A">
            <w:pPr>
              <w:keepNext/>
              <w:jc w:val="center"/>
            </w:pPr>
            <w:r w:rsidRPr="00A04E56">
              <w:rPr>
                <w:noProof/>
                <w:lang w:val="fr-BE" w:eastAsia="fr-BE"/>
              </w:rPr>
              <mc:AlternateContent>
                <mc:Choice Requires="wpg">
                  <w:drawing>
                    <wp:inline distT="0" distB="0" distL="0" distR="0" wp14:anchorId="3BF79891" wp14:editId="3085C59A">
                      <wp:extent cx="238760" cy="286385"/>
                      <wp:effectExtent l="0" t="0" r="8890" b="18415"/>
                      <wp:docPr id="1347" name="Group 1347"/>
                      <wp:cNvGraphicFramePr/>
                      <a:graphic xmlns:a="http://schemas.openxmlformats.org/drawingml/2006/main">
                        <a:graphicData uri="http://schemas.microsoft.com/office/word/2010/wordprocessingGroup">
                          <wpg:wgp>
                            <wpg:cNvGrpSpPr/>
                            <wpg:grpSpPr>
                              <a:xfrm>
                                <a:off x="0" y="0"/>
                                <a:ext cx="238760" cy="286385"/>
                                <a:chOff x="0" y="0"/>
                                <a:chExt cx="293363" cy="350833"/>
                              </a:xfrm>
                              <a:solidFill>
                                <a:srgbClr val="65BBC8"/>
                              </a:solidFill>
                            </wpg:grpSpPr>
                            <wps:wsp>
                              <wps:cNvPr id="1348" name="Freeform 29"/>
                              <wps:cNvSpPr>
                                <a:spLocks noEditPoints="1"/>
                              </wps:cNvSpPr>
                              <wps:spPr bwMode="auto">
                                <a:xfrm>
                                  <a:off x="0" y="0"/>
                                  <a:ext cx="293363" cy="237940"/>
                                </a:xfrm>
                                <a:custGeom>
                                  <a:avLst/>
                                  <a:gdLst>
                                    <a:gd name="T0" fmla="*/ 155 w 163"/>
                                    <a:gd name="T1" fmla="*/ 52 h 131"/>
                                    <a:gd name="T2" fmla="*/ 116 w 163"/>
                                    <a:gd name="T3" fmla="*/ 41 h 131"/>
                                    <a:gd name="T4" fmla="*/ 125 w 163"/>
                                    <a:gd name="T5" fmla="*/ 27 h 131"/>
                                    <a:gd name="T6" fmla="*/ 139 w 163"/>
                                    <a:gd name="T7" fmla="*/ 13 h 131"/>
                                    <a:gd name="T8" fmla="*/ 71 w 163"/>
                                    <a:gd name="T9" fmla="*/ 0 h 131"/>
                                    <a:gd name="T10" fmla="*/ 71 w 163"/>
                                    <a:gd name="T11" fmla="*/ 27 h 131"/>
                                    <a:gd name="T12" fmla="*/ 80 w 163"/>
                                    <a:gd name="T13" fmla="*/ 41 h 131"/>
                                    <a:gd name="T14" fmla="*/ 36 w 163"/>
                                    <a:gd name="T15" fmla="*/ 52 h 131"/>
                                    <a:gd name="T16" fmla="*/ 0 w 163"/>
                                    <a:gd name="T17" fmla="*/ 124 h 131"/>
                                    <a:gd name="T18" fmla="*/ 33 w 163"/>
                                    <a:gd name="T19" fmla="*/ 131 h 131"/>
                                    <a:gd name="T20" fmla="*/ 41 w 163"/>
                                    <a:gd name="T21" fmla="*/ 97 h 131"/>
                                    <a:gd name="T22" fmla="*/ 68 w 163"/>
                                    <a:gd name="T23" fmla="*/ 93 h 131"/>
                                    <a:gd name="T24" fmla="*/ 112 w 163"/>
                                    <a:gd name="T25" fmla="*/ 105 h 131"/>
                                    <a:gd name="T26" fmla="*/ 155 w 163"/>
                                    <a:gd name="T27" fmla="*/ 93 h 131"/>
                                    <a:gd name="T28" fmla="*/ 163 w 163"/>
                                    <a:gd name="T29" fmla="*/ 60 h 131"/>
                                    <a:gd name="T30" fmla="*/ 67 w 163"/>
                                    <a:gd name="T31" fmla="*/ 13 h 131"/>
                                    <a:gd name="T32" fmla="*/ 125 w 163"/>
                                    <a:gd name="T33" fmla="*/ 9 h 131"/>
                                    <a:gd name="T34" fmla="*/ 129 w 163"/>
                                    <a:gd name="T35" fmla="*/ 13 h 131"/>
                                    <a:gd name="T36" fmla="*/ 111 w 163"/>
                                    <a:gd name="T37" fmla="*/ 18 h 131"/>
                                    <a:gd name="T38" fmla="*/ 71 w 163"/>
                                    <a:gd name="T39" fmla="*/ 18 h 131"/>
                                    <a:gd name="T40" fmla="*/ 107 w 163"/>
                                    <a:gd name="T41" fmla="*/ 27 h 131"/>
                                    <a:gd name="T42" fmla="*/ 90 w 163"/>
                                    <a:gd name="T43" fmla="*/ 40 h 131"/>
                                    <a:gd name="T44" fmla="*/ 107 w 163"/>
                                    <a:gd name="T45" fmla="*/ 27 h 131"/>
                                    <a:gd name="T46" fmla="*/ 31 w 163"/>
                                    <a:gd name="T47" fmla="*/ 122 h 131"/>
                                    <a:gd name="T48" fmla="*/ 9 w 163"/>
                                    <a:gd name="T49" fmla="*/ 88 h 131"/>
                                    <a:gd name="T50" fmla="*/ 67 w 163"/>
                                    <a:gd name="T51" fmla="*/ 61 h 131"/>
                                    <a:gd name="T52" fmla="*/ 45 w 163"/>
                                    <a:gd name="T53" fmla="*/ 84 h 131"/>
                                    <a:gd name="T54" fmla="*/ 120 w 163"/>
                                    <a:gd name="T55" fmla="*/ 88 h 131"/>
                                    <a:gd name="T56" fmla="*/ 84 w 163"/>
                                    <a:gd name="T57" fmla="*/ 95 h 131"/>
                                    <a:gd name="T58" fmla="*/ 77 w 163"/>
                                    <a:gd name="T59" fmla="*/ 57 h 131"/>
                                    <a:gd name="T60" fmla="*/ 85 w 163"/>
                                    <a:gd name="T61" fmla="*/ 49 h 131"/>
                                    <a:gd name="T62" fmla="*/ 112 w 163"/>
                                    <a:gd name="T63" fmla="*/ 49 h 131"/>
                                    <a:gd name="T64" fmla="*/ 120 w 163"/>
                                    <a:gd name="T65" fmla="*/ 88 h 131"/>
                                    <a:gd name="T66" fmla="*/ 129 w 163"/>
                                    <a:gd name="T67" fmla="*/ 84 h 131"/>
                                    <a:gd name="T68" fmla="*/ 154 w 163"/>
                                    <a:gd name="T69" fmla="*/ 6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3" h="131">
                                      <a:moveTo>
                                        <a:pt x="161" y="54"/>
                                      </a:moveTo>
                                      <a:cubicBezTo>
                                        <a:pt x="159" y="53"/>
                                        <a:pt x="157" y="52"/>
                                        <a:pt x="155" y="52"/>
                                      </a:cubicBezTo>
                                      <a:cubicBezTo>
                                        <a:pt x="128" y="52"/>
                                        <a:pt x="128" y="52"/>
                                        <a:pt x="128" y="52"/>
                                      </a:cubicBezTo>
                                      <a:cubicBezTo>
                                        <a:pt x="126" y="46"/>
                                        <a:pt x="122" y="42"/>
                                        <a:pt x="116" y="41"/>
                                      </a:cubicBezTo>
                                      <a:cubicBezTo>
                                        <a:pt x="116" y="27"/>
                                        <a:pt x="116" y="27"/>
                                        <a:pt x="116" y="27"/>
                                      </a:cubicBezTo>
                                      <a:cubicBezTo>
                                        <a:pt x="125" y="27"/>
                                        <a:pt x="125" y="27"/>
                                        <a:pt x="125" y="27"/>
                                      </a:cubicBezTo>
                                      <a:cubicBezTo>
                                        <a:pt x="133" y="27"/>
                                        <a:pt x="139" y="21"/>
                                        <a:pt x="139" y="13"/>
                                      </a:cubicBezTo>
                                      <a:cubicBezTo>
                                        <a:pt x="139" y="13"/>
                                        <a:pt x="139" y="13"/>
                                        <a:pt x="139" y="13"/>
                                      </a:cubicBezTo>
                                      <a:cubicBezTo>
                                        <a:pt x="139" y="6"/>
                                        <a:pt x="133" y="0"/>
                                        <a:pt x="125" y="0"/>
                                      </a:cubicBezTo>
                                      <a:cubicBezTo>
                                        <a:pt x="71" y="0"/>
                                        <a:pt x="71" y="0"/>
                                        <a:pt x="71" y="0"/>
                                      </a:cubicBezTo>
                                      <a:cubicBezTo>
                                        <a:pt x="64" y="0"/>
                                        <a:pt x="58" y="6"/>
                                        <a:pt x="58" y="13"/>
                                      </a:cubicBezTo>
                                      <a:cubicBezTo>
                                        <a:pt x="58" y="21"/>
                                        <a:pt x="64" y="27"/>
                                        <a:pt x="71" y="27"/>
                                      </a:cubicBezTo>
                                      <a:cubicBezTo>
                                        <a:pt x="80" y="27"/>
                                        <a:pt x="80" y="27"/>
                                        <a:pt x="80" y="27"/>
                                      </a:cubicBezTo>
                                      <a:cubicBezTo>
                                        <a:pt x="80" y="41"/>
                                        <a:pt x="80" y="41"/>
                                        <a:pt x="80" y="41"/>
                                      </a:cubicBezTo>
                                      <a:cubicBezTo>
                                        <a:pt x="75" y="42"/>
                                        <a:pt x="70" y="46"/>
                                        <a:pt x="68" y="52"/>
                                      </a:cubicBezTo>
                                      <a:cubicBezTo>
                                        <a:pt x="36" y="52"/>
                                        <a:pt x="36" y="52"/>
                                        <a:pt x="36" y="52"/>
                                      </a:cubicBezTo>
                                      <a:cubicBezTo>
                                        <a:pt x="16" y="52"/>
                                        <a:pt x="0" y="68"/>
                                        <a:pt x="0" y="88"/>
                                      </a:cubicBezTo>
                                      <a:cubicBezTo>
                                        <a:pt x="0" y="124"/>
                                        <a:pt x="0" y="124"/>
                                        <a:pt x="0" y="124"/>
                                      </a:cubicBezTo>
                                      <a:cubicBezTo>
                                        <a:pt x="0" y="128"/>
                                        <a:pt x="3" y="131"/>
                                        <a:pt x="7" y="131"/>
                                      </a:cubicBezTo>
                                      <a:cubicBezTo>
                                        <a:pt x="33" y="131"/>
                                        <a:pt x="33" y="131"/>
                                        <a:pt x="33" y="131"/>
                                      </a:cubicBezTo>
                                      <a:cubicBezTo>
                                        <a:pt x="37" y="131"/>
                                        <a:pt x="41" y="128"/>
                                        <a:pt x="41" y="124"/>
                                      </a:cubicBezTo>
                                      <a:cubicBezTo>
                                        <a:pt x="41" y="97"/>
                                        <a:pt x="41" y="97"/>
                                        <a:pt x="41" y="97"/>
                                      </a:cubicBezTo>
                                      <a:cubicBezTo>
                                        <a:pt x="41" y="95"/>
                                        <a:pt x="43" y="93"/>
                                        <a:pt x="45" y="93"/>
                                      </a:cubicBezTo>
                                      <a:cubicBezTo>
                                        <a:pt x="68" y="93"/>
                                        <a:pt x="68" y="93"/>
                                        <a:pt x="68" y="93"/>
                                      </a:cubicBezTo>
                                      <a:cubicBezTo>
                                        <a:pt x="71" y="100"/>
                                        <a:pt x="77" y="105"/>
                                        <a:pt x="84" y="105"/>
                                      </a:cubicBezTo>
                                      <a:cubicBezTo>
                                        <a:pt x="112" y="105"/>
                                        <a:pt x="112" y="105"/>
                                        <a:pt x="112" y="105"/>
                                      </a:cubicBezTo>
                                      <a:cubicBezTo>
                                        <a:pt x="119" y="105"/>
                                        <a:pt x="126" y="100"/>
                                        <a:pt x="128" y="93"/>
                                      </a:cubicBezTo>
                                      <a:cubicBezTo>
                                        <a:pt x="155" y="93"/>
                                        <a:pt x="155" y="93"/>
                                        <a:pt x="155" y="93"/>
                                      </a:cubicBezTo>
                                      <a:cubicBezTo>
                                        <a:pt x="160" y="93"/>
                                        <a:pt x="163" y="90"/>
                                        <a:pt x="163" y="85"/>
                                      </a:cubicBezTo>
                                      <a:cubicBezTo>
                                        <a:pt x="163" y="60"/>
                                        <a:pt x="163" y="60"/>
                                        <a:pt x="163" y="60"/>
                                      </a:cubicBezTo>
                                      <a:cubicBezTo>
                                        <a:pt x="163" y="58"/>
                                        <a:pt x="162" y="56"/>
                                        <a:pt x="161" y="54"/>
                                      </a:cubicBezTo>
                                      <a:close/>
                                      <a:moveTo>
                                        <a:pt x="67" y="13"/>
                                      </a:moveTo>
                                      <a:cubicBezTo>
                                        <a:pt x="67" y="11"/>
                                        <a:pt x="69" y="9"/>
                                        <a:pt x="71" y="9"/>
                                      </a:cubicBezTo>
                                      <a:cubicBezTo>
                                        <a:pt x="125" y="9"/>
                                        <a:pt x="125" y="9"/>
                                        <a:pt x="125" y="9"/>
                                      </a:cubicBezTo>
                                      <a:cubicBezTo>
                                        <a:pt x="127" y="9"/>
                                        <a:pt x="129" y="11"/>
                                        <a:pt x="129" y="13"/>
                                      </a:cubicBezTo>
                                      <a:cubicBezTo>
                                        <a:pt x="129" y="13"/>
                                        <a:pt x="129" y="13"/>
                                        <a:pt x="129" y="13"/>
                                      </a:cubicBezTo>
                                      <a:cubicBezTo>
                                        <a:pt x="129" y="16"/>
                                        <a:pt x="127" y="18"/>
                                        <a:pt x="125" y="18"/>
                                      </a:cubicBezTo>
                                      <a:cubicBezTo>
                                        <a:pt x="111" y="18"/>
                                        <a:pt x="111" y="18"/>
                                        <a:pt x="111" y="18"/>
                                      </a:cubicBezTo>
                                      <a:cubicBezTo>
                                        <a:pt x="85" y="18"/>
                                        <a:pt x="85" y="18"/>
                                        <a:pt x="85" y="18"/>
                                      </a:cubicBezTo>
                                      <a:cubicBezTo>
                                        <a:pt x="71" y="18"/>
                                        <a:pt x="71" y="18"/>
                                        <a:pt x="71" y="18"/>
                                      </a:cubicBezTo>
                                      <a:cubicBezTo>
                                        <a:pt x="69" y="18"/>
                                        <a:pt x="67" y="16"/>
                                        <a:pt x="67" y="13"/>
                                      </a:cubicBezTo>
                                      <a:close/>
                                      <a:moveTo>
                                        <a:pt x="107" y="27"/>
                                      </a:moveTo>
                                      <a:cubicBezTo>
                                        <a:pt x="107" y="40"/>
                                        <a:pt x="107" y="40"/>
                                        <a:pt x="107" y="40"/>
                                      </a:cubicBezTo>
                                      <a:cubicBezTo>
                                        <a:pt x="90" y="40"/>
                                        <a:pt x="90" y="40"/>
                                        <a:pt x="90" y="40"/>
                                      </a:cubicBezTo>
                                      <a:cubicBezTo>
                                        <a:pt x="90" y="27"/>
                                        <a:pt x="90" y="27"/>
                                        <a:pt x="90" y="27"/>
                                      </a:cubicBezTo>
                                      <a:lnTo>
                                        <a:pt x="107" y="27"/>
                                      </a:lnTo>
                                      <a:close/>
                                      <a:moveTo>
                                        <a:pt x="31" y="97"/>
                                      </a:moveTo>
                                      <a:cubicBezTo>
                                        <a:pt x="31" y="122"/>
                                        <a:pt x="31" y="122"/>
                                        <a:pt x="31" y="122"/>
                                      </a:cubicBezTo>
                                      <a:cubicBezTo>
                                        <a:pt x="9" y="122"/>
                                        <a:pt x="9" y="122"/>
                                        <a:pt x="9" y="122"/>
                                      </a:cubicBezTo>
                                      <a:cubicBezTo>
                                        <a:pt x="9" y="88"/>
                                        <a:pt x="9" y="88"/>
                                        <a:pt x="9" y="88"/>
                                      </a:cubicBezTo>
                                      <a:cubicBezTo>
                                        <a:pt x="9" y="73"/>
                                        <a:pt x="21" y="61"/>
                                        <a:pt x="36" y="61"/>
                                      </a:cubicBezTo>
                                      <a:cubicBezTo>
                                        <a:pt x="67" y="61"/>
                                        <a:pt x="67" y="61"/>
                                        <a:pt x="67" y="61"/>
                                      </a:cubicBezTo>
                                      <a:cubicBezTo>
                                        <a:pt x="67" y="84"/>
                                        <a:pt x="67" y="84"/>
                                        <a:pt x="67" y="84"/>
                                      </a:cubicBezTo>
                                      <a:cubicBezTo>
                                        <a:pt x="45" y="84"/>
                                        <a:pt x="45" y="84"/>
                                        <a:pt x="45" y="84"/>
                                      </a:cubicBezTo>
                                      <a:cubicBezTo>
                                        <a:pt x="37" y="84"/>
                                        <a:pt x="31" y="90"/>
                                        <a:pt x="31" y="97"/>
                                      </a:cubicBezTo>
                                      <a:close/>
                                      <a:moveTo>
                                        <a:pt x="120" y="88"/>
                                      </a:moveTo>
                                      <a:cubicBezTo>
                                        <a:pt x="120" y="92"/>
                                        <a:pt x="116" y="95"/>
                                        <a:pt x="112" y="95"/>
                                      </a:cubicBezTo>
                                      <a:cubicBezTo>
                                        <a:pt x="84" y="95"/>
                                        <a:pt x="84" y="95"/>
                                        <a:pt x="84" y="95"/>
                                      </a:cubicBezTo>
                                      <a:cubicBezTo>
                                        <a:pt x="80" y="95"/>
                                        <a:pt x="77" y="92"/>
                                        <a:pt x="77" y="88"/>
                                      </a:cubicBezTo>
                                      <a:cubicBezTo>
                                        <a:pt x="77" y="57"/>
                                        <a:pt x="77" y="57"/>
                                        <a:pt x="77" y="57"/>
                                      </a:cubicBezTo>
                                      <a:cubicBezTo>
                                        <a:pt x="77" y="53"/>
                                        <a:pt x="80" y="49"/>
                                        <a:pt x="84" y="49"/>
                                      </a:cubicBezTo>
                                      <a:cubicBezTo>
                                        <a:pt x="85" y="49"/>
                                        <a:pt x="85" y="49"/>
                                        <a:pt x="85" y="49"/>
                                      </a:cubicBezTo>
                                      <a:cubicBezTo>
                                        <a:pt x="111" y="49"/>
                                        <a:pt x="111" y="49"/>
                                        <a:pt x="111" y="49"/>
                                      </a:cubicBezTo>
                                      <a:cubicBezTo>
                                        <a:pt x="112" y="49"/>
                                        <a:pt x="112" y="49"/>
                                        <a:pt x="112" y="49"/>
                                      </a:cubicBezTo>
                                      <a:cubicBezTo>
                                        <a:pt x="116" y="49"/>
                                        <a:pt x="120" y="53"/>
                                        <a:pt x="120" y="57"/>
                                      </a:cubicBezTo>
                                      <a:lnTo>
                                        <a:pt x="120" y="88"/>
                                      </a:lnTo>
                                      <a:close/>
                                      <a:moveTo>
                                        <a:pt x="154" y="84"/>
                                      </a:moveTo>
                                      <a:cubicBezTo>
                                        <a:pt x="129" y="84"/>
                                        <a:pt x="129" y="84"/>
                                        <a:pt x="129" y="84"/>
                                      </a:cubicBezTo>
                                      <a:cubicBezTo>
                                        <a:pt x="129" y="61"/>
                                        <a:pt x="129" y="61"/>
                                        <a:pt x="129" y="61"/>
                                      </a:cubicBezTo>
                                      <a:cubicBezTo>
                                        <a:pt x="154" y="61"/>
                                        <a:pt x="154" y="61"/>
                                        <a:pt x="154" y="61"/>
                                      </a:cubicBezTo>
                                      <a:lnTo>
                                        <a:pt x="154" y="8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 name="Freeform 30"/>
                              <wps:cNvSpPr>
                                <a:spLocks noEditPoints="1"/>
                              </wps:cNvSpPr>
                              <wps:spPr bwMode="auto">
                                <a:xfrm>
                                  <a:off x="6824" y="252484"/>
                                  <a:ext cx="68578" cy="98349"/>
                                </a:xfrm>
                                <a:custGeom>
                                  <a:avLst/>
                                  <a:gdLst>
                                    <a:gd name="T0" fmla="*/ 20 w 38"/>
                                    <a:gd name="T1" fmla="*/ 0 h 54"/>
                                    <a:gd name="T2" fmla="*/ 19 w 38"/>
                                    <a:gd name="T3" fmla="*/ 0 h 54"/>
                                    <a:gd name="T4" fmla="*/ 18 w 38"/>
                                    <a:gd name="T5" fmla="*/ 0 h 54"/>
                                    <a:gd name="T6" fmla="*/ 0 w 38"/>
                                    <a:gd name="T7" fmla="*/ 35 h 54"/>
                                    <a:gd name="T8" fmla="*/ 19 w 38"/>
                                    <a:gd name="T9" fmla="*/ 54 h 54"/>
                                    <a:gd name="T10" fmla="*/ 38 w 38"/>
                                    <a:gd name="T11" fmla="*/ 35 h 54"/>
                                    <a:gd name="T12" fmla="*/ 20 w 38"/>
                                    <a:gd name="T13" fmla="*/ 0 h 54"/>
                                    <a:gd name="T14" fmla="*/ 19 w 38"/>
                                    <a:gd name="T15" fmla="*/ 51 h 54"/>
                                    <a:gd name="T16" fmla="*/ 3 w 38"/>
                                    <a:gd name="T17" fmla="*/ 35 h 54"/>
                                    <a:gd name="T18" fmla="*/ 19 w 38"/>
                                    <a:gd name="T19" fmla="*/ 4 h 54"/>
                                    <a:gd name="T20" fmla="*/ 35 w 38"/>
                                    <a:gd name="T21" fmla="*/ 35 h 54"/>
                                    <a:gd name="T22" fmla="*/ 19 w 38"/>
                                    <a:gd name="T23" fmla="*/ 51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54">
                                      <a:moveTo>
                                        <a:pt x="20" y="0"/>
                                      </a:moveTo>
                                      <a:cubicBezTo>
                                        <a:pt x="20" y="0"/>
                                        <a:pt x="19" y="0"/>
                                        <a:pt x="19" y="0"/>
                                      </a:cubicBezTo>
                                      <a:cubicBezTo>
                                        <a:pt x="19" y="0"/>
                                        <a:pt x="18" y="0"/>
                                        <a:pt x="18" y="0"/>
                                      </a:cubicBezTo>
                                      <a:cubicBezTo>
                                        <a:pt x="17" y="1"/>
                                        <a:pt x="0" y="22"/>
                                        <a:pt x="0" y="35"/>
                                      </a:cubicBezTo>
                                      <a:cubicBezTo>
                                        <a:pt x="0" y="45"/>
                                        <a:pt x="9" y="54"/>
                                        <a:pt x="19" y="54"/>
                                      </a:cubicBezTo>
                                      <a:cubicBezTo>
                                        <a:pt x="29" y="54"/>
                                        <a:pt x="38" y="45"/>
                                        <a:pt x="38" y="35"/>
                                      </a:cubicBezTo>
                                      <a:cubicBezTo>
                                        <a:pt x="38" y="20"/>
                                        <a:pt x="21" y="1"/>
                                        <a:pt x="20" y="0"/>
                                      </a:cubicBezTo>
                                      <a:close/>
                                      <a:moveTo>
                                        <a:pt x="19" y="51"/>
                                      </a:moveTo>
                                      <a:cubicBezTo>
                                        <a:pt x="10" y="51"/>
                                        <a:pt x="3" y="44"/>
                                        <a:pt x="3" y="35"/>
                                      </a:cubicBezTo>
                                      <a:cubicBezTo>
                                        <a:pt x="3" y="25"/>
                                        <a:pt x="15" y="9"/>
                                        <a:pt x="19" y="4"/>
                                      </a:cubicBezTo>
                                      <a:cubicBezTo>
                                        <a:pt x="23" y="8"/>
                                        <a:pt x="35" y="24"/>
                                        <a:pt x="35" y="35"/>
                                      </a:cubicBezTo>
                                      <a:cubicBezTo>
                                        <a:pt x="35" y="44"/>
                                        <a:pt x="28" y="51"/>
                                        <a:pt x="19" y="51"/>
                                      </a:cubicBezTo>
                                      <a:close/>
                                    </a:path>
                                  </a:pathLst>
                                </a:custGeom>
                                <a:grpFill/>
                                <a:ln w="5715" cap="flat">
                                  <a:solidFill>
                                    <a:srgbClr val="65BBC8"/>
                                  </a:solidFill>
                                  <a:prstDash val="solid"/>
                                  <a:miter lim="800000"/>
                                  <a:headEnd/>
                                  <a:tailEnd/>
                                </a:ln>
                              </wps:spPr>
                              <wps:bodyPr rot="0" vert="horz" wrap="square" lIns="91440" tIns="45720" rIns="91440" bIns="45720" anchor="t" anchorCtr="0" upright="1">
                                <a:noAutofit/>
                              </wps:bodyPr>
                            </wps:wsp>
                          </wpg:wgp>
                        </a:graphicData>
                      </a:graphic>
                    </wp:inline>
                  </w:drawing>
                </mc:Choice>
                <mc:Fallback>
                  <w:pict>
                    <v:group w14:anchorId="21A36AF8" id="Group 1347" o:spid="_x0000_s1026" style="width:18.8pt;height:22.55pt;mso-position-horizontal-relative:char;mso-position-vertical-relative:line" coordsize="293363,35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">
                      <v:shape id="Freeform 29" o:spid="_x0000_s1027" style="position:absolute;width:293363;height:237940;visibility:visible;mso-wrap-style:square;v-text-anchor:top" coordsize="16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" path="m161,54v-2,-1,-4,-2,-6,-2c128,52,128,52,128,52,126,46,122,42,116,41v,-14,,-14,,-14c125,27,125,27,125,27v8,,14,-6,14,-14c139,13,139,13,139,13,139,6,133,,125,,71,,71,,71,,64,,58,6,58,13v,8,6,14,13,14c80,27,80,27,80,27v,14,,14,,14c75,42,70,46,68,52v-32,,-32,,-32,c16,52,,68,,88v,36,,36,,36c,128,3,131,7,131v26,,26,,26,c37,131,41,128,41,124v,-27,,-27,,-27c41,95,43,93,45,93v23,,23,,23,c71,100,77,105,84,105v28,,28,,28,c119,105,126,100,128,93v27,,27,,27,c160,93,163,90,163,85v,-25,,-25,,-25c163,58,162,56,161,54xm67,13v,-2,2,-4,4,-4c125,9,125,9,125,9v2,,4,2,4,4c129,13,129,13,129,13v,3,-2,5,-4,5c111,18,111,18,111,18v-26,,-26,,-26,c71,18,71,18,71,18v-2,,-4,-2,-4,-5xm107,27v,13,,13,,13c90,40,90,40,90,40v,-13,,-13,,-13l107,27xm31,97v,25,,25,,25c9,122,9,122,9,122,9,88,9,88,9,88,9,73,21,61,36,61v31,,31,,31,c67,84,67,84,67,84v-22,,-22,,-22,c37,84,31,90,31,97xm120,88v,4,-4,7,-8,7c84,95,84,95,84,95v-4,,-7,-3,-7,-7c77,57,77,57,77,57v,-4,3,-8,7,-8c85,49,85,49,85,49v26,,26,,26,c112,49,112,49,112,49v4,,8,4,8,8l120,88xm154,84v-25,,-25,,-25,c129,61,129,61,129,61v25,,25,,25,l154,84xe" filled="f" stroked="f">
                        <v:path arrowok="t" o:connecttype="custom" o:connectlocs="278965,94449;208774,74470;224972,49041;250168,23612;127784,0;127784,49041;143982,74470;64792,94449;0,225226;59393,237940;73791,176185;122385,168919;201575,190715;278965,168919;293363,108980;120585,23612;224972,16347;232171,23612;199775,32694;127784,32694;192576,49041;161980,72653;192576,49041;55793,221593;16198,159838;120585,110796;80990,152572;215973,159838;151181,172552;138583,103531;152981,89000;201575,89000;215973,159838;232171,152572;277165,110796" o:connectangles="0,0,0,0,0,0,0,0,0,0,0,0,0,0,0,0,0,0,0,0,0,0,0,0,0,0,0,0,0,0,0,0,0,0,0"/>
                        <o:lock v:ext="edit" verticies="t"/>
                      </v:shape>
                      <v:shape id="Freeform 30" o:spid="_x0000_s1028" style="position:absolute;left:6824;top:252484;width:68578;height:98349;visibility:visible;mso-wrap-style:square;v-text-anchor:top" coordsize="3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" path="m20,v,,-1,,-1,c19,,18,,18,,17,1,,22,,35,,45,9,54,19,54v10,,19,-9,19,-19c38,20,21,1,20,xm19,51c10,51,3,44,3,35,3,25,15,9,19,4v4,4,16,20,16,31c35,44,28,51,19,51xe" filled="f" strokecolor="#65bbc8" strokeweight=".45pt">
                        <v:stroke joinstyle="miter"/>
                        <v:path arrowok="t" o:connecttype="custom" o:connectlocs="36094,0;34289,0;32484,0;0,63745;34289,98349;68578,63745;36094,0;34289,92885;5414,63745;34289,7285;63164,63745;34289,92885" o:connectangles="0,0,0,0,0,0,0,0,0,0,0,0"/>
                        <o:lock v:ext="edit" verticies="t"/>
                      </v:shape>
                      <w10:anchorlock/>
                    </v:group>
                  </w:pict>
                </mc:Fallback>
              </mc:AlternateContent>
            </w:r>
          </w:p>
        </w:tc>
        <w:tc>
          <w:tcPr>
            <w:tcW w:w="4139" w:type="dxa"/>
            <w:shd w:val="clear" w:color="auto" w:fill="CBE8ED"/>
            <w:vAlign w:val="center"/>
          </w:tcPr>
          <w:p w14:paraId="4072C19E" w14:textId="77777777" w:rsidR="005D36C6" w:rsidRPr="00A04E56" w:rsidRDefault="005D36C6" w:rsidP="00C53476">
            <w:pPr>
              <w:keepNext/>
            </w:pPr>
            <w:r w:rsidRPr="00A04E56">
              <w:rPr>
                <w:b/>
              </w:rPr>
              <w:t>2</w:t>
            </w:r>
            <w:r w:rsidRPr="00A04E56">
              <w:rPr>
                <w:rFonts w:ascii="Calibri" w:hAnsi="Calibri" w:cs="Calibri"/>
                <w:b/>
              </w:rPr>
              <w:t> million</w:t>
            </w:r>
            <w:r w:rsidRPr="00A04E56">
              <w:t xml:space="preserve"> litres of purified water</w:t>
            </w:r>
          </w:p>
        </w:tc>
      </w:tr>
      <w:tr w:rsidR="006C4609" w:rsidRPr="00A04E56" w14:paraId="39058A0C" w14:textId="77777777" w:rsidTr="00B5418A">
        <w:trPr>
          <w:trHeight w:val="454"/>
          <w:jc w:val="center"/>
        </w:trPr>
        <w:tc>
          <w:tcPr>
            <w:tcW w:w="4139" w:type="dxa"/>
            <w:shd w:val="clear" w:color="auto" w:fill="CBE8ED"/>
            <w:vAlign w:val="center"/>
          </w:tcPr>
          <w:p w14:paraId="355D4570" w14:textId="77777777" w:rsidR="005D36C6" w:rsidRPr="00A04E56" w:rsidRDefault="005D36C6" w:rsidP="00FC5564">
            <w:r w:rsidRPr="00A04E56">
              <w:rPr>
                <w:b/>
              </w:rPr>
              <w:t>2</w:t>
            </w:r>
            <w:r w:rsidRPr="00A04E56">
              <w:t xml:space="preserve"> isolation shuttle buses for Ebola</w:t>
            </w:r>
          </w:p>
        </w:tc>
        <w:tc>
          <w:tcPr>
            <w:tcW w:w="794" w:type="dxa"/>
            <w:shd w:val="clear" w:color="auto" w:fill="auto"/>
            <w:vAlign w:val="center"/>
          </w:tcPr>
          <w:p w14:paraId="563D9A0D" w14:textId="77777777" w:rsidR="005D36C6" w:rsidRPr="00A04E56" w:rsidRDefault="005D36C6" w:rsidP="00B5418A">
            <w:pPr>
              <w:jc w:val="center"/>
            </w:pPr>
            <w:r w:rsidRPr="00A04E56">
              <w:rPr>
                <w:noProof/>
                <w:lang w:val="fr-BE" w:eastAsia="fr-BE"/>
              </w:rPr>
              <mc:AlternateContent>
                <mc:Choice Requires="wpg">
                  <w:drawing>
                    <wp:inline distT="0" distB="0" distL="0" distR="0" wp14:anchorId="5190F20F" wp14:editId="16FA66BC">
                      <wp:extent cx="203200" cy="266700"/>
                      <wp:effectExtent l="0" t="0" r="25400" b="19050"/>
                      <wp:docPr id="201" name="Group 201"/>
                      <wp:cNvGraphicFramePr/>
                      <a:graphic xmlns:a="http://schemas.openxmlformats.org/drawingml/2006/main">
                        <a:graphicData uri="http://schemas.microsoft.com/office/word/2010/wordprocessingGroup">
                          <wpg:wgp>
                            <wpg:cNvGrpSpPr/>
                            <wpg:grpSpPr>
                              <a:xfrm>
                                <a:off x="0" y="0"/>
                                <a:ext cx="203200" cy="266700"/>
                                <a:chOff x="0" y="0"/>
                                <a:chExt cx="278758" cy="364842"/>
                              </a:xfrm>
                              <a:solidFill>
                                <a:srgbClr val="65BBC8"/>
                              </a:solidFill>
                            </wpg:grpSpPr>
                            <wps:wsp>
                              <wps:cNvPr id="198" name="Freeform 31"/>
                              <wps:cNvSpPr>
                                <a:spLocks noEditPoints="1"/>
                              </wps:cNvSpPr>
                              <wps:spPr bwMode="auto">
                                <a:xfrm>
                                  <a:off x="0" y="0"/>
                                  <a:ext cx="278758" cy="364842"/>
                                </a:xfrm>
                                <a:custGeom>
                                  <a:avLst/>
                                  <a:gdLst>
                                    <a:gd name="T0" fmla="*/ 136 w 155"/>
                                    <a:gd name="T1" fmla="*/ 0 h 201"/>
                                    <a:gd name="T2" fmla="*/ 20 w 155"/>
                                    <a:gd name="T3" fmla="*/ 0 h 201"/>
                                    <a:gd name="T4" fmla="*/ 0 w 155"/>
                                    <a:gd name="T5" fmla="*/ 20 h 201"/>
                                    <a:gd name="T6" fmla="*/ 0 w 155"/>
                                    <a:gd name="T7" fmla="*/ 159 h 201"/>
                                    <a:gd name="T8" fmla="*/ 8 w 155"/>
                                    <a:gd name="T9" fmla="*/ 173 h 201"/>
                                    <a:gd name="T10" fmla="*/ 8 w 155"/>
                                    <a:gd name="T11" fmla="*/ 174 h 201"/>
                                    <a:gd name="T12" fmla="*/ 8 w 155"/>
                                    <a:gd name="T13" fmla="*/ 188 h 201"/>
                                    <a:gd name="T14" fmla="*/ 22 w 155"/>
                                    <a:gd name="T15" fmla="*/ 201 h 201"/>
                                    <a:gd name="T16" fmla="*/ 26 w 155"/>
                                    <a:gd name="T17" fmla="*/ 201 h 201"/>
                                    <a:gd name="T18" fmla="*/ 39 w 155"/>
                                    <a:gd name="T19" fmla="*/ 188 h 201"/>
                                    <a:gd name="T20" fmla="*/ 39 w 155"/>
                                    <a:gd name="T21" fmla="*/ 178 h 201"/>
                                    <a:gd name="T22" fmla="*/ 116 w 155"/>
                                    <a:gd name="T23" fmla="*/ 178 h 201"/>
                                    <a:gd name="T24" fmla="*/ 116 w 155"/>
                                    <a:gd name="T25" fmla="*/ 188 h 201"/>
                                    <a:gd name="T26" fmla="*/ 130 w 155"/>
                                    <a:gd name="T27" fmla="*/ 201 h 201"/>
                                    <a:gd name="T28" fmla="*/ 134 w 155"/>
                                    <a:gd name="T29" fmla="*/ 201 h 201"/>
                                    <a:gd name="T30" fmla="*/ 147 w 155"/>
                                    <a:gd name="T31" fmla="*/ 188 h 201"/>
                                    <a:gd name="T32" fmla="*/ 147 w 155"/>
                                    <a:gd name="T33" fmla="*/ 174 h 201"/>
                                    <a:gd name="T34" fmla="*/ 155 w 155"/>
                                    <a:gd name="T35" fmla="*/ 159 h 201"/>
                                    <a:gd name="T36" fmla="*/ 155 w 155"/>
                                    <a:gd name="T37" fmla="*/ 20 h 201"/>
                                    <a:gd name="T38" fmla="*/ 136 w 155"/>
                                    <a:gd name="T39" fmla="*/ 0 h 201"/>
                                    <a:gd name="T40" fmla="*/ 31 w 155"/>
                                    <a:gd name="T41" fmla="*/ 188 h 201"/>
                                    <a:gd name="T42" fmla="*/ 26 w 155"/>
                                    <a:gd name="T43" fmla="*/ 194 h 201"/>
                                    <a:gd name="T44" fmla="*/ 22 w 155"/>
                                    <a:gd name="T45" fmla="*/ 194 h 201"/>
                                    <a:gd name="T46" fmla="*/ 16 w 155"/>
                                    <a:gd name="T47" fmla="*/ 188 h 201"/>
                                    <a:gd name="T48" fmla="*/ 16 w 155"/>
                                    <a:gd name="T49" fmla="*/ 177 h 201"/>
                                    <a:gd name="T50" fmla="*/ 22 w 155"/>
                                    <a:gd name="T51" fmla="*/ 178 h 201"/>
                                    <a:gd name="T52" fmla="*/ 31 w 155"/>
                                    <a:gd name="T53" fmla="*/ 178 h 201"/>
                                    <a:gd name="T54" fmla="*/ 31 w 155"/>
                                    <a:gd name="T55" fmla="*/ 188 h 201"/>
                                    <a:gd name="T56" fmla="*/ 140 w 155"/>
                                    <a:gd name="T57" fmla="*/ 188 h 201"/>
                                    <a:gd name="T58" fmla="*/ 134 w 155"/>
                                    <a:gd name="T59" fmla="*/ 194 h 201"/>
                                    <a:gd name="T60" fmla="*/ 130 w 155"/>
                                    <a:gd name="T61" fmla="*/ 194 h 201"/>
                                    <a:gd name="T62" fmla="*/ 124 w 155"/>
                                    <a:gd name="T63" fmla="*/ 188 h 201"/>
                                    <a:gd name="T64" fmla="*/ 124 w 155"/>
                                    <a:gd name="T65" fmla="*/ 178 h 201"/>
                                    <a:gd name="T66" fmla="*/ 136 w 155"/>
                                    <a:gd name="T67" fmla="*/ 178 h 201"/>
                                    <a:gd name="T68" fmla="*/ 140 w 155"/>
                                    <a:gd name="T69" fmla="*/ 178 h 201"/>
                                    <a:gd name="T70" fmla="*/ 140 w 155"/>
                                    <a:gd name="T71" fmla="*/ 188 h 201"/>
                                    <a:gd name="T72" fmla="*/ 147 w 155"/>
                                    <a:gd name="T73" fmla="*/ 159 h 201"/>
                                    <a:gd name="T74" fmla="*/ 136 w 155"/>
                                    <a:gd name="T75" fmla="*/ 170 h 201"/>
                                    <a:gd name="T76" fmla="*/ 22 w 155"/>
                                    <a:gd name="T77" fmla="*/ 170 h 201"/>
                                    <a:gd name="T78" fmla="*/ 8 w 155"/>
                                    <a:gd name="T79" fmla="*/ 159 h 201"/>
                                    <a:gd name="T80" fmla="*/ 8 w 155"/>
                                    <a:gd name="T81" fmla="*/ 124 h 201"/>
                                    <a:gd name="T82" fmla="*/ 147 w 155"/>
                                    <a:gd name="T83" fmla="*/ 124 h 201"/>
                                    <a:gd name="T84" fmla="*/ 147 w 155"/>
                                    <a:gd name="T85" fmla="*/ 159 h 201"/>
                                    <a:gd name="T86" fmla="*/ 147 w 155"/>
                                    <a:gd name="T87" fmla="*/ 116 h 201"/>
                                    <a:gd name="T88" fmla="*/ 8 w 155"/>
                                    <a:gd name="T89" fmla="*/ 116 h 201"/>
                                    <a:gd name="T90" fmla="*/ 8 w 155"/>
                                    <a:gd name="T91" fmla="*/ 39 h 201"/>
                                    <a:gd name="T92" fmla="*/ 147 w 155"/>
                                    <a:gd name="T93" fmla="*/ 39 h 201"/>
                                    <a:gd name="T94" fmla="*/ 147 w 155"/>
                                    <a:gd name="T95" fmla="*/ 116 h 201"/>
                                    <a:gd name="T96" fmla="*/ 147 w 155"/>
                                    <a:gd name="T97" fmla="*/ 31 h 201"/>
                                    <a:gd name="T98" fmla="*/ 8 w 155"/>
                                    <a:gd name="T99" fmla="*/ 31 h 201"/>
                                    <a:gd name="T100" fmla="*/ 8 w 155"/>
                                    <a:gd name="T101" fmla="*/ 20 h 201"/>
                                    <a:gd name="T102" fmla="*/ 20 w 155"/>
                                    <a:gd name="T103" fmla="*/ 8 h 201"/>
                                    <a:gd name="T104" fmla="*/ 136 w 155"/>
                                    <a:gd name="T105" fmla="*/ 8 h 201"/>
                                    <a:gd name="T106" fmla="*/ 147 w 155"/>
                                    <a:gd name="T107" fmla="*/ 20 h 201"/>
                                    <a:gd name="T108" fmla="*/ 147 w 155"/>
                                    <a:gd name="T109" fmla="*/ 31 h 201"/>
                                    <a:gd name="T110" fmla="*/ 147 w 155"/>
                                    <a:gd name="T111" fmla="*/ 31 h 201"/>
                                    <a:gd name="T112" fmla="*/ 147 w 155"/>
                                    <a:gd name="T113" fmla="*/ 3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201">
                                      <a:moveTo>
                                        <a:pt x="136" y="0"/>
                                      </a:moveTo>
                                      <a:cubicBezTo>
                                        <a:pt x="20" y="0"/>
                                        <a:pt x="20" y="0"/>
                                        <a:pt x="20" y="0"/>
                                      </a:cubicBezTo>
                                      <a:cubicBezTo>
                                        <a:pt x="9" y="0"/>
                                        <a:pt x="0" y="9"/>
                                        <a:pt x="0" y="20"/>
                                      </a:cubicBezTo>
                                      <a:cubicBezTo>
                                        <a:pt x="0" y="159"/>
                                        <a:pt x="0" y="159"/>
                                        <a:pt x="0" y="159"/>
                                      </a:cubicBezTo>
                                      <a:cubicBezTo>
                                        <a:pt x="0" y="165"/>
                                        <a:pt x="4" y="170"/>
                                        <a:pt x="8" y="173"/>
                                      </a:cubicBezTo>
                                      <a:cubicBezTo>
                                        <a:pt x="8" y="174"/>
                                        <a:pt x="8" y="174"/>
                                        <a:pt x="8" y="174"/>
                                      </a:cubicBezTo>
                                      <a:cubicBezTo>
                                        <a:pt x="8" y="188"/>
                                        <a:pt x="8" y="188"/>
                                        <a:pt x="8" y="188"/>
                                      </a:cubicBezTo>
                                      <a:cubicBezTo>
                                        <a:pt x="8" y="195"/>
                                        <a:pt x="14" y="201"/>
                                        <a:pt x="22" y="201"/>
                                      </a:cubicBezTo>
                                      <a:cubicBezTo>
                                        <a:pt x="26" y="201"/>
                                        <a:pt x="26" y="201"/>
                                        <a:pt x="26" y="201"/>
                                      </a:cubicBezTo>
                                      <a:cubicBezTo>
                                        <a:pt x="33" y="201"/>
                                        <a:pt x="39" y="195"/>
                                        <a:pt x="39" y="188"/>
                                      </a:cubicBezTo>
                                      <a:cubicBezTo>
                                        <a:pt x="39" y="178"/>
                                        <a:pt x="39" y="178"/>
                                        <a:pt x="39" y="178"/>
                                      </a:cubicBezTo>
                                      <a:cubicBezTo>
                                        <a:pt x="116" y="178"/>
                                        <a:pt x="116" y="178"/>
                                        <a:pt x="116" y="178"/>
                                      </a:cubicBezTo>
                                      <a:cubicBezTo>
                                        <a:pt x="116" y="188"/>
                                        <a:pt x="116" y="188"/>
                                        <a:pt x="116" y="188"/>
                                      </a:cubicBezTo>
                                      <a:cubicBezTo>
                                        <a:pt x="116" y="195"/>
                                        <a:pt x="122" y="201"/>
                                        <a:pt x="130" y="201"/>
                                      </a:cubicBezTo>
                                      <a:cubicBezTo>
                                        <a:pt x="134" y="201"/>
                                        <a:pt x="134" y="201"/>
                                        <a:pt x="134" y="201"/>
                                      </a:cubicBezTo>
                                      <a:cubicBezTo>
                                        <a:pt x="141" y="201"/>
                                        <a:pt x="147" y="195"/>
                                        <a:pt x="147" y="188"/>
                                      </a:cubicBezTo>
                                      <a:cubicBezTo>
                                        <a:pt x="147" y="174"/>
                                        <a:pt x="147" y="174"/>
                                        <a:pt x="147" y="174"/>
                                      </a:cubicBezTo>
                                      <a:cubicBezTo>
                                        <a:pt x="152" y="171"/>
                                        <a:pt x="155" y="165"/>
                                        <a:pt x="155" y="159"/>
                                      </a:cubicBezTo>
                                      <a:cubicBezTo>
                                        <a:pt x="155" y="20"/>
                                        <a:pt x="155" y="20"/>
                                        <a:pt x="155" y="20"/>
                                      </a:cubicBezTo>
                                      <a:cubicBezTo>
                                        <a:pt x="155" y="9"/>
                                        <a:pt x="146" y="0"/>
                                        <a:pt x="136" y="0"/>
                                      </a:cubicBezTo>
                                      <a:close/>
                                      <a:moveTo>
                                        <a:pt x="31" y="188"/>
                                      </a:moveTo>
                                      <a:cubicBezTo>
                                        <a:pt x="31" y="191"/>
                                        <a:pt x="29" y="194"/>
                                        <a:pt x="26" y="194"/>
                                      </a:cubicBezTo>
                                      <a:cubicBezTo>
                                        <a:pt x="22" y="194"/>
                                        <a:pt x="22" y="194"/>
                                        <a:pt x="22" y="194"/>
                                      </a:cubicBezTo>
                                      <a:cubicBezTo>
                                        <a:pt x="18" y="194"/>
                                        <a:pt x="16" y="191"/>
                                        <a:pt x="16" y="188"/>
                                      </a:cubicBezTo>
                                      <a:cubicBezTo>
                                        <a:pt x="16" y="177"/>
                                        <a:pt x="16" y="177"/>
                                        <a:pt x="16" y="177"/>
                                      </a:cubicBezTo>
                                      <a:cubicBezTo>
                                        <a:pt x="18" y="178"/>
                                        <a:pt x="20" y="178"/>
                                        <a:pt x="22" y="178"/>
                                      </a:cubicBezTo>
                                      <a:cubicBezTo>
                                        <a:pt x="31" y="178"/>
                                        <a:pt x="31" y="178"/>
                                        <a:pt x="31" y="178"/>
                                      </a:cubicBezTo>
                                      <a:lnTo>
                                        <a:pt x="31" y="188"/>
                                      </a:lnTo>
                                      <a:close/>
                                      <a:moveTo>
                                        <a:pt x="140" y="188"/>
                                      </a:moveTo>
                                      <a:cubicBezTo>
                                        <a:pt x="140" y="191"/>
                                        <a:pt x="137" y="194"/>
                                        <a:pt x="134" y="194"/>
                                      </a:cubicBezTo>
                                      <a:cubicBezTo>
                                        <a:pt x="130" y="194"/>
                                        <a:pt x="130" y="194"/>
                                        <a:pt x="130" y="194"/>
                                      </a:cubicBezTo>
                                      <a:cubicBezTo>
                                        <a:pt x="127" y="194"/>
                                        <a:pt x="124" y="191"/>
                                        <a:pt x="124" y="188"/>
                                      </a:cubicBezTo>
                                      <a:cubicBezTo>
                                        <a:pt x="124" y="178"/>
                                        <a:pt x="124" y="178"/>
                                        <a:pt x="124" y="178"/>
                                      </a:cubicBezTo>
                                      <a:cubicBezTo>
                                        <a:pt x="136" y="178"/>
                                        <a:pt x="136" y="178"/>
                                        <a:pt x="136" y="178"/>
                                      </a:cubicBezTo>
                                      <a:cubicBezTo>
                                        <a:pt x="137" y="178"/>
                                        <a:pt x="138" y="178"/>
                                        <a:pt x="140" y="178"/>
                                      </a:cubicBezTo>
                                      <a:lnTo>
                                        <a:pt x="140" y="188"/>
                                      </a:lnTo>
                                      <a:close/>
                                      <a:moveTo>
                                        <a:pt x="147" y="159"/>
                                      </a:moveTo>
                                      <a:cubicBezTo>
                                        <a:pt x="147" y="165"/>
                                        <a:pt x="142" y="170"/>
                                        <a:pt x="136" y="170"/>
                                      </a:cubicBezTo>
                                      <a:cubicBezTo>
                                        <a:pt x="22" y="170"/>
                                        <a:pt x="22" y="170"/>
                                        <a:pt x="22" y="170"/>
                                      </a:cubicBezTo>
                                      <a:cubicBezTo>
                                        <a:pt x="15" y="170"/>
                                        <a:pt x="8" y="165"/>
                                        <a:pt x="8" y="159"/>
                                      </a:cubicBezTo>
                                      <a:cubicBezTo>
                                        <a:pt x="8" y="124"/>
                                        <a:pt x="8" y="124"/>
                                        <a:pt x="8" y="124"/>
                                      </a:cubicBezTo>
                                      <a:cubicBezTo>
                                        <a:pt x="147" y="124"/>
                                        <a:pt x="147" y="124"/>
                                        <a:pt x="147" y="124"/>
                                      </a:cubicBezTo>
                                      <a:lnTo>
                                        <a:pt x="147" y="159"/>
                                      </a:lnTo>
                                      <a:close/>
                                      <a:moveTo>
                                        <a:pt x="147" y="116"/>
                                      </a:moveTo>
                                      <a:cubicBezTo>
                                        <a:pt x="8" y="116"/>
                                        <a:pt x="8" y="116"/>
                                        <a:pt x="8" y="116"/>
                                      </a:cubicBezTo>
                                      <a:cubicBezTo>
                                        <a:pt x="8" y="39"/>
                                        <a:pt x="8" y="39"/>
                                        <a:pt x="8" y="39"/>
                                      </a:cubicBezTo>
                                      <a:cubicBezTo>
                                        <a:pt x="147" y="39"/>
                                        <a:pt x="147" y="39"/>
                                        <a:pt x="147" y="39"/>
                                      </a:cubicBezTo>
                                      <a:lnTo>
                                        <a:pt x="147" y="116"/>
                                      </a:lnTo>
                                      <a:close/>
                                      <a:moveTo>
                                        <a:pt x="147" y="31"/>
                                      </a:moveTo>
                                      <a:cubicBezTo>
                                        <a:pt x="8" y="31"/>
                                        <a:pt x="8" y="31"/>
                                        <a:pt x="8" y="31"/>
                                      </a:cubicBezTo>
                                      <a:cubicBezTo>
                                        <a:pt x="8" y="20"/>
                                        <a:pt x="8" y="20"/>
                                        <a:pt x="8" y="20"/>
                                      </a:cubicBezTo>
                                      <a:cubicBezTo>
                                        <a:pt x="8" y="13"/>
                                        <a:pt x="13" y="8"/>
                                        <a:pt x="20" y="8"/>
                                      </a:cubicBezTo>
                                      <a:cubicBezTo>
                                        <a:pt x="136" y="8"/>
                                        <a:pt x="136" y="8"/>
                                        <a:pt x="136" y="8"/>
                                      </a:cubicBezTo>
                                      <a:cubicBezTo>
                                        <a:pt x="142" y="8"/>
                                        <a:pt x="147" y="13"/>
                                        <a:pt x="147" y="20"/>
                                      </a:cubicBezTo>
                                      <a:lnTo>
                                        <a:pt x="147" y="31"/>
                                      </a:lnTo>
                                      <a:close/>
                                      <a:moveTo>
                                        <a:pt x="147" y="31"/>
                                      </a:moveTo>
                                      <a:cubicBezTo>
                                        <a:pt x="147" y="31"/>
                                        <a:pt x="147" y="31"/>
                                        <a:pt x="147" y="31"/>
                                      </a:cubicBezTo>
                                    </a:path>
                                  </a:pathLst>
                                </a:custGeom>
                                <a:grpFill/>
                                <a:ln w="1905" cap="flat">
                                  <a:solidFill>
                                    <a:srgbClr val="65BBC8"/>
                                  </a:solidFill>
                                  <a:prstDash val="solid"/>
                                  <a:miter lim="800000"/>
                                  <a:headEnd/>
                                  <a:tailEnd/>
                                </a:ln>
                              </wps:spPr>
                              <wps:bodyPr rot="0" vert="horz" wrap="square" lIns="91440" tIns="45720" rIns="91440" bIns="45720" anchor="t" anchorCtr="0" upright="1">
                                <a:noAutofit/>
                              </wps:bodyPr>
                            </wps:wsp>
                            <wps:wsp>
                              <wps:cNvPr id="199" name="Freeform 34"/>
                              <wps:cNvSpPr>
                                <a:spLocks noEditPoints="1"/>
                              </wps:cNvSpPr>
                              <wps:spPr bwMode="auto">
                                <a:xfrm>
                                  <a:off x="32085" y="243305"/>
                                  <a:ext cx="41274" cy="41878"/>
                                </a:xfrm>
                                <a:custGeom>
                                  <a:avLst/>
                                  <a:gdLst>
                                    <a:gd name="T0" fmla="*/ 11 w 23"/>
                                    <a:gd name="T1" fmla="*/ 23 h 23"/>
                                    <a:gd name="T2" fmla="*/ 23 w 23"/>
                                    <a:gd name="T3" fmla="*/ 11 h 23"/>
                                    <a:gd name="T4" fmla="*/ 11 w 23"/>
                                    <a:gd name="T5" fmla="*/ 0 h 23"/>
                                    <a:gd name="T6" fmla="*/ 0 w 23"/>
                                    <a:gd name="T7" fmla="*/ 11 h 23"/>
                                    <a:gd name="T8" fmla="*/ 11 w 23"/>
                                    <a:gd name="T9" fmla="*/ 23 h 23"/>
                                    <a:gd name="T10" fmla="*/ 11 w 23"/>
                                    <a:gd name="T11" fmla="*/ 7 h 23"/>
                                    <a:gd name="T12" fmla="*/ 15 w 23"/>
                                    <a:gd name="T13" fmla="*/ 11 h 23"/>
                                    <a:gd name="T14" fmla="*/ 11 w 23"/>
                                    <a:gd name="T15" fmla="*/ 15 h 23"/>
                                    <a:gd name="T16" fmla="*/ 8 w 23"/>
                                    <a:gd name="T17" fmla="*/ 11 h 23"/>
                                    <a:gd name="T18" fmla="*/ 11 w 23"/>
                                    <a:gd name="T19" fmla="*/ 7 h 23"/>
                                    <a:gd name="T20" fmla="*/ 11 w 23"/>
                                    <a:gd name="T21" fmla="*/ 7 h 23"/>
                                    <a:gd name="T22" fmla="*/ 11 w 23"/>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23">
                                      <a:moveTo>
                                        <a:pt x="11" y="23"/>
                                      </a:moveTo>
                                      <a:cubicBezTo>
                                        <a:pt x="18" y="23"/>
                                        <a:pt x="23" y="18"/>
                                        <a:pt x="23" y="11"/>
                                      </a:cubicBezTo>
                                      <a:cubicBezTo>
                                        <a:pt x="23" y="5"/>
                                        <a:pt x="18" y="0"/>
                                        <a:pt x="11" y="0"/>
                                      </a:cubicBezTo>
                                      <a:cubicBezTo>
                                        <a:pt x="5" y="0"/>
                                        <a:pt x="0" y="5"/>
                                        <a:pt x="0" y="11"/>
                                      </a:cubicBezTo>
                                      <a:cubicBezTo>
                                        <a:pt x="0" y="18"/>
                                        <a:pt x="5" y="23"/>
                                        <a:pt x="11" y="23"/>
                                      </a:cubicBezTo>
                                      <a:close/>
                                      <a:moveTo>
                                        <a:pt x="11" y="7"/>
                                      </a:moveTo>
                                      <a:cubicBezTo>
                                        <a:pt x="14" y="7"/>
                                        <a:pt x="15" y="9"/>
                                        <a:pt x="15" y="11"/>
                                      </a:cubicBezTo>
                                      <a:cubicBezTo>
                                        <a:pt x="15" y="13"/>
                                        <a:pt x="14" y="15"/>
                                        <a:pt x="11" y="15"/>
                                      </a:cubicBezTo>
                                      <a:cubicBezTo>
                                        <a:pt x="9" y="15"/>
                                        <a:pt x="8" y="13"/>
                                        <a:pt x="8" y="11"/>
                                      </a:cubicBezTo>
                                      <a:cubicBezTo>
                                        <a:pt x="8" y="9"/>
                                        <a:pt x="9" y="7"/>
                                        <a:pt x="11" y="7"/>
                                      </a:cubicBezTo>
                                      <a:close/>
                                      <a:moveTo>
                                        <a:pt x="11" y="7"/>
                                      </a:moveTo>
                                      <a:cubicBezTo>
                                        <a:pt x="11" y="7"/>
                                        <a:pt x="11" y="7"/>
                                        <a:pt x="11" y="7"/>
                                      </a:cubicBezTo>
                                    </a:path>
                                  </a:pathLst>
                                </a:custGeom>
                                <a:grpFill/>
                                <a:ln w="3175" cap="flat">
                                  <a:solidFill>
                                    <a:srgbClr val="65BBC8"/>
                                  </a:solidFill>
                                  <a:prstDash val="solid"/>
                                  <a:miter lim="800000"/>
                                  <a:headEnd/>
                                  <a:tailEnd/>
                                </a:ln>
                              </wps:spPr>
                              <wps:bodyPr rot="0" vert="horz" wrap="square" lIns="91440" tIns="45720" rIns="91440" bIns="45720" anchor="t" anchorCtr="0" upright="1">
                                <a:noAutofit/>
                              </wps:bodyPr>
                            </wps:wsp>
                            <wps:wsp>
                              <wps:cNvPr id="200" name="Freeform 36"/>
                              <wps:cNvSpPr>
                                <a:spLocks noEditPoints="1"/>
                              </wps:cNvSpPr>
                              <wps:spPr bwMode="auto">
                                <a:xfrm>
                                  <a:off x="205874" y="243305"/>
                                  <a:ext cx="43179" cy="41878"/>
                                </a:xfrm>
                                <a:custGeom>
                                  <a:avLst/>
                                  <a:gdLst>
                                    <a:gd name="T0" fmla="*/ 12 w 24"/>
                                    <a:gd name="T1" fmla="*/ 23 h 23"/>
                                    <a:gd name="T2" fmla="*/ 24 w 24"/>
                                    <a:gd name="T3" fmla="*/ 11 h 23"/>
                                    <a:gd name="T4" fmla="*/ 12 w 24"/>
                                    <a:gd name="T5" fmla="*/ 0 h 23"/>
                                    <a:gd name="T6" fmla="*/ 0 w 24"/>
                                    <a:gd name="T7" fmla="*/ 11 h 23"/>
                                    <a:gd name="T8" fmla="*/ 12 w 24"/>
                                    <a:gd name="T9" fmla="*/ 23 h 23"/>
                                    <a:gd name="T10" fmla="*/ 12 w 24"/>
                                    <a:gd name="T11" fmla="*/ 7 h 23"/>
                                    <a:gd name="T12" fmla="*/ 16 w 24"/>
                                    <a:gd name="T13" fmla="*/ 11 h 23"/>
                                    <a:gd name="T14" fmla="*/ 12 w 24"/>
                                    <a:gd name="T15" fmla="*/ 15 h 23"/>
                                    <a:gd name="T16" fmla="*/ 8 w 24"/>
                                    <a:gd name="T17" fmla="*/ 11 h 23"/>
                                    <a:gd name="T18" fmla="*/ 12 w 24"/>
                                    <a:gd name="T19" fmla="*/ 7 h 23"/>
                                    <a:gd name="T20" fmla="*/ 12 w 24"/>
                                    <a:gd name="T21" fmla="*/ 7 h 23"/>
                                    <a:gd name="T22" fmla="*/ 12 w 24"/>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23">
                                      <a:moveTo>
                                        <a:pt x="12" y="23"/>
                                      </a:moveTo>
                                      <a:cubicBezTo>
                                        <a:pt x="18" y="23"/>
                                        <a:pt x="24" y="18"/>
                                        <a:pt x="24" y="11"/>
                                      </a:cubicBezTo>
                                      <a:cubicBezTo>
                                        <a:pt x="24" y="5"/>
                                        <a:pt x="18" y="0"/>
                                        <a:pt x="12" y="0"/>
                                      </a:cubicBezTo>
                                      <a:cubicBezTo>
                                        <a:pt x="6" y="0"/>
                                        <a:pt x="0" y="5"/>
                                        <a:pt x="0" y="11"/>
                                      </a:cubicBezTo>
                                      <a:cubicBezTo>
                                        <a:pt x="0" y="18"/>
                                        <a:pt x="6" y="23"/>
                                        <a:pt x="12" y="23"/>
                                      </a:cubicBezTo>
                                      <a:close/>
                                      <a:moveTo>
                                        <a:pt x="12" y="7"/>
                                      </a:moveTo>
                                      <a:cubicBezTo>
                                        <a:pt x="14" y="7"/>
                                        <a:pt x="16" y="9"/>
                                        <a:pt x="16" y="11"/>
                                      </a:cubicBezTo>
                                      <a:cubicBezTo>
                                        <a:pt x="16" y="13"/>
                                        <a:pt x="14" y="15"/>
                                        <a:pt x="12" y="15"/>
                                      </a:cubicBezTo>
                                      <a:cubicBezTo>
                                        <a:pt x="10" y="15"/>
                                        <a:pt x="8" y="13"/>
                                        <a:pt x="8" y="11"/>
                                      </a:cubicBezTo>
                                      <a:cubicBezTo>
                                        <a:pt x="8" y="9"/>
                                        <a:pt x="10" y="7"/>
                                        <a:pt x="12" y="7"/>
                                      </a:cubicBezTo>
                                      <a:close/>
                                      <a:moveTo>
                                        <a:pt x="12" y="7"/>
                                      </a:moveTo>
                                      <a:cubicBezTo>
                                        <a:pt x="12" y="7"/>
                                        <a:pt x="12" y="7"/>
                                        <a:pt x="12" y="7"/>
                                      </a:cubicBezTo>
                                    </a:path>
                                  </a:pathLst>
                                </a:custGeom>
                                <a:grpFill/>
                                <a:ln w="3175" cap="flat">
                                  <a:solidFill>
                                    <a:srgbClr val="65BBC8"/>
                                  </a:solidFill>
                                  <a:prstDash val="solid"/>
                                  <a:miter lim="800000"/>
                                  <a:headEnd/>
                                  <a:tailEnd/>
                                </a:ln>
                              </wps:spPr>
                              <wps:bodyPr rot="0" vert="horz" wrap="square" lIns="91440" tIns="45720" rIns="91440" bIns="45720" anchor="t" anchorCtr="0" upright="1">
                                <a:noAutofit/>
                              </wps:bodyPr>
                            </wps:wsp>
                          </wpg:wgp>
                        </a:graphicData>
                      </a:graphic>
                    </wp:inline>
                  </w:drawing>
                </mc:Choice>
                <mc:Fallback>
                  <w:pict>
                    <v:group w14:anchorId="4F22BD56" id="Group 201" o:spid="_x0000_s1026" style="width:16pt;height:21pt;mso-position-horizontal-relative:char;mso-position-vertical-relative:line" coordsize="278758,364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">
                      <v:shape id="Freeform 31" o:spid="_x0000_s1027" style="position:absolute;width:278758;height:364842;visibility:visible;mso-wrap-style:square;v-text-anchor:top" coordsize="15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" path="m136,c20,,20,,20,,9,,,9,,20,,159,,159,,159v,6,4,11,8,14c8,174,8,174,8,174v,14,,14,,14c8,195,14,201,22,201v4,,4,,4,c33,201,39,195,39,188v,-10,,-10,,-10c116,178,116,178,116,178v,10,,10,,10c116,195,122,201,130,201v4,,4,,4,c141,201,147,195,147,188v,-14,,-14,,-14c152,171,155,165,155,159v,-139,,-139,,-139c155,9,146,,136,xm31,188v,3,-2,6,-5,6c22,194,22,194,22,194v-4,,-6,-3,-6,-6c16,177,16,177,16,177v2,1,4,1,6,1c31,178,31,178,31,178r,10xm140,188v,3,-3,6,-6,6c130,194,130,194,130,194v-3,,-6,-3,-6,-6c124,178,124,178,124,178v12,,12,,12,c137,178,138,178,140,178r,10xm147,159v,6,-5,11,-11,11c22,170,22,170,22,170,15,170,8,165,8,159v,-35,,-35,,-35c147,124,147,124,147,124r,35xm147,116c8,116,8,116,8,116,8,39,8,39,8,39v139,,139,,139,l147,116xm147,31c8,31,8,31,8,31,8,20,8,20,8,20,8,13,13,8,20,8v116,,116,,116,c142,8,147,13,147,20r,11xm147,31v,,,,,e" filled="f" strokecolor="#65bbc8" strokeweight=".15pt">
                        <v:stroke joinstyle="miter"/>
                        <v:path arrowok="t" o:connecttype="custom" o:connectlocs="244588,0;35969,0;0,36303;0,288606;14388,314018;14388,315833;14388,341245;39566,364842;46759,364842;70139,341245;70139,323094;208619,323094;208619,341245;233797,364842;240991,364842;264370,341245;264370,315833;278758,288606;278758,36303;244588,0;55752,341245;46759,352136;39566,352136;28775,341245;28775,321279;39566,323094;55752,323094;55752,341245;251781,341245;240991,352136;233797,352136;223006,341245;223006,323094;244588,323094;251781,323094;251781,341245;264370,288606;244588,308573;39566,308573;14388,288606;14388,225077;264370,225077;264370,288606;264370,210556;14388,210556;14388,70790;264370,70790;264370,210556;264370,56269;14388,56269;14388,36303;35969,14521;244588,14521;264370,36303;264370,56269;264370,56269;264370,56269" o:connectangles="0,0,0,0,0,0,0,0,0,0,0,0,0,0,0,0,0,0,0,0,0,0,0,0,0,0,0,0,0,0,0,0,0,0,0,0,0,0,0,0,0,0,0,0,0,0,0,0,0,0,0,0,0,0,0,0,0"/>
                        <o:lock v:ext="edit" verticies="t"/>
                      </v:shape>
                      <v:shape id="Freeform 34" o:spid="_x0000_s1028" style="position:absolute;left:32085;top:243305;width:41274;height:41878;visibility:visible;mso-wrap-style:square;v-text-anchor:top" coordsize="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" path="m11,23v7,,12,-5,12,-12c23,5,18,,11,,5,,,5,,11v,7,5,12,11,12xm11,7v3,,4,2,4,4c15,13,14,15,11,15,9,15,8,13,8,11,8,9,9,7,11,7xm11,7v,,,,,e" filled="f" strokecolor="#65bbc8" strokeweight=".25pt">
                        <v:stroke joinstyle="miter"/>
                        <v:path arrowok="t" o:connecttype="custom" o:connectlocs="19740,41878;41274,20029;19740,0;0,20029;19740,41878;19740,12745;26918,20029;19740,27312;14356,20029;19740,12745;19740,12745;19740,12745" o:connectangles="0,0,0,0,0,0,0,0,0,0,0,0"/>
                        <o:lock v:ext="edit" verticies="t"/>
                      </v:shape>
                      <v:shape id="Freeform 36" o:spid="_x0000_s1029" style="position:absolute;left:205874;top:243305;width:43179;height:41878;visibility:visible;mso-wrap-style:square;v-text-anchor:top" coordsize="2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" path="m12,23v6,,12,-5,12,-12c24,5,18,,12,,6,,,5,,11v,7,6,12,12,12xm12,7v2,,4,2,4,4c16,13,14,15,12,15,10,15,8,13,8,11,8,9,10,7,12,7xm12,7v,,,,,e" filled="f" strokecolor="#65bbc8" strokeweight=".25pt">
                        <v:stroke joinstyle="miter"/>
                        <v:path arrowok="t" o:connecttype="custom" o:connectlocs="21590,41878;43179,20029;21590,0;0,20029;21590,41878;21590,12745;28786,20029;21590,27312;14393,20029;21590,12745;21590,12745;21590,12745" o:connectangles="0,0,0,0,0,0,0,0,0,0,0,0"/>
                        <o:lock v:ext="edit" verticies="t"/>
                      </v:shape>
                      <w10:anchorlock/>
                    </v:group>
                  </w:pict>
                </mc:Fallback>
              </mc:AlternateContent>
            </w:r>
          </w:p>
        </w:tc>
        <w:tc>
          <w:tcPr>
            <w:tcW w:w="4139" w:type="dxa"/>
            <w:shd w:val="clear" w:color="auto" w:fill="CBE8ED"/>
            <w:vAlign w:val="center"/>
          </w:tcPr>
          <w:p w14:paraId="144BBFB0" w14:textId="77777777" w:rsidR="005D36C6" w:rsidRPr="00A04E56" w:rsidRDefault="005D36C6" w:rsidP="00FC5564">
            <w:r w:rsidRPr="00A04E56">
              <w:rPr>
                <w:b/>
              </w:rPr>
              <w:t xml:space="preserve">13 </w:t>
            </w:r>
            <w:r w:rsidRPr="00A04E56">
              <w:t>containers and modules</w:t>
            </w:r>
          </w:p>
        </w:tc>
      </w:tr>
    </w:tbl>
    <w:p w14:paraId="6AB12774" w14:textId="6E9AAD59" w:rsidR="005D36C6" w:rsidRPr="00A04E56" w:rsidRDefault="005D36C6" w:rsidP="00277538">
      <w:pPr>
        <w:pStyle w:val="BodyText1spacebeforeandafter"/>
        <w:spacing w:before="120"/>
        <w:rPr>
          <w:szCs w:val="20"/>
        </w:rPr>
      </w:pPr>
      <w:r w:rsidRPr="00A04E56">
        <w:rPr>
          <w:lang w:val="fr-BE"/>
        </w:rPr>
        <mc:AlternateContent>
          <mc:Choice Requires="wps">
            <w:drawing>
              <wp:anchor distT="0" distB="0" distL="114300" distR="114300" simplePos="0" relativeHeight="251682816" behindDoc="0" locked="0" layoutInCell="1" allowOverlap="1" wp14:anchorId="3B02B3BF" wp14:editId="1F440035">
                <wp:simplePos x="0" y="0"/>
                <wp:positionH relativeFrom="column">
                  <wp:posOffset>6376677</wp:posOffset>
                </wp:positionH>
                <wp:positionV relativeFrom="paragraph">
                  <wp:posOffset>9605328</wp:posOffset>
                </wp:positionV>
                <wp:extent cx="278758" cy="364842"/>
                <wp:effectExtent l="0" t="0" r="0" b="0"/>
                <wp:wrapNone/>
                <wp:docPr id="195"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8758" cy="364842"/>
                        </a:xfrm>
                        <a:custGeom>
                          <a:avLst/>
                          <a:gdLst>
                            <a:gd name="T0" fmla="*/ 136 w 155"/>
                            <a:gd name="T1" fmla="*/ 0 h 201"/>
                            <a:gd name="T2" fmla="*/ 20 w 155"/>
                            <a:gd name="T3" fmla="*/ 0 h 201"/>
                            <a:gd name="T4" fmla="*/ 0 w 155"/>
                            <a:gd name="T5" fmla="*/ 20 h 201"/>
                            <a:gd name="T6" fmla="*/ 0 w 155"/>
                            <a:gd name="T7" fmla="*/ 159 h 201"/>
                            <a:gd name="T8" fmla="*/ 8 w 155"/>
                            <a:gd name="T9" fmla="*/ 173 h 201"/>
                            <a:gd name="T10" fmla="*/ 8 w 155"/>
                            <a:gd name="T11" fmla="*/ 174 h 201"/>
                            <a:gd name="T12" fmla="*/ 8 w 155"/>
                            <a:gd name="T13" fmla="*/ 188 h 201"/>
                            <a:gd name="T14" fmla="*/ 22 w 155"/>
                            <a:gd name="T15" fmla="*/ 201 h 201"/>
                            <a:gd name="T16" fmla="*/ 26 w 155"/>
                            <a:gd name="T17" fmla="*/ 201 h 201"/>
                            <a:gd name="T18" fmla="*/ 39 w 155"/>
                            <a:gd name="T19" fmla="*/ 188 h 201"/>
                            <a:gd name="T20" fmla="*/ 39 w 155"/>
                            <a:gd name="T21" fmla="*/ 178 h 201"/>
                            <a:gd name="T22" fmla="*/ 116 w 155"/>
                            <a:gd name="T23" fmla="*/ 178 h 201"/>
                            <a:gd name="T24" fmla="*/ 116 w 155"/>
                            <a:gd name="T25" fmla="*/ 188 h 201"/>
                            <a:gd name="T26" fmla="*/ 130 w 155"/>
                            <a:gd name="T27" fmla="*/ 201 h 201"/>
                            <a:gd name="T28" fmla="*/ 134 w 155"/>
                            <a:gd name="T29" fmla="*/ 201 h 201"/>
                            <a:gd name="T30" fmla="*/ 147 w 155"/>
                            <a:gd name="T31" fmla="*/ 188 h 201"/>
                            <a:gd name="T32" fmla="*/ 147 w 155"/>
                            <a:gd name="T33" fmla="*/ 174 h 201"/>
                            <a:gd name="T34" fmla="*/ 155 w 155"/>
                            <a:gd name="T35" fmla="*/ 159 h 201"/>
                            <a:gd name="T36" fmla="*/ 155 w 155"/>
                            <a:gd name="T37" fmla="*/ 20 h 201"/>
                            <a:gd name="T38" fmla="*/ 136 w 155"/>
                            <a:gd name="T39" fmla="*/ 0 h 201"/>
                            <a:gd name="T40" fmla="*/ 31 w 155"/>
                            <a:gd name="T41" fmla="*/ 188 h 201"/>
                            <a:gd name="T42" fmla="*/ 26 w 155"/>
                            <a:gd name="T43" fmla="*/ 194 h 201"/>
                            <a:gd name="T44" fmla="*/ 22 w 155"/>
                            <a:gd name="T45" fmla="*/ 194 h 201"/>
                            <a:gd name="T46" fmla="*/ 16 w 155"/>
                            <a:gd name="T47" fmla="*/ 188 h 201"/>
                            <a:gd name="T48" fmla="*/ 16 w 155"/>
                            <a:gd name="T49" fmla="*/ 177 h 201"/>
                            <a:gd name="T50" fmla="*/ 22 w 155"/>
                            <a:gd name="T51" fmla="*/ 178 h 201"/>
                            <a:gd name="T52" fmla="*/ 31 w 155"/>
                            <a:gd name="T53" fmla="*/ 178 h 201"/>
                            <a:gd name="T54" fmla="*/ 31 w 155"/>
                            <a:gd name="T55" fmla="*/ 188 h 201"/>
                            <a:gd name="T56" fmla="*/ 140 w 155"/>
                            <a:gd name="T57" fmla="*/ 188 h 201"/>
                            <a:gd name="T58" fmla="*/ 134 w 155"/>
                            <a:gd name="T59" fmla="*/ 194 h 201"/>
                            <a:gd name="T60" fmla="*/ 130 w 155"/>
                            <a:gd name="T61" fmla="*/ 194 h 201"/>
                            <a:gd name="T62" fmla="*/ 124 w 155"/>
                            <a:gd name="T63" fmla="*/ 188 h 201"/>
                            <a:gd name="T64" fmla="*/ 124 w 155"/>
                            <a:gd name="T65" fmla="*/ 178 h 201"/>
                            <a:gd name="T66" fmla="*/ 136 w 155"/>
                            <a:gd name="T67" fmla="*/ 178 h 201"/>
                            <a:gd name="T68" fmla="*/ 140 w 155"/>
                            <a:gd name="T69" fmla="*/ 178 h 201"/>
                            <a:gd name="T70" fmla="*/ 140 w 155"/>
                            <a:gd name="T71" fmla="*/ 188 h 201"/>
                            <a:gd name="T72" fmla="*/ 147 w 155"/>
                            <a:gd name="T73" fmla="*/ 159 h 201"/>
                            <a:gd name="T74" fmla="*/ 136 w 155"/>
                            <a:gd name="T75" fmla="*/ 170 h 201"/>
                            <a:gd name="T76" fmla="*/ 22 w 155"/>
                            <a:gd name="T77" fmla="*/ 170 h 201"/>
                            <a:gd name="T78" fmla="*/ 8 w 155"/>
                            <a:gd name="T79" fmla="*/ 159 h 201"/>
                            <a:gd name="T80" fmla="*/ 8 w 155"/>
                            <a:gd name="T81" fmla="*/ 124 h 201"/>
                            <a:gd name="T82" fmla="*/ 147 w 155"/>
                            <a:gd name="T83" fmla="*/ 124 h 201"/>
                            <a:gd name="T84" fmla="*/ 147 w 155"/>
                            <a:gd name="T85" fmla="*/ 159 h 201"/>
                            <a:gd name="T86" fmla="*/ 147 w 155"/>
                            <a:gd name="T87" fmla="*/ 116 h 201"/>
                            <a:gd name="T88" fmla="*/ 8 w 155"/>
                            <a:gd name="T89" fmla="*/ 116 h 201"/>
                            <a:gd name="T90" fmla="*/ 8 w 155"/>
                            <a:gd name="T91" fmla="*/ 39 h 201"/>
                            <a:gd name="T92" fmla="*/ 147 w 155"/>
                            <a:gd name="T93" fmla="*/ 39 h 201"/>
                            <a:gd name="T94" fmla="*/ 147 w 155"/>
                            <a:gd name="T95" fmla="*/ 116 h 201"/>
                            <a:gd name="T96" fmla="*/ 147 w 155"/>
                            <a:gd name="T97" fmla="*/ 31 h 201"/>
                            <a:gd name="T98" fmla="*/ 8 w 155"/>
                            <a:gd name="T99" fmla="*/ 31 h 201"/>
                            <a:gd name="T100" fmla="*/ 8 w 155"/>
                            <a:gd name="T101" fmla="*/ 20 h 201"/>
                            <a:gd name="T102" fmla="*/ 20 w 155"/>
                            <a:gd name="T103" fmla="*/ 8 h 201"/>
                            <a:gd name="T104" fmla="*/ 136 w 155"/>
                            <a:gd name="T105" fmla="*/ 8 h 201"/>
                            <a:gd name="T106" fmla="*/ 147 w 155"/>
                            <a:gd name="T107" fmla="*/ 20 h 201"/>
                            <a:gd name="T108" fmla="*/ 147 w 155"/>
                            <a:gd name="T109" fmla="*/ 31 h 201"/>
                            <a:gd name="T110" fmla="*/ 147 w 155"/>
                            <a:gd name="T111" fmla="*/ 31 h 201"/>
                            <a:gd name="T112" fmla="*/ 147 w 155"/>
                            <a:gd name="T113" fmla="*/ 3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201">
                              <a:moveTo>
                                <a:pt x="136" y="0"/>
                              </a:moveTo>
                              <a:cubicBezTo>
                                <a:pt x="20" y="0"/>
                                <a:pt x="20" y="0"/>
                                <a:pt x="20" y="0"/>
                              </a:cubicBezTo>
                              <a:cubicBezTo>
                                <a:pt x="9" y="0"/>
                                <a:pt x="0" y="9"/>
                                <a:pt x="0" y="20"/>
                              </a:cubicBezTo>
                              <a:cubicBezTo>
                                <a:pt x="0" y="159"/>
                                <a:pt x="0" y="159"/>
                                <a:pt x="0" y="159"/>
                              </a:cubicBezTo>
                              <a:cubicBezTo>
                                <a:pt x="0" y="165"/>
                                <a:pt x="4" y="170"/>
                                <a:pt x="8" y="173"/>
                              </a:cubicBezTo>
                              <a:cubicBezTo>
                                <a:pt x="8" y="174"/>
                                <a:pt x="8" y="174"/>
                                <a:pt x="8" y="174"/>
                              </a:cubicBezTo>
                              <a:cubicBezTo>
                                <a:pt x="8" y="188"/>
                                <a:pt x="8" y="188"/>
                                <a:pt x="8" y="188"/>
                              </a:cubicBezTo>
                              <a:cubicBezTo>
                                <a:pt x="8" y="195"/>
                                <a:pt x="14" y="201"/>
                                <a:pt x="22" y="201"/>
                              </a:cubicBezTo>
                              <a:cubicBezTo>
                                <a:pt x="26" y="201"/>
                                <a:pt x="26" y="201"/>
                                <a:pt x="26" y="201"/>
                              </a:cubicBezTo>
                              <a:cubicBezTo>
                                <a:pt x="33" y="201"/>
                                <a:pt x="39" y="195"/>
                                <a:pt x="39" y="188"/>
                              </a:cubicBezTo>
                              <a:cubicBezTo>
                                <a:pt x="39" y="178"/>
                                <a:pt x="39" y="178"/>
                                <a:pt x="39" y="178"/>
                              </a:cubicBezTo>
                              <a:cubicBezTo>
                                <a:pt x="116" y="178"/>
                                <a:pt x="116" y="178"/>
                                <a:pt x="116" y="178"/>
                              </a:cubicBezTo>
                              <a:cubicBezTo>
                                <a:pt x="116" y="188"/>
                                <a:pt x="116" y="188"/>
                                <a:pt x="116" y="188"/>
                              </a:cubicBezTo>
                              <a:cubicBezTo>
                                <a:pt x="116" y="195"/>
                                <a:pt x="122" y="201"/>
                                <a:pt x="130" y="201"/>
                              </a:cubicBezTo>
                              <a:cubicBezTo>
                                <a:pt x="134" y="201"/>
                                <a:pt x="134" y="201"/>
                                <a:pt x="134" y="201"/>
                              </a:cubicBezTo>
                              <a:cubicBezTo>
                                <a:pt x="141" y="201"/>
                                <a:pt x="147" y="195"/>
                                <a:pt x="147" y="188"/>
                              </a:cubicBezTo>
                              <a:cubicBezTo>
                                <a:pt x="147" y="174"/>
                                <a:pt x="147" y="174"/>
                                <a:pt x="147" y="174"/>
                              </a:cubicBezTo>
                              <a:cubicBezTo>
                                <a:pt x="152" y="171"/>
                                <a:pt x="155" y="165"/>
                                <a:pt x="155" y="159"/>
                              </a:cubicBezTo>
                              <a:cubicBezTo>
                                <a:pt x="155" y="20"/>
                                <a:pt x="155" y="20"/>
                                <a:pt x="155" y="20"/>
                              </a:cubicBezTo>
                              <a:cubicBezTo>
                                <a:pt x="155" y="9"/>
                                <a:pt x="146" y="0"/>
                                <a:pt x="136" y="0"/>
                              </a:cubicBezTo>
                              <a:close/>
                              <a:moveTo>
                                <a:pt x="31" y="188"/>
                              </a:moveTo>
                              <a:cubicBezTo>
                                <a:pt x="31" y="191"/>
                                <a:pt x="29" y="194"/>
                                <a:pt x="26" y="194"/>
                              </a:cubicBezTo>
                              <a:cubicBezTo>
                                <a:pt x="22" y="194"/>
                                <a:pt x="22" y="194"/>
                                <a:pt x="22" y="194"/>
                              </a:cubicBezTo>
                              <a:cubicBezTo>
                                <a:pt x="18" y="194"/>
                                <a:pt x="16" y="191"/>
                                <a:pt x="16" y="188"/>
                              </a:cubicBezTo>
                              <a:cubicBezTo>
                                <a:pt x="16" y="177"/>
                                <a:pt x="16" y="177"/>
                                <a:pt x="16" y="177"/>
                              </a:cubicBezTo>
                              <a:cubicBezTo>
                                <a:pt x="18" y="178"/>
                                <a:pt x="20" y="178"/>
                                <a:pt x="22" y="178"/>
                              </a:cubicBezTo>
                              <a:cubicBezTo>
                                <a:pt x="31" y="178"/>
                                <a:pt x="31" y="178"/>
                                <a:pt x="31" y="178"/>
                              </a:cubicBezTo>
                              <a:lnTo>
                                <a:pt x="31" y="188"/>
                              </a:lnTo>
                              <a:close/>
                              <a:moveTo>
                                <a:pt x="140" y="188"/>
                              </a:moveTo>
                              <a:cubicBezTo>
                                <a:pt x="140" y="191"/>
                                <a:pt x="137" y="194"/>
                                <a:pt x="134" y="194"/>
                              </a:cubicBezTo>
                              <a:cubicBezTo>
                                <a:pt x="130" y="194"/>
                                <a:pt x="130" y="194"/>
                                <a:pt x="130" y="194"/>
                              </a:cubicBezTo>
                              <a:cubicBezTo>
                                <a:pt x="127" y="194"/>
                                <a:pt x="124" y="191"/>
                                <a:pt x="124" y="188"/>
                              </a:cubicBezTo>
                              <a:cubicBezTo>
                                <a:pt x="124" y="178"/>
                                <a:pt x="124" y="178"/>
                                <a:pt x="124" y="178"/>
                              </a:cubicBezTo>
                              <a:cubicBezTo>
                                <a:pt x="136" y="178"/>
                                <a:pt x="136" y="178"/>
                                <a:pt x="136" y="178"/>
                              </a:cubicBezTo>
                              <a:cubicBezTo>
                                <a:pt x="137" y="178"/>
                                <a:pt x="138" y="178"/>
                                <a:pt x="140" y="178"/>
                              </a:cubicBezTo>
                              <a:lnTo>
                                <a:pt x="140" y="188"/>
                              </a:lnTo>
                              <a:close/>
                              <a:moveTo>
                                <a:pt x="147" y="159"/>
                              </a:moveTo>
                              <a:cubicBezTo>
                                <a:pt x="147" y="165"/>
                                <a:pt x="142" y="170"/>
                                <a:pt x="136" y="170"/>
                              </a:cubicBezTo>
                              <a:cubicBezTo>
                                <a:pt x="22" y="170"/>
                                <a:pt x="22" y="170"/>
                                <a:pt x="22" y="170"/>
                              </a:cubicBezTo>
                              <a:cubicBezTo>
                                <a:pt x="15" y="170"/>
                                <a:pt x="8" y="165"/>
                                <a:pt x="8" y="159"/>
                              </a:cubicBezTo>
                              <a:cubicBezTo>
                                <a:pt x="8" y="124"/>
                                <a:pt x="8" y="124"/>
                                <a:pt x="8" y="124"/>
                              </a:cubicBezTo>
                              <a:cubicBezTo>
                                <a:pt x="147" y="124"/>
                                <a:pt x="147" y="124"/>
                                <a:pt x="147" y="124"/>
                              </a:cubicBezTo>
                              <a:lnTo>
                                <a:pt x="147" y="159"/>
                              </a:lnTo>
                              <a:close/>
                              <a:moveTo>
                                <a:pt x="147" y="116"/>
                              </a:moveTo>
                              <a:cubicBezTo>
                                <a:pt x="8" y="116"/>
                                <a:pt x="8" y="116"/>
                                <a:pt x="8" y="116"/>
                              </a:cubicBezTo>
                              <a:cubicBezTo>
                                <a:pt x="8" y="39"/>
                                <a:pt x="8" y="39"/>
                                <a:pt x="8" y="39"/>
                              </a:cubicBezTo>
                              <a:cubicBezTo>
                                <a:pt x="147" y="39"/>
                                <a:pt x="147" y="39"/>
                                <a:pt x="147" y="39"/>
                              </a:cubicBezTo>
                              <a:lnTo>
                                <a:pt x="147" y="116"/>
                              </a:lnTo>
                              <a:close/>
                              <a:moveTo>
                                <a:pt x="147" y="31"/>
                              </a:moveTo>
                              <a:cubicBezTo>
                                <a:pt x="8" y="31"/>
                                <a:pt x="8" y="31"/>
                                <a:pt x="8" y="31"/>
                              </a:cubicBezTo>
                              <a:cubicBezTo>
                                <a:pt x="8" y="20"/>
                                <a:pt x="8" y="20"/>
                                <a:pt x="8" y="20"/>
                              </a:cubicBezTo>
                              <a:cubicBezTo>
                                <a:pt x="8" y="13"/>
                                <a:pt x="13" y="8"/>
                                <a:pt x="20" y="8"/>
                              </a:cubicBezTo>
                              <a:cubicBezTo>
                                <a:pt x="136" y="8"/>
                                <a:pt x="136" y="8"/>
                                <a:pt x="136" y="8"/>
                              </a:cubicBezTo>
                              <a:cubicBezTo>
                                <a:pt x="142" y="8"/>
                                <a:pt x="147" y="13"/>
                                <a:pt x="147" y="20"/>
                              </a:cubicBezTo>
                              <a:lnTo>
                                <a:pt x="147" y="31"/>
                              </a:lnTo>
                              <a:close/>
                              <a:moveTo>
                                <a:pt x="147" y="31"/>
                              </a:moveTo>
                              <a:cubicBezTo>
                                <a:pt x="147" y="31"/>
                                <a:pt x="147" y="31"/>
                                <a:pt x="147" y="31"/>
                              </a:cubicBezTo>
                            </a:path>
                          </a:pathLst>
                        </a:custGeom>
                        <a:solidFill>
                          <a:srgbClr val="000000"/>
                        </a:solidFill>
                        <a:ln w="1905" cap="flat">
                          <a:solidFill>
                            <a:srgbClr val="000000"/>
                          </a:solidFill>
                          <a:prstDash val="solid"/>
                          <a:miter lim="800000"/>
                          <a:headEnd/>
                          <a:tailEnd/>
                        </a:ln>
                      </wps:spPr>
                      <wps:bodyPr rot="0" vert="horz" wrap="square" lIns="91440" tIns="45720" rIns="91440" bIns="45720" anchor="t" anchorCtr="0" upright="1">
                        <a:noAutofit/>
                      </wps:bodyPr>
                    </wps:wsp>
                  </a:graphicData>
                </a:graphic>
              </wp:anchor>
            </w:drawing>
          </mc:Choice>
          <mc:Fallback>
            <w:pict>
              <v:shape w14:anchorId="60A2FB39" id="Freeform 31" o:spid="_x0000_s1026" style="position:absolute;margin-left:502.1pt;margin-top:756.35pt;width:21.95pt;height:28.75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15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" path="m136,c20,,20,,20,,9,,,9,,20,,159,,159,,159v,6,4,11,8,14c8,174,8,174,8,174v,14,,14,,14c8,195,14,201,22,201v4,,4,,4,c33,201,39,195,39,188v,-10,,-10,,-10c116,178,116,178,116,178v,10,,10,,10c116,195,122,201,130,201v4,,4,,4,c141,201,147,195,147,188v,-14,,-14,,-14c152,171,155,165,155,159v,-139,,-139,,-139c155,9,146,,136,xm31,188v,3,-2,6,-5,6c22,194,22,194,22,194v-4,,-6,-3,-6,-6c16,177,16,177,16,177v2,1,4,1,6,1c31,178,31,178,31,178r,10xm140,188v,3,-3,6,-6,6c130,194,130,194,130,194v-3,,-6,-3,-6,-6c124,178,124,178,124,178v12,,12,,12,c137,178,138,178,140,178r,10xm147,159v,6,-5,11,-11,11c22,170,22,170,22,170,15,170,8,165,8,159v,-35,,-35,,-35c147,124,147,124,147,124r,35xm147,116c8,116,8,116,8,116,8,39,8,39,8,39v139,,139,,139,l147,116xm147,31c8,31,8,31,8,31,8,20,8,20,8,20,8,13,13,8,20,8v116,,116,,116,c142,8,147,13,147,20r,11xm147,31v,,,,,e" fillcolor="black" strokeweight=".15pt">
                <v:stroke joinstyle="miter"/>
                <v:path arrowok="t" o:connecttype="custom" o:connectlocs="244588,0;35969,0;0,36303;0,288606;14388,314018;14388,315833;14388,341245;39566,364842;46759,364842;70139,341245;70139,323094;208619,323094;208619,341245;233797,364842;240991,364842;264370,341245;264370,315833;278758,288606;278758,36303;244588,0;55752,341245;46759,352136;39566,352136;28775,341245;28775,321279;39566,323094;55752,323094;55752,341245;251781,341245;240991,352136;233797,352136;223006,341245;223006,323094;244588,323094;251781,323094;251781,341245;264370,288606;244588,308573;39566,308573;14388,288606;14388,225077;264370,225077;264370,288606;264370,210556;14388,210556;14388,70790;264370,70790;264370,210556;264370,56269;14388,56269;14388,36303;35969,14521;244588,14521;264370,36303;264370,56269;264370,56269;264370,56269" o:connectangles="0,0,0,0,0,0,0,0,0,0,0,0,0,0,0,0,0,0,0,0,0,0,0,0,0,0,0,0,0,0,0,0,0,0,0,0,0,0,0,0,0,0,0,0,0,0,0,0,0,0,0,0,0,0,0,0,0"/>
                <o:lock v:ext="edit" verticies="t"/>
              </v:shape>
            </w:pict>
          </mc:Fallback>
        </mc:AlternateContent>
      </w:r>
      <w:r w:rsidRPr="00A04E56">
        <w:rPr>
          <w:lang w:val="fr-BE"/>
        </w:rPr>
        <mc:AlternateContent>
          <mc:Choice Requires="wps">
            <w:drawing>
              <wp:anchor distT="0" distB="0" distL="114300" distR="114300" simplePos="0" relativeHeight="251686912" behindDoc="0" locked="0" layoutInCell="1" allowOverlap="1" wp14:anchorId="7EA1C26C" wp14:editId="0EC8B6CA">
                <wp:simplePos x="0" y="0"/>
                <wp:positionH relativeFrom="column">
                  <wp:posOffset>6409061</wp:posOffset>
                </wp:positionH>
                <wp:positionV relativeFrom="paragraph">
                  <wp:posOffset>9848344</wp:posOffset>
                </wp:positionV>
                <wp:extent cx="41274" cy="41878"/>
                <wp:effectExtent l="0" t="0" r="0" b="0"/>
                <wp:wrapNone/>
                <wp:docPr id="19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274" cy="41878"/>
                        </a:xfrm>
                        <a:custGeom>
                          <a:avLst/>
                          <a:gdLst>
                            <a:gd name="T0" fmla="*/ 11 w 23"/>
                            <a:gd name="T1" fmla="*/ 23 h 23"/>
                            <a:gd name="T2" fmla="*/ 23 w 23"/>
                            <a:gd name="T3" fmla="*/ 11 h 23"/>
                            <a:gd name="T4" fmla="*/ 11 w 23"/>
                            <a:gd name="T5" fmla="*/ 0 h 23"/>
                            <a:gd name="T6" fmla="*/ 0 w 23"/>
                            <a:gd name="T7" fmla="*/ 11 h 23"/>
                            <a:gd name="T8" fmla="*/ 11 w 23"/>
                            <a:gd name="T9" fmla="*/ 23 h 23"/>
                            <a:gd name="T10" fmla="*/ 11 w 23"/>
                            <a:gd name="T11" fmla="*/ 7 h 23"/>
                            <a:gd name="T12" fmla="*/ 15 w 23"/>
                            <a:gd name="T13" fmla="*/ 11 h 23"/>
                            <a:gd name="T14" fmla="*/ 11 w 23"/>
                            <a:gd name="T15" fmla="*/ 15 h 23"/>
                            <a:gd name="T16" fmla="*/ 8 w 23"/>
                            <a:gd name="T17" fmla="*/ 11 h 23"/>
                            <a:gd name="T18" fmla="*/ 11 w 23"/>
                            <a:gd name="T19" fmla="*/ 7 h 23"/>
                            <a:gd name="T20" fmla="*/ 11 w 23"/>
                            <a:gd name="T21" fmla="*/ 7 h 23"/>
                            <a:gd name="T22" fmla="*/ 11 w 23"/>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23">
                              <a:moveTo>
                                <a:pt x="11" y="23"/>
                              </a:moveTo>
                              <a:cubicBezTo>
                                <a:pt x="18" y="23"/>
                                <a:pt x="23" y="18"/>
                                <a:pt x="23" y="11"/>
                              </a:cubicBezTo>
                              <a:cubicBezTo>
                                <a:pt x="23" y="5"/>
                                <a:pt x="18" y="0"/>
                                <a:pt x="11" y="0"/>
                              </a:cubicBezTo>
                              <a:cubicBezTo>
                                <a:pt x="5" y="0"/>
                                <a:pt x="0" y="5"/>
                                <a:pt x="0" y="11"/>
                              </a:cubicBezTo>
                              <a:cubicBezTo>
                                <a:pt x="0" y="18"/>
                                <a:pt x="5" y="23"/>
                                <a:pt x="11" y="23"/>
                              </a:cubicBezTo>
                              <a:close/>
                              <a:moveTo>
                                <a:pt x="11" y="7"/>
                              </a:moveTo>
                              <a:cubicBezTo>
                                <a:pt x="14" y="7"/>
                                <a:pt x="15" y="9"/>
                                <a:pt x="15" y="11"/>
                              </a:cubicBezTo>
                              <a:cubicBezTo>
                                <a:pt x="15" y="13"/>
                                <a:pt x="14" y="15"/>
                                <a:pt x="11" y="15"/>
                              </a:cubicBezTo>
                              <a:cubicBezTo>
                                <a:pt x="9" y="15"/>
                                <a:pt x="8" y="13"/>
                                <a:pt x="8" y="11"/>
                              </a:cubicBezTo>
                              <a:cubicBezTo>
                                <a:pt x="8" y="9"/>
                                <a:pt x="9" y="7"/>
                                <a:pt x="11" y="7"/>
                              </a:cubicBezTo>
                              <a:close/>
                              <a:moveTo>
                                <a:pt x="11" y="7"/>
                              </a:moveTo>
                              <a:cubicBezTo>
                                <a:pt x="11" y="7"/>
                                <a:pt x="11" y="7"/>
                                <a:pt x="11"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4209E5B" id="Freeform 34" o:spid="_x0000_s1026" style="position:absolute;margin-left:504.65pt;margin-top:775.45pt;width:3.25pt;height:3.3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" path="m11,23v7,,12,-5,12,-12c23,5,18,,11,,5,,,5,,11v,7,5,12,11,12xm11,7v3,,4,2,4,4c15,13,14,15,11,15,9,15,8,13,8,11,8,9,9,7,11,7xm11,7v,,,,,e" filled="f" strokeweight=".15pt">
                <v:stroke joinstyle="miter"/>
                <v:path arrowok="t" o:connecttype="custom" o:connectlocs="19740,41878;41274,20029;19740,0;0,20029;19740,41878;19740,12745;26918,20029;19740,27312;14356,20029;19740,12745;19740,12745;19740,12745" o:connectangles="0,0,0,0,0,0,0,0,0,0,0,0"/>
                <o:lock v:ext="edit" verticies="t"/>
              </v:shape>
            </w:pict>
          </mc:Fallback>
        </mc:AlternateContent>
      </w:r>
      <w:r w:rsidRPr="00A04E56">
        <w:rPr>
          <w:lang w:val="fr-BE"/>
        </w:rPr>
        <mc:AlternateContent>
          <mc:Choice Requires="wps">
            <w:drawing>
              <wp:anchor distT="0" distB="0" distL="114300" distR="114300" simplePos="0" relativeHeight="251691008" behindDoc="0" locked="0" layoutInCell="1" allowOverlap="1" wp14:anchorId="62B32B00" wp14:editId="45192C70">
                <wp:simplePos x="0" y="0"/>
                <wp:positionH relativeFrom="column">
                  <wp:posOffset>6581777</wp:posOffset>
                </wp:positionH>
                <wp:positionV relativeFrom="paragraph">
                  <wp:posOffset>9848344</wp:posOffset>
                </wp:positionV>
                <wp:extent cx="43179" cy="41878"/>
                <wp:effectExtent l="0" t="0" r="0" b="0"/>
                <wp:wrapNone/>
                <wp:docPr id="19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179" cy="41878"/>
                        </a:xfrm>
                        <a:custGeom>
                          <a:avLst/>
                          <a:gdLst>
                            <a:gd name="T0" fmla="*/ 12 w 24"/>
                            <a:gd name="T1" fmla="*/ 23 h 23"/>
                            <a:gd name="T2" fmla="*/ 24 w 24"/>
                            <a:gd name="T3" fmla="*/ 11 h 23"/>
                            <a:gd name="T4" fmla="*/ 12 w 24"/>
                            <a:gd name="T5" fmla="*/ 0 h 23"/>
                            <a:gd name="T6" fmla="*/ 0 w 24"/>
                            <a:gd name="T7" fmla="*/ 11 h 23"/>
                            <a:gd name="T8" fmla="*/ 12 w 24"/>
                            <a:gd name="T9" fmla="*/ 23 h 23"/>
                            <a:gd name="T10" fmla="*/ 12 w 24"/>
                            <a:gd name="T11" fmla="*/ 7 h 23"/>
                            <a:gd name="T12" fmla="*/ 16 w 24"/>
                            <a:gd name="T13" fmla="*/ 11 h 23"/>
                            <a:gd name="T14" fmla="*/ 12 w 24"/>
                            <a:gd name="T15" fmla="*/ 15 h 23"/>
                            <a:gd name="T16" fmla="*/ 8 w 24"/>
                            <a:gd name="T17" fmla="*/ 11 h 23"/>
                            <a:gd name="T18" fmla="*/ 12 w 24"/>
                            <a:gd name="T19" fmla="*/ 7 h 23"/>
                            <a:gd name="T20" fmla="*/ 12 w 24"/>
                            <a:gd name="T21" fmla="*/ 7 h 23"/>
                            <a:gd name="T22" fmla="*/ 12 w 24"/>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23">
                              <a:moveTo>
                                <a:pt x="12" y="23"/>
                              </a:moveTo>
                              <a:cubicBezTo>
                                <a:pt x="18" y="23"/>
                                <a:pt x="24" y="18"/>
                                <a:pt x="24" y="11"/>
                              </a:cubicBezTo>
                              <a:cubicBezTo>
                                <a:pt x="24" y="5"/>
                                <a:pt x="18" y="0"/>
                                <a:pt x="12" y="0"/>
                              </a:cubicBezTo>
                              <a:cubicBezTo>
                                <a:pt x="6" y="0"/>
                                <a:pt x="0" y="5"/>
                                <a:pt x="0" y="11"/>
                              </a:cubicBezTo>
                              <a:cubicBezTo>
                                <a:pt x="0" y="18"/>
                                <a:pt x="6" y="23"/>
                                <a:pt x="12" y="23"/>
                              </a:cubicBezTo>
                              <a:close/>
                              <a:moveTo>
                                <a:pt x="12" y="7"/>
                              </a:moveTo>
                              <a:cubicBezTo>
                                <a:pt x="14" y="7"/>
                                <a:pt x="16" y="9"/>
                                <a:pt x="16" y="11"/>
                              </a:cubicBezTo>
                              <a:cubicBezTo>
                                <a:pt x="16" y="13"/>
                                <a:pt x="14" y="15"/>
                                <a:pt x="12" y="15"/>
                              </a:cubicBezTo>
                              <a:cubicBezTo>
                                <a:pt x="10" y="15"/>
                                <a:pt x="8" y="13"/>
                                <a:pt x="8" y="11"/>
                              </a:cubicBezTo>
                              <a:cubicBezTo>
                                <a:pt x="8" y="9"/>
                                <a:pt x="10" y="7"/>
                                <a:pt x="12" y="7"/>
                              </a:cubicBezTo>
                              <a:close/>
                              <a:moveTo>
                                <a:pt x="12" y="7"/>
                              </a:moveTo>
                              <a:cubicBezTo>
                                <a:pt x="12" y="7"/>
                                <a:pt x="12" y="7"/>
                                <a:pt x="12"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CFC7738" id="Freeform 36" o:spid="_x0000_s1026" style="position:absolute;margin-left:518.25pt;margin-top:775.45pt;width:3.4pt;height:3.3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" path="m12,23v6,,12,-5,12,-12c24,5,18,,12,,6,,,5,,11v,7,6,12,12,12xm12,7v2,,4,2,4,4c16,13,14,15,12,15,10,15,8,13,8,11,8,9,10,7,12,7xm12,7v,,,,,e" filled="f" strokeweight=".15pt">
                <v:stroke joinstyle="miter"/>
                <v:path arrowok="t" o:connecttype="custom" o:connectlocs="21590,41878;43179,20029;21590,0;0,20029;21590,41878;21590,12745;28786,20029;21590,27312;14393,20029;21590,12745;21590,12745;21590,12745" o:connectangles="0,0,0,0,0,0,0,0,0,0,0,0"/>
                <o:lock v:ext="edit" verticies="t"/>
              </v:shape>
            </w:pict>
          </mc:Fallback>
        </mc:AlternateContent>
      </w:r>
      <w:r w:rsidRPr="00A04E56">
        <w:rPr>
          <w:lang w:val="fr-BE"/>
        </w:rPr>
        <mc:AlternateContent>
          <mc:Choice Requires="wps">
            <w:drawing>
              <wp:anchor distT="0" distB="0" distL="114300" distR="114300" simplePos="0" relativeHeight="251574272" behindDoc="0" locked="0" layoutInCell="1" allowOverlap="1" wp14:anchorId="329BF4B7" wp14:editId="71CAA258">
                <wp:simplePos x="0" y="0"/>
                <wp:positionH relativeFrom="column">
                  <wp:posOffset>6376677</wp:posOffset>
                </wp:positionH>
                <wp:positionV relativeFrom="paragraph">
                  <wp:posOffset>9605328</wp:posOffset>
                </wp:positionV>
                <wp:extent cx="278758" cy="364842"/>
                <wp:effectExtent l="0" t="0" r="0" b="0"/>
                <wp:wrapNone/>
                <wp:docPr id="135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78758" cy="364842"/>
                        </a:xfrm>
                        <a:custGeom>
                          <a:avLst/>
                          <a:gdLst>
                            <a:gd name="T0" fmla="*/ 136 w 155"/>
                            <a:gd name="T1" fmla="*/ 0 h 201"/>
                            <a:gd name="T2" fmla="*/ 20 w 155"/>
                            <a:gd name="T3" fmla="*/ 0 h 201"/>
                            <a:gd name="T4" fmla="*/ 0 w 155"/>
                            <a:gd name="T5" fmla="*/ 20 h 201"/>
                            <a:gd name="T6" fmla="*/ 0 w 155"/>
                            <a:gd name="T7" fmla="*/ 159 h 201"/>
                            <a:gd name="T8" fmla="*/ 8 w 155"/>
                            <a:gd name="T9" fmla="*/ 173 h 201"/>
                            <a:gd name="T10" fmla="*/ 8 w 155"/>
                            <a:gd name="T11" fmla="*/ 174 h 201"/>
                            <a:gd name="T12" fmla="*/ 8 w 155"/>
                            <a:gd name="T13" fmla="*/ 188 h 201"/>
                            <a:gd name="T14" fmla="*/ 22 w 155"/>
                            <a:gd name="T15" fmla="*/ 201 h 201"/>
                            <a:gd name="T16" fmla="*/ 26 w 155"/>
                            <a:gd name="T17" fmla="*/ 201 h 201"/>
                            <a:gd name="T18" fmla="*/ 39 w 155"/>
                            <a:gd name="T19" fmla="*/ 188 h 201"/>
                            <a:gd name="T20" fmla="*/ 39 w 155"/>
                            <a:gd name="T21" fmla="*/ 178 h 201"/>
                            <a:gd name="T22" fmla="*/ 116 w 155"/>
                            <a:gd name="T23" fmla="*/ 178 h 201"/>
                            <a:gd name="T24" fmla="*/ 116 w 155"/>
                            <a:gd name="T25" fmla="*/ 188 h 201"/>
                            <a:gd name="T26" fmla="*/ 130 w 155"/>
                            <a:gd name="T27" fmla="*/ 201 h 201"/>
                            <a:gd name="T28" fmla="*/ 134 w 155"/>
                            <a:gd name="T29" fmla="*/ 201 h 201"/>
                            <a:gd name="T30" fmla="*/ 147 w 155"/>
                            <a:gd name="T31" fmla="*/ 188 h 201"/>
                            <a:gd name="T32" fmla="*/ 147 w 155"/>
                            <a:gd name="T33" fmla="*/ 174 h 201"/>
                            <a:gd name="T34" fmla="*/ 155 w 155"/>
                            <a:gd name="T35" fmla="*/ 159 h 201"/>
                            <a:gd name="T36" fmla="*/ 155 w 155"/>
                            <a:gd name="T37" fmla="*/ 20 h 201"/>
                            <a:gd name="T38" fmla="*/ 136 w 155"/>
                            <a:gd name="T39" fmla="*/ 0 h 201"/>
                            <a:gd name="T40" fmla="*/ 31 w 155"/>
                            <a:gd name="T41" fmla="*/ 188 h 201"/>
                            <a:gd name="T42" fmla="*/ 26 w 155"/>
                            <a:gd name="T43" fmla="*/ 194 h 201"/>
                            <a:gd name="T44" fmla="*/ 22 w 155"/>
                            <a:gd name="T45" fmla="*/ 194 h 201"/>
                            <a:gd name="T46" fmla="*/ 16 w 155"/>
                            <a:gd name="T47" fmla="*/ 188 h 201"/>
                            <a:gd name="T48" fmla="*/ 16 w 155"/>
                            <a:gd name="T49" fmla="*/ 177 h 201"/>
                            <a:gd name="T50" fmla="*/ 22 w 155"/>
                            <a:gd name="T51" fmla="*/ 178 h 201"/>
                            <a:gd name="T52" fmla="*/ 31 w 155"/>
                            <a:gd name="T53" fmla="*/ 178 h 201"/>
                            <a:gd name="T54" fmla="*/ 31 w 155"/>
                            <a:gd name="T55" fmla="*/ 188 h 201"/>
                            <a:gd name="T56" fmla="*/ 140 w 155"/>
                            <a:gd name="T57" fmla="*/ 188 h 201"/>
                            <a:gd name="T58" fmla="*/ 134 w 155"/>
                            <a:gd name="T59" fmla="*/ 194 h 201"/>
                            <a:gd name="T60" fmla="*/ 130 w 155"/>
                            <a:gd name="T61" fmla="*/ 194 h 201"/>
                            <a:gd name="T62" fmla="*/ 124 w 155"/>
                            <a:gd name="T63" fmla="*/ 188 h 201"/>
                            <a:gd name="T64" fmla="*/ 124 w 155"/>
                            <a:gd name="T65" fmla="*/ 178 h 201"/>
                            <a:gd name="T66" fmla="*/ 136 w 155"/>
                            <a:gd name="T67" fmla="*/ 178 h 201"/>
                            <a:gd name="T68" fmla="*/ 140 w 155"/>
                            <a:gd name="T69" fmla="*/ 178 h 201"/>
                            <a:gd name="T70" fmla="*/ 140 w 155"/>
                            <a:gd name="T71" fmla="*/ 188 h 201"/>
                            <a:gd name="T72" fmla="*/ 147 w 155"/>
                            <a:gd name="T73" fmla="*/ 159 h 201"/>
                            <a:gd name="T74" fmla="*/ 136 w 155"/>
                            <a:gd name="T75" fmla="*/ 170 h 201"/>
                            <a:gd name="T76" fmla="*/ 22 w 155"/>
                            <a:gd name="T77" fmla="*/ 170 h 201"/>
                            <a:gd name="T78" fmla="*/ 8 w 155"/>
                            <a:gd name="T79" fmla="*/ 159 h 201"/>
                            <a:gd name="T80" fmla="*/ 8 w 155"/>
                            <a:gd name="T81" fmla="*/ 124 h 201"/>
                            <a:gd name="T82" fmla="*/ 147 w 155"/>
                            <a:gd name="T83" fmla="*/ 124 h 201"/>
                            <a:gd name="T84" fmla="*/ 147 w 155"/>
                            <a:gd name="T85" fmla="*/ 159 h 201"/>
                            <a:gd name="T86" fmla="*/ 147 w 155"/>
                            <a:gd name="T87" fmla="*/ 116 h 201"/>
                            <a:gd name="T88" fmla="*/ 8 w 155"/>
                            <a:gd name="T89" fmla="*/ 116 h 201"/>
                            <a:gd name="T90" fmla="*/ 8 w 155"/>
                            <a:gd name="T91" fmla="*/ 39 h 201"/>
                            <a:gd name="T92" fmla="*/ 147 w 155"/>
                            <a:gd name="T93" fmla="*/ 39 h 201"/>
                            <a:gd name="T94" fmla="*/ 147 w 155"/>
                            <a:gd name="T95" fmla="*/ 116 h 201"/>
                            <a:gd name="T96" fmla="*/ 147 w 155"/>
                            <a:gd name="T97" fmla="*/ 31 h 201"/>
                            <a:gd name="T98" fmla="*/ 8 w 155"/>
                            <a:gd name="T99" fmla="*/ 31 h 201"/>
                            <a:gd name="T100" fmla="*/ 8 w 155"/>
                            <a:gd name="T101" fmla="*/ 20 h 201"/>
                            <a:gd name="T102" fmla="*/ 20 w 155"/>
                            <a:gd name="T103" fmla="*/ 8 h 201"/>
                            <a:gd name="T104" fmla="*/ 136 w 155"/>
                            <a:gd name="T105" fmla="*/ 8 h 201"/>
                            <a:gd name="T106" fmla="*/ 147 w 155"/>
                            <a:gd name="T107" fmla="*/ 20 h 201"/>
                            <a:gd name="T108" fmla="*/ 147 w 155"/>
                            <a:gd name="T109" fmla="*/ 31 h 201"/>
                            <a:gd name="T110" fmla="*/ 147 w 155"/>
                            <a:gd name="T111" fmla="*/ 31 h 201"/>
                            <a:gd name="T112" fmla="*/ 147 w 155"/>
                            <a:gd name="T113" fmla="*/ 3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 h="201">
                              <a:moveTo>
                                <a:pt x="136" y="0"/>
                              </a:moveTo>
                              <a:cubicBezTo>
                                <a:pt x="20" y="0"/>
                                <a:pt x="20" y="0"/>
                                <a:pt x="20" y="0"/>
                              </a:cubicBezTo>
                              <a:cubicBezTo>
                                <a:pt x="9" y="0"/>
                                <a:pt x="0" y="9"/>
                                <a:pt x="0" y="20"/>
                              </a:cubicBezTo>
                              <a:cubicBezTo>
                                <a:pt x="0" y="159"/>
                                <a:pt x="0" y="159"/>
                                <a:pt x="0" y="159"/>
                              </a:cubicBezTo>
                              <a:cubicBezTo>
                                <a:pt x="0" y="165"/>
                                <a:pt x="4" y="170"/>
                                <a:pt x="8" y="173"/>
                              </a:cubicBezTo>
                              <a:cubicBezTo>
                                <a:pt x="8" y="174"/>
                                <a:pt x="8" y="174"/>
                                <a:pt x="8" y="174"/>
                              </a:cubicBezTo>
                              <a:cubicBezTo>
                                <a:pt x="8" y="188"/>
                                <a:pt x="8" y="188"/>
                                <a:pt x="8" y="188"/>
                              </a:cubicBezTo>
                              <a:cubicBezTo>
                                <a:pt x="8" y="195"/>
                                <a:pt x="14" y="201"/>
                                <a:pt x="22" y="201"/>
                              </a:cubicBezTo>
                              <a:cubicBezTo>
                                <a:pt x="26" y="201"/>
                                <a:pt x="26" y="201"/>
                                <a:pt x="26" y="201"/>
                              </a:cubicBezTo>
                              <a:cubicBezTo>
                                <a:pt x="33" y="201"/>
                                <a:pt x="39" y="195"/>
                                <a:pt x="39" y="188"/>
                              </a:cubicBezTo>
                              <a:cubicBezTo>
                                <a:pt x="39" y="178"/>
                                <a:pt x="39" y="178"/>
                                <a:pt x="39" y="178"/>
                              </a:cubicBezTo>
                              <a:cubicBezTo>
                                <a:pt x="116" y="178"/>
                                <a:pt x="116" y="178"/>
                                <a:pt x="116" y="178"/>
                              </a:cubicBezTo>
                              <a:cubicBezTo>
                                <a:pt x="116" y="188"/>
                                <a:pt x="116" y="188"/>
                                <a:pt x="116" y="188"/>
                              </a:cubicBezTo>
                              <a:cubicBezTo>
                                <a:pt x="116" y="195"/>
                                <a:pt x="122" y="201"/>
                                <a:pt x="130" y="201"/>
                              </a:cubicBezTo>
                              <a:cubicBezTo>
                                <a:pt x="134" y="201"/>
                                <a:pt x="134" y="201"/>
                                <a:pt x="134" y="201"/>
                              </a:cubicBezTo>
                              <a:cubicBezTo>
                                <a:pt x="141" y="201"/>
                                <a:pt x="147" y="195"/>
                                <a:pt x="147" y="188"/>
                              </a:cubicBezTo>
                              <a:cubicBezTo>
                                <a:pt x="147" y="174"/>
                                <a:pt x="147" y="174"/>
                                <a:pt x="147" y="174"/>
                              </a:cubicBezTo>
                              <a:cubicBezTo>
                                <a:pt x="152" y="171"/>
                                <a:pt x="155" y="165"/>
                                <a:pt x="155" y="159"/>
                              </a:cubicBezTo>
                              <a:cubicBezTo>
                                <a:pt x="155" y="20"/>
                                <a:pt x="155" y="20"/>
                                <a:pt x="155" y="20"/>
                              </a:cubicBezTo>
                              <a:cubicBezTo>
                                <a:pt x="155" y="9"/>
                                <a:pt x="146" y="0"/>
                                <a:pt x="136" y="0"/>
                              </a:cubicBezTo>
                              <a:close/>
                              <a:moveTo>
                                <a:pt x="31" y="188"/>
                              </a:moveTo>
                              <a:cubicBezTo>
                                <a:pt x="31" y="191"/>
                                <a:pt x="29" y="194"/>
                                <a:pt x="26" y="194"/>
                              </a:cubicBezTo>
                              <a:cubicBezTo>
                                <a:pt x="22" y="194"/>
                                <a:pt x="22" y="194"/>
                                <a:pt x="22" y="194"/>
                              </a:cubicBezTo>
                              <a:cubicBezTo>
                                <a:pt x="18" y="194"/>
                                <a:pt x="16" y="191"/>
                                <a:pt x="16" y="188"/>
                              </a:cubicBezTo>
                              <a:cubicBezTo>
                                <a:pt x="16" y="177"/>
                                <a:pt x="16" y="177"/>
                                <a:pt x="16" y="177"/>
                              </a:cubicBezTo>
                              <a:cubicBezTo>
                                <a:pt x="18" y="178"/>
                                <a:pt x="20" y="178"/>
                                <a:pt x="22" y="178"/>
                              </a:cubicBezTo>
                              <a:cubicBezTo>
                                <a:pt x="31" y="178"/>
                                <a:pt x="31" y="178"/>
                                <a:pt x="31" y="178"/>
                              </a:cubicBezTo>
                              <a:lnTo>
                                <a:pt x="31" y="188"/>
                              </a:lnTo>
                              <a:close/>
                              <a:moveTo>
                                <a:pt x="140" y="188"/>
                              </a:moveTo>
                              <a:cubicBezTo>
                                <a:pt x="140" y="191"/>
                                <a:pt x="137" y="194"/>
                                <a:pt x="134" y="194"/>
                              </a:cubicBezTo>
                              <a:cubicBezTo>
                                <a:pt x="130" y="194"/>
                                <a:pt x="130" y="194"/>
                                <a:pt x="130" y="194"/>
                              </a:cubicBezTo>
                              <a:cubicBezTo>
                                <a:pt x="127" y="194"/>
                                <a:pt x="124" y="191"/>
                                <a:pt x="124" y="188"/>
                              </a:cubicBezTo>
                              <a:cubicBezTo>
                                <a:pt x="124" y="178"/>
                                <a:pt x="124" y="178"/>
                                <a:pt x="124" y="178"/>
                              </a:cubicBezTo>
                              <a:cubicBezTo>
                                <a:pt x="136" y="178"/>
                                <a:pt x="136" y="178"/>
                                <a:pt x="136" y="178"/>
                              </a:cubicBezTo>
                              <a:cubicBezTo>
                                <a:pt x="137" y="178"/>
                                <a:pt x="138" y="178"/>
                                <a:pt x="140" y="178"/>
                              </a:cubicBezTo>
                              <a:lnTo>
                                <a:pt x="140" y="188"/>
                              </a:lnTo>
                              <a:close/>
                              <a:moveTo>
                                <a:pt x="147" y="159"/>
                              </a:moveTo>
                              <a:cubicBezTo>
                                <a:pt x="147" y="165"/>
                                <a:pt x="142" y="170"/>
                                <a:pt x="136" y="170"/>
                              </a:cubicBezTo>
                              <a:cubicBezTo>
                                <a:pt x="22" y="170"/>
                                <a:pt x="22" y="170"/>
                                <a:pt x="22" y="170"/>
                              </a:cubicBezTo>
                              <a:cubicBezTo>
                                <a:pt x="15" y="170"/>
                                <a:pt x="8" y="165"/>
                                <a:pt x="8" y="159"/>
                              </a:cubicBezTo>
                              <a:cubicBezTo>
                                <a:pt x="8" y="124"/>
                                <a:pt x="8" y="124"/>
                                <a:pt x="8" y="124"/>
                              </a:cubicBezTo>
                              <a:cubicBezTo>
                                <a:pt x="147" y="124"/>
                                <a:pt x="147" y="124"/>
                                <a:pt x="147" y="124"/>
                              </a:cubicBezTo>
                              <a:lnTo>
                                <a:pt x="147" y="159"/>
                              </a:lnTo>
                              <a:close/>
                              <a:moveTo>
                                <a:pt x="147" y="116"/>
                              </a:moveTo>
                              <a:cubicBezTo>
                                <a:pt x="8" y="116"/>
                                <a:pt x="8" y="116"/>
                                <a:pt x="8" y="116"/>
                              </a:cubicBezTo>
                              <a:cubicBezTo>
                                <a:pt x="8" y="39"/>
                                <a:pt x="8" y="39"/>
                                <a:pt x="8" y="39"/>
                              </a:cubicBezTo>
                              <a:cubicBezTo>
                                <a:pt x="147" y="39"/>
                                <a:pt x="147" y="39"/>
                                <a:pt x="147" y="39"/>
                              </a:cubicBezTo>
                              <a:lnTo>
                                <a:pt x="147" y="116"/>
                              </a:lnTo>
                              <a:close/>
                              <a:moveTo>
                                <a:pt x="147" y="31"/>
                              </a:moveTo>
                              <a:cubicBezTo>
                                <a:pt x="8" y="31"/>
                                <a:pt x="8" y="31"/>
                                <a:pt x="8" y="31"/>
                              </a:cubicBezTo>
                              <a:cubicBezTo>
                                <a:pt x="8" y="20"/>
                                <a:pt x="8" y="20"/>
                                <a:pt x="8" y="20"/>
                              </a:cubicBezTo>
                              <a:cubicBezTo>
                                <a:pt x="8" y="13"/>
                                <a:pt x="13" y="8"/>
                                <a:pt x="20" y="8"/>
                              </a:cubicBezTo>
                              <a:cubicBezTo>
                                <a:pt x="136" y="8"/>
                                <a:pt x="136" y="8"/>
                                <a:pt x="136" y="8"/>
                              </a:cubicBezTo>
                              <a:cubicBezTo>
                                <a:pt x="142" y="8"/>
                                <a:pt x="147" y="13"/>
                                <a:pt x="147" y="20"/>
                              </a:cubicBezTo>
                              <a:lnTo>
                                <a:pt x="147" y="31"/>
                              </a:lnTo>
                              <a:close/>
                              <a:moveTo>
                                <a:pt x="147" y="31"/>
                              </a:moveTo>
                              <a:cubicBezTo>
                                <a:pt x="147" y="31"/>
                                <a:pt x="147" y="31"/>
                                <a:pt x="147" y="31"/>
                              </a:cubicBezTo>
                            </a:path>
                          </a:pathLst>
                        </a:custGeom>
                        <a:solidFill>
                          <a:srgbClr val="000000"/>
                        </a:solidFill>
                        <a:ln w="1905" cap="flat">
                          <a:solidFill>
                            <a:srgbClr val="000000"/>
                          </a:solidFill>
                          <a:prstDash val="solid"/>
                          <a:miter lim="800000"/>
                          <a:headEnd/>
                          <a:tailEnd/>
                        </a:ln>
                      </wps:spPr>
                      <wps:bodyPr rot="0" vert="horz" wrap="square" lIns="91440" tIns="45720" rIns="91440" bIns="45720" anchor="t" anchorCtr="0" upright="1">
                        <a:noAutofit/>
                      </wps:bodyPr>
                    </wps:wsp>
                  </a:graphicData>
                </a:graphic>
              </wp:anchor>
            </w:drawing>
          </mc:Choice>
          <mc:Fallback>
            <w:pict>
              <v:shape w14:anchorId="76A1ABFE" id="Freeform 31" o:spid="_x0000_s1026" style="position:absolute;margin-left:502.1pt;margin-top:756.35pt;width:21.95pt;height:28.75pt;z-index:251574272;visibility:visible;mso-wrap-style:square;mso-wrap-distance-left:9pt;mso-wrap-distance-top:0;mso-wrap-distance-right:9pt;mso-wrap-distance-bottom:0;mso-position-horizontal:absolute;mso-position-horizontal-relative:text;mso-position-vertical:absolute;mso-position-vertical-relative:text;v-text-anchor:top" coordsize="15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" path="m136,c20,,20,,20,,9,,,9,,20,,159,,159,,159v,6,4,11,8,14c8,174,8,174,8,174v,14,,14,,14c8,195,14,201,22,201v4,,4,,4,c33,201,39,195,39,188v,-10,,-10,,-10c116,178,116,178,116,178v,10,,10,,10c116,195,122,201,130,201v4,,4,,4,c141,201,147,195,147,188v,-14,,-14,,-14c152,171,155,165,155,159v,-139,,-139,,-139c155,9,146,,136,xm31,188v,3,-2,6,-5,6c22,194,22,194,22,194v-4,,-6,-3,-6,-6c16,177,16,177,16,177v2,1,4,1,6,1c31,178,31,178,31,178r,10xm140,188v,3,-3,6,-6,6c130,194,130,194,130,194v-3,,-6,-3,-6,-6c124,178,124,178,124,178v12,,12,,12,c137,178,138,178,140,178r,10xm147,159v,6,-5,11,-11,11c22,170,22,170,22,170,15,170,8,165,8,159v,-35,,-35,,-35c147,124,147,124,147,124r,35xm147,116c8,116,8,116,8,116,8,39,8,39,8,39v139,,139,,139,l147,116xm147,31c8,31,8,31,8,31,8,20,8,20,8,20,8,13,13,8,20,8v116,,116,,116,c142,8,147,13,147,20r,11xm147,31v,,,,,e" fillcolor="black" strokeweight=".15pt">
                <v:stroke joinstyle="miter"/>
                <v:path arrowok="t" o:connecttype="custom" o:connectlocs="244588,0;35969,0;0,36303;0,288606;14388,314018;14388,315833;14388,341245;39566,364842;46759,364842;70139,341245;70139,323094;208619,323094;208619,341245;233797,364842;240991,364842;264370,341245;264370,315833;278758,288606;278758,36303;244588,0;55752,341245;46759,352136;39566,352136;28775,341245;28775,321279;39566,323094;55752,323094;55752,341245;251781,341245;240991,352136;233797,352136;223006,341245;223006,323094;244588,323094;251781,323094;251781,341245;264370,288606;244588,308573;39566,308573;14388,288606;14388,225077;264370,225077;264370,288606;264370,210556;14388,210556;14388,70790;264370,70790;264370,210556;264370,56269;14388,56269;14388,36303;35969,14521;244588,14521;264370,36303;264370,56269;264370,56269;264370,56269" o:connectangles="0,0,0,0,0,0,0,0,0,0,0,0,0,0,0,0,0,0,0,0,0,0,0,0,0,0,0,0,0,0,0,0,0,0,0,0,0,0,0,0,0,0,0,0,0,0,0,0,0,0,0,0,0,0,0,0,0"/>
                <o:lock v:ext="edit" verticies="t"/>
              </v:shape>
            </w:pict>
          </mc:Fallback>
        </mc:AlternateContent>
      </w:r>
      <w:r w:rsidRPr="00A04E56">
        <w:rPr>
          <w:lang w:val="fr-BE"/>
        </w:rPr>
        <mc:AlternateContent>
          <mc:Choice Requires="wps">
            <w:drawing>
              <wp:anchor distT="0" distB="0" distL="114300" distR="114300" simplePos="0" relativeHeight="251578368" behindDoc="0" locked="0" layoutInCell="1" allowOverlap="1" wp14:anchorId="5F813447" wp14:editId="05C30C20">
                <wp:simplePos x="0" y="0"/>
                <wp:positionH relativeFrom="column">
                  <wp:posOffset>6409061</wp:posOffset>
                </wp:positionH>
                <wp:positionV relativeFrom="paragraph">
                  <wp:posOffset>9848344</wp:posOffset>
                </wp:positionV>
                <wp:extent cx="41274" cy="41878"/>
                <wp:effectExtent l="0" t="0" r="0" b="0"/>
                <wp:wrapNone/>
                <wp:docPr id="19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1274" cy="41878"/>
                        </a:xfrm>
                        <a:custGeom>
                          <a:avLst/>
                          <a:gdLst>
                            <a:gd name="T0" fmla="*/ 11 w 23"/>
                            <a:gd name="T1" fmla="*/ 23 h 23"/>
                            <a:gd name="T2" fmla="*/ 23 w 23"/>
                            <a:gd name="T3" fmla="*/ 11 h 23"/>
                            <a:gd name="T4" fmla="*/ 11 w 23"/>
                            <a:gd name="T5" fmla="*/ 0 h 23"/>
                            <a:gd name="T6" fmla="*/ 0 w 23"/>
                            <a:gd name="T7" fmla="*/ 11 h 23"/>
                            <a:gd name="T8" fmla="*/ 11 w 23"/>
                            <a:gd name="T9" fmla="*/ 23 h 23"/>
                            <a:gd name="T10" fmla="*/ 11 w 23"/>
                            <a:gd name="T11" fmla="*/ 7 h 23"/>
                            <a:gd name="T12" fmla="*/ 15 w 23"/>
                            <a:gd name="T13" fmla="*/ 11 h 23"/>
                            <a:gd name="T14" fmla="*/ 11 w 23"/>
                            <a:gd name="T15" fmla="*/ 15 h 23"/>
                            <a:gd name="T16" fmla="*/ 8 w 23"/>
                            <a:gd name="T17" fmla="*/ 11 h 23"/>
                            <a:gd name="T18" fmla="*/ 11 w 23"/>
                            <a:gd name="T19" fmla="*/ 7 h 23"/>
                            <a:gd name="T20" fmla="*/ 11 w 23"/>
                            <a:gd name="T21" fmla="*/ 7 h 23"/>
                            <a:gd name="T22" fmla="*/ 11 w 23"/>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 h="23">
                              <a:moveTo>
                                <a:pt x="11" y="23"/>
                              </a:moveTo>
                              <a:cubicBezTo>
                                <a:pt x="18" y="23"/>
                                <a:pt x="23" y="18"/>
                                <a:pt x="23" y="11"/>
                              </a:cubicBezTo>
                              <a:cubicBezTo>
                                <a:pt x="23" y="5"/>
                                <a:pt x="18" y="0"/>
                                <a:pt x="11" y="0"/>
                              </a:cubicBezTo>
                              <a:cubicBezTo>
                                <a:pt x="5" y="0"/>
                                <a:pt x="0" y="5"/>
                                <a:pt x="0" y="11"/>
                              </a:cubicBezTo>
                              <a:cubicBezTo>
                                <a:pt x="0" y="18"/>
                                <a:pt x="5" y="23"/>
                                <a:pt x="11" y="23"/>
                              </a:cubicBezTo>
                              <a:close/>
                              <a:moveTo>
                                <a:pt x="11" y="7"/>
                              </a:moveTo>
                              <a:cubicBezTo>
                                <a:pt x="14" y="7"/>
                                <a:pt x="15" y="9"/>
                                <a:pt x="15" y="11"/>
                              </a:cubicBezTo>
                              <a:cubicBezTo>
                                <a:pt x="15" y="13"/>
                                <a:pt x="14" y="15"/>
                                <a:pt x="11" y="15"/>
                              </a:cubicBezTo>
                              <a:cubicBezTo>
                                <a:pt x="9" y="15"/>
                                <a:pt x="8" y="13"/>
                                <a:pt x="8" y="11"/>
                              </a:cubicBezTo>
                              <a:cubicBezTo>
                                <a:pt x="8" y="9"/>
                                <a:pt x="9" y="7"/>
                                <a:pt x="11" y="7"/>
                              </a:cubicBezTo>
                              <a:close/>
                              <a:moveTo>
                                <a:pt x="11" y="7"/>
                              </a:moveTo>
                              <a:cubicBezTo>
                                <a:pt x="11" y="7"/>
                                <a:pt x="11" y="7"/>
                                <a:pt x="11"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19C275F" id="Freeform 34" o:spid="_x0000_s1026" style="position:absolute;margin-left:504.65pt;margin-top:775.45pt;width:3.25pt;height:3.3pt;z-index:251578368;visibility:visible;mso-wrap-style:square;mso-wrap-distance-left:9pt;mso-wrap-distance-top:0;mso-wrap-distance-right:9pt;mso-wrap-distance-bottom:0;mso-position-horizontal:absolute;mso-position-horizontal-relative:text;mso-position-vertical:absolute;mso-position-vertical-relative:text;v-text-anchor:top" coordsize="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" path="m11,23v7,,12,-5,12,-12c23,5,18,,11,,5,,,5,,11v,7,5,12,11,12xm11,7v3,,4,2,4,4c15,13,14,15,11,15,9,15,8,13,8,11,8,9,9,7,11,7xm11,7v,,,,,e" filled="f" strokeweight=".15pt">
                <v:stroke joinstyle="miter"/>
                <v:path arrowok="t" o:connecttype="custom" o:connectlocs="19740,41878;41274,20029;19740,0;0,20029;19740,41878;19740,12745;26918,20029;19740,27312;14356,20029;19740,12745;19740,12745;19740,12745" o:connectangles="0,0,0,0,0,0,0,0,0,0,0,0"/>
                <o:lock v:ext="edit" verticies="t"/>
              </v:shape>
            </w:pict>
          </mc:Fallback>
        </mc:AlternateContent>
      </w:r>
      <w:r w:rsidRPr="00A04E56">
        <w:rPr>
          <w:lang w:val="fr-BE"/>
        </w:rPr>
        <mc:AlternateContent>
          <mc:Choice Requires="wps">
            <w:drawing>
              <wp:anchor distT="0" distB="0" distL="114300" distR="114300" simplePos="0" relativeHeight="251582464" behindDoc="0" locked="0" layoutInCell="1" allowOverlap="1" wp14:anchorId="1D251D9A" wp14:editId="26B4C85F">
                <wp:simplePos x="0" y="0"/>
                <wp:positionH relativeFrom="column">
                  <wp:posOffset>6581777</wp:posOffset>
                </wp:positionH>
                <wp:positionV relativeFrom="paragraph">
                  <wp:posOffset>9848344</wp:posOffset>
                </wp:positionV>
                <wp:extent cx="43179" cy="41878"/>
                <wp:effectExtent l="0" t="0" r="0" b="0"/>
                <wp:wrapNone/>
                <wp:docPr id="1351"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43179" cy="41878"/>
                        </a:xfrm>
                        <a:custGeom>
                          <a:avLst/>
                          <a:gdLst>
                            <a:gd name="T0" fmla="*/ 12 w 24"/>
                            <a:gd name="T1" fmla="*/ 23 h 23"/>
                            <a:gd name="T2" fmla="*/ 24 w 24"/>
                            <a:gd name="T3" fmla="*/ 11 h 23"/>
                            <a:gd name="T4" fmla="*/ 12 w 24"/>
                            <a:gd name="T5" fmla="*/ 0 h 23"/>
                            <a:gd name="T6" fmla="*/ 0 w 24"/>
                            <a:gd name="T7" fmla="*/ 11 h 23"/>
                            <a:gd name="T8" fmla="*/ 12 w 24"/>
                            <a:gd name="T9" fmla="*/ 23 h 23"/>
                            <a:gd name="T10" fmla="*/ 12 w 24"/>
                            <a:gd name="T11" fmla="*/ 7 h 23"/>
                            <a:gd name="T12" fmla="*/ 16 w 24"/>
                            <a:gd name="T13" fmla="*/ 11 h 23"/>
                            <a:gd name="T14" fmla="*/ 12 w 24"/>
                            <a:gd name="T15" fmla="*/ 15 h 23"/>
                            <a:gd name="T16" fmla="*/ 8 w 24"/>
                            <a:gd name="T17" fmla="*/ 11 h 23"/>
                            <a:gd name="T18" fmla="*/ 12 w 24"/>
                            <a:gd name="T19" fmla="*/ 7 h 23"/>
                            <a:gd name="T20" fmla="*/ 12 w 24"/>
                            <a:gd name="T21" fmla="*/ 7 h 23"/>
                            <a:gd name="T22" fmla="*/ 12 w 24"/>
                            <a:gd name="T23" fmla="*/ 7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23">
                              <a:moveTo>
                                <a:pt x="12" y="23"/>
                              </a:moveTo>
                              <a:cubicBezTo>
                                <a:pt x="18" y="23"/>
                                <a:pt x="24" y="18"/>
                                <a:pt x="24" y="11"/>
                              </a:cubicBezTo>
                              <a:cubicBezTo>
                                <a:pt x="24" y="5"/>
                                <a:pt x="18" y="0"/>
                                <a:pt x="12" y="0"/>
                              </a:cubicBezTo>
                              <a:cubicBezTo>
                                <a:pt x="6" y="0"/>
                                <a:pt x="0" y="5"/>
                                <a:pt x="0" y="11"/>
                              </a:cubicBezTo>
                              <a:cubicBezTo>
                                <a:pt x="0" y="18"/>
                                <a:pt x="6" y="23"/>
                                <a:pt x="12" y="23"/>
                              </a:cubicBezTo>
                              <a:close/>
                              <a:moveTo>
                                <a:pt x="12" y="7"/>
                              </a:moveTo>
                              <a:cubicBezTo>
                                <a:pt x="14" y="7"/>
                                <a:pt x="16" y="9"/>
                                <a:pt x="16" y="11"/>
                              </a:cubicBezTo>
                              <a:cubicBezTo>
                                <a:pt x="16" y="13"/>
                                <a:pt x="14" y="15"/>
                                <a:pt x="12" y="15"/>
                              </a:cubicBezTo>
                              <a:cubicBezTo>
                                <a:pt x="10" y="15"/>
                                <a:pt x="8" y="13"/>
                                <a:pt x="8" y="11"/>
                              </a:cubicBezTo>
                              <a:cubicBezTo>
                                <a:pt x="8" y="9"/>
                                <a:pt x="10" y="7"/>
                                <a:pt x="12" y="7"/>
                              </a:cubicBezTo>
                              <a:close/>
                              <a:moveTo>
                                <a:pt x="12" y="7"/>
                              </a:moveTo>
                              <a:cubicBezTo>
                                <a:pt x="12" y="7"/>
                                <a:pt x="12" y="7"/>
                                <a:pt x="12" y="7"/>
                              </a:cubicBezTo>
                            </a:path>
                          </a:pathLst>
                        </a:custGeom>
                        <a:noFill/>
                        <a:ln w="1905"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16AC3B7" id="Freeform 36" o:spid="_x0000_s1026" style="position:absolute;margin-left:518.25pt;margin-top:775.45pt;width:3.4pt;height:3.3pt;z-index:251582464;visibility:visible;mso-wrap-style:square;mso-wrap-distance-left:9pt;mso-wrap-distance-top:0;mso-wrap-distance-right:9pt;mso-wrap-distance-bottom:0;mso-position-horizontal:absolute;mso-position-horizontal-relative:text;mso-position-vertical:absolute;mso-position-vertical-relative:text;v-text-anchor:top" coordsize="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" path="m12,23v6,,12,-5,12,-12c24,5,18,,12,,6,,,5,,11v,7,6,12,12,12xm12,7v2,,4,2,4,4c16,13,14,15,12,15,10,15,8,13,8,11,8,9,10,7,12,7xm12,7v,,,,,e" filled="f" strokeweight=".15pt">
                <v:stroke joinstyle="miter"/>
                <v:path arrowok="t" o:connecttype="custom" o:connectlocs="21590,41878;43179,20029;21590,0;0,20029;21590,41878;21590,12745;28786,20029;21590,27312;14393,20029;21590,12745;21590,12745;21590,12745" o:connectangles="0,0,0,0,0,0,0,0,0,0,0,0"/>
                <o:lock v:ext="edit" verticies="t"/>
              </v:shape>
            </w:pict>
          </mc:Fallback>
        </mc:AlternateContent>
      </w:r>
      <w:r w:rsidR="008C1D39" w:rsidRPr="00A04E56">
        <w:rPr>
          <w:i/>
          <w:u w:val="single"/>
        </w:rPr>
        <w:t>In 2018</w:t>
      </w:r>
      <w:r w:rsidRPr="00A04E56">
        <w:t xml:space="preserve"> there were 11 requests for assistance from outside the EU for sudden-onset and large-scale emergencies. The mechanism facilitated assistance and experts to Bangladesh, Colombia, the Democratic Republic of the Congo, Guatemala, India, Nigeria, Indonesia and Papua New Guin</w:t>
      </w:r>
      <w:r w:rsidRPr="00A04E56">
        <w:rPr>
          <w:szCs w:val="20"/>
        </w:rPr>
        <w:t>ea</w:t>
      </w:r>
      <w:r w:rsidRPr="00A04E56">
        <w:rPr>
          <w:rStyle w:val="fnRef"/>
          <w:rFonts w:ascii="Calibri" w:hAnsi="Calibri" w:cs="Calibri"/>
        </w:rPr>
        <w:t> </w:t>
      </w:r>
      <w:r w:rsidRPr="00A04E56">
        <w:rPr>
          <w:rStyle w:val="fnRef"/>
        </w:rPr>
        <w:t>(</w:t>
      </w:r>
      <w:r w:rsidRPr="00A04E56">
        <w:rPr>
          <w:rStyle w:val="fnRefNo"/>
        </w:rPr>
        <w:footnoteReference w:id="350"/>
      </w:r>
      <w:r w:rsidRPr="00A04E56">
        <w:rPr>
          <w:rStyle w:val="fnRef"/>
        </w:rPr>
        <w:t>)</w:t>
      </w:r>
      <w:r w:rsidRPr="00A04E56">
        <w:rPr>
          <w:szCs w:val="20"/>
        </w:rPr>
        <w:t>.</w:t>
      </w:r>
    </w:p>
    <w:p w14:paraId="12A1C88F" w14:textId="77777777" w:rsidR="0047086A" w:rsidRPr="00A04E56" w:rsidRDefault="0047086A" w:rsidP="0047086A">
      <w:pPr>
        <w:keepNext/>
        <w:rPr>
          <w:b/>
          <w:color w:val="7F7F7F" w:themeColor="text1" w:themeTint="80"/>
          <w:sz w:val="18"/>
          <w:szCs w:val="18"/>
        </w:rPr>
        <w:sectPr w:rsidR="0047086A" w:rsidRPr="00A04E56" w:rsidSect="00F27E4C">
          <w:headerReference w:type="even" r:id="rId223"/>
          <w:headerReference w:type="default" r:id="rId224"/>
          <w:footerReference w:type="even" r:id="rId225"/>
          <w:footerReference w:type="default" r:id="rId226"/>
          <w:headerReference w:type="first" r:id="rId227"/>
          <w:footerReference w:type="first" r:id="rId228"/>
          <w:type w:val="continuous"/>
          <w:pgSz w:w="11906" w:h="16838" w:code="9"/>
          <w:pgMar w:top="1418" w:right="1418" w:bottom="1418" w:left="1418" w:header="635" w:footer="635" w:gutter="0"/>
          <w:cols w:space="282"/>
          <w:docGrid w:linePitch="360"/>
        </w:sectPr>
      </w:pPr>
    </w:p>
    <w:p w14:paraId="294370CC" w14:textId="55A8F319" w:rsidR="005D36C6" w:rsidRPr="00A04E56" w:rsidRDefault="005D36C6" w:rsidP="00C257BF">
      <w:pPr>
        <w:pStyle w:val="BodyText1spaceafter"/>
        <w:keepNext/>
        <w:jc w:val="center"/>
      </w:pPr>
      <w:r w:rsidRPr="00A04E56">
        <w:t xml:space="preserve">EU Civil Protection Mechanism — requests for assistance </w:t>
      </w:r>
      <w:r w:rsidR="008C1D39" w:rsidRPr="00A04E56">
        <w:rPr>
          <w:i/>
          <w:u w:val="single"/>
        </w:rPr>
        <w:t>in 2018</w:t>
      </w:r>
      <w:r w:rsidR="00F30F7F" w:rsidRPr="00A04E56">
        <w:t>.</w:t>
      </w:r>
    </w:p>
    <w:p w14:paraId="21E06111" w14:textId="53CF1DEF" w:rsidR="005D36C6" w:rsidRPr="00A04E56" w:rsidRDefault="00D6173F" w:rsidP="00C257BF">
      <w:pPr>
        <w:keepNext/>
      </w:pPr>
      <w:r>
        <w:rPr>
          <w:noProof/>
          <w:lang w:val="fr-BE" w:eastAsia="fr-BE"/>
        </w:rPr>
        <w:drawing>
          <wp:inline distT="0" distB="0" distL="0" distR="0" wp14:anchorId="4BBC2C05" wp14:editId="4B12FA32">
            <wp:extent cx="5760720" cy="285623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emf"/>
                    <pic:cNvPicPr/>
                  </pic:nvPicPr>
                  <pic:blipFill>
                    <a:blip r:embed="rId229" cstate="email">
                      <a:extLst>
                        <a:ext uri="{28A0092B-C50C-407E-A947-70E740481C1C}">
                          <a14:useLocalDpi xmlns:a14="http://schemas.microsoft.com/office/drawing/2010/main"/>
                        </a:ext>
                      </a:extLst>
                    </a:blip>
                    <a:stretch>
                      <a:fillRect/>
                    </a:stretch>
                  </pic:blipFill>
                  <pic:spPr>
                    <a:xfrm>
                      <a:off x="0" y="0"/>
                      <a:ext cx="5760720" cy="2856230"/>
                    </a:xfrm>
                    <a:prstGeom prst="rect">
                      <a:avLst/>
                    </a:prstGeom>
                  </pic:spPr>
                </pic:pic>
              </a:graphicData>
            </a:graphic>
          </wp:inline>
        </w:drawing>
      </w:r>
    </w:p>
    <w:p w14:paraId="013CAFC7" w14:textId="4081DAAB" w:rsidR="009E4165" w:rsidRPr="00A04E56" w:rsidRDefault="009E4165" w:rsidP="00C257BF">
      <w:pPr>
        <w:keepNext/>
        <w:spacing w:after="240"/>
        <w:rPr>
          <w:sz w:val="16"/>
          <w:szCs w:val="16"/>
        </w:rPr>
      </w:pPr>
    </w:p>
    <w:tbl>
      <w:tblPr>
        <w:tblStyle w:val="Simpletable6"/>
        <w:tblW w:w="0" w:type="auto"/>
        <w:tblBorders>
          <w:top w:val="none" w:sz="0" w:space="0" w:color="auto"/>
          <w:left w:val="none" w:sz="0" w:space="0" w:color="auto"/>
          <w:bottom w:val="none" w:sz="0" w:space="0" w:color="auto"/>
          <w:right w:val="none" w:sz="0" w:space="0" w:color="auto"/>
          <w:insideH w:val="single" w:sz="4" w:space="0" w:color="808080"/>
          <w:insideV w:val="single" w:sz="4" w:space="0" w:color="808080"/>
        </w:tblBorders>
        <w:tblCellMar>
          <w:top w:w="28" w:type="dxa"/>
          <w:left w:w="85" w:type="dxa"/>
          <w:bottom w:w="28" w:type="dxa"/>
          <w:right w:w="85" w:type="dxa"/>
        </w:tblCellMar>
        <w:tblLook w:val="04A0" w:firstRow="1" w:lastRow="0" w:firstColumn="1" w:lastColumn="0" w:noHBand="0" w:noVBand="1"/>
      </w:tblPr>
      <w:tblGrid>
        <w:gridCol w:w="4620"/>
        <w:gridCol w:w="4620"/>
      </w:tblGrid>
      <w:tr w:rsidR="009E4165" w:rsidRPr="00A04E56" w14:paraId="08ACF043"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471F2A9C"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Bangladesh</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Preparedness &amp; prevention</w:t>
            </w:r>
            <w:r w:rsidRPr="00A04E56">
              <w:rPr>
                <w:rFonts w:ascii="Calibri" w:eastAsia="Calibri" w:hAnsi="Calibri"/>
                <w:b/>
                <w:color w:val="000000"/>
                <w:sz w:val="18"/>
                <w:szCs w:val="18"/>
              </w:rPr>
              <w:tab/>
            </w:r>
            <w:r w:rsidRPr="00A04E56">
              <w:rPr>
                <w:rFonts w:ascii="Calibri" w:eastAsia="Calibri" w:hAnsi="Calibri"/>
                <w:color w:val="000000"/>
                <w:sz w:val="18"/>
                <w:szCs w:val="18"/>
              </w:rPr>
              <w:t>November</w:t>
            </w:r>
          </w:p>
        </w:tc>
        <w:tc>
          <w:tcPr>
            <w:tcW w:w="4620" w:type="dxa"/>
            <w:tcBorders>
              <w:top w:val="single" w:sz="4" w:space="0" w:color="808080"/>
              <w:left w:val="single" w:sz="4" w:space="0" w:color="808080"/>
              <w:bottom w:val="single" w:sz="4" w:space="0" w:color="808080"/>
              <w:right w:val="nil"/>
            </w:tcBorders>
            <w:hideMark/>
          </w:tcPr>
          <w:p w14:paraId="11B28535"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Indonesia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Earthquake</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t>October</w:t>
            </w:r>
          </w:p>
        </w:tc>
      </w:tr>
      <w:tr w:rsidR="009E4165" w:rsidRPr="00A04E56" w14:paraId="7DE64172"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6D8A020B"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Bulgaria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 xml:space="preserve">Marine pollution </w:t>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August</w:t>
            </w:r>
          </w:p>
        </w:tc>
        <w:tc>
          <w:tcPr>
            <w:tcW w:w="4620" w:type="dxa"/>
            <w:tcBorders>
              <w:top w:val="single" w:sz="4" w:space="0" w:color="808080"/>
              <w:left w:val="single" w:sz="4" w:space="0" w:color="808080"/>
              <w:bottom w:val="single" w:sz="4" w:space="0" w:color="808080"/>
              <w:right w:val="nil"/>
            </w:tcBorders>
            <w:hideMark/>
          </w:tcPr>
          <w:p w14:paraId="627D59AE"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Latvia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Forest fires</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t>July</w:t>
            </w:r>
          </w:p>
        </w:tc>
      </w:tr>
      <w:tr w:rsidR="009E4165" w:rsidRPr="00A04E56" w14:paraId="21A0EBFA"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0569BF6F"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Colombia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 xml:space="preserve">Environmental accident </w:t>
            </w:r>
            <w:r w:rsidRPr="00A04E56">
              <w:rPr>
                <w:rFonts w:ascii="Calibri" w:eastAsia="Calibri" w:hAnsi="Calibri"/>
                <w:b/>
                <w:color w:val="000000"/>
                <w:sz w:val="18"/>
                <w:szCs w:val="18"/>
              </w:rPr>
              <w:tab/>
            </w:r>
            <w:r w:rsidRPr="00A04E56">
              <w:rPr>
                <w:rFonts w:ascii="Calibri" w:eastAsia="Calibri" w:hAnsi="Calibri"/>
                <w:color w:val="000000"/>
                <w:sz w:val="18"/>
                <w:szCs w:val="18"/>
              </w:rPr>
              <w:t>April, May</w:t>
            </w:r>
          </w:p>
        </w:tc>
        <w:tc>
          <w:tcPr>
            <w:tcW w:w="4620" w:type="dxa"/>
            <w:tcBorders>
              <w:top w:val="single" w:sz="4" w:space="0" w:color="808080"/>
              <w:left w:val="single" w:sz="4" w:space="0" w:color="808080"/>
              <w:bottom w:val="single" w:sz="4" w:space="0" w:color="808080"/>
              <w:right w:val="nil"/>
            </w:tcBorders>
            <w:hideMark/>
          </w:tcPr>
          <w:p w14:paraId="44E1B31B"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Nigeria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Floods</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September</w:t>
            </w:r>
          </w:p>
        </w:tc>
      </w:tr>
      <w:tr w:rsidR="009E4165" w:rsidRPr="00A04E56" w14:paraId="6E56B904"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35898F24"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Democratic Republic of the Congo</w:t>
            </w:r>
            <w:r w:rsidRPr="00A04E56">
              <w:rPr>
                <w:rFonts w:ascii="Calibri" w:eastAsia="Calibri" w:hAnsi="Calibri"/>
                <w:noProof/>
                <w:color w:val="000000"/>
                <w:sz w:val="22"/>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Civil unrest</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t>May</w:t>
            </w:r>
            <w:r w:rsidRPr="00A04E56">
              <w:rPr>
                <w:rFonts w:ascii="Calibri" w:eastAsia="Calibri" w:hAnsi="Calibri"/>
                <w:color w:val="000000"/>
                <w:sz w:val="18"/>
                <w:szCs w:val="18"/>
              </w:rPr>
              <w:br/>
            </w:r>
            <w:r w:rsidRPr="00A04E56">
              <w:rPr>
                <w:rFonts w:ascii="Calibri" w:eastAsia="Calibri" w:hAnsi="Calibri"/>
                <w:b/>
                <w:color w:val="000000"/>
                <w:sz w:val="18"/>
                <w:szCs w:val="18"/>
              </w:rPr>
              <w:t>Epidemic</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t>May, August</w:t>
            </w:r>
          </w:p>
        </w:tc>
        <w:tc>
          <w:tcPr>
            <w:tcW w:w="4620" w:type="dxa"/>
            <w:tcBorders>
              <w:top w:val="single" w:sz="4" w:space="0" w:color="808080"/>
              <w:left w:val="single" w:sz="4" w:space="0" w:color="808080"/>
              <w:bottom w:val="single" w:sz="4" w:space="0" w:color="808080"/>
              <w:right w:val="nil"/>
            </w:tcBorders>
            <w:hideMark/>
          </w:tcPr>
          <w:p w14:paraId="79453031"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Papua New Guinea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8"/>
                <w:lang w:eastAsia="en-GB"/>
              </w:rPr>
              <w:br/>
            </w:r>
            <w:r w:rsidRPr="00A04E56">
              <w:rPr>
                <w:rFonts w:ascii="Calibri" w:eastAsia="Calibri" w:hAnsi="Calibri"/>
                <w:b/>
                <w:color w:val="000000"/>
                <w:sz w:val="18"/>
                <w:szCs w:val="18"/>
              </w:rPr>
              <w:t>Earthquake</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t>February</w:t>
            </w:r>
          </w:p>
        </w:tc>
      </w:tr>
      <w:tr w:rsidR="009E4165" w:rsidRPr="00A04E56" w14:paraId="099D8CD5"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1004B9FA"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France</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 xml:space="preserve">Marine pollution </w:t>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October</w:t>
            </w:r>
          </w:p>
        </w:tc>
        <w:tc>
          <w:tcPr>
            <w:tcW w:w="4620" w:type="dxa"/>
            <w:tcBorders>
              <w:top w:val="single" w:sz="4" w:space="0" w:color="808080"/>
              <w:left w:val="single" w:sz="4" w:space="0" w:color="808080"/>
              <w:bottom w:val="single" w:sz="4" w:space="0" w:color="808080"/>
              <w:right w:val="nil"/>
            </w:tcBorders>
            <w:hideMark/>
          </w:tcPr>
          <w:p w14:paraId="205F7879"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Portugal</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Preparedness &amp; prevention</w:t>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April</w:t>
            </w:r>
            <w:r w:rsidRPr="00A04E56">
              <w:rPr>
                <w:rFonts w:ascii="Calibri" w:eastAsia="Calibri" w:hAnsi="Calibri"/>
                <w:color w:val="000000"/>
                <w:sz w:val="18"/>
                <w:szCs w:val="18"/>
              </w:rPr>
              <w:br/>
            </w:r>
            <w:r w:rsidRPr="00A04E56">
              <w:rPr>
                <w:rFonts w:ascii="Calibri" w:eastAsia="Calibri" w:hAnsi="Calibri"/>
                <w:b/>
                <w:color w:val="000000"/>
                <w:sz w:val="18"/>
                <w:szCs w:val="18"/>
              </w:rPr>
              <w:t xml:space="preserve">Forest fires </w:t>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August</w:t>
            </w:r>
          </w:p>
        </w:tc>
      </w:tr>
      <w:tr w:rsidR="009E4165" w:rsidRPr="00A04E56" w14:paraId="50235BBA"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7C3076CE"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Greece</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 xml:space="preserve">Forest fires </w:t>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July</w:t>
            </w:r>
          </w:p>
        </w:tc>
        <w:tc>
          <w:tcPr>
            <w:tcW w:w="4620" w:type="dxa"/>
            <w:tcBorders>
              <w:top w:val="single" w:sz="4" w:space="0" w:color="808080"/>
              <w:left w:val="single" w:sz="4" w:space="0" w:color="808080"/>
              <w:bottom w:val="single" w:sz="4" w:space="0" w:color="808080"/>
              <w:right w:val="nil"/>
            </w:tcBorders>
            <w:hideMark/>
          </w:tcPr>
          <w:p w14:paraId="6A4ABC36"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Romania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Medical</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March</w:t>
            </w:r>
          </w:p>
        </w:tc>
      </w:tr>
      <w:tr w:rsidR="009E4165" w:rsidRPr="00A04E56" w14:paraId="46BE68E1"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7782CEED" w14:textId="77777777" w:rsidR="009E4165" w:rsidRPr="00A04E56" w:rsidRDefault="009E4165" w:rsidP="009E4165">
            <w:pPr>
              <w:keepNext/>
              <w:rPr>
                <w:rFonts w:ascii="Calibri" w:eastAsia="Calibri" w:hAnsi="Calibri"/>
                <w:color w:val="000000"/>
                <w:sz w:val="18"/>
                <w:szCs w:val="18"/>
              </w:rPr>
            </w:pPr>
            <w:r w:rsidRPr="00A04E56">
              <w:rPr>
                <w:rFonts w:ascii="Calibri" w:eastAsia="Calibri" w:hAnsi="Calibri"/>
                <w:color w:val="7F7F7F"/>
                <w:sz w:val="22"/>
                <w:szCs w:val="18"/>
              </w:rPr>
              <w:t>Guatemala</w:t>
            </w:r>
            <w:r w:rsidRPr="00A04E56">
              <w:rPr>
                <w:rFonts w:ascii="Calibri" w:eastAsia="Calibri" w:hAnsi="Calibri"/>
                <w:b/>
                <w:color w:val="000000"/>
                <w:sz w:val="22"/>
                <w:szCs w:val="18"/>
              </w:rPr>
              <w:t xml:space="preserve"> </w:t>
            </w:r>
            <w:r w:rsidRPr="00A04E56">
              <w:rPr>
                <w:rFonts w:ascii="Calibri" w:eastAsia="Calibri" w:hAnsi="Calibri"/>
                <w:b/>
                <w:color w:val="000000"/>
                <w:sz w:val="18"/>
                <w:szCs w:val="18"/>
              </w:rPr>
              <w:br/>
              <w:t>Volcano</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t>June</w:t>
            </w:r>
          </w:p>
        </w:tc>
        <w:tc>
          <w:tcPr>
            <w:tcW w:w="4620" w:type="dxa"/>
            <w:tcBorders>
              <w:top w:val="single" w:sz="4" w:space="0" w:color="808080"/>
              <w:left w:val="single" w:sz="4" w:space="0" w:color="808080"/>
              <w:bottom w:val="single" w:sz="4" w:space="0" w:color="808080"/>
              <w:right w:val="nil"/>
            </w:tcBorders>
            <w:hideMark/>
          </w:tcPr>
          <w:p w14:paraId="70494A90" w14:textId="77777777" w:rsidR="009E4165" w:rsidRPr="00A04E56" w:rsidRDefault="009E4165" w:rsidP="007D783B">
            <w:pPr>
              <w:keepNext/>
              <w:rPr>
                <w:rFonts w:ascii="Calibri" w:eastAsia="Calibri" w:hAnsi="Calibri"/>
                <w:color w:val="000000"/>
                <w:sz w:val="18"/>
                <w:szCs w:val="18"/>
              </w:rPr>
            </w:pPr>
            <w:r w:rsidRPr="00A04E56">
              <w:rPr>
                <w:rFonts w:ascii="Calibri" w:eastAsia="Calibri" w:hAnsi="Calibri"/>
                <w:color w:val="7F7F7F"/>
                <w:sz w:val="22"/>
                <w:szCs w:val="18"/>
              </w:rPr>
              <w:t>Sweden</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 xml:space="preserve">Forest fires </w:t>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b/>
                <w:color w:val="000000"/>
                <w:sz w:val="18"/>
                <w:szCs w:val="18"/>
              </w:rPr>
              <w:tab/>
            </w:r>
            <w:r w:rsidRPr="00A04E56">
              <w:rPr>
                <w:rFonts w:ascii="Calibri" w:eastAsia="Calibri" w:hAnsi="Calibri"/>
                <w:color w:val="000000"/>
                <w:sz w:val="18"/>
                <w:szCs w:val="18"/>
              </w:rPr>
              <w:t>June, July</w:t>
            </w:r>
          </w:p>
        </w:tc>
      </w:tr>
      <w:tr w:rsidR="009E4165" w:rsidRPr="00A04E56" w14:paraId="794E112A" w14:textId="77777777" w:rsidTr="009E4165">
        <w:trPr>
          <w:trHeight w:val="340"/>
        </w:trPr>
        <w:tc>
          <w:tcPr>
            <w:tcW w:w="4620" w:type="dxa"/>
            <w:tcBorders>
              <w:top w:val="single" w:sz="4" w:space="0" w:color="808080"/>
              <w:left w:val="nil"/>
              <w:bottom w:val="single" w:sz="4" w:space="0" w:color="808080"/>
              <w:right w:val="single" w:sz="4" w:space="0" w:color="808080"/>
            </w:tcBorders>
            <w:hideMark/>
          </w:tcPr>
          <w:p w14:paraId="11CA4F3E" w14:textId="77777777" w:rsidR="009E4165" w:rsidRPr="00A04E56" w:rsidRDefault="009E4165" w:rsidP="00C257BF">
            <w:pPr>
              <w:keepNext/>
              <w:rPr>
                <w:rFonts w:ascii="Calibri" w:eastAsia="Calibri" w:hAnsi="Calibri"/>
                <w:color w:val="000000"/>
                <w:sz w:val="18"/>
                <w:szCs w:val="18"/>
              </w:rPr>
            </w:pPr>
            <w:r w:rsidRPr="00A04E56">
              <w:rPr>
                <w:rFonts w:ascii="Calibri" w:eastAsia="Calibri" w:hAnsi="Calibri"/>
                <w:color w:val="7F7F7F"/>
                <w:sz w:val="22"/>
                <w:szCs w:val="18"/>
              </w:rPr>
              <w:t>India</w:t>
            </w:r>
            <w:r w:rsidRPr="00A04E56">
              <w:rPr>
                <w:rFonts w:ascii="Calibri" w:eastAsia="Calibri" w:hAnsi="Calibri"/>
                <w:noProof/>
                <w:color w:val="000000"/>
                <w:sz w:val="28"/>
                <w:lang w:eastAsia="en-GB"/>
              </w:rPr>
              <w:t xml:space="preserve"> </w:t>
            </w:r>
            <w:r w:rsidRPr="00A04E56">
              <w:rPr>
                <w:rFonts w:ascii="Calibri" w:eastAsia="Calibri" w:hAnsi="Calibri"/>
                <w:noProof/>
                <w:color w:val="000000"/>
                <w:sz w:val="22"/>
                <w:lang w:eastAsia="en-GB"/>
              </w:rPr>
              <w:br/>
            </w:r>
            <w:r w:rsidRPr="00A04E56">
              <w:rPr>
                <w:rFonts w:ascii="Calibri" w:eastAsia="Calibri" w:hAnsi="Calibri"/>
                <w:b/>
                <w:color w:val="000000"/>
                <w:sz w:val="18"/>
                <w:szCs w:val="18"/>
              </w:rPr>
              <w:t>Floods</w:t>
            </w:r>
            <w:r w:rsidRPr="00A04E56">
              <w:rPr>
                <w:rFonts w:ascii="Calibri" w:eastAsia="Calibri" w:hAnsi="Calibri"/>
                <w:color w:val="000000"/>
                <w:sz w:val="18"/>
                <w:szCs w:val="18"/>
              </w:rPr>
              <w:t xml:space="preserve"> </w:t>
            </w:r>
            <w:r w:rsidRPr="00A04E56">
              <w:rPr>
                <w:rFonts w:ascii="Calibri" w:eastAsia="Calibri" w:hAnsi="Calibri"/>
                <w:color w:val="000000"/>
                <w:sz w:val="18"/>
                <w:szCs w:val="18"/>
              </w:rPr>
              <w:tab/>
            </w:r>
            <w:r w:rsidRPr="00A04E56">
              <w:rPr>
                <w:rFonts w:ascii="Calibri" w:eastAsia="Calibri" w:hAnsi="Calibri"/>
                <w:color w:val="000000"/>
                <w:sz w:val="18"/>
                <w:szCs w:val="18"/>
              </w:rPr>
              <w:tab/>
            </w:r>
            <w:r w:rsidRPr="00A04E56">
              <w:rPr>
                <w:rFonts w:ascii="Calibri" w:eastAsia="Calibri" w:hAnsi="Calibri"/>
                <w:color w:val="000000"/>
                <w:sz w:val="18"/>
                <w:szCs w:val="18"/>
              </w:rPr>
              <w:tab/>
              <w:t>September</w:t>
            </w:r>
          </w:p>
        </w:tc>
        <w:tc>
          <w:tcPr>
            <w:tcW w:w="4620" w:type="dxa"/>
            <w:tcBorders>
              <w:top w:val="single" w:sz="4" w:space="0" w:color="808080"/>
              <w:left w:val="single" w:sz="4" w:space="0" w:color="808080"/>
              <w:bottom w:val="single" w:sz="4" w:space="0" w:color="808080"/>
              <w:right w:val="nil"/>
            </w:tcBorders>
          </w:tcPr>
          <w:p w14:paraId="194EA64A" w14:textId="77777777" w:rsidR="009E4165" w:rsidRPr="00A04E56" w:rsidRDefault="009E4165" w:rsidP="00C257BF">
            <w:pPr>
              <w:keepNext/>
              <w:rPr>
                <w:rFonts w:ascii="Calibri" w:eastAsia="Calibri" w:hAnsi="Calibri"/>
                <w:b/>
                <w:color w:val="7F7F7F"/>
                <w:sz w:val="18"/>
                <w:szCs w:val="18"/>
              </w:rPr>
            </w:pPr>
          </w:p>
        </w:tc>
      </w:tr>
    </w:tbl>
    <w:p w14:paraId="5240947B" w14:textId="23732CF1" w:rsidR="005D36C6" w:rsidRPr="00A04E56" w:rsidRDefault="005D36C6" w:rsidP="00ED4671">
      <w:pPr>
        <w:pStyle w:val="Source-Table-Chart-PhotoCaption"/>
      </w:pPr>
      <w:r w:rsidRPr="00A04E56">
        <w:rPr>
          <w:rStyle w:val="italics"/>
        </w:rPr>
        <w:t>Source</w:t>
      </w:r>
      <w:r w:rsidR="002B4751">
        <w:rPr>
          <w:rStyle w:val="italics"/>
        </w:rPr>
        <w:t>s</w:t>
      </w:r>
      <w:r w:rsidRPr="00A04E56">
        <w:rPr>
          <w:rStyle w:val="italics"/>
        </w:rPr>
        <w:t>:</w:t>
      </w:r>
      <w:r w:rsidRPr="00A04E56">
        <w:t xml:space="preserve"> ECHO, </w:t>
      </w:r>
      <w:r w:rsidR="006A535A" w:rsidRPr="00A04E56">
        <w:t>the geographic information system of the Commission</w:t>
      </w:r>
      <w:r w:rsidR="006A535A" w:rsidRPr="00A04E56">
        <w:rPr>
          <w:rFonts w:ascii="Calibri" w:hAnsi="Calibri" w:cs="Calibri"/>
        </w:rPr>
        <w:t> (</w:t>
      </w:r>
      <w:r w:rsidRPr="00A04E56">
        <w:t>GISCO</w:t>
      </w:r>
      <w:r w:rsidR="006A535A" w:rsidRPr="00A04E56">
        <w:t>)</w:t>
      </w:r>
      <w:r w:rsidR="005E0FA7" w:rsidRPr="00A04E56">
        <w:t>.</w:t>
      </w:r>
    </w:p>
    <w:p w14:paraId="69C867DB" w14:textId="77777777" w:rsidR="005D36C6" w:rsidRPr="00A04E56" w:rsidRDefault="005D36C6" w:rsidP="000F72DD">
      <w:pPr>
        <w:pStyle w:val="BodyText1spacebeforeandafter"/>
      </w:pPr>
      <w:r w:rsidRPr="00A04E56">
        <w:t>Outside</w:t>
      </w:r>
      <w:r w:rsidRPr="00A04E56" w:rsidDel="002E0849">
        <w:t xml:space="preserve"> </w:t>
      </w:r>
      <w:r w:rsidRPr="00A04E56">
        <w:t>the EU Civil Protection Mechanism</w:t>
      </w:r>
      <w:r w:rsidRPr="00A04E56" w:rsidDel="003B0C74">
        <w:t xml:space="preserve"> </w:t>
      </w:r>
      <w:r w:rsidRPr="00A04E56">
        <w:t xml:space="preserve">can fill important emergency gaps in cases where it is not possible to fully deploy humanitarian assistance and/or where specific technical expertise or assets are needed. In addition, the assessments carried out by civil-protection experts deployed under </w:t>
      </w:r>
      <w:r w:rsidRPr="00A04E56" w:rsidDel="00416AC9">
        <w:t xml:space="preserve">the </w:t>
      </w:r>
      <w:r w:rsidRPr="00A04E56">
        <w:t>EU Civil Protection Mechanism can usefully participate in wider disaster-recovery frameworks.</w:t>
      </w:r>
    </w:p>
    <w:p w14:paraId="48453245" w14:textId="77777777" w:rsidR="005D36C6" w:rsidRPr="00A04E56" w:rsidRDefault="005D36C6" w:rsidP="005D36C6">
      <w:pPr>
        <w:pStyle w:val="BodyText1spaceafter"/>
      </w:pPr>
      <w:r w:rsidRPr="00A04E56">
        <w:t xml:space="preserve">It is important for </w:t>
      </w:r>
      <w:r w:rsidRPr="00A04E56" w:rsidDel="00416AC9">
        <w:t>the</w:t>
      </w:r>
      <w:r w:rsidRPr="00A04E56">
        <w:t xml:space="preserve"> EU Civil Protection Mechanism to find the right balance between being a framework of mutual assistance between European countries in the aftermath of natural and man-made disasters and evolving towards a more complex instrument capable of addressing crises of a multiple nature and with a global reach</w:t>
      </w:r>
      <w:r w:rsidRPr="00A04E56">
        <w:rPr>
          <w:rStyle w:val="fnRef"/>
          <w:rFonts w:ascii="Calibri" w:hAnsi="Calibri" w:cs="Calibri"/>
        </w:rPr>
        <w:t> </w:t>
      </w:r>
      <w:r w:rsidRPr="00A04E56">
        <w:rPr>
          <w:rStyle w:val="fnRef"/>
        </w:rPr>
        <w:t>(</w:t>
      </w:r>
      <w:r w:rsidRPr="00A04E56">
        <w:rPr>
          <w:rStyle w:val="fnRefNo"/>
        </w:rPr>
        <w:footnoteReference w:id="351"/>
      </w:r>
      <w:r w:rsidRPr="00A04E56">
        <w:rPr>
          <w:rStyle w:val="fnRef"/>
        </w:rPr>
        <w:t>)</w:t>
      </w:r>
      <w:r w:rsidRPr="00A04E56">
        <w:t>. To this end, the mechanism has been strengthened</w:t>
      </w:r>
      <w:r w:rsidRPr="00A04E56">
        <w:rPr>
          <w:rStyle w:val="fnRef"/>
          <w:rFonts w:ascii="Calibri" w:hAnsi="Calibri" w:cs="Calibri"/>
        </w:rPr>
        <w:t> </w:t>
      </w:r>
      <w:r w:rsidRPr="00A04E56">
        <w:rPr>
          <w:rStyle w:val="fnRef"/>
        </w:rPr>
        <w:t>(</w:t>
      </w:r>
      <w:r w:rsidRPr="00A04E56">
        <w:rPr>
          <w:rStyle w:val="fnRefNo"/>
        </w:rPr>
        <w:footnoteReference w:id="352"/>
      </w:r>
      <w:r w:rsidRPr="00A04E56">
        <w:rPr>
          <w:rStyle w:val="fnRef"/>
        </w:rPr>
        <w:t>)</w:t>
      </w:r>
      <w:r w:rsidRPr="00A04E56">
        <w:t xml:space="preserve"> to ensure better coordination between EU intervention and the United Nations actions. </w:t>
      </w:r>
    </w:p>
    <w:p w14:paraId="1E37973D" w14:textId="77777777" w:rsidR="005D36C6" w:rsidRPr="00A04E56" w:rsidRDefault="005D36C6" w:rsidP="005D36C6">
      <w:pPr>
        <w:pStyle w:val="TITLE1Report"/>
      </w:pPr>
      <w:bookmarkStart w:id="217" w:name="_Toc4603996"/>
      <w:bookmarkStart w:id="218" w:name="_Toc4680807"/>
      <w:bookmarkStart w:id="219" w:name="_Toc4683080"/>
      <w:bookmarkStart w:id="220" w:name="_Toc4683116"/>
      <w:bookmarkStart w:id="221" w:name="Specialinstruments"/>
      <w:bookmarkEnd w:id="217"/>
      <w:r w:rsidRPr="00A04E56">
        <w:t>Special instruments</w:t>
      </w:r>
      <w:bookmarkEnd w:id="218"/>
      <w:bookmarkEnd w:id="219"/>
      <w:bookmarkEnd w:id="220"/>
      <w:bookmarkEnd w:id="221"/>
      <w:r w:rsidRPr="00A04E56">
        <w:t xml:space="preserve"> </w:t>
      </w:r>
    </w:p>
    <w:p w14:paraId="55B1D2A1" w14:textId="3B411612" w:rsidR="005D36C6" w:rsidRPr="00A04E56" w:rsidRDefault="005D36C6" w:rsidP="005D36C6">
      <w:pPr>
        <w:pStyle w:val="BodyText1spacebeforeandafter"/>
      </w:pPr>
      <w:r w:rsidRPr="00A04E56">
        <w:t xml:space="preserve">The special instruments are designed to make the financial framework more flexible. They include the </w:t>
      </w:r>
      <w:r w:rsidR="00F16EFF" w:rsidRPr="00A04E56">
        <w:t>emergercy aid reserve</w:t>
      </w:r>
      <w:r w:rsidRPr="00A04E56">
        <w:t xml:space="preserve">, the Flexibility Instrument, the EU Solidarity Fund and the European Globalisation Adjustment Fund. </w:t>
      </w:r>
    </w:p>
    <w:p w14:paraId="21EA51AB" w14:textId="1FE3C855" w:rsidR="005D36C6" w:rsidRPr="00A04E56" w:rsidRDefault="005D36C6" w:rsidP="005D36C6">
      <w:pPr>
        <w:pStyle w:val="Title2Report"/>
        <w:rPr>
          <w:b w:val="0"/>
          <w:sz w:val="24"/>
          <w:szCs w:val="24"/>
        </w:rPr>
      </w:pPr>
      <w:bookmarkStart w:id="222" w:name="_Toc12021046"/>
      <w:r w:rsidRPr="00A04E56">
        <w:t>Emergency aid reserve</w:t>
      </w:r>
      <w:bookmarkEnd w:id="222"/>
    </w:p>
    <w:p w14:paraId="354BC52B" w14:textId="01C91988" w:rsidR="005D36C6" w:rsidRPr="00A04E56" w:rsidRDefault="008C1D39" w:rsidP="005D36C6">
      <w:pPr>
        <w:pStyle w:val="BodyText1spacebeforeandafter"/>
      </w:pPr>
      <w:r w:rsidRPr="00A04E56">
        <w:rPr>
          <w:i/>
          <w:u w:val="single"/>
        </w:rPr>
        <w:t>In 2018</w:t>
      </w:r>
      <w:r w:rsidR="005D36C6" w:rsidRPr="00A04E56">
        <w:t xml:space="preserve">, the </w:t>
      </w:r>
      <w:r w:rsidR="00AE4B2D" w:rsidRPr="00A04E56">
        <w:rPr>
          <w:rStyle w:val="BOLDLIGHTBLUEReport"/>
          <w:rFonts w:eastAsiaTheme="minorHAnsi"/>
        </w:rPr>
        <w:t>emergency aid reserve</w:t>
      </w:r>
      <w:r w:rsidR="005D36C6" w:rsidRPr="00A04E56">
        <w:rPr>
          <w:color w:val="27656F" w:themeColor="accent1" w:themeShade="80"/>
        </w:rPr>
        <w:t xml:space="preserve"> </w:t>
      </w:r>
      <w:r w:rsidR="005D36C6" w:rsidRPr="00A04E56">
        <w:t>was mobilised with</w:t>
      </w:r>
      <w:r w:rsidR="005D36C6" w:rsidRPr="00A04E56" w:rsidDel="00717F2A">
        <w:t xml:space="preserve"> </w:t>
      </w:r>
      <w:r w:rsidR="005D36C6" w:rsidRPr="00A04E56">
        <w:rPr>
          <w:rStyle w:val="BOLDLIGHTBLUEReport"/>
          <w:rFonts w:eastAsiaTheme="minorHAnsi"/>
        </w:rPr>
        <w:t>EUR</w:t>
      </w:r>
      <w:r w:rsidR="005D36C6" w:rsidRPr="00A04E56">
        <w:rPr>
          <w:rStyle w:val="BOLDLIGHTBLUEReport"/>
          <w:rFonts w:ascii="Calibri" w:eastAsiaTheme="minorHAnsi" w:hAnsi="Calibri" w:cs="Calibri"/>
        </w:rPr>
        <w:t> </w:t>
      </w:r>
      <w:r w:rsidR="005D36C6" w:rsidRPr="00A04E56">
        <w:rPr>
          <w:rStyle w:val="BOLDLIGHTBLUEReport"/>
          <w:rFonts w:eastAsiaTheme="minorHAnsi"/>
        </w:rPr>
        <w:t>372.2</w:t>
      </w:r>
      <w:r w:rsidR="005D36C6" w:rsidRPr="00A04E56">
        <w:rPr>
          <w:rStyle w:val="BOLDLIGHTBLUEReport"/>
          <w:rFonts w:ascii="Calibri" w:eastAsiaTheme="minorHAnsi" w:hAnsi="Calibri" w:cs="Calibri"/>
        </w:rPr>
        <w:t> </w:t>
      </w:r>
      <w:r w:rsidR="005D36C6" w:rsidRPr="00A04E56" w:rsidDel="00EB0D87">
        <w:rPr>
          <w:rStyle w:val="BOLDLIGHTBLUEReport"/>
          <w:rFonts w:eastAsiaTheme="minorHAnsi"/>
        </w:rPr>
        <w:t>million</w:t>
      </w:r>
      <w:r w:rsidR="005D36C6" w:rsidRPr="00A04E56">
        <w:t xml:space="preserve"> to finance humanitarian and</w:t>
      </w:r>
      <w:r w:rsidR="005D36C6" w:rsidRPr="00A04E56" w:rsidDel="00A52AB9">
        <w:t xml:space="preserve"> </w:t>
      </w:r>
      <w:r w:rsidR="005D36C6" w:rsidRPr="00A04E56">
        <w:t>civilian crisis management and protection operations in third countries. It was used for example to fund the provisioning of medicines, food and protection for Venezuelan people affected by the crisis there. The reserve was also used to provide funding for health</w:t>
      </w:r>
      <w:r w:rsidR="003B6127" w:rsidRPr="00A04E56">
        <w:t xml:space="preserve"> </w:t>
      </w:r>
      <w:r w:rsidR="005D36C6" w:rsidRPr="00A04E56">
        <w:t>care, nutrition and food security, sanitation and water in Rohingya refugee camps in Bangladesh.</w:t>
      </w:r>
    </w:p>
    <w:p w14:paraId="36D7D75E" w14:textId="65F76417" w:rsidR="005D36C6" w:rsidRPr="00A04E56" w:rsidRDefault="005D36C6" w:rsidP="000F72DD">
      <w:pPr>
        <w:pStyle w:val="BodyText1spaceafter"/>
      </w:pPr>
      <w:r w:rsidRPr="00A04E56">
        <w:t xml:space="preserve">Under the new multiannual financial framework the emergency aid reserve will continue addressing extraordinary situations that cannot be tackled by the emergency funding within specific programmes when a crisis occurs. Its scope will be extended so that the reserve can also be used for emergencies within one of the </w:t>
      </w:r>
      <w:r w:rsidR="00835302" w:rsidRPr="00A04E56">
        <w:t>M</w:t>
      </w:r>
      <w:r w:rsidRPr="00A04E56">
        <w:t xml:space="preserve">ember </w:t>
      </w:r>
      <w:r w:rsidR="00835302" w:rsidRPr="00A04E56">
        <w:t>S</w:t>
      </w:r>
      <w:r w:rsidRPr="00A04E56">
        <w:t>tates.</w:t>
      </w:r>
    </w:p>
    <w:p w14:paraId="4269A2F5" w14:textId="7D63C36B" w:rsidR="005D36C6" w:rsidRPr="00A04E56" w:rsidRDefault="005D36C6" w:rsidP="005D36C6">
      <w:pPr>
        <w:pStyle w:val="Title2Report"/>
        <w:rPr>
          <w:b w:val="0"/>
          <w:sz w:val="24"/>
          <w:szCs w:val="24"/>
        </w:rPr>
      </w:pPr>
      <w:bookmarkStart w:id="223" w:name="_Toc12021047"/>
      <w:r w:rsidRPr="00A04E56">
        <w:t>Flexibility instrument</w:t>
      </w:r>
      <w:bookmarkEnd w:id="223"/>
    </w:p>
    <w:p w14:paraId="699D6C1D" w14:textId="3C02F13D" w:rsidR="005D36C6" w:rsidRPr="00A04E56" w:rsidRDefault="005D36C6" w:rsidP="000F72DD">
      <w:pPr>
        <w:pStyle w:val="BodyText1spaceafter"/>
      </w:pPr>
      <w:r w:rsidRPr="00A04E56">
        <w:t xml:space="preserve">The </w:t>
      </w:r>
      <w:r w:rsidR="00AE4B2D" w:rsidRPr="00A04E56">
        <w:rPr>
          <w:rStyle w:val="BOLDLIGHTBLUEReport"/>
          <w:rFonts w:eastAsiaTheme="minorHAnsi"/>
        </w:rPr>
        <w:t>F</w:t>
      </w:r>
      <w:r w:rsidRPr="00A04E56">
        <w:rPr>
          <w:rStyle w:val="BOLDLIGHTBLUEReport"/>
          <w:rFonts w:eastAsiaTheme="minorHAnsi"/>
        </w:rPr>
        <w:t xml:space="preserve">lexibility </w:t>
      </w:r>
      <w:r w:rsidR="00AE4B2D" w:rsidRPr="00A04E56">
        <w:rPr>
          <w:rStyle w:val="BOLDLIGHTBLUEReport"/>
          <w:rFonts w:eastAsiaTheme="minorHAnsi"/>
        </w:rPr>
        <w:t>I</w:t>
      </w:r>
      <w:r w:rsidRPr="00A04E56">
        <w:rPr>
          <w:rStyle w:val="BOLDLIGHTBLUEReport"/>
          <w:rFonts w:eastAsiaTheme="minorHAnsi"/>
        </w:rPr>
        <w:t>nstrument</w:t>
      </w:r>
      <w:r w:rsidRPr="00A04E56">
        <w:t xml:space="preserve"> provides funding for clearly identified expenditure</w:t>
      </w:r>
      <w:r w:rsidRPr="00A04E56">
        <w:rPr>
          <w:rFonts w:ascii="Calibri" w:hAnsi="Calibri" w:cs="Calibri"/>
        </w:rPr>
        <w:t> </w:t>
      </w:r>
      <w:r w:rsidRPr="00A04E56">
        <w:t xml:space="preserve">that cannot be covered by the EU budget without exceeding the maximum annual amount for expenditure set out in the multiannual financial framework. </w:t>
      </w:r>
      <w:r w:rsidR="008C1D39" w:rsidRPr="00A04E56">
        <w:rPr>
          <w:i/>
          <w:u w:val="single"/>
        </w:rPr>
        <w:t>In 2018</w:t>
      </w:r>
      <w:r w:rsidRPr="00A04E56">
        <w:t xml:space="preserve"> it was mobilised with</w:t>
      </w:r>
      <w:r w:rsidRPr="00A04E56" w:rsidDel="00717F2A">
        <w:t xml:space="preserve"> </w:t>
      </w:r>
      <w:r w:rsidRPr="00A04E56">
        <w:rPr>
          <w:rStyle w:val="BOLDLIGHTBLUEReport"/>
          <w:rFonts w:eastAsiaTheme="minorHAnsi"/>
        </w:rPr>
        <w:t>EUR</w:t>
      </w:r>
      <w:r w:rsidRPr="00A04E56">
        <w:rPr>
          <w:rStyle w:val="BOLDLIGHTBLUEReport"/>
          <w:rFonts w:ascii="Calibri" w:eastAsiaTheme="minorHAnsi" w:hAnsi="Calibri" w:cs="Calibri"/>
        </w:rPr>
        <w:t> </w:t>
      </w:r>
      <w:r w:rsidRPr="00A04E56">
        <w:rPr>
          <w:rStyle w:val="BOLDLIGHTBLUEReport"/>
          <w:rFonts w:eastAsiaTheme="minorHAnsi"/>
        </w:rPr>
        <w:t>837.2</w:t>
      </w:r>
      <w:r w:rsidRPr="00A04E56">
        <w:rPr>
          <w:rStyle w:val="BOLDLIGHTBLUEReport"/>
          <w:rFonts w:ascii="Calibri" w:eastAsiaTheme="minorHAnsi" w:hAnsi="Calibri" w:cs="Calibri"/>
        </w:rPr>
        <w:t> </w:t>
      </w:r>
      <w:r w:rsidRPr="00A04E56">
        <w:rPr>
          <w:rStyle w:val="BOLDLIGHTBLUEReport"/>
          <w:rFonts w:eastAsiaTheme="minorHAnsi"/>
        </w:rPr>
        <w:t>million</w:t>
      </w:r>
      <w:r w:rsidRPr="00A04E56">
        <w:t xml:space="preserve"> mainly to finance immediate budgetary measures to address the ongoing challenges of migration, refugee inflows and security threats and to provide financing of the extension of the Structural Reforms Support Programme. </w:t>
      </w:r>
    </w:p>
    <w:p w14:paraId="57498FF1" w14:textId="0F31BA4E" w:rsidR="005D36C6" w:rsidRPr="00A04E56" w:rsidRDefault="005D36C6" w:rsidP="005D36C6">
      <w:pPr>
        <w:pStyle w:val="BodyText1spaceafter"/>
      </w:pPr>
      <w:r w:rsidRPr="00A04E56">
        <w:t xml:space="preserve">For the next multiannual financial framework the Commission proposes to streamline the procedures for mobilising these instruments, and to increase the size of the </w:t>
      </w:r>
      <w:r w:rsidR="00AE4B2D" w:rsidRPr="00A04E56">
        <w:t>F</w:t>
      </w:r>
      <w:r w:rsidRPr="00A04E56">
        <w:t xml:space="preserve">lexibility </w:t>
      </w:r>
      <w:r w:rsidR="00AE4B2D" w:rsidRPr="00A04E56">
        <w:t>I</w:t>
      </w:r>
      <w:r w:rsidRPr="00A04E56">
        <w:t>nstrument.</w:t>
      </w:r>
    </w:p>
    <w:p w14:paraId="49D26544" w14:textId="79457004" w:rsidR="005D36C6" w:rsidRPr="00A04E56" w:rsidRDefault="005D36C6" w:rsidP="005D36C6">
      <w:pPr>
        <w:pStyle w:val="Title2Report"/>
      </w:pPr>
      <w:bookmarkStart w:id="224" w:name="_Toc12021048"/>
      <w:r w:rsidRPr="00A04E56">
        <w:t>EU Solidarity Fund</w:t>
      </w:r>
      <w:bookmarkEnd w:id="224"/>
      <w:r w:rsidRPr="00A04E56">
        <w:t xml:space="preserve"> </w:t>
      </w:r>
    </w:p>
    <w:p w14:paraId="2783BE51" w14:textId="77777777" w:rsidR="005D36C6" w:rsidRPr="00A04E56" w:rsidRDefault="005D36C6" w:rsidP="00AA0340">
      <w:pPr>
        <w:pStyle w:val="Title3NumberedReport"/>
      </w:pPr>
      <w:bookmarkStart w:id="225" w:name="_Toc4680808"/>
      <w:bookmarkStart w:id="226" w:name="_Toc4683081"/>
      <w:r w:rsidRPr="00A04E56">
        <w:t>Programme objectives</w:t>
      </w:r>
      <w:bookmarkEnd w:id="225"/>
      <w:bookmarkEnd w:id="226"/>
      <w:r w:rsidRPr="00A04E56">
        <w:t xml:space="preserve"> </w:t>
      </w:r>
    </w:p>
    <w:p w14:paraId="0428F063" w14:textId="01C506E6" w:rsidR="005D36C6" w:rsidRPr="00A04E56" w:rsidRDefault="005D36C6" w:rsidP="005D36C6">
      <w:pPr>
        <w:pStyle w:val="BodyText1spaceafter"/>
      </w:pPr>
      <w:r w:rsidRPr="00A04E56">
        <w:t>Solidarity is one of the core values of the EU and a guiding principle of the European integration process. The European Union Solidarity Fund, set up in 200</w:t>
      </w:r>
      <w:r w:rsidRPr="00A04E56" w:rsidDel="00301B93">
        <w:t>2</w:t>
      </w:r>
      <w:r w:rsidR="00513D4C" w:rsidRPr="00A04E56">
        <w:t>,</w:t>
      </w:r>
      <w:r w:rsidRPr="00A04E56">
        <w:t xml:space="preserve"> is one of the most concrete demonstrations of solidarity to Member States and to countries negotiating their accession to the EU. The fund can be used in the event of major national or regional </w:t>
      </w:r>
      <w:r w:rsidRPr="00A04E56">
        <w:rPr>
          <w:rStyle w:val="BOLDLIGHTBLUEReport"/>
          <w:rFonts w:eastAsiaTheme="minorHAnsi"/>
        </w:rPr>
        <w:t>natural disasters</w:t>
      </w:r>
      <w:r w:rsidRPr="00A04E56">
        <w:t xml:space="preserve"> (earthquakes, floods, droughts, forest fires, storms, etc.) to finance emergency measures from day one of the disaster, such as restoration to working order of basic infrastructure, providing temporary accommodation, funding rescue services to help the population affected, securing of preventive infrastructure and cleaning-up operations. </w:t>
      </w:r>
    </w:p>
    <w:p w14:paraId="319AB9F7" w14:textId="7AEAAF63" w:rsidR="005D36C6" w:rsidRPr="00A04E56" w:rsidRDefault="008C1D39" w:rsidP="00AA0340">
      <w:pPr>
        <w:pStyle w:val="Title3NumberedReport"/>
      </w:pPr>
      <w:r w:rsidRPr="00A04E56">
        <w:t>Implementation and latest achievements</w:t>
      </w:r>
    </w:p>
    <w:p w14:paraId="17DD14D2" w14:textId="77777777" w:rsidR="005D36C6" w:rsidRPr="00A04E56" w:rsidRDefault="005D36C6" w:rsidP="005D36C6">
      <w:pPr>
        <w:pStyle w:val="BodyText1spaceafter"/>
        <w:rPr>
          <w:rFonts w:eastAsiaTheme="minorHAnsi"/>
          <w:lang w:eastAsia="en-US"/>
        </w:rPr>
      </w:pPr>
      <w:r w:rsidRPr="00A04E56">
        <w:rPr>
          <w:rFonts w:eastAsiaTheme="minorHAnsi"/>
          <w:i/>
          <w:u w:val="single"/>
          <w:lang w:eastAsia="en-US"/>
        </w:rPr>
        <w:t>Since the EU Solidarity Fund was set up in 2002</w:t>
      </w:r>
      <w:r w:rsidRPr="00A04E56">
        <w:rPr>
          <w:rFonts w:eastAsiaTheme="minorHAnsi"/>
          <w:lang w:eastAsia="en-US"/>
        </w:rPr>
        <w:t xml:space="preserve">, support has been given in response to more than 80 disasters — including floods, forest fires, earthquakes, storms and drought. Emergency and recovery operations in 24 countries have received aid from the EU Solidarity Fund. This represents more than </w:t>
      </w:r>
      <w:r w:rsidRPr="00A04E56" w:rsidDel="00717F2A">
        <w:rPr>
          <w:rFonts w:eastAsiaTheme="minorHAnsi"/>
          <w:lang w:eastAsia="en-US"/>
        </w:rPr>
        <w:t>EUR</w:t>
      </w:r>
      <w:r w:rsidRPr="00A04E56">
        <w:rPr>
          <w:rFonts w:ascii="Calibri" w:eastAsiaTheme="minorHAnsi" w:hAnsi="Calibri" w:cs="Calibri"/>
          <w:lang w:eastAsia="en-US"/>
        </w:rPr>
        <w:t> </w:t>
      </w:r>
      <w:r w:rsidRPr="00A04E56">
        <w:rPr>
          <w:rFonts w:eastAsiaTheme="minorHAnsi"/>
          <w:lang w:eastAsia="en-US"/>
        </w:rPr>
        <w:t>5</w:t>
      </w:r>
      <w:r w:rsidRPr="00A04E56">
        <w:rPr>
          <w:rFonts w:ascii="Calibri" w:eastAsiaTheme="minorHAnsi" w:hAnsi="Calibri" w:cs="Calibri"/>
          <w:lang w:eastAsia="en-US"/>
        </w:rPr>
        <w:t> </w:t>
      </w:r>
      <w:r w:rsidRPr="00A04E56">
        <w:rPr>
          <w:rFonts w:eastAsiaTheme="minorHAnsi"/>
          <w:lang w:eastAsia="en-US"/>
        </w:rPr>
        <w:t>billion.</w:t>
      </w:r>
    </w:p>
    <w:p w14:paraId="177478D5" w14:textId="185769B2" w:rsidR="005D36C6" w:rsidRPr="00A04E56" w:rsidRDefault="008C1D39" w:rsidP="005D36C6">
      <w:pPr>
        <w:pStyle w:val="BodyText1spaceafter"/>
      </w:pPr>
      <w:r w:rsidRPr="00A04E56">
        <w:rPr>
          <w:i/>
          <w:u w:val="single"/>
        </w:rPr>
        <w:t>In 2018</w:t>
      </w:r>
      <w:r w:rsidR="005D36C6" w:rsidRPr="00A04E56">
        <w:t xml:space="preserve"> the EU Solidarity Fund continued to offer vital support, adding to the financial relief but also a clear and tangible sign of the European solidarity to the populations affected. </w:t>
      </w:r>
    </w:p>
    <w:p w14:paraId="7E2D2E37" w14:textId="1F9A8915" w:rsidR="005D36C6" w:rsidRPr="00A04E56" w:rsidRDefault="005D36C6" w:rsidP="00C257BF">
      <w:pPr>
        <w:keepNext/>
      </w:pPr>
    </w:p>
    <w:tbl>
      <w:tblPr>
        <w:tblStyle w:val="Simpletable5"/>
        <w:tblW w:w="0" w:type="auto"/>
        <w:tblLook w:val="04A0" w:firstRow="1" w:lastRow="0" w:firstColumn="1" w:lastColumn="0" w:noHBand="0" w:noVBand="1"/>
      </w:tblPr>
      <w:tblGrid>
        <w:gridCol w:w="2256"/>
        <w:gridCol w:w="881"/>
        <w:gridCol w:w="799"/>
        <w:gridCol w:w="1417"/>
        <w:gridCol w:w="887"/>
        <w:gridCol w:w="956"/>
        <w:gridCol w:w="2046"/>
      </w:tblGrid>
      <w:tr w:rsidR="009E4165" w:rsidRPr="00A04E56" w14:paraId="6202D4B8" w14:textId="77777777" w:rsidTr="0029497F">
        <w:tc>
          <w:tcPr>
            <w:tcW w:w="2256" w:type="dxa"/>
            <w:tcBorders>
              <w:top w:val="nil"/>
              <w:left w:val="nil"/>
              <w:bottom w:val="nil"/>
              <w:right w:val="nil"/>
            </w:tcBorders>
          </w:tcPr>
          <w:p w14:paraId="71A8DE8A"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sz w:val="22"/>
              </w:rPr>
            </w:pPr>
            <w:r w:rsidRPr="00A04E56">
              <w:rPr>
                <w:rFonts w:eastAsia="Calibri"/>
                <w:b/>
                <w:color w:val="1D3E89"/>
                <w:sz w:val="24"/>
                <w:szCs w:val="26"/>
              </w:rPr>
              <w:t>EUR 46.5m</w:t>
            </w:r>
            <w:r w:rsidRPr="00A04E56">
              <w:rPr>
                <w:rFonts w:eastAsia="Calibri"/>
                <w:b/>
                <w:color w:val="1D3E89"/>
                <w:sz w:val="32"/>
                <w:szCs w:val="32"/>
              </w:rPr>
              <w:br/>
            </w:r>
            <w:r w:rsidRPr="00A04E56">
              <w:rPr>
                <w:rFonts w:eastAsia="Calibri"/>
                <w:color w:val="404040"/>
                <w:sz w:val="22"/>
              </w:rPr>
              <w:t>France</w:t>
            </w:r>
          </w:p>
        </w:tc>
        <w:tc>
          <w:tcPr>
            <w:tcW w:w="1680" w:type="dxa"/>
            <w:gridSpan w:val="2"/>
            <w:tcBorders>
              <w:top w:val="nil"/>
              <w:left w:val="nil"/>
              <w:bottom w:val="nil"/>
              <w:right w:val="nil"/>
            </w:tcBorders>
          </w:tcPr>
          <w:p w14:paraId="766E4160"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E38C2F"/>
                <w:sz w:val="22"/>
              </w:rPr>
            </w:pPr>
            <w:r w:rsidRPr="00A04E56">
              <w:rPr>
                <w:rFonts w:eastAsia="Calibri"/>
                <w:b/>
                <w:color w:val="E38C2F"/>
                <w:sz w:val="24"/>
                <w:szCs w:val="26"/>
              </w:rPr>
              <w:t>EUR 49.2m</w:t>
            </w:r>
            <w:r w:rsidRPr="00A04E56">
              <w:rPr>
                <w:rFonts w:eastAsia="Calibri"/>
                <w:b/>
                <w:color w:val="E38C2F"/>
                <w:sz w:val="32"/>
                <w:szCs w:val="32"/>
              </w:rPr>
              <w:br/>
            </w:r>
            <w:r w:rsidRPr="00A04E56">
              <w:rPr>
                <w:rFonts w:eastAsia="Calibri"/>
                <w:color w:val="404040"/>
                <w:sz w:val="22"/>
              </w:rPr>
              <w:t>Portugal</w:t>
            </w:r>
          </w:p>
        </w:tc>
        <w:tc>
          <w:tcPr>
            <w:tcW w:w="1417" w:type="dxa"/>
            <w:tcBorders>
              <w:top w:val="nil"/>
              <w:left w:val="nil"/>
              <w:bottom w:val="nil"/>
              <w:right w:val="nil"/>
            </w:tcBorders>
          </w:tcPr>
          <w:p w14:paraId="7ECEF9C8"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E9AE46"/>
                <w:sz w:val="22"/>
              </w:rPr>
            </w:pPr>
            <w:r w:rsidRPr="00A04E56">
              <w:rPr>
                <w:rFonts w:eastAsia="Calibri"/>
                <w:b/>
                <w:color w:val="E9AE46"/>
                <w:sz w:val="24"/>
                <w:szCs w:val="32"/>
              </w:rPr>
              <w:t>EUR 3.2m</w:t>
            </w:r>
            <w:r w:rsidRPr="00A04E56">
              <w:rPr>
                <w:rFonts w:eastAsia="Calibri"/>
                <w:b/>
                <w:color w:val="E9AE46"/>
                <w:sz w:val="32"/>
                <w:szCs w:val="32"/>
              </w:rPr>
              <w:br/>
            </w:r>
            <w:r w:rsidRPr="00A04E56">
              <w:rPr>
                <w:rFonts w:eastAsia="Calibri"/>
                <w:color w:val="404040"/>
                <w:sz w:val="22"/>
              </w:rPr>
              <w:t>Spain</w:t>
            </w:r>
          </w:p>
        </w:tc>
        <w:tc>
          <w:tcPr>
            <w:tcW w:w="1843" w:type="dxa"/>
            <w:gridSpan w:val="2"/>
            <w:tcBorders>
              <w:top w:val="nil"/>
              <w:left w:val="nil"/>
              <w:bottom w:val="nil"/>
              <w:right w:val="nil"/>
            </w:tcBorders>
          </w:tcPr>
          <w:p w14:paraId="65515BE0"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08AA74"/>
                <w:sz w:val="22"/>
              </w:rPr>
            </w:pPr>
            <w:r w:rsidRPr="00A04E56">
              <w:rPr>
                <w:rFonts w:eastAsia="Calibri"/>
                <w:b/>
                <w:color w:val="08AA74"/>
                <w:sz w:val="24"/>
                <w:szCs w:val="32"/>
              </w:rPr>
              <w:t>EUR 3.8m</w:t>
            </w:r>
            <w:r w:rsidRPr="00A04E56">
              <w:rPr>
                <w:rFonts w:eastAsia="Calibri"/>
                <w:b/>
                <w:color w:val="08AA74"/>
                <w:sz w:val="32"/>
                <w:szCs w:val="32"/>
              </w:rPr>
              <w:br/>
            </w:r>
            <w:r w:rsidRPr="00A04E56">
              <w:rPr>
                <w:rFonts w:eastAsia="Calibri"/>
                <w:color w:val="404040"/>
                <w:sz w:val="22"/>
              </w:rPr>
              <w:t>Greece</w:t>
            </w:r>
          </w:p>
        </w:tc>
        <w:tc>
          <w:tcPr>
            <w:tcW w:w="2046" w:type="dxa"/>
            <w:tcBorders>
              <w:top w:val="nil"/>
              <w:left w:val="nil"/>
              <w:bottom w:val="nil"/>
              <w:right w:val="nil"/>
            </w:tcBorders>
          </w:tcPr>
          <w:p w14:paraId="7D3E81B4"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83D2E7"/>
                <w:sz w:val="22"/>
              </w:rPr>
            </w:pPr>
            <w:r w:rsidRPr="00A04E56">
              <w:rPr>
                <w:rFonts w:eastAsia="Calibri"/>
                <w:b/>
                <w:color w:val="83D2E7"/>
                <w:sz w:val="24"/>
                <w:szCs w:val="32"/>
              </w:rPr>
              <w:t>EUR 12.3m</w:t>
            </w:r>
            <w:r w:rsidRPr="00A04E56">
              <w:rPr>
                <w:rFonts w:eastAsia="Calibri"/>
                <w:b/>
                <w:color w:val="83D2E7"/>
                <w:sz w:val="32"/>
                <w:szCs w:val="32"/>
              </w:rPr>
              <w:br/>
            </w:r>
            <w:r w:rsidRPr="00A04E56">
              <w:rPr>
                <w:rFonts w:eastAsia="Calibri"/>
                <w:color w:val="404040"/>
                <w:sz w:val="22"/>
              </w:rPr>
              <w:t>Poland</w:t>
            </w:r>
          </w:p>
        </w:tc>
      </w:tr>
      <w:tr w:rsidR="009E4165" w:rsidRPr="00A04E56" w14:paraId="1E2965CE" w14:textId="77777777" w:rsidTr="0029497F">
        <w:tc>
          <w:tcPr>
            <w:tcW w:w="2256" w:type="dxa"/>
            <w:tcBorders>
              <w:top w:val="nil"/>
              <w:left w:val="nil"/>
              <w:bottom w:val="nil"/>
              <w:right w:val="nil"/>
            </w:tcBorders>
          </w:tcPr>
          <w:p w14:paraId="21A77A47" w14:textId="7777777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For the regions of Saint Martin and Guadalupe, affected by hurricanes Irma and Maria</w:t>
            </w:r>
          </w:p>
        </w:tc>
        <w:tc>
          <w:tcPr>
            <w:tcW w:w="3097" w:type="dxa"/>
            <w:gridSpan w:val="3"/>
            <w:tcBorders>
              <w:top w:val="nil"/>
              <w:left w:val="nil"/>
              <w:bottom w:val="nil"/>
              <w:right w:val="nil"/>
            </w:tcBorders>
          </w:tcPr>
          <w:p w14:paraId="310AAAB2" w14:textId="7777777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 xml:space="preserve">Following the summer forest fires </w:t>
            </w:r>
            <w:r w:rsidRPr="00A04E56">
              <w:rPr>
                <w:rFonts w:ascii="EC Square Sans Pro Medium" w:eastAsia="Calibri" w:hAnsi="EC Square Sans Pro Medium"/>
                <w:color w:val="404040"/>
                <w:sz w:val="18"/>
                <w:szCs w:val="18"/>
              </w:rPr>
              <w:br/>
              <w:t>in October 2017</w:t>
            </w:r>
          </w:p>
        </w:tc>
        <w:tc>
          <w:tcPr>
            <w:tcW w:w="1843" w:type="dxa"/>
            <w:gridSpan w:val="2"/>
            <w:tcBorders>
              <w:top w:val="nil"/>
              <w:left w:val="nil"/>
              <w:bottom w:val="nil"/>
              <w:right w:val="nil"/>
            </w:tcBorders>
          </w:tcPr>
          <w:p w14:paraId="01432B49" w14:textId="59BFA5C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Following the earthquake in 2017</w:t>
            </w:r>
          </w:p>
        </w:tc>
        <w:tc>
          <w:tcPr>
            <w:tcW w:w="2046" w:type="dxa"/>
            <w:tcBorders>
              <w:top w:val="nil"/>
              <w:left w:val="nil"/>
              <w:bottom w:val="nil"/>
              <w:right w:val="nil"/>
            </w:tcBorders>
          </w:tcPr>
          <w:p w14:paraId="08E040FA" w14:textId="7777777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After the August 2017 storms and rainfalls</w:t>
            </w:r>
          </w:p>
        </w:tc>
      </w:tr>
      <w:tr w:rsidR="009E4165" w:rsidRPr="00A04E56" w14:paraId="25F847BB" w14:textId="77777777" w:rsidTr="0029497F">
        <w:tc>
          <w:tcPr>
            <w:tcW w:w="3137" w:type="dxa"/>
            <w:gridSpan w:val="2"/>
            <w:tcBorders>
              <w:top w:val="nil"/>
              <w:left w:val="nil"/>
              <w:bottom w:val="nil"/>
              <w:right w:val="nil"/>
            </w:tcBorders>
          </w:tcPr>
          <w:p w14:paraId="35334A8B"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65BBC8"/>
                <w:sz w:val="22"/>
              </w:rPr>
            </w:pPr>
            <w:r w:rsidRPr="00A04E56">
              <w:rPr>
                <w:rFonts w:eastAsia="Calibri"/>
                <w:b/>
                <w:color w:val="65BBC8"/>
                <w:sz w:val="24"/>
                <w:szCs w:val="32"/>
              </w:rPr>
              <w:t>EUR 16.9m</w:t>
            </w:r>
            <w:r w:rsidRPr="00A04E56">
              <w:rPr>
                <w:rFonts w:eastAsia="Calibri"/>
                <w:b/>
                <w:color w:val="65BBC8"/>
                <w:sz w:val="32"/>
                <w:szCs w:val="32"/>
              </w:rPr>
              <w:br/>
            </w:r>
            <w:r w:rsidRPr="00A04E56">
              <w:rPr>
                <w:rFonts w:eastAsia="Calibri"/>
                <w:color w:val="404040"/>
                <w:sz w:val="22"/>
              </w:rPr>
              <w:t>Lithuania</w:t>
            </w:r>
          </w:p>
        </w:tc>
        <w:tc>
          <w:tcPr>
            <w:tcW w:w="3103" w:type="dxa"/>
            <w:gridSpan w:val="3"/>
            <w:tcBorders>
              <w:top w:val="nil"/>
              <w:left w:val="nil"/>
              <w:bottom w:val="nil"/>
              <w:right w:val="nil"/>
            </w:tcBorders>
          </w:tcPr>
          <w:p w14:paraId="0BBF8942"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EEC465"/>
                <w:sz w:val="22"/>
              </w:rPr>
            </w:pPr>
            <w:r w:rsidRPr="00A04E56">
              <w:rPr>
                <w:rFonts w:eastAsia="Calibri"/>
                <w:b/>
                <w:color w:val="EEC465"/>
                <w:sz w:val="24"/>
                <w:szCs w:val="32"/>
              </w:rPr>
              <w:t>EUR 2.3m</w:t>
            </w:r>
            <w:r w:rsidRPr="00A04E56">
              <w:rPr>
                <w:rFonts w:eastAsia="Calibri"/>
                <w:b/>
                <w:color w:val="EEC465"/>
                <w:sz w:val="32"/>
                <w:szCs w:val="32"/>
              </w:rPr>
              <w:br/>
            </w:r>
            <w:r w:rsidRPr="00A04E56">
              <w:rPr>
                <w:rFonts w:eastAsia="Calibri"/>
                <w:color w:val="404040"/>
                <w:sz w:val="22"/>
              </w:rPr>
              <w:t>Bulgaria</w:t>
            </w:r>
          </w:p>
        </w:tc>
        <w:tc>
          <w:tcPr>
            <w:tcW w:w="3002" w:type="dxa"/>
            <w:gridSpan w:val="2"/>
            <w:tcBorders>
              <w:top w:val="nil"/>
              <w:left w:val="nil"/>
              <w:bottom w:val="nil"/>
              <w:right w:val="nil"/>
            </w:tcBorders>
          </w:tcPr>
          <w:p w14:paraId="4E016123" w14:textId="77777777" w:rsidR="009E4165" w:rsidRPr="00A04E56" w:rsidRDefault="009E4165" w:rsidP="00C257BF">
            <w:pPr>
              <w:keepNext/>
              <w:pBdr>
                <w:top w:val="single" w:sz="4" w:space="4" w:color="FFFFFF"/>
                <w:left w:val="single" w:sz="4" w:space="0" w:color="FFFFFF"/>
                <w:bottom w:val="single" w:sz="4" w:space="4" w:color="FFFFFF"/>
                <w:right w:val="single" w:sz="4" w:space="0" w:color="FFFFFF"/>
              </w:pBdr>
              <w:rPr>
                <w:rFonts w:eastAsia="Calibri"/>
                <w:color w:val="3EB195"/>
                <w:sz w:val="22"/>
              </w:rPr>
            </w:pPr>
            <w:r w:rsidRPr="00A04E56">
              <w:rPr>
                <w:rFonts w:eastAsia="Calibri"/>
                <w:b/>
                <w:color w:val="3EB195"/>
                <w:sz w:val="24"/>
                <w:szCs w:val="32"/>
              </w:rPr>
              <w:t>EUR 17.7m</w:t>
            </w:r>
            <w:r w:rsidRPr="00A04E56">
              <w:rPr>
                <w:rFonts w:eastAsia="Calibri"/>
                <w:b/>
                <w:color w:val="3EB195"/>
                <w:sz w:val="32"/>
                <w:szCs w:val="32"/>
              </w:rPr>
              <w:br/>
            </w:r>
            <w:r w:rsidRPr="00A04E56">
              <w:rPr>
                <w:rFonts w:eastAsia="Calibri"/>
                <w:color w:val="404040"/>
                <w:sz w:val="22"/>
              </w:rPr>
              <w:t>Latvia</w:t>
            </w:r>
          </w:p>
        </w:tc>
      </w:tr>
      <w:tr w:rsidR="009E4165" w:rsidRPr="00A04E56" w14:paraId="4DF93A26" w14:textId="77777777" w:rsidTr="0029497F">
        <w:tc>
          <w:tcPr>
            <w:tcW w:w="3137" w:type="dxa"/>
            <w:gridSpan w:val="2"/>
            <w:tcBorders>
              <w:top w:val="nil"/>
              <w:left w:val="nil"/>
              <w:bottom w:val="single" w:sz="4" w:space="0" w:color="auto"/>
              <w:right w:val="nil"/>
            </w:tcBorders>
          </w:tcPr>
          <w:p w14:paraId="40E4A228" w14:textId="7777777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 xml:space="preserve">Following the 2017 </w:t>
            </w:r>
            <w:r w:rsidRPr="00A04E56">
              <w:rPr>
                <w:rFonts w:ascii="EC Square Sans Pro Medium" w:eastAsia="Calibri" w:hAnsi="EC Square Sans Pro Medium"/>
                <w:color w:val="404040"/>
                <w:sz w:val="18"/>
                <w:szCs w:val="18"/>
              </w:rPr>
              <w:br/>
              <w:t>rainfall and floods</w:t>
            </w:r>
          </w:p>
        </w:tc>
        <w:tc>
          <w:tcPr>
            <w:tcW w:w="3103" w:type="dxa"/>
            <w:gridSpan w:val="3"/>
            <w:tcBorders>
              <w:top w:val="nil"/>
              <w:left w:val="nil"/>
              <w:bottom w:val="single" w:sz="4" w:space="0" w:color="auto"/>
              <w:right w:val="nil"/>
            </w:tcBorders>
          </w:tcPr>
          <w:p w14:paraId="1E2DAE7A" w14:textId="7777777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 xml:space="preserve">After the storms and floods </w:t>
            </w:r>
            <w:r w:rsidRPr="00A04E56">
              <w:rPr>
                <w:rFonts w:ascii="EC Square Sans Pro Medium" w:eastAsia="Calibri" w:hAnsi="EC Square Sans Pro Medium"/>
                <w:color w:val="404040"/>
                <w:sz w:val="18"/>
                <w:szCs w:val="18"/>
              </w:rPr>
              <w:br/>
              <w:t>of October 2017</w:t>
            </w:r>
          </w:p>
        </w:tc>
        <w:tc>
          <w:tcPr>
            <w:tcW w:w="3002" w:type="dxa"/>
            <w:gridSpan w:val="2"/>
            <w:tcBorders>
              <w:top w:val="nil"/>
              <w:left w:val="nil"/>
              <w:bottom w:val="single" w:sz="4" w:space="0" w:color="auto"/>
              <w:right w:val="nil"/>
            </w:tcBorders>
          </w:tcPr>
          <w:p w14:paraId="598B3EE8" w14:textId="77777777" w:rsidR="009E4165" w:rsidRPr="00A04E56" w:rsidRDefault="009E4165" w:rsidP="00C257BF">
            <w:pPr>
              <w:keepNext/>
              <w:pBdr>
                <w:top w:val="single" w:sz="4" w:space="4" w:color="FFFFFF"/>
                <w:left w:val="single" w:sz="4" w:space="4" w:color="FFFFFF"/>
                <w:bottom w:val="single" w:sz="4" w:space="4" w:color="FFFFFF"/>
                <w:right w:val="single" w:sz="4" w:space="4" w:color="FFFFFF"/>
              </w:pBdr>
              <w:spacing w:line="276" w:lineRule="auto"/>
              <w:rPr>
                <w:rFonts w:ascii="EC Square Sans Pro Medium" w:eastAsia="Calibri" w:hAnsi="EC Square Sans Pro Medium"/>
                <w:color w:val="404040"/>
                <w:sz w:val="18"/>
                <w:szCs w:val="18"/>
              </w:rPr>
            </w:pPr>
            <w:r w:rsidRPr="00A04E56">
              <w:rPr>
                <w:rFonts w:ascii="EC Square Sans Pro Medium" w:eastAsia="Calibri" w:hAnsi="EC Square Sans Pro Medium"/>
                <w:color w:val="404040"/>
                <w:sz w:val="18"/>
                <w:szCs w:val="18"/>
              </w:rPr>
              <w:t xml:space="preserve">After the flooding disaster </w:t>
            </w:r>
            <w:r w:rsidRPr="00A04E56">
              <w:rPr>
                <w:rFonts w:ascii="EC Square Sans Pro Medium" w:eastAsia="Calibri" w:hAnsi="EC Square Sans Pro Medium"/>
                <w:color w:val="404040"/>
                <w:sz w:val="18"/>
                <w:szCs w:val="18"/>
              </w:rPr>
              <w:br/>
              <w:t>that took place in 2017</w:t>
            </w:r>
          </w:p>
        </w:tc>
      </w:tr>
      <w:tr w:rsidR="009E4165" w:rsidRPr="00A04E56" w14:paraId="311B6812" w14:textId="77777777" w:rsidTr="0029497F">
        <w:tc>
          <w:tcPr>
            <w:tcW w:w="9242" w:type="dxa"/>
            <w:gridSpan w:val="7"/>
            <w:tcBorders>
              <w:top w:val="single" w:sz="4" w:space="0" w:color="auto"/>
              <w:left w:val="nil"/>
              <w:bottom w:val="single" w:sz="4" w:space="0" w:color="auto"/>
              <w:right w:val="nil"/>
            </w:tcBorders>
          </w:tcPr>
          <w:p w14:paraId="6D38A4E9" w14:textId="2A997047" w:rsidR="009E4165" w:rsidRPr="00A04E56" w:rsidRDefault="009E4165" w:rsidP="009E4165">
            <w:pPr>
              <w:pBdr>
                <w:top w:val="single" w:sz="4" w:space="4" w:color="FFFFFF"/>
                <w:left w:val="single" w:sz="4" w:space="4" w:color="FFFFFF"/>
                <w:bottom w:val="single" w:sz="4" w:space="4" w:color="FFFFFF"/>
                <w:right w:val="single" w:sz="4" w:space="4" w:color="FFFFFF"/>
              </w:pBdr>
              <w:jc w:val="center"/>
              <w:rPr>
                <w:rFonts w:ascii="EC Square Sans Pro Medium" w:eastAsia="Calibri" w:hAnsi="EC Square Sans Pro Medium"/>
                <w:color w:val="404040"/>
                <w:sz w:val="24"/>
                <w:szCs w:val="24"/>
              </w:rPr>
            </w:pPr>
            <w:r w:rsidRPr="00A04E56">
              <w:rPr>
                <w:rFonts w:eastAsia="Calibri"/>
                <w:b/>
                <w:color w:val="A6A6A6"/>
                <w:sz w:val="24"/>
                <w:szCs w:val="24"/>
              </w:rPr>
              <w:t>Total EUR 1</w:t>
            </w:r>
            <w:r w:rsidR="00814B33" w:rsidRPr="00A04E56">
              <w:rPr>
                <w:rFonts w:eastAsia="Calibri"/>
                <w:b/>
                <w:color w:val="A6A6A6"/>
                <w:sz w:val="24"/>
                <w:szCs w:val="24"/>
              </w:rPr>
              <w:t>51</w:t>
            </w:r>
            <w:r w:rsidRPr="00A04E56">
              <w:rPr>
                <w:rFonts w:eastAsia="Calibri"/>
                <w:b/>
                <w:color w:val="A6A6A6"/>
                <w:sz w:val="24"/>
                <w:szCs w:val="24"/>
              </w:rPr>
              <w:t>.</w:t>
            </w:r>
            <w:r w:rsidR="00814B33" w:rsidRPr="00A04E56">
              <w:rPr>
                <w:rFonts w:eastAsia="Calibri"/>
                <w:b/>
                <w:color w:val="A6A6A6"/>
                <w:sz w:val="24"/>
                <w:szCs w:val="24"/>
              </w:rPr>
              <w:t>9</w:t>
            </w:r>
            <w:r w:rsidRPr="00A04E56">
              <w:rPr>
                <w:rFonts w:eastAsia="Calibri"/>
                <w:b/>
                <w:color w:val="A6A6A6"/>
                <w:sz w:val="24"/>
                <w:szCs w:val="24"/>
              </w:rPr>
              <w:t xml:space="preserve"> million</w:t>
            </w:r>
          </w:p>
        </w:tc>
      </w:tr>
    </w:tbl>
    <w:p w14:paraId="2652ED4B" w14:textId="39675165" w:rsidR="005D36C6" w:rsidRPr="00A04E56" w:rsidRDefault="008C1D39" w:rsidP="00454052">
      <w:pPr>
        <w:pStyle w:val="BodyText1spacebeforeandafter"/>
        <w:spacing w:before="360"/>
      </w:pPr>
      <w:r w:rsidRPr="00A04E56">
        <w:rPr>
          <w:i/>
          <w:u w:val="single"/>
        </w:rPr>
        <w:t>In 2018</w:t>
      </w:r>
      <w:r w:rsidR="005D36C6" w:rsidRPr="00A04E56">
        <w:t xml:space="preserve">, a total amount of </w:t>
      </w:r>
      <w:r w:rsidR="005D36C6" w:rsidRPr="00A04E56">
        <w:rPr>
          <w:rStyle w:val="BOLDLIGHTBLUEReport"/>
          <w:rFonts w:eastAsiaTheme="minorHAnsi"/>
        </w:rPr>
        <w:t>EUR</w:t>
      </w:r>
      <w:r w:rsidR="005D36C6" w:rsidRPr="00A04E56">
        <w:rPr>
          <w:rStyle w:val="BOLDLIGHTBLUEReport"/>
          <w:rFonts w:ascii="Calibri" w:eastAsiaTheme="minorHAnsi" w:hAnsi="Calibri" w:cs="Calibri"/>
        </w:rPr>
        <w:t> </w:t>
      </w:r>
      <w:r w:rsidR="005D36C6" w:rsidRPr="00A04E56">
        <w:rPr>
          <w:rStyle w:val="BOLDLIGHTBLUEReport"/>
          <w:rFonts w:eastAsiaTheme="minorHAnsi"/>
        </w:rPr>
        <w:t>152</w:t>
      </w:r>
      <w:r w:rsidR="005D36C6" w:rsidRPr="00A04E56">
        <w:rPr>
          <w:rStyle w:val="BOLDLIGHTBLUEReport"/>
          <w:rFonts w:ascii="Calibri" w:eastAsiaTheme="minorHAnsi" w:hAnsi="Calibri" w:cs="Calibri"/>
        </w:rPr>
        <w:t> </w:t>
      </w:r>
      <w:r w:rsidR="005D36C6" w:rsidRPr="00A04E56">
        <w:rPr>
          <w:rStyle w:val="BOLDLIGHTBLUEReport"/>
          <w:rFonts w:eastAsiaTheme="minorHAnsi"/>
        </w:rPr>
        <w:t>million</w:t>
      </w:r>
      <w:r w:rsidR="005D36C6" w:rsidRPr="00A04E56">
        <w:rPr>
          <w:rStyle w:val="fnRef"/>
          <w:rFonts w:ascii="Calibri" w:hAnsi="Calibri" w:cs="Calibri"/>
        </w:rPr>
        <w:t> </w:t>
      </w:r>
      <w:r w:rsidR="005D36C6" w:rsidRPr="00A04E56">
        <w:rPr>
          <w:rStyle w:val="fnRef"/>
        </w:rPr>
        <w:t>(</w:t>
      </w:r>
      <w:r w:rsidR="005D36C6" w:rsidRPr="00A04E56">
        <w:rPr>
          <w:rStyle w:val="fnRefNo"/>
        </w:rPr>
        <w:footnoteReference w:id="353"/>
      </w:r>
      <w:r w:rsidR="005D36C6" w:rsidRPr="00A04E56">
        <w:rPr>
          <w:rStyle w:val="fnRef"/>
        </w:rPr>
        <w:t>)</w:t>
      </w:r>
      <w:r w:rsidR="005D36C6" w:rsidRPr="00A04E56">
        <w:rPr>
          <w:rStyle w:val="BOLDLIGHTBLUEReport"/>
          <w:rFonts w:eastAsiaTheme="minorHAnsi"/>
        </w:rPr>
        <w:t xml:space="preserve"> </w:t>
      </w:r>
      <w:r w:rsidR="005D36C6" w:rsidRPr="00A04E56">
        <w:t>w</w:t>
      </w:r>
      <w:r w:rsidR="002C5677" w:rsidRPr="00A04E56">
        <w:t>as</w:t>
      </w:r>
      <w:r w:rsidR="005D36C6" w:rsidRPr="00A04E56">
        <w:t xml:space="preserve"> granted</w:t>
      </w:r>
      <w:r w:rsidR="005D36C6" w:rsidRPr="00A04E56">
        <w:rPr>
          <w:rStyle w:val="BOLDLIGHTBLUEReport"/>
          <w:rFonts w:eastAsiaTheme="minorHAnsi"/>
        </w:rPr>
        <w:t xml:space="preserve"> to eight Member States</w:t>
      </w:r>
      <w:r w:rsidR="005D36C6" w:rsidRPr="00A04E56">
        <w:t>, in order to allow them to finance</w:t>
      </w:r>
      <w:r w:rsidR="005D36C6" w:rsidRPr="00A04E56">
        <w:rPr>
          <w:rStyle w:val="BOLDLIGHTBLUEReport"/>
          <w:rFonts w:eastAsiaTheme="minorHAnsi"/>
        </w:rPr>
        <w:t xml:space="preserve"> emergency and recovery operations</w:t>
      </w:r>
      <w:r w:rsidR="005D36C6" w:rsidRPr="00A04E56">
        <w:t xml:space="preserve"> in the area of basic infrastructure, assistance to the population, provisional housing, protection of cultural heritage and cleaning-up operations. The support provided </w:t>
      </w:r>
      <w:r w:rsidRPr="00A04E56">
        <w:rPr>
          <w:i/>
          <w:u w:val="single"/>
        </w:rPr>
        <w:t>in 2018</w:t>
      </w:r>
      <w:r w:rsidR="005D36C6" w:rsidRPr="00A04E56">
        <w:t xml:space="preserve"> was mainly for natural disasters which occurred in the previous year. Such were the cases of the hurricanes Irma and Maria in </w:t>
      </w:r>
      <w:r w:rsidR="00814B33" w:rsidRPr="00A04E56">
        <w:t xml:space="preserve">the overseas regions of </w:t>
      </w:r>
      <w:r w:rsidR="005D36C6" w:rsidRPr="00A04E56">
        <w:t xml:space="preserve">France, </w:t>
      </w:r>
      <w:r w:rsidR="00814B33" w:rsidRPr="00A04E56">
        <w:t>Saint Martin and Guadalupe,</w:t>
      </w:r>
      <w:r w:rsidR="005D36C6" w:rsidRPr="00A04E56">
        <w:t>, the earthquakes in Lesbos and Kos in Greece, the floodings in Latvia and Lithuania</w:t>
      </w:r>
      <w:r w:rsidR="00814B33" w:rsidRPr="00A04E56">
        <w:t xml:space="preserve"> and</w:t>
      </w:r>
      <w:r w:rsidR="005D36C6" w:rsidRPr="00A04E56">
        <w:t xml:space="preserve"> the forest fires in Portugal and Spain.</w:t>
      </w:r>
    </w:p>
    <w:p w14:paraId="56660CB8" w14:textId="59F4EA1D" w:rsidR="005D36C6" w:rsidRPr="00A04E56" w:rsidRDefault="008C1D39" w:rsidP="005D36C6">
      <w:pPr>
        <w:pStyle w:val="BodyText1spaceafter"/>
      </w:pPr>
      <w:r w:rsidRPr="00A04E56">
        <w:rPr>
          <w:i/>
          <w:u w:val="single"/>
        </w:rPr>
        <w:t>In 2018</w:t>
      </w:r>
      <w:r w:rsidR="005D36C6" w:rsidRPr="00A04E56">
        <w:t xml:space="preserve"> the Commission received the following four applications for support: flooding in Burgas (Bulgaria), which occurred at the end of 2017; ongoing drought in Cyprus; flooding in the north-east region of Romania during the summer months and extreme weather events during October/November throughout Italy. Bulgaria received financial contribution amounting to </w:t>
      </w:r>
      <w:r w:rsidR="005D36C6" w:rsidRPr="00A04E56" w:rsidDel="00717F2A">
        <w:t>EUR</w:t>
      </w:r>
      <w:r w:rsidR="005D36C6" w:rsidRPr="00A04E56">
        <w:rPr>
          <w:rFonts w:ascii="Calibri" w:hAnsi="Calibri" w:cs="Calibri"/>
        </w:rPr>
        <w:t> </w:t>
      </w:r>
      <w:r w:rsidR="005D36C6" w:rsidRPr="00A04E56">
        <w:t>2.3 million in November 2018</w:t>
      </w:r>
      <w:r w:rsidR="003C1BED" w:rsidRPr="00A04E56">
        <w:t>.</w:t>
      </w:r>
      <w:r w:rsidR="005D36C6" w:rsidRPr="00A04E56">
        <w:t xml:space="preserve"> The assessment of the three other cases is continued into 2019.</w:t>
      </w:r>
    </w:p>
    <w:p w14:paraId="2402CAB5" w14:textId="77777777" w:rsidR="005D36C6" w:rsidRPr="00A04E56" w:rsidRDefault="005D36C6" w:rsidP="00CC1FC1">
      <w:pPr>
        <w:pStyle w:val="BodyText1spaceafter"/>
      </w:pPr>
      <w:r w:rsidRPr="00A04E56">
        <w:t xml:space="preserve">Support from the Solidarity Fund helps to increase the Member States’ and regions’ resilience and preparedness to address the consequences of natural disasters. </w:t>
      </w:r>
    </w:p>
    <w:p w14:paraId="712B7C52" w14:textId="7323F508" w:rsidR="005D36C6" w:rsidRPr="00A04E56" w:rsidRDefault="00DC34A2" w:rsidP="00AA0340">
      <w:pPr>
        <w:pStyle w:val="Title3NumberedReport"/>
      </w:pPr>
      <w:r w:rsidRPr="00A04E56">
        <w:t>Assessment and evaluation</w:t>
      </w:r>
    </w:p>
    <w:p w14:paraId="2C4D547F" w14:textId="457C29FE" w:rsidR="005D36C6" w:rsidRPr="00A04E56" w:rsidRDefault="005D36C6" w:rsidP="005D36C6">
      <w:pPr>
        <w:pStyle w:val="BodyText1spaceafter"/>
      </w:pPr>
      <w:r w:rsidRPr="00A04E56">
        <w:t xml:space="preserve">The Commission carried out its </w:t>
      </w:r>
      <w:r w:rsidRPr="00A04E56">
        <w:rPr>
          <w:rStyle w:val="BOLDLIGHTBLUEReport"/>
          <w:rFonts w:eastAsiaTheme="minorHAnsi"/>
        </w:rPr>
        <w:t>first evaluation of the EU Solidarity Fund</w:t>
      </w:r>
      <w:r w:rsidRPr="00A04E56">
        <w:rPr>
          <w:rStyle w:val="fnRef"/>
          <w:rFonts w:ascii="Calibri" w:hAnsi="Calibri" w:cs="Calibri"/>
        </w:rPr>
        <w:t> </w:t>
      </w:r>
      <w:r w:rsidRPr="00A04E56">
        <w:rPr>
          <w:rStyle w:val="fnRef"/>
        </w:rPr>
        <w:t>(</w:t>
      </w:r>
      <w:r w:rsidRPr="00A04E56">
        <w:rPr>
          <w:rStyle w:val="fnRefNo"/>
        </w:rPr>
        <w:footnoteReference w:id="354"/>
      </w:r>
      <w:r w:rsidRPr="00A04E56">
        <w:rPr>
          <w:rStyle w:val="fnRef"/>
        </w:rPr>
        <w:t>)</w:t>
      </w:r>
      <w:r w:rsidRPr="00A04E56">
        <w:t xml:space="preserve"> covering the period 2002-2017</w:t>
      </w:r>
      <w:r w:rsidRPr="00A04E56" w:rsidDel="00EC699E">
        <w:t xml:space="preserve"> </w:t>
      </w:r>
      <w:r w:rsidRPr="00A04E56">
        <w:t>and concluded that the fund fulfils its mission effectively and that it is valued in its readiness to intervene with additional financial resources. The fund was also found to promote further learning in national public administrations in the area of disaster</w:t>
      </w:r>
      <w:r w:rsidR="00C6111C" w:rsidRPr="00A04E56">
        <w:t>-</w:t>
      </w:r>
      <w:r w:rsidRPr="00A04E56">
        <w:t>risk management. The evaluation found that the integration of disaster-risk management in the national systems is likely to generate synergies for more effective implementation.</w:t>
      </w:r>
    </w:p>
    <w:p w14:paraId="2DAF459C" w14:textId="77777777" w:rsidR="005D36C6" w:rsidRPr="00A04E56" w:rsidRDefault="005D36C6" w:rsidP="000F72DD">
      <w:pPr>
        <w:pStyle w:val="BodyText1spaceafter"/>
        <w:rPr>
          <w:szCs w:val="20"/>
        </w:rPr>
      </w:pPr>
      <w:r w:rsidRPr="00A04E56">
        <w:t>The evaluation found that the Solidarity Fund is an adaptable and flexible instrument for EU interventions in disaster situations. At the EU level, the mechanism established for the availability of resources on an annual basis ensures that the fund can provide assistance even in catastrophic events, as witnessed by the record grant of more than EUR</w:t>
      </w:r>
      <w:r w:rsidRPr="00A04E56">
        <w:rPr>
          <w:rFonts w:ascii="Calibri" w:hAnsi="Calibri" w:cs="Calibri"/>
          <w:szCs w:val="20"/>
        </w:rPr>
        <w:t> </w:t>
      </w:r>
      <w:r w:rsidRPr="00A04E56">
        <w:rPr>
          <w:szCs w:val="20"/>
        </w:rPr>
        <w:t>1 billion</w:t>
      </w:r>
      <w:r w:rsidRPr="00A04E56" w:rsidDel="00D31D69">
        <w:rPr>
          <w:szCs w:val="20"/>
        </w:rPr>
        <w:t xml:space="preserve"> </w:t>
      </w:r>
      <w:r w:rsidRPr="00A04E56">
        <w:rPr>
          <w:szCs w:val="20"/>
        </w:rPr>
        <w:t xml:space="preserve">approved in response to the series of earthquakes which hit Italy during 2016 and </w:t>
      </w:r>
      <w:r w:rsidRPr="00A04E56" w:rsidDel="00AB32F3">
        <w:rPr>
          <w:szCs w:val="20"/>
        </w:rPr>
        <w:t xml:space="preserve">2017. </w:t>
      </w:r>
      <w:r w:rsidRPr="00A04E56">
        <w:rPr>
          <w:szCs w:val="20"/>
        </w:rPr>
        <w:t>At the operational level, this flexibility is ensured by the possibility for beneficiary countries to use the grant in order to cover expenditure incurred retrospectively, i.e. for projects started and implemented already before the actual deployment of Solidarity Fund on the ground.</w:t>
      </w:r>
    </w:p>
    <w:p w14:paraId="380E315D" w14:textId="4763D94D" w:rsidR="005D36C6" w:rsidRPr="00A04E56" w:rsidRDefault="005D36C6" w:rsidP="005D36C6">
      <w:pPr>
        <w:pStyle w:val="BodyText1spaceafter"/>
      </w:pPr>
      <w:r w:rsidRPr="00A04E56">
        <w:t xml:space="preserve">On the other hand, one of the most criticised features of the Solidarity Fund is the time taken for deployment of the grant, which remains on average about </w:t>
      </w:r>
      <w:r w:rsidR="008F1B0B" w:rsidRPr="00A04E56">
        <w:t>1</w:t>
      </w:r>
      <w:r w:rsidR="008F1B0B" w:rsidRPr="00A04E56">
        <w:rPr>
          <w:rFonts w:ascii="Calibri" w:hAnsi="Calibri" w:cs="Calibri"/>
        </w:rPr>
        <w:t> </w:t>
      </w:r>
      <w:r w:rsidRPr="00A04E56">
        <w:t xml:space="preserve">year. In the current regulatory framework, the Solidarity Fund is not an instrument for rapid interventions in disaster situations and further discussion is required on solutions to help address the issue of timing for its mobilisation. </w:t>
      </w:r>
    </w:p>
    <w:p w14:paraId="13887F66" w14:textId="77777777" w:rsidR="005D36C6" w:rsidRPr="00A04E56" w:rsidRDefault="005D36C6" w:rsidP="005D36C6">
      <w:pPr>
        <w:pStyle w:val="BodyText1spaceafter"/>
      </w:pPr>
      <w:r w:rsidRPr="00A04E56">
        <w:t>The solidarity instrument will continue, with a few new features providing more flexibility in its implementation.</w:t>
      </w:r>
    </w:p>
    <w:p w14:paraId="14FC0DF2" w14:textId="77777777" w:rsidR="005D36C6" w:rsidRPr="00A04E56" w:rsidRDefault="005D36C6" w:rsidP="005D36C6">
      <w:pPr>
        <w:pStyle w:val="Title2Report"/>
        <w:rPr>
          <w:szCs w:val="20"/>
        </w:rPr>
      </w:pPr>
      <w:bookmarkStart w:id="227" w:name="_Toc12021049"/>
      <w:r w:rsidRPr="00A04E56">
        <w:t>European Globalisation Adjustment Fund</w:t>
      </w:r>
      <w:bookmarkEnd w:id="227"/>
    </w:p>
    <w:p w14:paraId="24AFBAE2" w14:textId="77777777" w:rsidR="005D36C6" w:rsidRPr="00A04E56" w:rsidRDefault="005D36C6" w:rsidP="00AA0340">
      <w:pPr>
        <w:pStyle w:val="Title3NumberedReport"/>
      </w:pPr>
      <w:r w:rsidRPr="00A04E56">
        <w:t xml:space="preserve">Programme objectives </w:t>
      </w:r>
    </w:p>
    <w:p w14:paraId="04A12BE6" w14:textId="77777777" w:rsidR="005D36C6" w:rsidRPr="00A04E56" w:rsidRDefault="005D36C6" w:rsidP="005D36C6">
      <w:pPr>
        <w:pStyle w:val="BodyText1spaceafter"/>
      </w:pPr>
      <w:r w:rsidRPr="00A04E56">
        <w:t>The European Globalisation Adjustment Fund provides support to workers made redundant, and to self-employed persons whose activity has ceased as a result of major structural changes in world trade patterns due to globalisation or as a result of the continuation of the global financial and economic crisis.</w:t>
      </w:r>
    </w:p>
    <w:p w14:paraId="361DC815" w14:textId="4025D4C6" w:rsidR="005D36C6" w:rsidRPr="00A04E56" w:rsidRDefault="008C1D39" w:rsidP="00AA0340">
      <w:pPr>
        <w:pStyle w:val="Title3NumberedReport"/>
      </w:pPr>
      <w:r w:rsidRPr="00A04E56">
        <w:t>Implementation and latest achievements</w:t>
      </w:r>
      <w:r w:rsidR="005D36C6" w:rsidRPr="00A04E56">
        <w:rPr>
          <w:rStyle w:val="fnRef"/>
          <w:rFonts w:ascii="Calibri" w:hAnsi="Calibri" w:cs="Calibri"/>
          <w:b w:val="0"/>
        </w:rPr>
        <w:t> </w:t>
      </w:r>
      <w:r w:rsidR="005D36C6" w:rsidRPr="00A04E56">
        <w:rPr>
          <w:rStyle w:val="fnRef"/>
          <w:b w:val="0"/>
        </w:rPr>
        <w:t>(</w:t>
      </w:r>
      <w:r w:rsidR="005D36C6" w:rsidRPr="00A04E56">
        <w:rPr>
          <w:rStyle w:val="fnRefNo"/>
          <w:b w:val="0"/>
        </w:rPr>
        <w:footnoteReference w:id="355"/>
      </w:r>
      <w:r w:rsidR="005D36C6" w:rsidRPr="00A04E56">
        <w:rPr>
          <w:rStyle w:val="fnRef"/>
          <w:b w:val="0"/>
        </w:rPr>
        <w:t>)</w:t>
      </w:r>
    </w:p>
    <w:p w14:paraId="2F91A9F1" w14:textId="05B709F3" w:rsidR="005D36C6" w:rsidRPr="00A04E56" w:rsidDel="00833B63" w:rsidRDefault="005D36C6" w:rsidP="000F72DD">
      <w:pPr>
        <w:pStyle w:val="BodyText1spaceafter"/>
        <w:keepNext/>
      </w:pPr>
      <w:r w:rsidRPr="00A04E56">
        <w:t>In</w:t>
      </w:r>
      <w:r w:rsidRPr="00A04E56">
        <w:rPr>
          <w:rStyle w:val="BOLDLIGHTBLUEReport"/>
          <w:rFonts w:eastAsiaTheme="minorHAnsi"/>
        </w:rPr>
        <w:t xml:space="preserve"> </w:t>
      </w:r>
      <w:r w:rsidRPr="00A04E56">
        <w:t xml:space="preserve">2014-2018, </w:t>
      </w:r>
      <w:r w:rsidR="00F20EBD" w:rsidRPr="00A04E56">
        <w:t xml:space="preserve">the </w:t>
      </w:r>
      <w:r w:rsidRPr="00A04E56">
        <w:t xml:space="preserve">European Globalisation </w:t>
      </w:r>
      <w:r w:rsidR="00D70986" w:rsidRPr="00A04E56">
        <w:t xml:space="preserve">Adjustment </w:t>
      </w:r>
      <w:r w:rsidRPr="00A04E56">
        <w:t>Fund</w:t>
      </w:r>
      <w:r w:rsidRPr="00A04E56">
        <w:rPr>
          <w:b/>
        </w:rPr>
        <w:t xml:space="preserve"> </w:t>
      </w:r>
      <w:r w:rsidR="00D70986" w:rsidRPr="00A04E56">
        <w:t xml:space="preserve">offered </w:t>
      </w:r>
      <w:r w:rsidRPr="00A04E56">
        <w:t>support</w:t>
      </w:r>
      <w:r w:rsidRPr="00A04E56">
        <w:rPr>
          <w:rStyle w:val="BOLDLIGHTBLUEReport"/>
          <w:rFonts w:eastAsiaTheme="minorHAnsi"/>
        </w:rPr>
        <w:t xml:space="preserve"> </w:t>
      </w:r>
      <w:r w:rsidR="00D70986" w:rsidRPr="00A04E56">
        <w:t>to</w:t>
      </w:r>
      <w:r w:rsidR="00D70986" w:rsidRPr="00A04E56">
        <w:rPr>
          <w:rStyle w:val="BOLDLIGHTBLUEReport"/>
          <w:rFonts w:eastAsiaTheme="minorHAnsi"/>
        </w:rPr>
        <w:t xml:space="preserve"> 49 062</w:t>
      </w:r>
      <w:r w:rsidRPr="00A04E56">
        <w:t xml:space="preserve"> targeted </w:t>
      </w:r>
      <w:r w:rsidRPr="00A04E56">
        <w:rPr>
          <w:rStyle w:val="BOLDLIGHTBLUEReport"/>
          <w:rFonts w:eastAsiaTheme="minorHAnsi"/>
        </w:rPr>
        <w:t>workers and persons</w:t>
      </w:r>
      <w:r w:rsidRPr="00A04E56">
        <w:t xml:space="preserve"> </w:t>
      </w:r>
      <w:r w:rsidRPr="00A04E56">
        <w:rPr>
          <w:rStyle w:val="BOLDLIGHTBLUEReport"/>
          <w:rFonts w:eastAsiaTheme="minorHAnsi"/>
        </w:rPr>
        <w:t xml:space="preserve">not in education, employment, or training </w:t>
      </w:r>
      <w:r w:rsidRPr="00A04E56">
        <w:t xml:space="preserve">(NEETs) in </w:t>
      </w:r>
      <w:r w:rsidR="00D70986" w:rsidRPr="00A04E56">
        <w:rPr>
          <w:rStyle w:val="BOLDLIGHTBLUEReport"/>
          <w:rFonts w:eastAsiaTheme="minorHAnsi"/>
        </w:rPr>
        <w:t>27</w:t>
      </w:r>
      <w:r w:rsidRPr="00A04E56">
        <w:rPr>
          <w:rStyle w:val="BOLDLIGHTBLUEReport"/>
          <w:rFonts w:eastAsiaTheme="minorHAnsi"/>
        </w:rPr>
        <w:t xml:space="preserve"> different economic sectors</w:t>
      </w:r>
      <w:r w:rsidRPr="00A04E56">
        <w:t>. The reintegration rate of redundant workers into the job market improved compared to the previous funding period 2007-2013 (from 49% to 56%)</w:t>
      </w:r>
      <w:r w:rsidRPr="00A04E56">
        <w:rPr>
          <w:rStyle w:val="fnRef"/>
          <w:rFonts w:ascii="Calibri" w:hAnsi="Calibri" w:cs="Calibri"/>
        </w:rPr>
        <w:t> </w:t>
      </w:r>
      <w:r w:rsidRPr="00A04E56">
        <w:rPr>
          <w:rStyle w:val="fnRef"/>
        </w:rPr>
        <w:t>(</w:t>
      </w:r>
      <w:r w:rsidRPr="00A04E56">
        <w:rPr>
          <w:rStyle w:val="fnRefNo"/>
        </w:rPr>
        <w:footnoteReference w:id="356"/>
      </w:r>
      <w:r w:rsidRPr="00A04E56">
        <w:rPr>
          <w:rStyle w:val="fnRef"/>
        </w:rPr>
        <w:t>)</w:t>
      </w:r>
      <w:r w:rsidRPr="00A04E56">
        <w:t xml:space="preserve">. </w:t>
      </w:r>
      <w:r w:rsidR="008C1D39" w:rsidRPr="00A04E56">
        <w:rPr>
          <w:i/>
          <w:u w:val="single"/>
        </w:rPr>
        <w:t>In 2018</w:t>
      </w:r>
      <w:r w:rsidR="00F94322" w:rsidRPr="00A04E56">
        <w:t>, Member States received</w:t>
      </w:r>
      <w:r w:rsidRPr="00A04E56" w:rsidDel="00833B63">
        <w:t xml:space="preserve"> </w:t>
      </w:r>
      <w:r w:rsidRPr="00A04E56" w:rsidDel="00717F2A">
        <w:t>EUR</w:t>
      </w:r>
      <w:r w:rsidRPr="00A04E56">
        <w:rPr>
          <w:rFonts w:ascii="Calibri" w:hAnsi="Calibri" w:cs="Calibri"/>
        </w:rPr>
        <w:t> </w:t>
      </w:r>
      <w:r w:rsidRPr="00A04E56" w:rsidDel="00833B63">
        <w:t>27.7</w:t>
      </w:r>
      <w:r w:rsidRPr="00A04E56">
        <w:rPr>
          <w:rFonts w:ascii="Calibri" w:hAnsi="Calibri" w:cs="Calibri"/>
        </w:rPr>
        <w:t> </w:t>
      </w:r>
      <w:r w:rsidRPr="00A04E56">
        <w:t>million</w:t>
      </w:r>
      <w:r w:rsidRPr="00A04E56" w:rsidDel="00833B63">
        <w:t xml:space="preserve"> </w:t>
      </w:r>
      <w:r w:rsidR="00F94322" w:rsidRPr="00A04E56">
        <w:t>to support former work</w:t>
      </w:r>
      <w:r w:rsidR="00514D60" w:rsidRPr="00A04E56">
        <w:t>er</w:t>
      </w:r>
      <w:r w:rsidR="00F94322" w:rsidRPr="00A04E56">
        <w:t xml:space="preserve">s that had been made redundant. </w:t>
      </w:r>
      <w:r w:rsidRPr="00A04E56">
        <w:t>Some examples</w:t>
      </w:r>
      <w:r w:rsidR="00D70986" w:rsidRPr="00A04E56">
        <w:t xml:space="preserve"> of the support offered </w:t>
      </w:r>
      <w:r w:rsidR="008C1D39" w:rsidRPr="00A04E56">
        <w:rPr>
          <w:i/>
          <w:u w:val="single"/>
        </w:rPr>
        <w:t>in 2018</w:t>
      </w:r>
      <w:r w:rsidR="000956AF" w:rsidRPr="000956AF">
        <w:rPr>
          <w:rFonts w:ascii="Calibri" w:hAnsi="Calibri" w:cs="Calibri"/>
          <w:i/>
        </w:rPr>
        <w:t> </w:t>
      </w:r>
      <w:r w:rsidR="000956AF" w:rsidRPr="000956AF">
        <w:rPr>
          <w:rFonts w:ascii="Calibri" w:hAnsi="Calibri" w:cs="Calibri"/>
        </w:rPr>
        <w:t>(</w:t>
      </w:r>
      <w:r w:rsidR="00FF0D2D" w:rsidRPr="004A3E3F">
        <w:rPr>
          <w:rStyle w:val="fnRefNo"/>
        </w:rPr>
        <w:footnoteReference w:id="357"/>
      </w:r>
      <w:r w:rsidR="000956AF" w:rsidRPr="000956AF">
        <w:rPr>
          <w:rFonts w:ascii="Calibri" w:hAnsi="Calibri" w:cs="Calibri"/>
        </w:rPr>
        <w:t>)</w:t>
      </w:r>
      <w:r w:rsidRPr="00A04E56">
        <w:t>:</w:t>
      </w:r>
    </w:p>
    <w:p w14:paraId="02315400" w14:textId="3819FDB3" w:rsidR="005D36C6" w:rsidRPr="00A04E56" w:rsidDel="00833B63" w:rsidRDefault="005D36C6" w:rsidP="00FB0BCF">
      <w:pPr>
        <w:pStyle w:val="BulletsblueNew"/>
      </w:pPr>
      <w:r w:rsidRPr="00A04E56" w:rsidDel="00833B63">
        <w:t>for 550 former workers in t</w:t>
      </w:r>
      <w:r w:rsidR="00922382">
        <w:t>he publishing sector in Greece;</w:t>
      </w:r>
    </w:p>
    <w:p w14:paraId="3970487C" w14:textId="075FDC8A" w:rsidR="005D36C6" w:rsidRPr="00A04E56" w:rsidDel="00833B63" w:rsidRDefault="005D36C6" w:rsidP="00FB0BCF">
      <w:pPr>
        <w:pStyle w:val="BulletsblueNew"/>
      </w:pPr>
      <w:r w:rsidRPr="00A04E56" w:rsidDel="00833B63">
        <w:t>for 730 former workers in the Portuguese clothing sector</w:t>
      </w:r>
      <w:r w:rsidR="00FF0D2D" w:rsidRPr="00A04E56">
        <w:t>;</w:t>
      </w:r>
    </w:p>
    <w:p w14:paraId="565B29D8" w14:textId="77777777" w:rsidR="005D36C6" w:rsidRPr="00A04E56" w:rsidDel="00833B63" w:rsidRDefault="005D36C6" w:rsidP="00FB0BCF">
      <w:pPr>
        <w:pStyle w:val="BulletsblueNew"/>
      </w:pPr>
      <w:r w:rsidRPr="00A04E56" w:rsidDel="00833B63">
        <w:t>for 1</w:t>
      </w:r>
      <w:r w:rsidRPr="00A04E56">
        <w:rPr>
          <w:rFonts w:ascii="Calibri" w:hAnsi="Calibri" w:cs="Calibri"/>
        </w:rPr>
        <w:t> </w:t>
      </w:r>
      <w:r w:rsidRPr="00A04E56" w:rsidDel="006B6F86">
        <w:t>858</w:t>
      </w:r>
      <w:r w:rsidRPr="00A04E56" w:rsidDel="00833B63">
        <w:t xml:space="preserve"> former workers of Air France;</w:t>
      </w:r>
    </w:p>
    <w:p w14:paraId="02613750" w14:textId="5A48B8EC" w:rsidR="005D36C6" w:rsidRPr="00A04E56" w:rsidDel="00833B63" w:rsidRDefault="005D36C6" w:rsidP="00FB0BCF">
      <w:pPr>
        <w:pStyle w:val="BulletsblueNew"/>
      </w:pPr>
      <w:r w:rsidRPr="00A04E56" w:rsidDel="00833B63">
        <w:t>for 2</w:t>
      </w:r>
      <w:r w:rsidRPr="00A04E56">
        <w:rPr>
          <w:rFonts w:ascii="Calibri" w:hAnsi="Calibri" w:cs="Calibri"/>
        </w:rPr>
        <w:t> </w:t>
      </w:r>
      <w:r w:rsidR="00D70986" w:rsidRPr="00A04E56">
        <w:t>285</w:t>
      </w:r>
      <w:r w:rsidR="00D70986" w:rsidRPr="00A04E56" w:rsidDel="00833B63">
        <w:t xml:space="preserve"> </w:t>
      </w:r>
      <w:r w:rsidRPr="00A04E56" w:rsidDel="00833B63">
        <w:t xml:space="preserve">former Caterpillar </w:t>
      </w:r>
      <w:r w:rsidR="00782325" w:rsidRPr="00A04E56">
        <w:t>employees</w:t>
      </w:r>
      <w:r w:rsidR="00782325" w:rsidRPr="00A04E56" w:rsidDel="00833B63">
        <w:t xml:space="preserve"> </w:t>
      </w:r>
      <w:r w:rsidRPr="00A04E56" w:rsidDel="00833B63">
        <w:t>in Belgium</w:t>
      </w:r>
      <w:r w:rsidR="00FF0D2D" w:rsidRPr="00A04E56">
        <w:t>;</w:t>
      </w:r>
    </w:p>
    <w:p w14:paraId="6693A47E" w14:textId="77777777" w:rsidR="005D36C6" w:rsidRPr="00A04E56" w:rsidDel="00833B63" w:rsidRDefault="005D36C6" w:rsidP="00FB0BCF">
      <w:pPr>
        <w:pStyle w:val="BulletsblueNew"/>
      </w:pPr>
      <w:r w:rsidRPr="00A04E56" w:rsidDel="00833B63">
        <w:t>for 646 former Goodyear workers in Germany</w:t>
      </w:r>
      <w:r w:rsidRPr="00A04E56">
        <w:t>;</w:t>
      </w:r>
    </w:p>
    <w:p w14:paraId="491A6AF7" w14:textId="3C81ADED" w:rsidR="005D36C6" w:rsidRPr="00A04E56" w:rsidDel="00833B63" w:rsidRDefault="00D70986" w:rsidP="00FB0BCF">
      <w:pPr>
        <w:pStyle w:val="BulletsblueNew"/>
      </w:pPr>
      <w:r w:rsidRPr="00A04E56">
        <w:t xml:space="preserve">for </w:t>
      </w:r>
      <w:r w:rsidR="005D36C6" w:rsidRPr="00A04E56" w:rsidDel="00833B63">
        <w:t xml:space="preserve">303 former workers in </w:t>
      </w:r>
      <w:r w:rsidRPr="00A04E56">
        <w:t>the Spanish clothing sector in Galicia</w:t>
      </w:r>
      <w:r w:rsidR="005D36C6" w:rsidRPr="00A04E56">
        <w:t>;</w:t>
      </w:r>
    </w:p>
    <w:p w14:paraId="15865382" w14:textId="14B49D5D" w:rsidR="005D36C6" w:rsidRPr="00A04E56" w:rsidDel="00833B63" w:rsidRDefault="00D70986" w:rsidP="00FB0BCF">
      <w:pPr>
        <w:pStyle w:val="BulletsblueNew-Spaceafter"/>
      </w:pPr>
      <w:r w:rsidRPr="00A04E56">
        <w:t xml:space="preserve">for </w:t>
      </w:r>
      <w:r w:rsidR="005D36C6" w:rsidRPr="00A04E56" w:rsidDel="00833B63">
        <w:t>900 former Ericson workers in Sweden</w:t>
      </w:r>
      <w:r w:rsidR="005D36C6" w:rsidRPr="00A04E56">
        <w:t>.</w:t>
      </w:r>
    </w:p>
    <w:p w14:paraId="3E89C81C" w14:textId="4D0187A3" w:rsidR="005D36C6" w:rsidRPr="00A04E56" w:rsidRDefault="005D36C6" w:rsidP="00FB0BCF">
      <w:pPr>
        <w:pStyle w:val="BodyText1spacebeforeandafter"/>
      </w:pPr>
      <w:r w:rsidRPr="00A04E56">
        <w:t xml:space="preserve">This financial support </w:t>
      </w:r>
      <w:r w:rsidR="00D70986" w:rsidRPr="00A04E56">
        <w:t xml:space="preserve">was </w:t>
      </w:r>
      <w:r w:rsidRPr="00A04E56">
        <w:t xml:space="preserve">used for helping </w:t>
      </w:r>
      <w:r w:rsidR="00F94322" w:rsidRPr="00A04E56">
        <w:t xml:space="preserve">these workers </w:t>
      </w:r>
      <w:r w:rsidRPr="00A04E56">
        <w:t xml:space="preserve">with looking for a new job, career advice, education and training, mentoring and coaching or encouraging entrepreneurship and business creation. </w:t>
      </w:r>
    </w:p>
    <w:p w14:paraId="0394A07D" w14:textId="4F245EB7" w:rsidR="005D36C6" w:rsidRPr="00A04E56" w:rsidRDefault="00DC34A2" w:rsidP="00AA0340">
      <w:pPr>
        <w:pStyle w:val="Title3NumberedReport"/>
      </w:pPr>
      <w:r w:rsidRPr="00A04E56">
        <w:t>Assessment and evaluation</w:t>
      </w:r>
      <w:r w:rsidR="005D36C6" w:rsidRPr="00A04E56">
        <w:rPr>
          <w:rStyle w:val="fnRef"/>
          <w:rFonts w:ascii="Calibri" w:hAnsi="Calibri" w:cs="Calibri"/>
          <w:b w:val="0"/>
        </w:rPr>
        <w:t> </w:t>
      </w:r>
      <w:r w:rsidR="005D36C6" w:rsidRPr="00A04E56">
        <w:rPr>
          <w:rStyle w:val="fnRef"/>
          <w:b w:val="0"/>
        </w:rPr>
        <w:t>(</w:t>
      </w:r>
      <w:r w:rsidR="005D36C6" w:rsidRPr="00A04E56">
        <w:rPr>
          <w:rStyle w:val="fnRefNo"/>
          <w:b w:val="0"/>
        </w:rPr>
        <w:footnoteReference w:id="358"/>
      </w:r>
      <w:r w:rsidR="005D36C6" w:rsidRPr="00A04E56">
        <w:rPr>
          <w:rStyle w:val="fnRef"/>
          <w:b w:val="0"/>
        </w:rPr>
        <w:t>)</w:t>
      </w:r>
    </w:p>
    <w:p w14:paraId="77DD933B" w14:textId="43D2B90E" w:rsidR="005D36C6" w:rsidRPr="00A04E56" w:rsidRDefault="005D36C6" w:rsidP="005D36C6">
      <w:pPr>
        <w:pStyle w:val="BodyText1spaceafter"/>
      </w:pPr>
      <w:r w:rsidRPr="00A04E56">
        <w:t xml:space="preserve">The results of the 2018 midterm evaluation of the European Globalisation </w:t>
      </w:r>
      <w:r w:rsidR="00D70986" w:rsidRPr="00A04E56">
        <w:t xml:space="preserve">Adjustment </w:t>
      </w:r>
      <w:r w:rsidRPr="00A04E56">
        <w:t>Fund</w:t>
      </w:r>
      <w:r w:rsidRPr="00A04E56">
        <w:rPr>
          <w:rStyle w:val="fnRef"/>
          <w:rFonts w:ascii="Calibri" w:hAnsi="Calibri" w:cs="Calibri"/>
        </w:rPr>
        <w:t> </w:t>
      </w:r>
      <w:r w:rsidRPr="00A04E56">
        <w:rPr>
          <w:rStyle w:val="fnRef"/>
        </w:rPr>
        <w:t>(</w:t>
      </w:r>
      <w:r w:rsidRPr="00A04E56">
        <w:rPr>
          <w:rStyle w:val="fnRefNo"/>
        </w:rPr>
        <w:footnoteReference w:id="359"/>
      </w:r>
      <w:r w:rsidRPr="00A04E56">
        <w:rPr>
          <w:rStyle w:val="fnRef"/>
        </w:rPr>
        <w:t>)</w:t>
      </w:r>
      <w:r w:rsidRPr="00A04E56">
        <w:t xml:space="preserve"> show that it offers </w:t>
      </w:r>
      <w:r w:rsidR="005B250F" w:rsidRPr="00A04E56">
        <w:t xml:space="preserve">redundant </w:t>
      </w:r>
      <w:r w:rsidRPr="00A04E56">
        <w:t xml:space="preserve">workers a unique combination of tailored measures that lead to more sustainable results, increase the self-esteem of beneficiaries (who finally have a more proactive approach to job seeking), and improves their employability. </w:t>
      </w:r>
    </w:p>
    <w:p w14:paraId="0A6624A4" w14:textId="3551E046" w:rsidR="005D36C6" w:rsidRPr="00A04E56" w:rsidRDefault="005D36C6" w:rsidP="005D36C6">
      <w:pPr>
        <w:pStyle w:val="BodyText1spaceafter"/>
      </w:pPr>
      <w:r w:rsidRPr="00A04E56">
        <w:t xml:space="preserve">However, the evaluation also indicated that the European Globalisation </w:t>
      </w:r>
      <w:r w:rsidR="00D70986" w:rsidRPr="00A04E56">
        <w:t xml:space="preserve">Adjustment </w:t>
      </w:r>
      <w:r w:rsidRPr="00A04E56">
        <w:t xml:space="preserve">Fund eligibility criteria of funding are limited to redundancies due to globalisation or the financial </w:t>
      </w:r>
      <w:r w:rsidR="00ED6465" w:rsidRPr="00A04E56">
        <w:t xml:space="preserve">and economic </w:t>
      </w:r>
      <w:r w:rsidRPr="00A04E56">
        <w:t>crisis and do not cover other major economic developments. For example, when workers are made redundant for reasons</w:t>
      </w:r>
      <w:r w:rsidR="00F63B09" w:rsidRPr="00A04E56">
        <w:t xml:space="preserve"> </w:t>
      </w:r>
      <w:r w:rsidR="00ED6465" w:rsidRPr="00A04E56">
        <w:t>of</w:t>
      </w:r>
      <w:r w:rsidRPr="00A04E56">
        <w:t xml:space="preserve"> automation</w:t>
      </w:r>
      <w:r w:rsidR="00ED6465" w:rsidRPr="00A04E56">
        <w:t xml:space="preserve"> or digitisation</w:t>
      </w:r>
      <w:r w:rsidRPr="00A04E56">
        <w:t xml:space="preserve">, they cannot benefit from the European Globalisation </w:t>
      </w:r>
      <w:r w:rsidR="00D70986" w:rsidRPr="00A04E56">
        <w:t xml:space="preserve">Adjustment </w:t>
      </w:r>
      <w:r w:rsidRPr="00A04E56">
        <w:t xml:space="preserve">Fund support. Moreover, applying for support is unnecessarily burdensome (extensive </w:t>
      </w:r>
      <w:r w:rsidR="00D70986" w:rsidRPr="00A04E56">
        <w:t>justification</w:t>
      </w:r>
      <w:r w:rsidRPr="00A04E56">
        <w:t xml:space="preserve"> required) and </w:t>
      </w:r>
      <w:r w:rsidR="00D70986" w:rsidRPr="00A04E56">
        <w:t xml:space="preserve">is subject </w:t>
      </w:r>
      <w:r w:rsidRPr="00A04E56">
        <w:t xml:space="preserve">to a long approval process. Finally, the evaluation showed that monitoring and </w:t>
      </w:r>
      <w:r w:rsidR="00F94322" w:rsidRPr="00A04E56">
        <w:t>reporting needs to be improved in order to better analyse the effectiveness of the fund.</w:t>
      </w:r>
      <w:r w:rsidRPr="00A04E56">
        <w:t xml:space="preserve"> </w:t>
      </w:r>
    </w:p>
    <w:p w14:paraId="0B9851C4" w14:textId="57EB51D5" w:rsidR="005D36C6" w:rsidRPr="00A04E56" w:rsidRDefault="005D36C6" w:rsidP="005D36C6">
      <w:pPr>
        <w:pStyle w:val="BodyText1spaceafter"/>
      </w:pPr>
      <w:r w:rsidRPr="00A04E56">
        <w:t xml:space="preserve">Based on these findings, </w:t>
      </w:r>
      <w:r w:rsidRPr="00A04E56">
        <w:rPr>
          <w:i/>
          <w:u w:val="single"/>
        </w:rPr>
        <w:t>on 30</w:t>
      </w:r>
      <w:r w:rsidRPr="00A04E56">
        <w:rPr>
          <w:rFonts w:ascii="Calibri" w:hAnsi="Calibri" w:cs="Calibri"/>
          <w:i/>
          <w:u w:val="single"/>
        </w:rPr>
        <w:t> </w:t>
      </w:r>
      <w:r w:rsidRPr="00A04E56">
        <w:rPr>
          <w:i/>
          <w:u w:val="single"/>
        </w:rPr>
        <w:t>May</w:t>
      </w:r>
      <w:r w:rsidRPr="00A04E56">
        <w:rPr>
          <w:rFonts w:ascii="Calibri" w:hAnsi="Calibri" w:cs="Calibri"/>
          <w:i/>
          <w:u w:val="single"/>
        </w:rPr>
        <w:t> </w:t>
      </w:r>
      <w:r w:rsidRPr="00A04E56">
        <w:rPr>
          <w:i/>
          <w:u w:val="single"/>
        </w:rPr>
        <w:t>2018</w:t>
      </w:r>
      <w:r w:rsidRPr="00A04E56">
        <w:t xml:space="preserve">, the Commission adopted a proposal for a strengthened and more effective European Globalisation </w:t>
      </w:r>
      <w:r w:rsidR="00F94322" w:rsidRPr="00A04E56">
        <w:t xml:space="preserve">Adjustment </w:t>
      </w:r>
      <w:r w:rsidRPr="00A04E56">
        <w:t>Fund</w:t>
      </w:r>
      <w:r w:rsidRPr="00A04E56">
        <w:rPr>
          <w:rStyle w:val="fnRef"/>
          <w:rFonts w:ascii="Calibri" w:hAnsi="Calibri" w:cs="Calibri"/>
        </w:rPr>
        <w:t> </w:t>
      </w:r>
      <w:r w:rsidRPr="00A04E56">
        <w:rPr>
          <w:rStyle w:val="fnRef"/>
        </w:rPr>
        <w:t>(</w:t>
      </w:r>
      <w:r w:rsidRPr="00A04E56">
        <w:rPr>
          <w:rStyle w:val="fnRefNo"/>
        </w:rPr>
        <w:footnoteReference w:id="360"/>
      </w:r>
      <w:r w:rsidRPr="00A04E56">
        <w:rPr>
          <w:rStyle w:val="fnRef"/>
        </w:rPr>
        <w:t>)</w:t>
      </w:r>
      <w:r w:rsidRPr="00A04E56">
        <w:t xml:space="preserve"> as from 2021, with a wider scope of application covering </w:t>
      </w:r>
      <w:r w:rsidR="00D54B16" w:rsidRPr="00A04E56">
        <w:t xml:space="preserve">also any large-scale </w:t>
      </w:r>
      <w:r w:rsidRPr="00A04E56">
        <w:t>restructuring events</w:t>
      </w:r>
      <w:r w:rsidR="00D54B16" w:rsidRPr="00A04E56">
        <w:t>, such as the ones</w:t>
      </w:r>
      <w:r w:rsidR="00FB39BC" w:rsidRPr="00A04E56">
        <w:t xml:space="preserve"> </w:t>
      </w:r>
      <w:r w:rsidRPr="00A04E56">
        <w:t>caused by automation and digitisation and with a lower threshold for intervention, as well as a simplified and faster budgetary mechanism.</w:t>
      </w:r>
    </w:p>
    <w:p w14:paraId="618DC52D" w14:textId="77777777" w:rsidR="00FC5564" w:rsidRPr="00A04E56" w:rsidRDefault="00FC5564" w:rsidP="00FC5564">
      <w:pPr>
        <w:pStyle w:val="TITLE1Report"/>
      </w:pPr>
      <w:bookmarkStart w:id="228" w:name="_Toc535249368"/>
      <w:bookmarkStart w:id="229" w:name="Section2"/>
      <w:bookmarkStart w:id="230" w:name="_Toc4680811"/>
      <w:bookmarkStart w:id="231" w:name="_Toc4683084"/>
      <w:bookmarkStart w:id="232" w:name="_Toc6403741"/>
      <w:r w:rsidRPr="00A04E56">
        <w:t>Section 2</w:t>
      </w:r>
      <w:bookmarkEnd w:id="228"/>
      <w:r w:rsidRPr="00A04E56">
        <w:t xml:space="preserve"> </w:t>
      </w:r>
      <w:bookmarkStart w:id="233" w:name="_Toc535249369"/>
      <w:bookmarkEnd w:id="229"/>
      <w:r w:rsidRPr="00A04E56">
        <w:br/>
        <w:t>Internal control and financial management</w:t>
      </w:r>
      <w:bookmarkEnd w:id="230"/>
      <w:bookmarkEnd w:id="231"/>
      <w:bookmarkEnd w:id="232"/>
      <w:bookmarkEnd w:id="233"/>
    </w:p>
    <w:p w14:paraId="183ADFD6" w14:textId="1B000472" w:rsidR="00FC5564" w:rsidRPr="00A04E56" w:rsidRDefault="00FC5564" w:rsidP="00FC5564">
      <w:pPr>
        <w:pStyle w:val="Title2Report"/>
      </w:pPr>
      <w:bookmarkStart w:id="234" w:name="_Toc6403742"/>
      <w:bookmarkStart w:id="235" w:name="_Toc9534253"/>
      <w:bookmarkStart w:id="236" w:name="_Toc9879907"/>
      <w:bookmarkStart w:id="237" w:name="_Toc10549878"/>
      <w:bookmarkStart w:id="238" w:name="_Toc12021050"/>
      <w:bookmarkStart w:id="239" w:name="_Toc4603997"/>
      <w:bookmarkStart w:id="240" w:name="_Toc4680812"/>
      <w:bookmarkStart w:id="241" w:name="_Toc4683085"/>
      <w:bookmarkStart w:id="242" w:name="_Toc4683117"/>
      <w:r w:rsidRPr="00A04E56">
        <w:t xml:space="preserve">1. </w:t>
      </w:r>
      <w:bookmarkStart w:id="243" w:name="TheEUbudgetiswellmanaged"/>
      <w:r w:rsidR="00D04988" w:rsidRPr="00A04E56">
        <w:t>The E</w:t>
      </w:r>
      <w:r w:rsidR="0044575E" w:rsidRPr="00A04E56">
        <w:t>U</w:t>
      </w:r>
      <w:r w:rsidR="00D04988" w:rsidRPr="00A04E56">
        <w:t xml:space="preserve"> budget is well</w:t>
      </w:r>
      <w:r w:rsidR="00AA4707">
        <w:t>-</w:t>
      </w:r>
      <w:r w:rsidR="00C010D2" w:rsidRPr="00A04E56">
        <w:t>managed</w:t>
      </w:r>
      <w:bookmarkEnd w:id="234"/>
      <w:bookmarkEnd w:id="235"/>
      <w:bookmarkEnd w:id="236"/>
      <w:bookmarkEnd w:id="237"/>
      <w:bookmarkEnd w:id="243"/>
      <w:bookmarkEnd w:id="238"/>
      <w:r w:rsidRPr="00A04E56">
        <w:t xml:space="preserve"> </w:t>
      </w:r>
    </w:p>
    <w:p w14:paraId="7E199683" w14:textId="79B1DB15" w:rsidR="00FC5564" w:rsidRPr="00A04E56" w:rsidRDefault="00FC5564" w:rsidP="0044575E">
      <w:pPr>
        <w:pStyle w:val="BodyText1spaceafter"/>
      </w:pPr>
      <w:r w:rsidRPr="00A04E56">
        <w:t>The European Commission attaches great importance to the proper use of the EU budget.</w:t>
      </w:r>
      <w:r w:rsidR="0044575E" w:rsidRPr="00A04E56">
        <w:t xml:space="preserve"> Its well-designed control systems reduce the risk to the </w:t>
      </w:r>
      <w:r w:rsidR="0044575E" w:rsidRPr="00A04E56">
        <w:rPr>
          <w:rStyle w:val="BOLDLIGHTBLUEReport"/>
          <w:rFonts w:eastAsiaTheme="minorHAnsi"/>
        </w:rPr>
        <w:t>legality and regularity</w:t>
      </w:r>
      <w:r w:rsidR="0044575E" w:rsidRPr="00A04E56">
        <w:t xml:space="preserve"> of financial transactions.</w:t>
      </w:r>
    </w:p>
    <w:p w14:paraId="36B01680" w14:textId="5856D2DC" w:rsidR="00FC5564" w:rsidRPr="00A04E56" w:rsidRDefault="0044575E" w:rsidP="00D402B2">
      <w:pPr>
        <w:pStyle w:val="BodyText1spaceafter"/>
      </w:pPr>
      <w:r w:rsidRPr="00A04E56">
        <w:t>In this context, management a</w:t>
      </w:r>
      <w:r w:rsidR="00FC5564" w:rsidRPr="00A04E56">
        <w:t xml:space="preserve">ction is taken to prevent, detect and remedy any errors, irregularities or fraud. </w:t>
      </w:r>
      <w:r w:rsidR="008C1D39" w:rsidRPr="00A04E56">
        <w:rPr>
          <w:i/>
          <w:u w:val="single"/>
        </w:rPr>
        <w:t>In 2018</w:t>
      </w:r>
      <w:r w:rsidR="00FC5564" w:rsidRPr="00A04E56">
        <w:t xml:space="preserve">, for the second year in a row, the overall level of </w:t>
      </w:r>
      <w:r w:rsidR="00FC5564" w:rsidRPr="00A04E56">
        <w:rPr>
          <w:rStyle w:val="BOLDLIGHTBLUEReport"/>
          <w:rFonts w:eastAsiaTheme="minorHAnsi"/>
        </w:rPr>
        <w:t>error</w:t>
      </w:r>
      <w:r w:rsidR="00FC5564" w:rsidRPr="00A04E56">
        <w:t xml:space="preserve"> is estimated to be </w:t>
      </w:r>
      <w:r w:rsidR="00FC5564" w:rsidRPr="00A04E56">
        <w:rPr>
          <w:rStyle w:val="BOLDLIGHTBLUEReport"/>
          <w:rFonts w:eastAsiaTheme="minorHAnsi"/>
        </w:rPr>
        <w:t>below 2%</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61"/>
      </w:r>
      <w:r w:rsidR="00FC5564" w:rsidRPr="00A04E56">
        <w:rPr>
          <w:rStyle w:val="fnRef"/>
        </w:rPr>
        <w:t>)</w:t>
      </w:r>
      <w:r w:rsidR="00FC5564" w:rsidRPr="00A04E56">
        <w:t>.</w:t>
      </w:r>
      <w:r w:rsidR="00C37EE6" w:rsidRPr="00A04E56">
        <w:t xml:space="preserve"> For those segments which have a risk at payment above 2%, management actions are in place.</w:t>
      </w:r>
    </w:p>
    <w:p w14:paraId="6334D96B" w14:textId="54EC5ED6" w:rsidR="00FF5A1B" w:rsidRPr="00A04E56" w:rsidRDefault="00064C43" w:rsidP="00FC5564">
      <w:pPr>
        <w:pStyle w:val="BodyText"/>
        <w:jc w:val="both"/>
      </w:pPr>
      <w:r w:rsidRPr="00064C43">
        <w:rPr>
          <w:noProof/>
          <w:lang w:val="fr-BE" w:eastAsia="fr-BE"/>
        </w:rPr>
        <w:drawing>
          <wp:inline distT="0" distB="0" distL="0" distR="0" wp14:anchorId="674D7D0F" wp14:editId="2FE73BC2">
            <wp:extent cx="5723890" cy="329755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0">
                      <a:extLst>
                        <a:ext uri="{28A0092B-C50C-407E-A947-70E740481C1C}">
                          <a14:useLocalDpi xmlns:a14="http://schemas.microsoft.com/office/drawing/2010/main"/>
                        </a:ext>
                      </a:extLst>
                    </a:blip>
                    <a:srcRect/>
                    <a:stretch>
                      <a:fillRect/>
                    </a:stretch>
                  </pic:blipFill>
                  <pic:spPr bwMode="auto">
                    <a:xfrm>
                      <a:off x="0" y="0"/>
                      <a:ext cx="5723890" cy="3297555"/>
                    </a:xfrm>
                    <a:prstGeom prst="rect">
                      <a:avLst/>
                    </a:prstGeom>
                    <a:noFill/>
                    <a:ln>
                      <a:noFill/>
                    </a:ln>
                  </pic:spPr>
                </pic:pic>
              </a:graphicData>
            </a:graphic>
          </wp:inline>
        </w:drawing>
      </w:r>
    </w:p>
    <w:p w14:paraId="12F2F7B1" w14:textId="16F231C9" w:rsidR="00FC5564" w:rsidRPr="00A04E56" w:rsidRDefault="00FC5564" w:rsidP="00040B9E">
      <w:pPr>
        <w:pStyle w:val="Source-Table-Chart-PhotoCaption"/>
      </w:pPr>
      <w:r w:rsidRPr="00A04E56">
        <w:rPr>
          <w:rStyle w:val="italics"/>
        </w:rPr>
        <w:t>Chart:</w:t>
      </w:r>
      <w:r w:rsidRPr="00A04E56">
        <w:t xml:space="preserve"> Overall risk at payment and at closure, over time. </w:t>
      </w:r>
    </w:p>
    <w:p w14:paraId="0E150351" w14:textId="3F5AB54A" w:rsidR="00FC5564" w:rsidRPr="00A04E56" w:rsidRDefault="00FC5564" w:rsidP="00056A3D">
      <w:pPr>
        <w:pStyle w:val="Source-Table-Chart-PhotoCaption"/>
      </w:pPr>
      <w:r w:rsidRPr="00A04E56">
        <w:rPr>
          <w:rStyle w:val="italics"/>
        </w:rPr>
        <w:t>Source:</w:t>
      </w:r>
      <w:r w:rsidRPr="00A04E56">
        <w:t xml:space="preserve"> </w:t>
      </w:r>
      <w:r w:rsidR="00B04562" w:rsidRPr="00A04E56">
        <w:t xml:space="preserve">European </w:t>
      </w:r>
      <w:r w:rsidRPr="00A04E56">
        <w:t xml:space="preserve">Commission annual activity </w:t>
      </w:r>
      <w:r w:rsidRPr="00277538">
        <w:t>reports</w:t>
      </w:r>
      <w:r w:rsidRPr="00A04E56">
        <w:t>.</w:t>
      </w:r>
    </w:p>
    <w:p w14:paraId="71D4E6E8" w14:textId="6BD31075" w:rsidR="00FC5564" w:rsidRPr="00A04E56" w:rsidRDefault="008C1D39" w:rsidP="001606F7">
      <w:pPr>
        <w:pStyle w:val="BodyText1spacebeforeandafter"/>
      </w:pPr>
      <w:r w:rsidRPr="00A04E56">
        <w:rPr>
          <w:i/>
          <w:u w:val="single"/>
        </w:rPr>
        <w:t>In 2018</w:t>
      </w:r>
      <w:r w:rsidR="00FC5564" w:rsidRPr="00A04E56">
        <w:t>,</w:t>
      </w:r>
      <w:r w:rsidR="00FC5564" w:rsidRPr="00A04E56">
        <w:rPr>
          <w:color w:val="65BBC8" w:themeColor="accent1"/>
        </w:rPr>
        <w:t xml:space="preserve"> </w:t>
      </w:r>
      <w:r w:rsidR="00FC5564" w:rsidRPr="00A04E56">
        <w:rPr>
          <w:b/>
          <w:color w:val="65BBC8" w:themeColor="accent1"/>
        </w:rPr>
        <w:t>a</w:t>
      </w:r>
      <w:r w:rsidR="00FC5564" w:rsidRPr="00A04E56">
        <w:rPr>
          <w:rStyle w:val="BOLDLIGHTBLUEReport"/>
          <w:rFonts w:eastAsiaTheme="minorHAnsi"/>
        </w:rPr>
        <w:t>ll authorising officers by delegation</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62"/>
      </w:r>
      <w:r w:rsidR="00FC5564" w:rsidRPr="00A04E56">
        <w:rPr>
          <w:rStyle w:val="fnRef"/>
        </w:rPr>
        <w:t>)</w:t>
      </w:r>
      <w:r w:rsidR="00FC5564" w:rsidRPr="00A04E56">
        <w:rPr>
          <w:rStyle w:val="BOLDLIGHTBLUEReport"/>
          <w:rFonts w:eastAsiaTheme="minorHAnsi"/>
        </w:rPr>
        <w:t xml:space="preserve"> provided reasonable assurance</w:t>
      </w:r>
      <w:r w:rsidR="00FC5564" w:rsidRPr="00A04E56">
        <w:t xml:space="preserve"> on their </w:t>
      </w:r>
      <w:r w:rsidR="00E3618D" w:rsidRPr="00A04E56">
        <w:t>verififcation (‘</w:t>
      </w:r>
      <w:r w:rsidR="00FC5564" w:rsidRPr="00A04E56">
        <w:t>control</w:t>
      </w:r>
      <w:r w:rsidR="00E3618D" w:rsidRPr="00A04E56">
        <w:t>’)</w:t>
      </w:r>
      <w:r w:rsidR="00FC5564" w:rsidRPr="00A04E56">
        <w:t xml:space="preserve"> systems and financial management. Where appropriate, this assurance was qualified with reservations</w:t>
      </w:r>
      <w:r w:rsidR="00CB6A77" w:rsidRPr="00A04E56">
        <w:t xml:space="preserve"> — </w:t>
      </w:r>
      <w:r w:rsidR="00FC5564" w:rsidRPr="00A04E56">
        <w:t xml:space="preserve">a keystone in the accountability chain. Reservations provide transparency on the challenges and weaknesses encountered in specific areas, as well as on the measures needed to address them. In the 2018 annual activity reports, </w:t>
      </w:r>
      <w:r w:rsidR="00FC5564" w:rsidRPr="00A04E56">
        <w:rPr>
          <w:rStyle w:val="BOLDLIGHTBLUEReport"/>
          <w:rFonts w:eastAsiaTheme="minorHAnsi"/>
        </w:rPr>
        <w:t>the financial impact of the reservations</w:t>
      </w:r>
      <w:r w:rsidR="00FC5564" w:rsidRPr="00A04E56">
        <w:t xml:space="preserve"> </w:t>
      </w:r>
      <w:r w:rsidR="00FC5564" w:rsidRPr="00A04E56">
        <w:rPr>
          <w:rStyle w:val="BOLDLIGHTBLUEReport"/>
          <w:rFonts w:eastAsiaTheme="minorHAnsi"/>
        </w:rPr>
        <w:t>remains limited</w:t>
      </w:r>
      <w:r w:rsidR="00FC5564" w:rsidRPr="00A04E56">
        <w:t>.</w:t>
      </w:r>
    </w:p>
    <w:p w14:paraId="0FAB42D4" w14:textId="65E90CAD" w:rsidR="00FC5564" w:rsidRPr="00A04E56" w:rsidRDefault="00FC5564" w:rsidP="00D402B2">
      <w:pPr>
        <w:pStyle w:val="BodyText1spaceafter"/>
        <w:keepNext/>
      </w:pPr>
      <w:r w:rsidRPr="00A04E56">
        <w:t xml:space="preserve">The Commission’s governance, assurance and accountability model was </w:t>
      </w:r>
      <w:r w:rsidRPr="00A04E56">
        <w:rPr>
          <w:rStyle w:val="BOLDLIGHTBLUEReport"/>
          <w:rFonts w:eastAsiaTheme="minorHAnsi"/>
        </w:rPr>
        <w:t>further strengthened</w:t>
      </w:r>
      <w:r w:rsidRPr="00A04E56">
        <w:t xml:space="preserve"> </w:t>
      </w:r>
      <w:r w:rsidR="008C1D39" w:rsidRPr="00A04E56">
        <w:rPr>
          <w:i/>
          <w:u w:val="single"/>
        </w:rPr>
        <w:t>in 2018</w:t>
      </w:r>
      <w:r w:rsidRPr="00A04E56">
        <w:t xml:space="preserve"> (see the 'building blocks' </w:t>
      </w:r>
      <w:r w:rsidR="0044575E" w:rsidRPr="00A04E56">
        <w:t>in the chart overleaf)</w:t>
      </w:r>
      <w:r w:rsidRPr="00A04E56">
        <w:t>. In addition:</w:t>
      </w:r>
    </w:p>
    <w:p w14:paraId="382F6BE6" w14:textId="41B391E0" w:rsidR="00FC5564" w:rsidRPr="00A04E56" w:rsidRDefault="00FC5564" w:rsidP="00277538">
      <w:pPr>
        <w:pStyle w:val="BulletsblueNew"/>
      </w:pPr>
      <w:r w:rsidRPr="00A04E56">
        <w:t xml:space="preserve">The revised </w:t>
      </w:r>
      <w:r w:rsidR="00AE4B2D" w:rsidRPr="00A04E56">
        <w:t>f</w:t>
      </w:r>
      <w:r w:rsidRPr="00A04E56">
        <w:t xml:space="preserve">inancial </w:t>
      </w:r>
      <w:r w:rsidR="00AE4B2D" w:rsidRPr="00A04E56">
        <w:t>r</w:t>
      </w:r>
      <w:r w:rsidRPr="00A04E56">
        <w:t>egulation has been adopted, reducing red tape for beneficiaries of EU funds and simplifying each important phase in the funding process. These simplification measures are embedded in the new spending programmes proposed by the Commission.</w:t>
      </w:r>
    </w:p>
    <w:p w14:paraId="0E4B28D4" w14:textId="77777777" w:rsidR="00FC5564" w:rsidRPr="00A04E56" w:rsidRDefault="00FC5564" w:rsidP="00277538">
      <w:pPr>
        <w:pStyle w:val="BulletsblueNew"/>
      </w:pPr>
      <w:r w:rsidRPr="00A04E56">
        <w:t>The Commission's revised internal control framework is now fully implemented.</w:t>
      </w:r>
    </w:p>
    <w:p w14:paraId="746A116C" w14:textId="1EBFFBCB" w:rsidR="00FC5564" w:rsidRPr="00A04E56" w:rsidRDefault="00FC5564" w:rsidP="00277538">
      <w:pPr>
        <w:pStyle w:val="BulletsblueNew"/>
      </w:pPr>
      <w:r w:rsidRPr="00A04E56">
        <w:t xml:space="preserve">Outside the Commission, the treatment of </w:t>
      </w:r>
      <w:r w:rsidR="00756904" w:rsidRPr="00A04E56">
        <w:t>conflicts of interest</w:t>
      </w:r>
      <w:r w:rsidRPr="00A04E56">
        <w:t xml:space="preserve"> and the </w:t>
      </w:r>
      <w:r w:rsidR="000A3645">
        <w:t>Framework financial regulation</w:t>
      </w:r>
      <w:r w:rsidRPr="00A04E56">
        <w:t xml:space="preserve"> for </w:t>
      </w:r>
      <w:r w:rsidR="000A3645">
        <w:t xml:space="preserve">decentralised </w:t>
      </w:r>
      <w:r w:rsidRPr="00A04E56">
        <w:t>agencies</w:t>
      </w:r>
      <w:r w:rsidR="004A3E3F">
        <w:rPr>
          <w:rFonts w:ascii="Calibri" w:hAnsi="Calibri" w:cs="Calibri"/>
        </w:rPr>
        <w:t> </w:t>
      </w:r>
      <w:r w:rsidRPr="00A04E56">
        <w:t>(</w:t>
      </w:r>
      <w:r w:rsidRPr="004A3E3F">
        <w:rPr>
          <w:rStyle w:val="fnRefNo"/>
        </w:rPr>
        <w:footnoteReference w:id="363"/>
      </w:r>
      <w:r w:rsidRPr="00A04E56">
        <w:t>) have been strengthened and the Commission has made proposals to protect the EU budget against generalised deficiencies in the rule of law in the Member States.</w:t>
      </w:r>
    </w:p>
    <w:p w14:paraId="242B5638" w14:textId="3FEFF37D" w:rsidR="00FC5564" w:rsidRPr="00A04E56" w:rsidRDefault="00FC5564" w:rsidP="00277538">
      <w:pPr>
        <w:pStyle w:val="BulletsblueNew"/>
      </w:pPr>
      <w:r w:rsidRPr="00A04E56">
        <w:t>Financial management has further improved, resulting in low</w:t>
      </w:r>
      <w:r w:rsidR="00735FF4" w:rsidRPr="00A04E56">
        <w:t>er</w:t>
      </w:r>
      <w:r w:rsidRPr="00A04E56">
        <w:t xml:space="preserve"> error rates, timely payments, further efficiency gains and appropriate costs of control in view of the management environment.</w:t>
      </w:r>
    </w:p>
    <w:p w14:paraId="25DA7BE3" w14:textId="0D2EFE77" w:rsidR="00FC5564" w:rsidRPr="00A04E56" w:rsidRDefault="00FC5564" w:rsidP="00277538">
      <w:pPr>
        <w:pStyle w:val="BulletsblueNew"/>
      </w:pPr>
      <w:r w:rsidRPr="00A04E56">
        <w:t>The identification of any weaknesses leads to a steady level of financial corrections and recoveries.</w:t>
      </w:r>
    </w:p>
    <w:p w14:paraId="5EE4D0CD" w14:textId="2DB24DAF" w:rsidR="007269FC" w:rsidRPr="00A04E56" w:rsidRDefault="007269FC" w:rsidP="00277538">
      <w:pPr>
        <w:pStyle w:val="BulletsblueNew-Spaceafter"/>
      </w:pPr>
      <w:r w:rsidRPr="00A04E56">
        <w:t xml:space="preserve">The internal auditor in his overall opinion considered that, </w:t>
      </w:r>
      <w:r w:rsidR="008C1D39" w:rsidRPr="00A04E56">
        <w:rPr>
          <w:i/>
          <w:u w:val="single"/>
        </w:rPr>
        <w:t>in 2018</w:t>
      </w:r>
      <w:r w:rsidRPr="00A04E56">
        <w:t xml:space="preserve">, the Commission had put in place governance, risk management and internal control procedures which, taken as a whole, are adequate to give reasonable assurance on the achievement of its financial objectives except for those areas under reservation by the </w:t>
      </w:r>
      <w:r w:rsidR="00CC4D2C" w:rsidRPr="00A04E56">
        <w:t xml:space="preserve">directors-general </w:t>
      </w:r>
      <w:r w:rsidRPr="00A04E56">
        <w:t>(see</w:t>
      </w:r>
      <w:r w:rsidR="004B6659" w:rsidRPr="00A04E56">
        <w:t xml:space="preserve"> section 2</w:t>
      </w:r>
      <w:r w:rsidRPr="00A04E56">
        <w:t xml:space="preserve"> subsection </w:t>
      </w:r>
      <w:r w:rsidR="004B6659" w:rsidRPr="00A04E56">
        <w:t>5</w:t>
      </w:r>
      <w:r w:rsidRPr="00A04E56">
        <w:t>).</w:t>
      </w:r>
    </w:p>
    <w:p w14:paraId="39C60282" w14:textId="06CB5454" w:rsidR="00FC5564" w:rsidRPr="00A04E56" w:rsidRDefault="00FC5564" w:rsidP="00D402B2">
      <w:pPr>
        <w:pStyle w:val="BodyText1spaceafter"/>
      </w:pPr>
      <w:r w:rsidRPr="00A04E56">
        <w:t xml:space="preserve">The steady improvement in financial management and control systems has also been confirmed by the </w:t>
      </w:r>
      <w:r w:rsidRPr="00A04E56">
        <w:rPr>
          <w:rStyle w:val="BOLDLIGHTBLUEReport"/>
          <w:rFonts w:eastAsiaTheme="minorHAnsi"/>
        </w:rPr>
        <w:t xml:space="preserve">European Court of Auditors. </w:t>
      </w:r>
      <w:r w:rsidR="008C1D39" w:rsidRPr="00A04E56">
        <w:rPr>
          <w:i/>
          <w:u w:val="single"/>
        </w:rPr>
        <w:t>In 2018</w:t>
      </w:r>
      <w:r w:rsidRPr="00A04E56">
        <w:t xml:space="preserve">, for the second consecutive year, the European Court of Auditors gave a </w:t>
      </w:r>
      <w:r w:rsidRPr="00A04E56">
        <w:rPr>
          <w:rStyle w:val="BOLDLIGHTBLUEReport"/>
          <w:rFonts w:eastAsiaTheme="minorHAnsi"/>
        </w:rPr>
        <w:t>qualified (‘favourable, but</w:t>
      </w:r>
      <w:r w:rsidRPr="00A04E56">
        <w:rPr>
          <w:rStyle w:val="BOLDLIGHTBLUEReport"/>
          <w:rFonts w:ascii="Calibri" w:eastAsiaTheme="minorHAnsi" w:hAnsi="Calibri" w:cs="Calibri"/>
        </w:rPr>
        <w:t> </w:t>
      </w:r>
      <w:r w:rsidRPr="00A04E56">
        <w:rPr>
          <w:rStyle w:val="BOLDLIGHTBLUEReport"/>
          <w:rFonts w:eastAsiaTheme="minorHAnsi"/>
        </w:rPr>
        <w:t>…’) rather than an adverse (</w:t>
      </w:r>
      <w:r w:rsidR="00EE60B2" w:rsidRPr="00A04E56">
        <w:rPr>
          <w:rStyle w:val="BOLDLIGHTBLUEReport"/>
          <w:rFonts w:eastAsiaTheme="minorHAnsi"/>
        </w:rPr>
        <w:t>‘</w:t>
      </w:r>
      <w:r w:rsidRPr="00A04E56">
        <w:rPr>
          <w:rStyle w:val="BOLDLIGHTBLUEReport"/>
          <w:rFonts w:eastAsiaTheme="minorHAnsi"/>
        </w:rPr>
        <w:t>negative’) opinion on the legality and regularity</w:t>
      </w:r>
      <w:r w:rsidRPr="00A04E56">
        <w:t xml:space="preserve"> of the 2017 EU budget payments. In addition, for the 11th consecutive year, the European Court of Auditors also gave a </w:t>
      </w:r>
      <w:r w:rsidRPr="00A04E56">
        <w:rPr>
          <w:rStyle w:val="BOLDLIGHTBLUEReport"/>
          <w:rFonts w:eastAsiaTheme="minorHAnsi"/>
        </w:rPr>
        <w:t>positive (‘clean’) opinion on the EU annual accounts</w:t>
      </w:r>
      <w:r w:rsidRPr="00A04E56">
        <w:t>.</w:t>
      </w:r>
    </w:p>
    <w:p w14:paraId="7C5B1774" w14:textId="1955D71B" w:rsidR="00FC5564" w:rsidRPr="0059411B" w:rsidRDefault="00FC5564" w:rsidP="0059411B">
      <w:pPr>
        <w:pStyle w:val="BOX2Blue"/>
      </w:pPr>
      <w:r w:rsidRPr="0059411B">
        <w:rPr>
          <w:rStyle w:val="BOLDLIGHTBLUEReport"/>
          <w:rFonts w:eastAsiaTheme="minorHAnsi"/>
        </w:rPr>
        <w:t>On the basis of the assurances and reservations in the annual activity reports</w:t>
      </w:r>
      <w:r w:rsidRPr="00A04E56">
        <w:rPr>
          <w:rStyle w:val="fnRef"/>
          <w:rFonts w:ascii="Calibri" w:hAnsi="Calibri" w:cs="Calibri"/>
        </w:rPr>
        <w:t> </w:t>
      </w:r>
      <w:r w:rsidRPr="00A04E56">
        <w:rPr>
          <w:rStyle w:val="fnRef"/>
        </w:rPr>
        <w:t>(</w:t>
      </w:r>
      <w:r w:rsidRPr="00A04E56">
        <w:rPr>
          <w:rStyle w:val="fnRefNo"/>
        </w:rPr>
        <w:footnoteReference w:id="364"/>
      </w:r>
      <w:r w:rsidRPr="00A04E56">
        <w:rPr>
          <w:rStyle w:val="fnRef"/>
        </w:rPr>
        <w:t>)</w:t>
      </w:r>
      <w:r w:rsidRPr="00A04E56">
        <w:t xml:space="preserve">, </w:t>
      </w:r>
      <w:r w:rsidRPr="0059411B">
        <w:t xml:space="preserve">the College adopts this 2018 Annual </w:t>
      </w:r>
      <w:r w:rsidR="00E6257F" w:rsidRPr="0059411B">
        <w:t>M</w:t>
      </w:r>
      <w:r w:rsidR="00813C61" w:rsidRPr="0059411B">
        <w:t xml:space="preserve">anagement and </w:t>
      </w:r>
      <w:r w:rsidR="00E6257F" w:rsidRPr="0059411B">
        <w:t>P</w:t>
      </w:r>
      <w:r w:rsidR="00813C61" w:rsidRPr="0059411B">
        <w:t xml:space="preserve">erformance </w:t>
      </w:r>
      <w:r w:rsidR="00E6257F" w:rsidRPr="0059411B">
        <w:t>R</w:t>
      </w:r>
      <w:r w:rsidR="00813C61" w:rsidRPr="0059411B">
        <w:t xml:space="preserve">eport </w:t>
      </w:r>
      <w:r w:rsidRPr="0059411B">
        <w:t>for the EU budget and takes overall political responsibility for the management of the EU budget.</w:t>
      </w:r>
    </w:p>
    <w:p w14:paraId="1E6C3AAC" w14:textId="3263B6E1" w:rsidR="0044575E" w:rsidRPr="00A04E56" w:rsidRDefault="00FC5564" w:rsidP="00C257BF">
      <w:pPr>
        <w:pStyle w:val="BodyText1spacebeforeandafter"/>
      </w:pPr>
      <w:r w:rsidRPr="00A04E56">
        <w:rPr>
          <w:rStyle w:val="BOLDLIGHTBLUEReport"/>
          <w:rFonts w:eastAsiaTheme="minorHAnsi"/>
        </w:rPr>
        <w:t xml:space="preserve">The Commission achieved these positive results </w:t>
      </w:r>
      <w:r w:rsidRPr="00A04E56">
        <w:t xml:space="preserve">thanks to its </w:t>
      </w:r>
      <w:r w:rsidRPr="00A04E56">
        <w:rPr>
          <w:rStyle w:val="BOLDLIGHTBLUEReport"/>
          <w:rFonts w:eastAsiaTheme="minorHAnsi"/>
        </w:rPr>
        <w:t>assurance model</w:t>
      </w:r>
      <w:r w:rsidRPr="00A04E56">
        <w:t xml:space="preserve"> and a </w:t>
      </w:r>
      <w:r w:rsidRPr="00A04E56">
        <w:rPr>
          <w:rStyle w:val="BOLDLIGHTBLUEReport"/>
          <w:rFonts w:eastAsiaTheme="minorHAnsi"/>
        </w:rPr>
        <w:t>robust control environment</w:t>
      </w:r>
      <w:r w:rsidRPr="00A04E56">
        <w:t>.</w:t>
      </w:r>
    </w:p>
    <w:bookmarkEnd w:id="239"/>
    <w:bookmarkEnd w:id="240"/>
    <w:bookmarkEnd w:id="241"/>
    <w:bookmarkEnd w:id="242"/>
    <w:p w14:paraId="04F04221" w14:textId="07728AC1" w:rsidR="00FC5564" w:rsidRPr="00DD5E94" w:rsidRDefault="00FC5564" w:rsidP="00DD5E94">
      <w:pPr>
        <w:pStyle w:val="SubtitleLightBlueReport11pt"/>
      </w:pPr>
      <w:r w:rsidRPr="00DD5E94">
        <w:t>The Commission has strengthened its robust assurance and accountability model</w:t>
      </w:r>
    </w:p>
    <w:p w14:paraId="1025A563" w14:textId="579AA04F" w:rsidR="00FC5564" w:rsidRPr="00A04E56" w:rsidRDefault="00FC5564" w:rsidP="00D402B2">
      <w:pPr>
        <w:pStyle w:val="BodyText1spaceafter"/>
      </w:pPr>
      <w:r w:rsidRPr="00A04E56">
        <w:t xml:space="preserve">The Commission has strong arrangements in place to ensure sound financial management. The main </w:t>
      </w:r>
      <w:r w:rsidRPr="00A04E56">
        <w:rPr>
          <w:rStyle w:val="BOLDLIGHTBLUEReport"/>
          <w:rFonts w:eastAsiaTheme="minorHAnsi"/>
        </w:rPr>
        <w:t>building blocks</w:t>
      </w:r>
      <w:r w:rsidRPr="00A04E56">
        <w:t xml:space="preserve"> </w:t>
      </w:r>
      <w:r w:rsidR="0044772B" w:rsidRPr="00A04E56">
        <w:t>in</w:t>
      </w:r>
      <w:r w:rsidRPr="00A04E56">
        <w:t xml:space="preserve"> its solid chain of assurance building and accountability, </w:t>
      </w:r>
      <w:r w:rsidR="0044772B" w:rsidRPr="00A04E56">
        <w:t>underpinned by</w:t>
      </w:r>
      <w:r w:rsidRPr="00A04E56">
        <w:t xml:space="preserve"> clear roles and responsibilities</w:t>
      </w:r>
      <w:r w:rsidR="00FB25ED" w:rsidRPr="00A04E56">
        <w:t>. These</w:t>
      </w:r>
      <w:r w:rsidRPr="00A04E56">
        <w:t xml:space="preserve"> are presented in the chart </w:t>
      </w:r>
      <w:r w:rsidR="0044575E" w:rsidRPr="00A04E56">
        <w:t>overleaf</w:t>
      </w:r>
      <w:r w:rsidRPr="00A04E56">
        <w:t xml:space="preserve">. </w:t>
      </w:r>
    </w:p>
    <w:p w14:paraId="0F467FB0" w14:textId="08FED9CD" w:rsidR="00FC5564" w:rsidRPr="00A04E56" w:rsidRDefault="00FC5564" w:rsidP="00D402B2">
      <w:pPr>
        <w:pStyle w:val="BodyText1spaceafter"/>
      </w:pPr>
      <w:r w:rsidRPr="00A04E56">
        <w:t xml:space="preserve">The underlying assurance and accountability model was </w:t>
      </w:r>
      <w:r w:rsidRPr="00A04E56">
        <w:rPr>
          <w:rStyle w:val="BOLDLIGHTBLUEReport"/>
          <w:rFonts w:eastAsiaTheme="minorHAnsi"/>
        </w:rPr>
        <w:t xml:space="preserve">reinforced </w:t>
      </w:r>
      <w:r w:rsidR="008C1D39" w:rsidRPr="00A04E56">
        <w:rPr>
          <w:rStyle w:val="BOLDLIGHTBLUEReport"/>
          <w:rFonts w:eastAsiaTheme="minorHAnsi"/>
          <w:i/>
          <w:u w:val="single"/>
        </w:rPr>
        <w:t>in 2018</w:t>
      </w:r>
      <w:r w:rsidRPr="00A04E56">
        <w:t xml:space="preserve"> by strengthening oversight at corporate level while maintaining the decentralised accountability of authorising officers by delegation for the sound financial management of the funds allocated to their departments. (See also </w:t>
      </w:r>
      <w:r w:rsidR="004B6659" w:rsidRPr="00A04E56">
        <w:t xml:space="preserve">section 2 </w:t>
      </w:r>
      <w:r w:rsidRPr="00A04E56">
        <w:t>subsection</w:t>
      </w:r>
      <w:r w:rsidRPr="00A04E56">
        <w:rPr>
          <w:rFonts w:ascii="Calibri" w:hAnsi="Calibri" w:cs="Calibri"/>
        </w:rPr>
        <w:t> </w:t>
      </w:r>
      <w:r w:rsidRPr="00A04E56">
        <w:t>9.1.</w:t>
      </w:r>
      <w:r w:rsidR="004B6659" w:rsidRPr="00A04E56">
        <w:t xml:space="preserve"> on our ‘robust governance arrangements’</w:t>
      </w:r>
      <w:r w:rsidRPr="00A04E56">
        <w:t>)</w:t>
      </w:r>
    </w:p>
    <w:p w14:paraId="1E9D49AC" w14:textId="6EDAC321" w:rsidR="00FC5564" w:rsidRPr="00A04E56" w:rsidRDefault="00FC5564" w:rsidP="00FC5564">
      <w:pPr>
        <w:pStyle w:val="BodyText"/>
        <w:jc w:val="center"/>
      </w:pPr>
    </w:p>
    <w:p w14:paraId="4EE4C0AB" w14:textId="5B2DE613" w:rsidR="0029497F" w:rsidRPr="00A04E56" w:rsidRDefault="00CA4609" w:rsidP="00FC5564">
      <w:pPr>
        <w:pStyle w:val="BodyText"/>
        <w:jc w:val="center"/>
      </w:pPr>
      <w:r>
        <w:rPr>
          <w:noProof/>
          <w:lang w:val="fr-BE" w:eastAsia="fr-BE"/>
        </w:rPr>
        <w:drawing>
          <wp:inline distT="0" distB="0" distL="0" distR="0" wp14:anchorId="0AE0470A" wp14:editId="78C9806A">
            <wp:extent cx="8553600" cy="5038629"/>
            <wp:effectExtent l="5080" t="0" r="508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ssurance_model_graph - Copy-01.jpg"/>
                    <pic:cNvPicPr/>
                  </pic:nvPicPr>
                  <pic:blipFill>
                    <a:blip r:embed="rId231" cstate="email">
                      <a:extLst>
                        <a:ext uri="{28A0092B-C50C-407E-A947-70E740481C1C}">
                          <a14:useLocalDpi xmlns:a14="http://schemas.microsoft.com/office/drawing/2010/main"/>
                        </a:ext>
                      </a:extLst>
                    </a:blip>
                    <a:stretch>
                      <a:fillRect/>
                    </a:stretch>
                  </pic:blipFill>
                  <pic:spPr>
                    <a:xfrm rot="16200000">
                      <a:off x="0" y="0"/>
                      <a:ext cx="8553600" cy="5038629"/>
                    </a:xfrm>
                    <a:prstGeom prst="rect">
                      <a:avLst/>
                    </a:prstGeom>
                  </pic:spPr>
                </pic:pic>
              </a:graphicData>
            </a:graphic>
          </wp:inline>
        </w:drawing>
      </w:r>
    </w:p>
    <w:p w14:paraId="5036D600" w14:textId="77777777" w:rsidR="00FC5564" w:rsidRPr="00A04E56" w:rsidRDefault="00FC5564" w:rsidP="00E82A6C">
      <w:pPr>
        <w:pStyle w:val="Source-Table-Chart-PhotoCaption"/>
      </w:pPr>
      <w:r w:rsidRPr="00A04E56">
        <w:rPr>
          <w:rStyle w:val="italics"/>
        </w:rPr>
        <w:t>Chart:</w:t>
      </w:r>
      <w:r w:rsidRPr="00A04E56">
        <w:t xml:space="preserve"> Commission’s assurance building and accountability: clear roles and responsibilities. </w:t>
      </w:r>
    </w:p>
    <w:p w14:paraId="6A5FD335" w14:textId="20D13AE2" w:rsidR="00FC5564" w:rsidRPr="00A04E56" w:rsidRDefault="00FC5564" w:rsidP="005963D1">
      <w:pPr>
        <w:pStyle w:val="Source-Table-Chart-PhotoCaption"/>
      </w:pPr>
      <w:r w:rsidRPr="00A04E56">
        <w:rPr>
          <w:rStyle w:val="italics"/>
        </w:rPr>
        <w:t>Source</w:t>
      </w:r>
      <w:r w:rsidRPr="00A04E56">
        <w:t xml:space="preserve">: </w:t>
      </w:r>
      <w:r w:rsidR="00B04562" w:rsidRPr="00A04E56">
        <w:t xml:space="preserve">European </w:t>
      </w:r>
      <w:r w:rsidRPr="00277538">
        <w:t>Commission</w:t>
      </w:r>
      <w:r w:rsidRPr="00A04E56">
        <w:t>.</w:t>
      </w:r>
    </w:p>
    <w:p w14:paraId="5229E959" w14:textId="7683115A" w:rsidR="00FC5564" w:rsidRPr="00DD5E94" w:rsidRDefault="00FC5564" w:rsidP="007B3D97">
      <w:pPr>
        <w:pStyle w:val="SubtitleLightBlueReport11pt"/>
        <w:spacing w:after="200"/>
      </w:pPr>
      <w:r w:rsidRPr="00A04E56">
        <w:br w:type="page"/>
      </w:r>
      <w:r w:rsidRPr="00DD5E94">
        <w:t>The revised internal control framework has been implemented</w:t>
      </w:r>
    </w:p>
    <w:p w14:paraId="203C7AD3" w14:textId="77777777" w:rsidR="00FC5564" w:rsidRPr="00A04E56" w:rsidRDefault="00FC5564" w:rsidP="00036ADC">
      <w:pPr>
        <w:pStyle w:val="BodyText1spaceafter"/>
        <w:spacing w:after="220"/>
      </w:pPr>
      <w:bookmarkStart w:id="244" w:name="_Toc6403239"/>
      <w:bookmarkStart w:id="245" w:name="_Toc6403743"/>
      <w:r w:rsidRPr="00A04E56">
        <w:t>The Commission’s internal control framework is based on the 2013 framework proposed by the Committee of Sponsoring Organisations of the Treadway Commission (COSO). It meets the highest international standards.</w:t>
      </w:r>
      <w:bookmarkEnd w:id="244"/>
      <w:bookmarkEnd w:id="245"/>
    </w:p>
    <w:p w14:paraId="4B40B416" w14:textId="77777777" w:rsidR="00FC5564" w:rsidRPr="00A04E56" w:rsidRDefault="00FC5564" w:rsidP="00036ADC">
      <w:pPr>
        <w:pStyle w:val="BodyText1spaceafter"/>
        <w:spacing w:after="220"/>
      </w:pPr>
      <w:r w:rsidRPr="00A04E56">
        <w:t>Within this corporate framework and in line with the Commission’s decentralised governance model, each department puts in place the organisational structure and internal control systems best suited to ensuring the achievement of its policy and operational objectives, including sound financial management.</w:t>
      </w:r>
    </w:p>
    <w:p w14:paraId="0C499C1E" w14:textId="0A15BC24" w:rsidR="00FC5564" w:rsidRPr="00A04E56" w:rsidRDefault="00FC5564" w:rsidP="00036ADC">
      <w:pPr>
        <w:pStyle w:val="BodyText1spaceafter"/>
        <w:spacing w:after="220"/>
      </w:pPr>
      <w:r w:rsidRPr="00A04E56">
        <w:t xml:space="preserve">2018 was the first year of full implementation of the revised internal control framework by all Commission departments. Thanks to intensive communication efforts, workshops and the exchange of good practice, the internal control culture has improved substantially. The internal control framework is increasingly perceived as a powerful management tool across the Commission. In line with this increased level of maturity, Commission departments increasingly monitor the effectiveness of their internal control systems beyond pure compliance considerations. Further efforts will be made to build on the progress </w:t>
      </w:r>
      <w:r w:rsidR="0044772B" w:rsidRPr="00A04E56">
        <w:t>achieved</w:t>
      </w:r>
      <w:r w:rsidRPr="00A04E56">
        <w:t>.</w:t>
      </w:r>
    </w:p>
    <w:p w14:paraId="7EF6E27E" w14:textId="7EDF5F4E" w:rsidR="00FC5564" w:rsidRPr="00A04E56" w:rsidRDefault="00FC5564" w:rsidP="00036ADC">
      <w:pPr>
        <w:pStyle w:val="BodyText1spaceafter"/>
        <w:spacing w:after="220"/>
      </w:pPr>
      <w:r w:rsidRPr="00A04E56">
        <w:t xml:space="preserve">Overall, Commission departments assessed their internal control systems as </w:t>
      </w:r>
      <w:r w:rsidR="0044772B" w:rsidRPr="00A04E56">
        <w:t>effective</w:t>
      </w:r>
      <w:r w:rsidRPr="00A04E56">
        <w:t xml:space="preserve"> (see chart below). The main strengths reported concern the control environment and risk assessment. This reflects the recent revision of the Commission’s governance arrangements and the reinforcement of corporate oversight of risk management during 2018.</w:t>
      </w:r>
    </w:p>
    <w:p w14:paraId="605BF36F" w14:textId="5A58364F" w:rsidR="00FC5564" w:rsidRPr="00A04E56" w:rsidRDefault="00FC5564" w:rsidP="00036ADC">
      <w:pPr>
        <w:pStyle w:val="BodyText1spaceafter"/>
        <w:spacing w:after="220"/>
      </w:pPr>
      <w:r w:rsidRPr="00A04E56">
        <w:t>Some Commission departments also identified areas for improvement in their control activities. These are in line with related audit findings and/or reservations. Action is being taken to address the weaknesses identified, including adjusting the control strategies concerned.</w:t>
      </w:r>
    </w:p>
    <w:p w14:paraId="2D42AE80" w14:textId="4064276A" w:rsidR="00FC5564" w:rsidRPr="00A04E56" w:rsidRDefault="00064C43" w:rsidP="007B3D97">
      <w:pPr>
        <w:pStyle w:val="BodyText"/>
        <w:keepNext/>
        <w:spacing w:after="0"/>
        <w:rPr>
          <w:i/>
          <w:sz w:val="16"/>
          <w:szCs w:val="16"/>
        </w:rPr>
      </w:pPr>
      <w:r w:rsidRPr="00064C43">
        <w:rPr>
          <w:noProof/>
          <w:lang w:val="fr-BE" w:eastAsia="fr-BE"/>
        </w:rPr>
        <w:drawing>
          <wp:inline distT="0" distB="0" distL="0" distR="0" wp14:anchorId="36CEFAEC" wp14:editId="53E2D722">
            <wp:extent cx="5753100" cy="468693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2">
                      <a:extLst>
                        <a:ext uri="{28A0092B-C50C-407E-A947-70E740481C1C}">
                          <a14:useLocalDpi xmlns:a14="http://schemas.microsoft.com/office/drawing/2010/main"/>
                        </a:ext>
                      </a:extLst>
                    </a:blip>
                    <a:srcRect/>
                    <a:stretch>
                      <a:fillRect/>
                    </a:stretch>
                  </pic:blipFill>
                  <pic:spPr bwMode="auto">
                    <a:xfrm>
                      <a:off x="0" y="0"/>
                      <a:ext cx="5753100" cy="4686935"/>
                    </a:xfrm>
                    <a:prstGeom prst="rect">
                      <a:avLst/>
                    </a:prstGeom>
                    <a:noFill/>
                    <a:ln>
                      <a:noFill/>
                    </a:ln>
                  </pic:spPr>
                </pic:pic>
              </a:graphicData>
            </a:graphic>
          </wp:inline>
        </w:drawing>
      </w:r>
    </w:p>
    <w:p w14:paraId="722D2A41" w14:textId="77777777" w:rsidR="00FC5564" w:rsidRPr="00A04E56" w:rsidRDefault="00FC5564" w:rsidP="0042792D">
      <w:pPr>
        <w:pStyle w:val="Source-Table-Chart-PhotoCaption"/>
      </w:pPr>
      <w:r w:rsidRPr="00A04E56">
        <w:rPr>
          <w:rStyle w:val="italics"/>
        </w:rPr>
        <w:t>Chart:</w:t>
      </w:r>
      <w:r w:rsidRPr="00A04E56">
        <w:rPr>
          <w:i/>
        </w:rPr>
        <w:t xml:space="preserve"> </w:t>
      </w:r>
      <w:r w:rsidRPr="00A04E56">
        <w:t>2018 assessment of the 17 principles of the Commission’s internal control framework. Graph shows the number of departments (X-axis) that consider the related principle to function well, or to need some improvements, or to need major improvements.</w:t>
      </w:r>
    </w:p>
    <w:p w14:paraId="49BB03F0" w14:textId="4C432DAA" w:rsidR="00FC5564" w:rsidRPr="00A04E56" w:rsidRDefault="00FC5564" w:rsidP="0042792D">
      <w:pPr>
        <w:pStyle w:val="Source-Table-Chart-PhotoCaption"/>
      </w:pPr>
      <w:r w:rsidRPr="00A04E56">
        <w:rPr>
          <w:rStyle w:val="italics"/>
        </w:rPr>
        <w:t>Source:</w:t>
      </w:r>
      <w:r w:rsidRPr="00A04E56">
        <w:t xml:space="preserve"> </w:t>
      </w:r>
      <w:r w:rsidR="00B04562" w:rsidRPr="00A04E56">
        <w:t xml:space="preserve">European </w:t>
      </w:r>
      <w:r w:rsidRPr="00A04E56">
        <w:t>Commission annual activity reports.</w:t>
      </w:r>
    </w:p>
    <w:p w14:paraId="2692DFA3" w14:textId="77777777" w:rsidR="00FC5564" w:rsidRPr="00A04E56" w:rsidRDefault="00FC5564" w:rsidP="00FC5564">
      <w:pPr>
        <w:pStyle w:val="BOX2Blue"/>
        <w:rPr>
          <w:rStyle w:val="BOLDLIGHTBLUEReport"/>
          <w:rFonts w:eastAsiaTheme="minorHAnsi"/>
        </w:rPr>
      </w:pPr>
      <w:r w:rsidRPr="00A04E56">
        <w:rPr>
          <w:rStyle w:val="BOLDLIGHTBLUEReport"/>
          <w:rFonts w:eastAsiaTheme="minorHAnsi"/>
        </w:rPr>
        <w:t xml:space="preserve">Validation of local systems </w:t>
      </w:r>
    </w:p>
    <w:p w14:paraId="6B9A34B2" w14:textId="77777777" w:rsidR="00FC5564" w:rsidRPr="00A04E56" w:rsidRDefault="00FC5564" w:rsidP="00FC5564">
      <w:pPr>
        <w:pStyle w:val="BOX2Blue"/>
      </w:pPr>
      <w:r w:rsidRPr="00A04E56">
        <w:t xml:space="preserve">As the accuracy of the local financial systems that feed the Commission’s corporate financial and accounting system is key to ensuring the overall reliability of the annual accounts, the accounting officer performs a separate validation of those local financial systems. This is in addition to Commission departments’ management assessments of their own internal control system(s). </w:t>
      </w:r>
    </w:p>
    <w:p w14:paraId="15E4919E" w14:textId="6D143CCC" w:rsidR="00FC5564" w:rsidRPr="00A04E56" w:rsidRDefault="00FC5564" w:rsidP="00FC5564">
      <w:pPr>
        <w:pStyle w:val="BOX2Blue"/>
      </w:pPr>
      <w:r w:rsidRPr="00A04E56">
        <w:t>From the work done during 2018, no</w:t>
      </w:r>
      <w:r w:rsidR="00913591">
        <w:t>ne of the</w:t>
      </w:r>
      <w:r w:rsidRPr="00A04E56">
        <w:t xml:space="preserve"> weaknesses identified </w:t>
      </w:r>
      <w:r w:rsidR="00913591">
        <w:t>relate to</w:t>
      </w:r>
      <w:r w:rsidRPr="00A04E56">
        <w:t xml:space="preserve"> the design or implementation of local systems not meet</w:t>
      </w:r>
      <w:r w:rsidR="00913591">
        <w:t>ing</w:t>
      </w:r>
      <w:r w:rsidRPr="00A04E56">
        <w:t xml:space="preserve"> the validation criteria. Furthermore, none of the weaknesses detected are likely to have a material impact on the annual accounts. </w:t>
      </w:r>
    </w:p>
    <w:p w14:paraId="7CB32519" w14:textId="1E8A0B9A" w:rsidR="00FC5564" w:rsidRPr="00A04E56" w:rsidRDefault="00FC5564" w:rsidP="00FC5564">
      <w:pPr>
        <w:pStyle w:val="BOX2Blue"/>
      </w:pPr>
      <w:r w:rsidRPr="00A04E56">
        <w:t>The analysis has nonetheless resulted in a number of recommendations intended to improve the control environment and accounting quality in the authorising departments</w:t>
      </w:r>
      <w:r w:rsidRPr="00A04E56">
        <w:rPr>
          <w:rStyle w:val="fnRef"/>
          <w:rFonts w:ascii="Calibri" w:hAnsi="Calibri" w:cs="Calibri"/>
        </w:rPr>
        <w:t> </w:t>
      </w:r>
      <w:r w:rsidRPr="00A04E56">
        <w:rPr>
          <w:rStyle w:val="fnRef"/>
        </w:rPr>
        <w:t>(</w:t>
      </w:r>
      <w:r w:rsidRPr="00A04E56">
        <w:rPr>
          <w:rStyle w:val="fnRefNo"/>
        </w:rPr>
        <w:footnoteReference w:id="365"/>
      </w:r>
      <w:r w:rsidRPr="00A04E56">
        <w:rPr>
          <w:rStyle w:val="fnRef"/>
        </w:rPr>
        <w:t>)</w:t>
      </w:r>
      <w:r w:rsidRPr="00A04E56">
        <w:t xml:space="preserve"> — mitigat</w:t>
      </w:r>
      <w:r w:rsidR="0044772B" w:rsidRPr="00A04E56">
        <w:t>ing</w:t>
      </w:r>
      <w:r w:rsidRPr="00A04E56">
        <w:t xml:space="preserve"> risks to the accuracy of the financial and regulatory management reporting</w:t>
      </w:r>
      <w:r w:rsidRPr="00A04E56">
        <w:rPr>
          <w:rStyle w:val="fnRef"/>
          <w:rFonts w:ascii="Calibri" w:hAnsi="Calibri" w:cs="Calibri"/>
        </w:rPr>
        <w:t> </w:t>
      </w:r>
      <w:r w:rsidRPr="00A04E56">
        <w:rPr>
          <w:rStyle w:val="fnRef"/>
        </w:rPr>
        <w:t>(</w:t>
      </w:r>
      <w:r w:rsidRPr="00A04E56">
        <w:rPr>
          <w:rStyle w:val="fnRefNo"/>
        </w:rPr>
        <w:footnoteReference w:id="366"/>
      </w:r>
      <w:r w:rsidRPr="00A04E56">
        <w:rPr>
          <w:rStyle w:val="fnRef"/>
        </w:rPr>
        <w:t>)</w:t>
      </w:r>
      <w:r w:rsidRPr="00A04E56">
        <w:t>.</w:t>
      </w:r>
    </w:p>
    <w:p w14:paraId="7FA333F4" w14:textId="77777777" w:rsidR="00FC5564" w:rsidRPr="00A04E56" w:rsidRDefault="00FC5564" w:rsidP="00FC5564">
      <w:pPr>
        <w:pStyle w:val="BodyText"/>
      </w:pPr>
    </w:p>
    <w:p w14:paraId="2BDF6ED5" w14:textId="1B150422" w:rsidR="00FC5564" w:rsidRPr="00A04E56" w:rsidRDefault="00FC5564" w:rsidP="00AC1D4D">
      <w:pPr>
        <w:pStyle w:val="Title2Report"/>
        <w:pageBreakBefore/>
        <w:spacing w:before="240"/>
      </w:pPr>
      <w:bookmarkStart w:id="246" w:name="_Toc6403744"/>
      <w:bookmarkStart w:id="247" w:name="_Toc9534254"/>
      <w:bookmarkStart w:id="248" w:name="_Toc9879908"/>
      <w:bookmarkStart w:id="249" w:name="_Toc10549879"/>
      <w:bookmarkStart w:id="250" w:name="_Toc12021051"/>
      <w:r w:rsidRPr="00A04E56">
        <w:t xml:space="preserve">2. </w:t>
      </w:r>
      <w:bookmarkStart w:id="251" w:name="Controlsystemsarecosteffective"/>
      <w:r w:rsidR="00D04988" w:rsidRPr="00A04E56">
        <w:t>Control systems are cost-effective</w:t>
      </w:r>
      <w:bookmarkEnd w:id="246"/>
      <w:bookmarkEnd w:id="247"/>
      <w:bookmarkEnd w:id="248"/>
      <w:bookmarkEnd w:id="249"/>
      <w:bookmarkEnd w:id="251"/>
      <w:bookmarkEnd w:id="250"/>
    </w:p>
    <w:p w14:paraId="35ABBC45" w14:textId="1623C42E" w:rsidR="00FC5564" w:rsidRPr="00A04E56" w:rsidRDefault="00FC5564" w:rsidP="00FC5564">
      <w:pPr>
        <w:pStyle w:val="BodyText1spaceafter"/>
      </w:pPr>
      <w:r w:rsidRPr="00A04E56">
        <w:t>The Commission strives to ensure that its management and control systems are cost-effective. Cost</w:t>
      </w:r>
      <w:r w:rsidRPr="00A04E56" w:rsidDel="00720B23">
        <w:t>-</w:t>
      </w:r>
      <w:r w:rsidRPr="00A04E56">
        <w:t xml:space="preserve">effective controls are those which strike the right balance between being </w:t>
      </w:r>
      <w:r w:rsidRPr="00A04E56">
        <w:rPr>
          <w:rStyle w:val="BOLDLIGHTBLUEReport"/>
          <w:rFonts w:eastAsiaTheme="minorHAnsi"/>
        </w:rPr>
        <w:t>effective</w:t>
      </w:r>
      <w:r w:rsidRPr="00A04E56">
        <w:t xml:space="preserve"> in fulfilling the intended control objectives, in an </w:t>
      </w:r>
      <w:r w:rsidRPr="00A04E56">
        <w:rPr>
          <w:rStyle w:val="BOLDLIGHTBLUEReport"/>
          <w:rFonts w:eastAsiaTheme="minorHAnsi"/>
        </w:rPr>
        <w:t>efficient</w:t>
      </w:r>
      <w:r w:rsidRPr="00A04E56">
        <w:t xml:space="preserve"> manner and at an </w:t>
      </w:r>
      <w:r w:rsidRPr="00A04E56">
        <w:rPr>
          <w:rStyle w:val="BOLDLIGHTBLUEReport"/>
          <w:rFonts w:eastAsiaTheme="minorHAnsi"/>
        </w:rPr>
        <w:t>acceptable cost</w:t>
      </w:r>
      <w:r w:rsidRPr="00A04E56">
        <w:t xml:space="preserve">. </w:t>
      </w:r>
      <w:r w:rsidR="0044772B" w:rsidRPr="00A04E56">
        <w:t>We want</w:t>
      </w:r>
      <w:r w:rsidRPr="00A04E56">
        <w:t xml:space="preserve"> controls solid enough to ensure </w:t>
      </w:r>
      <w:r w:rsidR="00EE110D">
        <w:t xml:space="preserve">that </w:t>
      </w:r>
      <w:r w:rsidRPr="00A04E56">
        <w:t xml:space="preserve">financial management systems and financial transactions </w:t>
      </w:r>
      <w:r w:rsidR="0044772B" w:rsidRPr="00A04E56">
        <w:t>comply</w:t>
      </w:r>
      <w:r w:rsidRPr="00A04E56">
        <w:t xml:space="preserve"> with legal and contractual rules and support the fight against fraud. However, these controls must not be so burdensome as to prevent the swift processing of contract signatures and payments. The corresponding costs must also remain at an acceptable level.</w:t>
      </w:r>
    </w:p>
    <w:p w14:paraId="18626335" w14:textId="3FB09979" w:rsidR="00FC5564" w:rsidRPr="00A04E56" w:rsidRDefault="008C1D39">
      <w:pPr>
        <w:pStyle w:val="BOX2Blue0"/>
        <w:spacing w:after="480"/>
        <w:jc w:val="left"/>
        <w:rPr>
          <w:rFonts w:ascii="Arial" w:eastAsia="Times New Roman" w:hAnsi="Arial"/>
          <w:i/>
          <w:sz w:val="19"/>
          <w:szCs w:val="24"/>
          <w:u w:color="C1E3E9"/>
        </w:rPr>
      </w:pPr>
      <w:r w:rsidRPr="00A04E56">
        <w:rPr>
          <w:rStyle w:val="BOLDLIGHTBLUEReport"/>
          <w:rFonts w:eastAsiaTheme="minorHAnsi"/>
          <w:i/>
          <w:u w:val="single"/>
        </w:rPr>
        <w:t>In 2018</w:t>
      </w:r>
      <w:r w:rsidR="00FC5564" w:rsidRPr="00A04E56">
        <w:rPr>
          <w:rStyle w:val="BOLDLIGHTBLUEReport"/>
          <w:rFonts w:eastAsiaTheme="minorHAnsi"/>
        </w:rPr>
        <w:t>, following the combined assessment of their effectiveness, efficiency and economy, all Commission departments conclude that, overall, their controls are cost-effective</w:t>
      </w:r>
      <w:r w:rsidR="00FC5564" w:rsidRPr="00A04E56">
        <w:rPr>
          <w:rFonts w:ascii="Arial" w:eastAsia="Times New Roman" w:hAnsi="Arial"/>
          <w:sz w:val="19"/>
          <w:szCs w:val="24"/>
          <w:u w:color="C1E3E9"/>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7"/>
        <w:gridCol w:w="4231"/>
      </w:tblGrid>
      <w:tr w:rsidR="00F070BB" w:rsidRPr="00A04E56" w14:paraId="5FE9187E" w14:textId="77777777" w:rsidTr="00F070BB">
        <w:tc>
          <w:tcPr>
            <w:tcW w:w="5057" w:type="dxa"/>
          </w:tcPr>
          <w:p w14:paraId="436864F2" w14:textId="126FA6BC" w:rsidR="00F070BB" w:rsidRPr="00A04E56" w:rsidRDefault="00F070BB" w:rsidP="00F070BB">
            <w:pPr>
              <w:pStyle w:val="Source-Table-Chart-PhotoCaption"/>
              <w:rPr>
                <w:rStyle w:val="italics"/>
              </w:rPr>
            </w:pPr>
            <w:r w:rsidRPr="00A04E56">
              <w:rPr>
                <w:rFonts w:ascii="Calibri" w:hAnsi="Calibri"/>
                <w:noProof/>
                <w:sz w:val="22"/>
                <w:lang w:val="fr-BE"/>
              </w:rPr>
              <mc:AlternateContent>
                <mc:Choice Requires="wpc">
                  <w:drawing>
                    <wp:anchor distT="0" distB="0" distL="114300" distR="114300" simplePos="0" relativeHeight="251695104" behindDoc="0" locked="0" layoutInCell="1" allowOverlap="1" wp14:anchorId="605C2E12" wp14:editId="5739C9B9">
                      <wp:simplePos x="0" y="0"/>
                      <wp:positionH relativeFrom="margin">
                        <wp:posOffset>635</wp:posOffset>
                      </wp:positionH>
                      <wp:positionV relativeFrom="margin">
                        <wp:posOffset>635</wp:posOffset>
                      </wp:positionV>
                      <wp:extent cx="2955290" cy="2691765"/>
                      <wp:effectExtent l="0" t="0" r="0" b="0"/>
                      <wp:wrapSquare wrapText="bothSides"/>
                      <wp:docPr id="14257" name="Canvas 142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244" name="Oval 14244"/>
                              <wps:cNvSpPr/>
                              <wps:spPr>
                                <a:xfrm>
                                  <a:off x="1182554" y="919518"/>
                                  <a:ext cx="1773141" cy="1773141"/>
                                </a:xfrm>
                                <a:prstGeom prst="ellipse">
                                  <a:avLst/>
                                </a:prstGeom>
                                <a:solidFill>
                                  <a:srgbClr val="9CD3DC">
                                    <a:alpha val="50000"/>
                                  </a:srgbClr>
                                </a:solidFill>
                                <a:ln w="25400" cap="flat" cmpd="sng" algn="ctr">
                                  <a:noFill/>
                                  <a:prstDash val="solid"/>
                                </a:ln>
                                <a:effectLst/>
                              </wps:spPr>
                              <wps:txbx>
                                <w:txbxContent>
                                  <w:p w14:paraId="70BF709B" w14:textId="77777777" w:rsidR="003C0461" w:rsidRPr="00CF1521" w:rsidRDefault="003C0461" w:rsidP="00F070BB">
                                    <w:pPr>
                                      <w:jc w:val="center"/>
                                      <w:rPr>
                                        <w:b/>
                                        <w:color w:val="1F497D"/>
                                      </w:rPr>
                                    </w:pPr>
                                  </w:p>
                                  <w:p w14:paraId="7B4FE20A" w14:textId="77777777" w:rsidR="003C0461" w:rsidRPr="00CF1521" w:rsidRDefault="003C0461" w:rsidP="00F070BB">
                                    <w:pPr>
                                      <w:jc w:val="center"/>
                                      <w:rPr>
                                        <w:b/>
                                        <w:color w:val="1F497D"/>
                                      </w:rPr>
                                    </w:pPr>
                                  </w:p>
                                  <w:p w14:paraId="429FA407" w14:textId="77777777" w:rsidR="003C0461" w:rsidRPr="00CF1521" w:rsidRDefault="003C0461" w:rsidP="00F070BB">
                                    <w:pPr>
                                      <w:jc w:val="center"/>
                                      <w:rPr>
                                        <w:b/>
                                        <w:color w:val="1F497D"/>
                                      </w:rPr>
                                    </w:pPr>
                                    <w:r w:rsidRPr="00CF1521">
                                      <w:rPr>
                                        <w:b/>
                                        <w:color w:val="1F497D"/>
                                      </w:rPr>
                                      <w:t xml:space="preserve">       Economy</w:t>
                                    </w:r>
                                  </w:p>
                                  <w:p w14:paraId="016466E8" w14:textId="77777777" w:rsidR="003C0461" w:rsidRDefault="003C0461" w:rsidP="00F070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5" name="Oval 14245"/>
                              <wps:cNvSpPr/>
                              <wps:spPr>
                                <a:xfrm>
                                  <a:off x="609610" y="43292"/>
                                  <a:ext cx="1772920" cy="1772920"/>
                                </a:xfrm>
                                <a:prstGeom prst="ellipse">
                                  <a:avLst/>
                                </a:prstGeom>
                                <a:solidFill>
                                  <a:srgbClr val="9CD3DC">
                                    <a:alpha val="50000"/>
                                  </a:srgbClr>
                                </a:solidFill>
                                <a:ln w="25400" cap="flat" cmpd="sng" algn="ctr">
                                  <a:noFill/>
                                  <a:prstDash val="solid"/>
                                </a:ln>
                                <a:effectLst/>
                              </wps:spPr>
                              <wps:txbx>
                                <w:txbxContent>
                                  <w:p w14:paraId="03CC74E7" w14:textId="77777777" w:rsidR="003C0461" w:rsidRPr="00CF1521" w:rsidRDefault="003C0461" w:rsidP="00F070BB">
                                    <w:pPr>
                                      <w:jc w:val="center"/>
                                      <w:rPr>
                                        <w:b/>
                                        <w:color w:val="1F497D"/>
                                      </w:rPr>
                                    </w:pPr>
                                    <w:r w:rsidRPr="00CF1521">
                                      <w:rPr>
                                        <w:b/>
                                        <w:color w:val="1F497D"/>
                                      </w:rPr>
                                      <w:t>Effectiveness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55" name="Oval 14255"/>
                              <wps:cNvSpPr/>
                              <wps:spPr>
                                <a:xfrm>
                                  <a:off x="36011" y="919260"/>
                                  <a:ext cx="1772920" cy="1772920"/>
                                </a:xfrm>
                                <a:prstGeom prst="ellipse">
                                  <a:avLst/>
                                </a:prstGeom>
                                <a:solidFill>
                                  <a:srgbClr val="9CD3DC">
                                    <a:alpha val="50000"/>
                                  </a:srgbClr>
                                </a:solidFill>
                                <a:ln w="25400" cap="flat" cmpd="sng" algn="ctr">
                                  <a:noFill/>
                                  <a:prstDash val="solid"/>
                                </a:ln>
                                <a:effectLst/>
                              </wps:spPr>
                              <wps:txbx>
                                <w:txbxContent>
                                  <w:p w14:paraId="55AD723F" w14:textId="77777777" w:rsidR="003C0461" w:rsidRPr="00CF1521" w:rsidRDefault="003C0461" w:rsidP="00F070BB">
                                    <w:pPr>
                                      <w:jc w:val="center"/>
                                      <w:rPr>
                                        <w:b/>
                                        <w:color w:val="1F497D"/>
                                      </w:rPr>
                                    </w:pPr>
                                  </w:p>
                                  <w:p w14:paraId="7A04C64A" w14:textId="77777777" w:rsidR="003C0461" w:rsidRPr="00CF1521" w:rsidRDefault="003C0461" w:rsidP="00F070BB">
                                    <w:pPr>
                                      <w:jc w:val="center"/>
                                      <w:rPr>
                                        <w:b/>
                                        <w:color w:val="1F497D"/>
                                      </w:rPr>
                                    </w:pPr>
                                  </w:p>
                                  <w:p w14:paraId="2437F8F3" w14:textId="77777777" w:rsidR="003C0461" w:rsidRPr="00CF1521" w:rsidRDefault="003C0461" w:rsidP="00F070BB">
                                    <w:pPr>
                                      <w:rPr>
                                        <w:b/>
                                        <w:color w:val="1F497D"/>
                                      </w:rPr>
                                    </w:pPr>
                                    <w:r w:rsidRPr="00CF1521">
                                      <w:rPr>
                                        <w:b/>
                                        <w:color w:val="1F497D"/>
                                      </w:rPr>
                                      <w:t xml:space="preserve">Efficiency   </w:t>
                                    </w:r>
                                  </w:p>
                                  <w:p w14:paraId="125643B1" w14:textId="77777777" w:rsidR="003C0461" w:rsidRDefault="003C0461" w:rsidP="00F070BB">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56" name="Isosceles Triangle 14256"/>
                              <wps:cNvSpPr/>
                              <wps:spPr>
                                <a:xfrm>
                                  <a:off x="1198457" y="1143452"/>
                                  <a:ext cx="599529" cy="620202"/>
                                </a:xfrm>
                                <a:prstGeom prst="triangl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605C2E12" id="Canvas 14257" o:spid="_x0000_s1154" editas="canvas" style="position:absolute;margin-left:.05pt;margin-top:.05pt;width:232.7pt;height:211.95pt;z-index:251695104;mso-position-horizontal-relative:margin;mso-position-vertical-relative:margin" coordsize="29552,26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">
                      <v:shape id="_x0000_s1155" type="#_x0000_t75" style="position:absolute;width:29552;height:26917;visibility:visible;mso-wrap-style:square">
                        <v:fill o:detectmouseclick="t"/>
                        <v:path o:connecttype="none"/>
                      </v:shape>
                      <v:oval id="Oval 14244" o:spid="_x0000_s1156" style="position:absolute;left:11825;top:9195;width:17731;height:17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" fillcolor="#9cd3dc" stroked="f" strokeweight="2pt">
                        <v:fill opacity="32896f"/>
                        <v:textbox>
                          <w:txbxContent>
                            <w:p w14:paraId="70BF709B" w14:textId="77777777" w:rsidR="003C0461" w:rsidRPr="00CF1521" w:rsidRDefault="003C0461" w:rsidP="00F070BB">
                              <w:pPr>
                                <w:jc w:val="center"/>
                                <w:rPr>
                                  <w:b/>
                                  <w:color w:val="1F497D"/>
                                </w:rPr>
                              </w:pPr>
                            </w:p>
                            <w:p w14:paraId="7B4FE20A" w14:textId="77777777" w:rsidR="003C0461" w:rsidRPr="00CF1521" w:rsidRDefault="003C0461" w:rsidP="00F070BB">
                              <w:pPr>
                                <w:jc w:val="center"/>
                                <w:rPr>
                                  <w:b/>
                                  <w:color w:val="1F497D"/>
                                </w:rPr>
                              </w:pPr>
                            </w:p>
                            <w:p w14:paraId="429FA407" w14:textId="77777777" w:rsidR="003C0461" w:rsidRPr="00CF1521" w:rsidRDefault="003C0461" w:rsidP="00F070BB">
                              <w:pPr>
                                <w:jc w:val="center"/>
                                <w:rPr>
                                  <w:b/>
                                  <w:color w:val="1F497D"/>
                                </w:rPr>
                              </w:pPr>
                              <w:r w:rsidRPr="00CF1521">
                                <w:rPr>
                                  <w:b/>
                                  <w:color w:val="1F497D"/>
                                </w:rPr>
                                <w:t xml:space="preserve">       Economy</w:t>
                              </w:r>
                            </w:p>
                            <w:p w14:paraId="016466E8" w14:textId="77777777" w:rsidR="003C0461" w:rsidRDefault="003C0461" w:rsidP="00F070BB">
                              <w:pPr>
                                <w:jc w:val="center"/>
                              </w:pPr>
                            </w:p>
                          </w:txbxContent>
                        </v:textbox>
                      </v:oval>
                      <v:oval id="Oval 14245" o:spid="_x0000_s1157" style="position:absolute;left:6096;top:432;width:17729;height:17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" fillcolor="#9cd3dc" stroked="f" strokeweight="2pt">
                        <v:fill opacity="32896f"/>
                        <v:textbox>
                          <w:txbxContent>
                            <w:p w14:paraId="03CC74E7" w14:textId="77777777" w:rsidR="003C0461" w:rsidRPr="00CF1521" w:rsidRDefault="003C0461" w:rsidP="00F070BB">
                              <w:pPr>
                                <w:jc w:val="center"/>
                                <w:rPr>
                                  <w:b/>
                                  <w:color w:val="1F497D"/>
                                </w:rPr>
                              </w:pPr>
                              <w:r w:rsidRPr="00CF1521">
                                <w:rPr>
                                  <w:b/>
                                  <w:color w:val="1F497D"/>
                                </w:rPr>
                                <w:t>Effectiveness</w:t>
                              </w:r>
                            </w:p>
                          </w:txbxContent>
                        </v:textbox>
                      </v:oval>
                      <v:oval id="Oval 14255" o:spid="_x0000_s1158" style="position:absolute;left:360;top:9192;width:17729;height:17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" fillcolor="#9cd3dc" stroked="f" strokeweight="2pt">
                        <v:fill opacity="32896f"/>
                        <v:textbox>
                          <w:txbxContent>
                            <w:p w14:paraId="55AD723F" w14:textId="77777777" w:rsidR="003C0461" w:rsidRPr="00CF1521" w:rsidRDefault="003C0461" w:rsidP="00F070BB">
                              <w:pPr>
                                <w:jc w:val="center"/>
                                <w:rPr>
                                  <w:b/>
                                  <w:color w:val="1F497D"/>
                                </w:rPr>
                              </w:pPr>
                            </w:p>
                            <w:p w14:paraId="7A04C64A" w14:textId="77777777" w:rsidR="003C0461" w:rsidRPr="00CF1521" w:rsidRDefault="003C0461" w:rsidP="00F070BB">
                              <w:pPr>
                                <w:jc w:val="center"/>
                                <w:rPr>
                                  <w:b/>
                                  <w:color w:val="1F497D"/>
                                </w:rPr>
                              </w:pPr>
                            </w:p>
                            <w:p w14:paraId="2437F8F3" w14:textId="77777777" w:rsidR="003C0461" w:rsidRPr="00CF1521" w:rsidRDefault="003C0461" w:rsidP="00F070BB">
                              <w:pPr>
                                <w:rPr>
                                  <w:b/>
                                  <w:color w:val="1F497D"/>
                                </w:rPr>
                              </w:pPr>
                              <w:r w:rsidRPr="00CF1521">
                                <w:rPr>
                                  <w:b/>
                                  <w:color w:val="1F497D"/>
                                </w:rPr>
                                <w:t xml:space="preserve">Efficiency   </w:t>
                              </w:r>
                            </w:p>
                            <w:p w14:paraId="125643B1" w14:textId="77777777" w:rsidR="003C0461" w:rsidRDefault="003C0461" w:rsidP="00F070BB">
                              <w:pPr>
                                <w:jc w:val="center"/>
                              </w:pPr>
                            </w:p>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256" o:spid="_x0000_s1159" type="#_x0000_t5" style="position:absolute;left:11984;top:11434;width:5995;height:6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" fillcolor="red" stroked="f" strokeweight="2pt"/>
                      <w10:wrap type="square" anchorx="margin" anchory="margin"/>
                    </v:group>
                  </w:pict>
                </mc:Fallback>
              </mc:AlternateContent>
            </w:r>
          </w:p>
        </w:tc>
        <w:tc>
          <w:tcPr>
            <w:tcW w:w="4231" w:type="dxa"/>
          </w:tcPr>
          <w:p w14:paraId="6CB379F6" w14:textId="43E916D7" w:rsidR="00F070BB" w:rsidRPr="00A04E56" w:rsidRDefault="00F070BB" w:rsidP="00F070BB">
            <w:pPr>
              <w:jc w:val="both"/>
            </w:pPr>
            <w:r w:rsidRPr="00A04E56">
              <w:t>This means that they have struck the right balance between the three factors.</w:t>
            </w:r>
          </w:p>
          <w:p w14:paraId="3C5AC8E8" w14:textId="77777777" w:rsidR="00F070BB" w:rsidRPr="00A04E56" w:rsidRDefault="00F070BB" w:rsidP="00F070BB">
            <w:pPr>
              <w:pStyle w:val="BodyText1spaceafter"/>
              <w:rPr>
                <w:rFonts w:eastAsia="EC Square Sans Pro"/>
              </w:rPr>
            </w:pPr>
            <w:r w:rsidRPr="00A04E56">
              <w:t xml:space="preserve">Effectiveness in </w:t>
            </w:r>
            <w:r w:rsidRPr="00A04E56">
              <w:rPr>
                <w:rFonts w:eastAsia="EC Square Sans Pro"/>
              </w:rPr>
              <w:t>protecting the EU budget:</w:t>
            </w:r>
            <w:r w:rsidRPr="00A04E56">
              <w:rPr>
                <w:rStyle w:val="BOLDLIGHTBLUEReport"/>
                <w:rFonts w:eastAsiaTheme="minorHAnsi"/>
                <w:color w:val="auto"/>
              </w:rPr>
              <w:t xml:space="preserve"> </w:t>
            </w:r>
            <w:r w:rsidRPr="00A04E56">
              <w:rPr>
                <w:rStyle w:val="BOLDLIGHTBLUEReport"/>
                <w:rFonts w:eastAsiaTheme="minorHAnsi"/>
              </w:rPr>
              <w:t xml:space="preserve">the risk at closure is 0.8% </w:t>
            </w:r>
            <w:r w:rsidRPr="00A04E56">
              <w:rPr>
                <w:rFonts w:eastAsia="EC Square Sans Pro"/>
              </w:rPr>
              <w:t>(see subsection</w:t>
            </w:r>
            <w:r w:rsidRPr="00A04E56">
              <w:rPr>
                <w:rFonts w:ascii="Calibri" w:eastAsia="EC Square Sans Pro" w:hAnsi="Calibri" w:cs="Calibri"/>
              </w:rPr>
              <w:t> </w:t>
            </w:r>
            <w:r w:rsidRPr="00A04E56">
              <w:rPr>
                <w:rFonts w:eastAsia="EC Square Sans Pro"/>
              </w:rPr>
              <w:t xml:space="preserve">2.1). Furthermore, </w:t>
            </w:r>
            <w:r w:rsidRPr="00A04E56">
              <w:rPr>
                <w:rStyle w:val="BOLDLIGHTBLUEReport"/>
                <w:rFonts w:eastAsiaTheme="minorHAnsi"/>
              </w:rPr>
              <w:t xml:space="preserve">the anti-fraud strategy is implemented </w:t>
            </w:r>
            <w:r w:rsidRPr="00A04E56">
              <w:rPr>
                <w:rFonts w:eastAsia="EC Square Sans Pro"/>
              </w:rPr>
              <w:t>(see subsection</w:t>
            </w:r>
            <w:r w:rsidRPr="00A04E56">
              <w:rPr>
                <w:rFonts w:ascii="Calibri" w:eastAsia="EC Square Sans Pro" w:hAnsi="Calibri" w:cs="Calibri"/>
              </w:rPr>
              <w:t> </w:t>
            </w:r>
            <w:r w:rsidRPr="00A04E56">
              <w:rPr>
                <w:rFonts w:eastAsia="EC Square Sans Pro"/>
              </w:rPr>
              <w:t>4).</w:t>
            </w:r>
          </w:p>
          <w:p w14:paraId="01DA2D8C" w14:textId="77777777" w:rsidR="00F070BB" w:rsidRPr="00A04E56" w:rsidRDefault="00F070BB" w:rsidP="00F070BB">
            <w:pPr>
              <w:pStyle w:val="BodyText1spaceafter"/>
              <w:rPr>
                <w:rFonts w:eastAsia="EC Square Sans Pro"/>
              </w:rPr>
            </w:pPr>
            <w:r w:rsidRPr="00A04E56">
              <w:t>Efficiency: the Commission’s</w:t>
            </w:r>
            <w:r w:rsidRPr="00A04E56">
              <w:rPr>
                <w:rFonts w:eastAsia="EC Square Sans Pro"/>
                <w:b/>
              </w:rPr>
              <w:t xml:space="preserve"> </w:t>
            </w:r>
            <w:r w:rsidRPr="00A04E56">
              <w:rPr>
                <w:rStyle w:val="BOLDLIGHTBLUEReport"/>
                <w:rFonts w:eastAsiaTheme="minorHAnsi"/>
              </w:rPr>
              <w:t>average time to pay is only 18</w:t>
            </w:r>
            <w:r w:rsidRPr="00A04E56">
              <w:rPr>
                <w:rStyle w:val="BOLDLIGHTBLUEReport"/>
                <w:rFonts w:ascii="Calibri" w:eastAsiaTheme="minorHAnsi" w:hAnsi="Calibri" w:cs="Calibri"/>
              </w:rPr>
              <w:t> </w:t>
            </w:r>
            <w:r w:rsidRPr="00A04E56">
              <w:rPr>
                <w:rStyle w:val="BOLDLIGHTBLUEReport"/>
                <w:rFonts w:eastAsiaTheme="minorHAnsi"/>
              </w:rPr>
              <w:t>days</w:t>
            </w:r>
            <w:r w:rsidRPr="00A04E56">
              <w:rPr>
                <w:rFonts w:eastAsia="EC Square Sans Pro"/>
                <w:b/>
              </w:rPr>
              <w:t xml:space="preserve"> </w:t>
            </w:r>
            <w:r w:rsidRPr="00A04E56">
              <w:rPr>
                <w:rFonts w:eastAsia="EC Square Sans Pro"/>
              </w:rPr>
              <w:t>(well below the legal ceiling of 30</w:t>
            </w:r>
            <w:r w:rsidRPr="00A04E56">
              <w:rPr>
                <w:rFonts w:ascii="Calibri" w:eastAsia="EC Square Sans Pro" w:hAnsi="Calibri" w:cs="Calibri"/>
              </w:rPr>
              <w:t> </w:t>
            </w:r>
            <w:r w:rsidRPr="00A04E56">
              <w:rPr>
                <w:rFonts w:eastAsia="EC Square Sans Pro"/>
              </w:rPr>
              <w:t>days) and efforts to achieve greater synergies and efficiency are being maintained</w:t>
            </w:r>
            <w:r w:rsidRPr="00A04E56">
              <w:rPr>
                <w:rFonts w:eastAsia="EC Square Sans Pro"/>
                <w:b/>
              </w:rPr>
              <w:t xml:space="preserve"> </w:t>
            </w:r>
            <w:r w:rsidRPr="00A04E56">
              <w:rPr>
                <w:rFonts w:eastAsia="EC Square Sans Pro"/>
              </w:rPr>
              <w:t>(see subsection</w:t>
            </w:r>
            <w:r w:rsidRPr="00A04E56">
              <w:rPr>
                <w:rFonts w:ascii="Calibri" w:eastAsia="EC Square Sans Pro" w:hAnsi="Calibri" w:cs="Calibri"/>
              </w:rPr>
              <w:t> </w:t>
            </w:r>
            <w:r w:rsidRPr="00A04E56">
              <w:rPr>
                <w:rFonts w:eastAsia="EC Square Sans Pro"/>
              </w:rPr>
              <w:t>2.2).</w:t>
            </w:r>
          </w:p>
          <w:p w14:paraId="16F569D0" w14:textId="798DB1E8" w:rsidR="00F070BB" w:rsidRPr="00A04E56" w:rsidRDefault="00F070BB" w:rsidP="00F070BB">
            <w:pPr>
              <w:pStyle w:val="BodyText1spaceafter"/>
              <w:keepNext/>
              <w:rPr>
                <w:rStyle w:val="italics"/>
              </w:rPr>
            </w:pPr>
            <w:r w:rsidRPr="00A04E56">
              <w:t>Economy: overall, the Commission’s estimated</w:t>
            </w:r>
            <w:r w:rsidRPr="00A04E56">
              <w:rPr>
                <w:rFonts w:eastAsia="EC Square Sans Pro"/>
                <w:b/>
              </w:rPr>
              <w:t xml:space="preserve"> </w:t>
            </w:r>
            <w:r w:rsidRPr="00A04E56">
              <w:rPr>
                <w:rStyle w:val="BOLDLIGHTBLUEReport"/>
                <w:rFonts w:eastAsiaTheme="minorHAnsi"/>
              </w:rPr>
              <w:t>cost of controls is acceptable</w:t>
            </w:r>
            <w:r w:rsidRPr="00A04E56">
              <w:rPr>
                <w:rFonts w:eastAsia="EC Square Sans Pro"/>
                <w:b/>
              </w:rPr>
              <w:t xml:space="preserve"> </w:t>
            </w:r>
            <w:r w:rsidRPr="00A04E56">
              <w:rPr>
                <w:rFonts w:eastAsia="EC Square Sans Pro"/>
              </w:rPr>
              <w:t>(see subsection</w:t>
            </w:r>
            <w:r w:rsidRPr="00A04E56">
              <w:rPr>
                <w:rFonts w:ascii="Calibri" w:eastAsia="EC Square Sans Pro" w:hAnsi="Calibri" w:cs="Calibri"/>
              </w:rPr>
              <w:t> </w:t>
            </w:r>
            <w:r w:rsidRPr="00A04E56">
              <w:rPr>
                <w:rFonts w:eastAsia="EC Square Sans Pro"/>
              </w:rPr>
              <w:t>2.3).</w:t>
            </w:r>
          </w:p>
        </w:tc>
      </w:tr>
    </w:tbl>
    <w:p w14:paraId="6BB668AC" w14:textId="7733924F" w:rsidR="00FC5564" w:rsidRPr="00A04E56" w:rsidRDefault="00FC5564">
      <w:pPr>
        <w:pStyle w:val="Source-Table-Chart-PhotoCaption"/>
      </w:pPr>
      <w:r w:rsidRPr="00A04E56">
        <w:rPr>
          <w:rStyle w:val="italics"/>
        </w:rPr>
        <w:t>Source</w:t>
      </w:r>
      <w:r w:rsidRPr="00A04E56">
        <w:rPr>
          <w:i/>
        </w:rPr>
        <w:t xml:space="preserve">: </w:t>
      </w:r>
      <w:r w:rsidR="00DC2880" w:rsidRPr="00277538">
        <w:t xml:space="preserve">European </w:t>
      </w:r>
      <w:r w:rsidRPr="00277538">
        <w:t>Commission</w:t>
      </w:r>
      <w:r w:rsidRPr="00A04E56">
        <w:rPr>
          <w:i/>
        </w:rPr>
        <w:t>.</w:t>
      </w:r>
    </w:p>
    <w:p w14:paraId="11E6A170" w14:textId="518DCE8F" w:rsidR="00FC5564" w:rsidRPr="00A04E56" w:rsidRDefault="00FC5564" w:rsidP="00F070BB">
      <w:pPr>
        <w:pStyle w:val="BodyText1spacebeforeandafter"/>
      </w:pPr>
      <w:r w:rsidRPr="00A04E56">
        <w:t xml:space="preserve">Furthermore, whenever weaknesses are identified as a result of audit findings and/or lead to reservations, </w:t>
      </w:r>
      <w:r w:rsidRPr="00A04E56">
        <w:rPr>
          <w:rStyle w:val="BOLDLIGHTBLUEReport"/>
          <w:rFonts w:eastAsiaTheme="minorHAnsi"/>
        </w:rPr>
        <w:t>the control strategies are enhanced accordingly</w:t>
      </w:r>
      <w:r w:rsidRPr="00A04E56">
        <w:t>. Improvements can also be triggered by changes in the control environment or by internal reorganisations.</w:t>
      </w:r>
    </w:p>
    <w:p w14:paraId="57CBF56A" w14:textId="5ED450F6" w:rsidR="00FC5564" w:rsidRPr="00A04E56" w:rsidRDefault="00FC5564" w:rsidP="00D402B2">
      <w:pPr>
        <w:pStyle w:val="BodyText1spaceafter"/>
      </w:pPr>
      <w:r w:rsidRPr="00A04E56">
        <w:t xml:space="preserve">Cost-effectiveness of controls entails </w:t>
      </w:r>
      <w:r w:rsidRPr="00A04E56">
        <w:rPr>
          <w:rStyle w:val="BOLDLIGHTBLUEReport"/>
          <w:rFonts w:eastAsiaTheme="minorHAnsi"/>
        </w:rPr>
        <w:t>risk-differentiated control strategies</w:t>
      </w:r>
      <w:r w:rsidRPr="00A04E56">
        <w:t>. It involves a higher level of scrutiny and/or frequency of controls in riskier areas and less intensive, costly or burdensome controls in low-risk areas. There are also other ways of ensuring the cost-effectiveness of controls, such as: (i) reducing risks through simplified programmes</w:t>
      </w:r>
      <w:r w:rsidRPr="00A04E56">
        <w:rPr>
          <w:rStyle w:val="fnRef"/>
          <w:rFonts w:ascii="Calibri" w:hAnsi="Calibri" w:cs="Calibri"/>
        </w:rPr>
        <w:t> </w:t>
      </w:r>
      <w:r w:rsidRPr="00A04E56">
        <w:rPr>
          <w:rStyle w:val="fnRef"/>
        </w:rPr>
        <w:t>(</w:t>
      </w:r>
      <w:r w:rsidRPr="00A04E56">
        <w:rPr>
          <w:rStyle w:val="fnRefNo"/>
        </w:rPr>
        <w:footnoteReference w:id="367"/>
      </w:r>
      <w:r w:rsidRPr="00A04E56">
        <w:rPr>
          <w:rStyle w:val="fnRef"/>
        </w:rPr>
        <w:t>)</w:t>
      </w:r>
      <w:r w:rsidRPr="00A04E56">
        <w:t xml:space="preserve"> and/or processes; (ii) cross-relying on audits and controls performed by other entities</w:t>
      </w:r>
      <w:r w:rsidR="00B415CE">
        <w:rPr>
          <w:rFonts w:ascii="Calibri" w:hAnsi="Calibri" w:cs="Calibri"/>
        </w:rPr>
        <w:t> </w:t>
      </w:r>
      <w:r w:rsidR="00004469">
        <w:t>(</w:t>
      </w:r>
      <w:r w:rsidR="00004469" w:rsidRPr="00B415CE">
        <w:rPr>
          <w:rStyle w:val="fnRefNo"/>
        </w:rPr>
        <w:footnoteReference w:id="368"/>
      </w:r>
      <w:r w:rsidR="00004469">
        <w:t>)</w:t>
      </w:r>
      <w:r w:rsidRPr="00A04E56">
        <w:t xml:space="preserve">; and/or (iii) achieving economies of scale through shared control functions. These aspects </w:t>
      </w:r>
      <w:r w:rsidR="0044772B" w:rsidRPr="00A04E56">
        <w:t>were</w:t>
      </w:r>
      <w:r w:rsidRPr="00A04E56">
        <w:t xml:space="preserve"> also taken fully into consideration when the proposals for future spending programmes </w:t>
      </w:r>
      <w:r w:rsidR="0044772B" w:rsidRPr="00A04E56">
        <w:t>were prepared</w:t>
      </w:r>
      <w:r w:rsidRPr="00A04E56">
        <w:t xml:space="preserve"> (see also the point on preparation of post-2020 programmes at the end of subsection</w:t>
      </w:r>
      <w:r w:rsidRPr="00A04E56">
        <w:rPr>
          <w:rFonts w:ascii="Calibri" w:hAnsi="Calibri" w:cs="Calibri"/>
        </w:rPr>
        <w:t> </w:t>
      </w:r>
      <w:r w:rsidRPr="00A04E56">
        <w:t>5).</w:t>
      </w:r>
    </w:p>
    <w:p w14:paraId="4692D865" w14:textId="015A3FD7" w:rsidR="00FC5564" w:rsidRPr="00A04E56" w:rsidRDefault="00FC5564" w:rsidP="00C257BF">
      <w:pPr>
        <w:pStyle w:val="Title3Report"/>
        <w:pageBreakBefore/>
        <w:rPr>
          <w:noProof/>
        </w:rPr>
      </w:pPr>
      <w:bookmarkStart w:id="252" w:name="_Toc6403745"/>
      <w:r w:rsidRPr="00A04E56">
        <w:rPr>
          <w:sz w:val="28"/>
          <w:szCs w:val="28"/>
        </w:rPr>
        <w:t>2.1. Control systems are effective: system weaknesses and financial errors are prevented, detected and corrected</w:t>
      </w:r>
      <w:bookmarkEnd w:id="252"/>
    </w:p>
    <w:p w14:paraId="0A848252" w14:textId="7B86CC58" w:rsidR="00FC5564" w:rsidRPr="00A04E56" w:rsidRDefault="00FC5564" w:rsidP="00D402B2">
      <w:pPr>
        <w:pStyle w:val="BodyText1spaceafter"/>
      </w:pPr>
      <w:r w:rsidRPr="00A04E56">
        <w:t>Effective controls ensure that the internal control objectives are achieved. This is measured in the light of the benefits of controls, some of which can be quantified, others not. The main benefit of well-designed control systems is the reduced risk to the legality and regularity of financial transactions</w:t>
      </w:r>
      <w:r w:rsidR="00CB6A77" w:rsidRPr="00A04E56">
        <w:t xml:space="preserve"> — </w:t>
      </w:r>
      <w:r w:rsidRPr="00A04E56">
        <w:t>as well as preventi</w:t>
      </w:r>
      <w:r w:rsidR="0044772B" w:rsidRPr="00A04E56">
        <w:t>ng</w:t>
      </w:r>
      <w:r w:rsidRPr="00A04E56">
        <w:t>, detecti</w:t>
      </w:r>
      <w:r w:rsidR="0044772B" w:rsidRPr="00A04E56">
        <w:t>ng</w:t>
      </w:r>
      <w:r w:rsidRPr="00A04E56">
        <w:t xml:space="preserve"> and </w:t>
      </w:r>
      <w:r w:rsidR="00665EEA" w:rsidRPr="00A04E56">
        <w:t>pursuing</w:t>
      </w:r>
      <w:r w:rsidRPr="00A04E56">
        <w:t xml:space="preserve"> fraud (see subsection 4). </w:t>
      </w:r>
    </w:p>
    <w:p w14:paraId="3DF08F8A" w14:textId="139D39B8" w:rsidR="00FC5564" w:rsidRPr="00A04E56" w:rsidRDefault="00FC5564">
      <w:pPr>
        <w:pStyle w:val="BOX2Blue0"/>
        <w:spacing w:after="240"/>
        <w:jc w:val="center"/>
      </w:pPr>
      <w:bookmarkStart w:id="253" w:name="_Toc6403746"/>
      <w:r w:rsidRPr="00A04E56">
        <w:rPr>
          <w:sz w:val="24"/>
          <w:szCs w:val="24"/>
        </w:rPr>
        <w:t>The risk to the legality and regularity of financial transactions remains below 2%</w:t>
      </w:r>
      <w:bookmarkEnd w:id="253"/>
    </w:p>
    <w:p w14:paraId="59F4F59F" w14:textId="77777777" w:rsidR="00FC5564" w:rsidRPr="00A04E56" w:rsidRDefault="00FC5564" w:rsidP="00DD5E94">
      <w:pPr>
        <w:pStyle w:val="SubtitleLightBlueReport11pt"/>
        <w:rPr>
          <w:b w:val="0"/>
          <w:i/>
          <w:color w:val="65BBC8" w:themeColor="accent1"/>
        </w:rPr>
      </w:pPr>
      <w:r w:rsidRPr="00A04E56">
        <w:t>The Commission’s multiannual control cycle: a management tool to prevent, detect and correct financial errors and their causes</w:t>
      </w:r>
    </w:p>
    <w:p w14:paraId="257FCDB3" w14:textId="2817AD3E" w:rsidR="00FC5564" w:rsidRPr="00A04E56" w:rsidRDefault="00FC5564" w:rsidP="00D402B2">
      <w:pPr>
        <w:pStyle w:val="BodyText1spaceafter"/>
      </w:pPr>
      <w:r w:rsidRPr="00A04E56">
        <w:t xml:space="preserve">Although EU spending is subject to </w:t>
      </w:r>
      <w:r w:rsidRPr="00A04E56">
        <w:rPr>
          <w:rStyle w:val="BOLDLIGHTBLUEReport"/>
          <w:rFonts w:eastAsiaTheme="minorHAnsi"/>
          <w:lang w:eastAsia="fr-BE"/>
        </w:rPr>
        <w:t>common control features</w:t>
      </w:r>
      <w:r w:rsidRPr="00A04E56">
        <w:t xml:space="preserve">, individual spending programmes may be very diverse. Therefore, </w:t>
      </w:r>
      <w:r w:rsidRPr="00A04E56">
        <w:rPr>
          <w:rStyle w:val="BOLDLIGHTBLUEReport"/>
          <w:rFonts w:eastAsiaTheme="minorHAnsi"/>
          <w:lang w:eastAsia="fr-BE"/>
        </w:rPr>
        <w:t>control strategies need to be adapted</w:t>
      </w:r>
      <w:r w:rsidRPr="00A04E56">
        <w:t xml:space="preserve"> to differing management modes, policy areas and/or specific funding </w:t>
      </w:r>
      <w:r w:rsidR="005A1853" w:rsidRPr="00A04E56">
        <w:t>procedures (‘</w:t>
      </w:r>
      <w:r w:rsidRPr="00A04E56">
        <w:t>modalities</w:t>
      </w:r>
      <w:r w:rsidR="005A1853" w:rsidRPr="00A04E56">
        <w:t>’)</w:t>
      </w:r>
      <w:r w:rsidRPr="00A04E56">
        <w:t xml:space="preserve"> — and their associated risks. Riskier areas will trigger a higher level of scrutiny and/or frequency of controls, whereas low-risk areas should lead to less intensive, costly or burdensome controls.</w:t>
      </w:r>
    </w:p>
    <w:p w14:paraId="705B2322" w14:textId="6192CAE7" w:rsidR="008E2132" w:rsidRPr="00A04E56" w:rsidRDefault="00FC5564">
      <w:pPr>
        <w:pStyle w:val="BodyText1spaceafter"/>
      </w:pPr>
      <w:r w:rsidRPr="00A04E56">
        <w:t xml:space="preserve">Each year, the Commission provides assurance for its relevant expenditure, which was </w:t>
      </w:r>
      <w:r w:rsidRPr="00A04E56">
        <w:rPr>
          <w:rStyle w:val="BOLDLIGHTBLUEReport"/>
          <w:rFonts w:eastAsia="Calibri"/>
        </w:rPr>
        <w:t>EUR</w:t>
      </w:r>
      <w:r w:rsidRPr="00A04E56">
        <w:rPr>
          <w:rStyle w:val="BOLDLIGHTBLUEReport"/>
          <w:rFonts w:ascii="Calibri" w:eastAsia="Calibri" w:hAnsi="Calibri" w:cs="Calibri"/>
        </w:rPr>
        <w:t> </w:t>
      </w:r>
      <w:r w:rsidRPr="00A04E56">
        <w:rPr>
          <w:rStyle w:val="BOLDLIGHTBLUEReport"/>
          <w:rFonts w:eastAsia="Calibri"/>
        </w:rPr>
        <w:t>150.3</w:t>
      </w:r>
      <w:r w:rsidRPr="00A04E56">
        <w:rPr>
          <w:rStyle w:val="BOLDLIGHTBLUEReport"/>
          <w:rFonts w:ascii="Calibri" w:eastAsia="Calibri" w:hAnsi="Calibri"/>
        </w:rPr>
        <w:t> </w:t>
      </w:r>
      <w:r w:rsidRPr="00A04E56">
        <w:rPr>
          <w:rStyle w:val="BOLDLIGHTBLUEReport"/>
          <w:rFonts w:eastAsia="Calibri"/>
        </w:rPr>
        <w:t>billion</w:t>
      </w:r>
      <w:r w:rsidRPr="00A04E56">
        <w:t xml:space="preserve"> </w:t>
      </w:r>
      <w:r w:rsidR="008C1D39" w:rsidRPr="00A04E56">
        <w:rPr>
          <w:i/>
          <w:u w:val="single"/>
        </w:rPr>
        <w:t>in</w:t>
      </w:r>
      <w:r w:rsidR="00B16F5F">
        <w:rPr>
          <w:rFonts w:ascii="Calibri" w:hAnsi="Calibri" w:cs="Calibri"/>
          <w:i/>
          <w:u w:val="single"/>
        </w:rPr>
        <w:t> </w:t>
      </w:r>
      <w:r w:rsidR="008C1D39" w:rsidRPr="00A04E56">
        <w:rPr>
          <w:i/>
          <w:u w:val="single"/>
        </w:rPr>
        <w:t>2018</w:t>
      </w:r>
      <w:r w:rsidRPr="00A04E56">
        <w:t xml:space="preserve"> (see graph below; for definitions and details, see </w:t>
      </w:r>
      <w:r w:rsidR="00F504A4" w:rsidRPr="00A04E56">
        <w:t>A</w:t>
      </w:r>
      <w:r w:rsidRPr="00A04E56">
        <w:t>nnex</w:t>
      </w:r>
      <w:r w:rsidRPr="00A04E56">
        <w:rPr>
          <w:rFonts w:ascii="Calibri" w:hAnsi="Calibri" w:cs="Calibri"/>
        </w:rPr>
        <w:t> </w:t>
      </w:r>
      <w:r w:rsidRPr="00A04E56">
        <w:t>2).</w:t>
      </w:r>
    </w:p>
    <w:p w14:paraId="1607FE6A" w14:textId="6E3FD0EB" w:rsidR="00FC5564" w:rsidRPr="00A04E56" w:rsidRDefault="00064C43" w:rsidP="00CE7B06">
      <w:pPr>
        <w:pStyle w:val="BodyText"/>
        <w:keepNext/>
        <w:spacing w:after="40"/>
        <w:rPr>
          <w:rFonts w:eastAsia="Calibri"/>
          <w:color w:val="000000" w:themeColor="text1"/>
          <w:lang w:eastAsia="fr-BE"/>
        </w:rPr>
      </w:pPr>
      <w:r w:rsidRPr="00064C43">
        <w:rPr>
          <w:noProof/>
          <w:lang w:val="fr-BE" w:eastAsia="fr-BE"/>
        </w:rPr>
        <w:drawing>
          <wp:inline distT="0" distB="0" distL="0" distR="0" wp14:anchorId="4C444DCB" wp14:editId="528FB5D7">
            <wp:extent cx="5753100" cy="3599815"/>
            <wp:effectExtent l="0" t="0" r="0" b="63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3">
                      <a:extLst>
                        <a:ext uri="{28A0092B-C50C-407E-A947-70E740481C1C}">
                          <a14:useLocalDpi xmlns:a14="http://schemas.microsoft.com/office/drawing/2010/main"/>
                        </a:ext>
                      </a:extLst>
                    </a:blip>
                    <a:srcRect/>
                    <a:stretch>
                      <a:fillRect/>
                    </a:stretch>
                  </pic:blipFill>
                  <pic:spPr bwMode="auto">
                    <a:xfrm>
                      <a:off x="0" y="0"/>
                      <a:ext cx="5753100" cy="3599815"/>
                    </a:xfrm>
                    <a:prstGeom prst="rect">
                      <a:avLst/>
                    </a:prstGeom>
                    <a:noFill/>
                    <a:ln>
                      <a:noFill/>
                    </a:ln>
                  </pic:spPr>
                </pic:pic>
              </a:graphicData>
            </a:graphic>
          </wp:inline>
        </w:drawing>
      </w:r>
    </w:p>
    <w:p w14:paraId="4BB7F8C1" w14:textId="7C71D879" w:rsidR="00FC5564" w:rsidRPr="00A04E56" w:rsidRDefault="00DC2880">
      <w:pPr>
        <w:pStyle w:val="Source-Table-Chart-PhotoCaption"/>
      </w:pPr>
      <w:r w:rsidRPr="00A04E56">
        <w:rPr>
          <w:rStyle w:val="italics"/>
        </w:rPr>
        <w:t>Chart</w:t>
      </w:r>
      <w:r w:rsidR="00FC5564" w:rsidRPr="00A04E56">
        <w:t xml:space="preserve">: The </w:t>
      </w:r>
      <w:r w:rsidR="00B04562" w:rsidRPr="00A04E56">
        <w:t xml:space="preserve">European </w:t>
      </w:r>
      <w:r w:rsidR="00FC5564" w:rsidRPr="00A04E56">
        <w:t xml:space="preserve">Commission’s 2018 relevant expenditure per policy area </w:t>
      </w:r>
      <w:r w:rsidR="00D83997" w:rsidRPr="00A04E56">
        <w:br/>
      </w:r>
      <w:r w:rsidR="00FC5564" w:rsidRPr="00A04E56">
        <w:t>(‘relevant expenditure’ includes the payments made, subtracts new pre-financing paid out (still owned by the Commission) and adds previous pre-financing cleared (ownership transferred to the beneficiaries) during the financial year.)</w:t>
      </w:r>
    </w:p>
    <w:p w14:paraId="6BCEF28E" w14:textId="4956D687" w:rsidR="00FC5564" w:rsidRPr="00A04E56" w:rsidRDefault="00FC5564">
      <w:pPr>
        <w:pStyle w:val="Source-Table-Chart-PhotoCaption"/>
      </w:pPr>
      <w:r w:rsidRPr="00A04E56">
        <w:rPr>
          <w:rStyle w:val="italics"/>
        </w:rPr>
        <w:t>Source:</w:t>
      </w:r>
      <w:r w:rsidRPr="00A04E56">
        <w:t xml:space="preserve"> </w:t>
      </w:r>
      <w:r w:rsidR="00B04562" w:rsidRPr="00A04E56">
        <w:t xml:space="preserve">European </w:t>
      </w:r>
      <w:r w:rsidRPr="00A04E56">
        <w:t>Commission annual activity reports.</w:t>
      </w:r>
    </w:p>
    <w:p w14:paraId="7D3C27BF" w14:textId="77777777" w:rsidR="00FC5564" w:rsidRPr="00A04E56" w:rsidRDefault="00FC5564" w:rsidP="00D402B2">
      <w:pPr>
        <w:pStyle w:val="BodyText1spacebeforeandafter"/>
      </w:pPr>
      <w:r w:rsidRPr="00A04E56">
        <w:t xml:space="preserve">The Commission is responsible for ensuring that EU funds (including the European Development Fund and the EU Trust Funds) are properly spent. This is so regardless of whether the funds are implemented by Commission departments themselves (direct management; approximately 21% of 2018 expenses), entrusted to external entities (indirect management; approximately 8%) or executed by Member State authorities (shared management; approximately 71%). </w:t>
      </w:r>
    </w:p>
    <w:p w14:paraId="07CDB577" w14:textId="4BAC2C86" w:rsidR="00FC5564" w:rsidRPr="00A04E56" w:rsidRDefault="00FC5564" w:rsidP="00D402B2">
      <w:pPr>
        <w:pStyle w:val="BodyText1spaceafter"/>
      </w:pPr>
      <w:r w:rsidRPr="00A04E56">
        <w:t xml:space="preserve">Accordingly, for 79% of the budget the Commission is dependent on the reliability of the management and control information reported by Member States and other entrusted bodies based on their own control systems. Therefore, before accepting them as partners for co-managing the EU budget, the Commission preventively verifies that they meet all financial management conditions (cf. the </w:t>
      </w:r>
      <w:r w:rsidR="00134A26" w:rsidRPr="00A04E56">
        <w:t>‘</w:t>
      </w:r>
      <w:r w:rsidRPr="00A04E56">
        <w:t>designation</w:t>
      </w:r>
      <w:r w:rsidR="00134A26" w:rsidRPr="00A04E56">
        <w:t>’</w:t>
      </w:r>
      <w:r w:rsidR="001F2B9B" w:rsidRPr="00A04E56">
        <w:t xml:space="preserve"> or </w:t>
      </w:r>
      <w:r w:rsidR="00134A26" w:rsidRPr="00A04E56">
        <w:t>‘</w:t>
      </w:r>
      <w:r w:rsidR="001F2B9B" w:rsidRPr="00A04E56">
        <w:t>accreditation</w:t>
      </w:r>
      <w:r w:rsidR="00134A26" w:rsidRPr="00A04E56">
        <w:t>’</w:t>
      </w:r>
      <w:r w:rsidRPr="00A04E56">
        <w:t xml:space="preserve"> procedure for Member State authorities, the </w:t>
      </w:r>
      <w:r w:rsidR="00134A26" w:rsidRPr="00A04E56">
        <w:t>‘</w:t>
      </w:r>
      <w:r w:rsidRPr="00A04E56">
        <w:t>pillar assessment</w:t>
      </w:r>
      <w:r w:rsidR="00134A26" w:rsidRPr="00A04E56">
        <w:t>’</w:t>
      </w:r>
      <w:r w:rsidRPr="00A04E56">
        <w:t xml:space="preserve"> for entrusted entities). Furthermore, the Commission may also perform risk-based audits to verify the reliability of the control systems, the control results and/or the management reports of those entities but does so avoiding duplication of control layers. </w:t>
      </w:r>
    </w:p>
    <w:p w14:paraId="79B73912" w14:textId="77777777" w:rsidR="00FC5564" w:rsidRPr="00802FB0" w:rsidRDefault="00FC5564" w:rsidP="00D402B2">
      <w:pPr>
        <w:pStyle w:val="BodyText1spaceafter"/>
      </w:pPr>
      <w:r w:rsidRPr="00A04E56">
        <w:t>Most departments use only one management mode. While direct management is used by all 50 departments, indirect management is used by 22 and shared management by seven.</w:t>
      </w:r>
    </w:p>
    <w:p w14:paraId="05155324" w14:textId="77777777" w:rsidR="00FC5564" w:rsidRPr="00A04E56" w:rsidRDefault="00FC5564" w:rsidP="00D402B2">
      <w:pPr>
        <w:pStyle w:val="BodyText1spaceafter"/>
        <w:rPr>
          <w:rFonts w:eastAsia="EC Square Sans Pro"/>
        </w:rPr>
      </w:pPr>
      <w:r w:rsidRPr="00A04E56">
        <w:t>T</w:t>
      </w:r>
      <w:r w:rsidRPr="00A04E56">
        <w:rPr>
          <w:rFonts w:eastAsia="EC Square Sans Pro"/>
        </w:rPr>
        <w:t xml:space="preserve">he Commission analyses the risks to the legality and regularity of the financial transactions not only for reporting purposes, but also because it is an important </w:t>
      </w:r>
      <w:r w:rsidRPr="00A04E56">
        <w:rPr>
          <w:rStyle w:val="BOLDLIGHTBLUEReport"/>
          <w:rFonts w:eastAsiaTheme="minorHAnsi"/>
        </w:rPr>
        <w:t>management tool</w:t>
      </w:r>
      <w:r w:rsidRPr="00A04E56">
        <w:rPr>
          <w:rFonts w:eastAsia="EC Square Sans Pro"/>
        </w:rPr>
        <w:t xml:space="preserve">. This entails detecting any weaknesses at programme level and correcting them, identifying the root causes of systemic errors and preventing future errors, preparing the next programmes by considering the lessons learned. This approach ensures the continuous improvement of the Commission's financial management over the years. </w:t>
      </w:r>
    </w:p>
    <w:p w14:paraId="5B5F5EF9" w14:textId="5E05D5E2" w:rsidR="00BE5932" w:rsidRDefault="00BE5932" w:rsidP="00BE5932">
      <w:pPr>
        <w:spacing w:line="276" w:lineRule="auto"/>
        <w:jc w:val="center"/>
        <w:rPr>
          <w:rStyle w:val="italics"/>
        </w:rPr>
      </w:pPr>
      <w:r w:rsidRPr="00A04E56">
        <w:rPr>
          <w:rFonts w:ascii="Calibri" w:eastAsia="Calibri" w:hAnsi="Calibri"/>
          <w:noProof/>
          <w:sz w:val="22"/>
          <w:lang w:val="fr-BE" w:eastAsia="fr-BE"/>
        </w:rPr>
        <mc:AlternateContent>
          <mc:Choice Requires="wpg">
            <w:drawing>
              <wp:anchor distT="0" distB="0" distL="114300" distR="114300" simplePos="0" relativeHeight="251629568" behindDoc="0" locked="0" layoutInCell="1" allowOverlap="1" wp14:anchorId="4D33A5C6" wp14:editId="1FC003BA">
                <wp:simplePos x="0" y="0"/>
                <wp:positionH relativeFrom="column">
                  <wp:posOffset>5240020</wp:posOffset>
                </wp:positionH>
                <wp:positionV relativeFrom="paragraph">
                  <wp:posOffset>1987550</wp:posOffset>
                </wp:positionV>
                <wp:extent cx="546735" cy="445770"/>
                <wp:effectExtent l="0" t="0" r="5715" b="0"/>
                <wp:wrapNone/>
                <wp:docPr id="249" name="Group 249"/>
                <wp:cNvGraphicFramePr/>
                <a:graphic xmlns:a="http://schemas.openxmlformats.org/drawingml/2006/main">
                  <a:graphicData uri="http://schemas.microsoft.com/office/word/2010/wordprocessingGroup">
                    <wpg:wgp>
                      <wpg:cNvGrpSpPr/>
                      <wpg:grpSpPr>
                        <a:xfrm>
                          <a:off x="0" y="0"/>
                          <a:ext cx="546735" cy="445770"/>
                          <a:chOff x="0" y="0"/>
                          <a:chExt cx="681971" cy="557416"/>
                        </a:xfrm>
                      </wpg:grpSpPr>
                      <wps:wsp>
                        <wps:cNvPr id="14246" name="Oval 14246"/>
                        <wps:cNvSpPr/>
                        <wps:spPr>
                          <a:xfrm>
                            <a:off x="61415" y="0"/>
                            <a:ext cx="557416" cy="557416"/>
                          </a:xfrm>
                          <a:prstGeom prst="ellipse">
                            <a:avLst/>
                          </a:prstGeom>
                          <a:solidFill>
                            <a:srgbClr val="1D3E89"/>
                          </a:solidFill>
                          <a:ln w="25400" cap="flat" cmpd="sng" algn="ctr">
                            <a:noFill/>
                            <a:prstDash val="solid"/>
                          </a:ln>
                          <a:effectLst/>
                        </wps:spPr>
                        <wps:txbx>
                          <w:txbxContent>
                            <w:p w14:paraId="45C231CD" w14:textId="77777777" w:rsidR="003C0461" w:rsidRPr="00DC3F66" w:rsidRDefault="003C0461" w:rsidP="0029497F">
                              <w:pPr>
                                <w:jc w:val="center"/>
                                <w:rPr>
                                  <w:b/>
                                  <w:sz w:val="18"/>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7" name="Text Box 2"/>
                        <wps:cNvSpPr txBox="1">
                          <a:spLocks noChangeArrowheads="1"/>
                        </wps:cNvSpPr>
                        <wps:spPr bwMode="auto">
                          <a:xfrm>
                            <a:off x="0" y="110885"/>
                            <a:ext cx="681971" cy="343355"/>
                          </a:xfrm>
                          <a:prstGeom prst="rect">
                            <a:avLst/>
                          </a:prstGeom>
                          <a:noFill/>
                          <a:ln w="9525">
                            <a:noFill/>
                            <a:miter lim="800000"/>
                            <a:headEnd/>
                            <a:tailEnd/>
                          </a:ln>
                        </wps:spPr>
                        <wps:txbx>
                          <w:txbxContent>
                            <w:p w14:paraId="24D6AAE2" w14:textId="77777777" w:rsidR="003C0461" w:rsidRPr="0029497F" w:rsidRDefault="003C0461" w:rsidP="0029497F">
                              <w:pPr>
                                <w:jc w:val="center"/>
                                <w:rPr>
                                  <w:color w:val="FFFFFF"/>
                                  <w:sz w:val="14"/>
                                  <w:szCs w:val="24"/>
                                  <w:lang w:val="fr-BE"/>
                                </w:rPr>
                              </w:pPr>
                              <w:r w:rsidRPr="0029497F">
                                <w:rPr>
                                  <w:rFonts w:eastAsia="Calibri"/>
                                  <w:b/>
                                  <w:bCs/>
                                  <w:color w:val="FFFFFF"/>
                                  <w:szCs w:val="40"/>
                                  <w:lang w:val="fr-BE"/>
                                </w:rPr>
                                <w:t>0.8%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33A5C6" id="Group 249" o:spid="_x0000_s1160" style="position:absolute;left:0;text-align:left;margin-left:412.6pt;margin-top:156.5pt;width:43.05pt;height:35.1pt;z-index:251629568;mso-position-horizontal-relative:text;mso-position-vertical-relative:text;mso-width-relative:margin;mso-height-relative:margin" coordsize="6819,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">
                <v:oval id="Oval 14246" o:spid="_x0000_s1161" style="position:absolute;left:614;width:5574;height: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" fillcolor="#1d3e89" stroked="f" strokeweight="2pt">
                  <v:textbox>
                    <w:txbxContent>
                      <w:p w14:paraId="45C231CD" w14:textId="77777777" w:rsidR="003C0461" w:rsidRPr="00DC3F66" w:rsidRDefault="003C0461" w:rsidP="0029497F">
                        <w:pPr>
                          <w:jc w:val="center"/>
                          <w:rPr>
                            <w:b/>
                            <w:sz w:val="18"/>
                            <w:lang w:val="fr-BE"/>
                          </w:rPr>
                        </w:pPr>
                      </w:p>
                    </w:txbxContent>
                  </v:textbox>
                </v:oval>
                <v:shape id="_x0000_s1162" type="#_x0000_t202" style="position:absolute;top:1108;width:6819;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" filled="f" stroked="f">
                  <v:textbox>
                    <w:txbxContent>
                      <w:p w14:paraId="24D6AAE2" w14:textId="77777777" w:rsidR="003C0461" w:rsidRPr="0029497F" w:rsidRDefault="003C0461" w:rsidP="0029497F">
                        <w:pPr>
                          <w:jc w:val="center"/>
                          <w:rPr>
                            <w:color w:val="FFFFFF"/>
                            <w:sz w:val="14"/>
                            <w:szCs w:val="24"/>
                            <w:lang w:val="fr-BE"/>
                          </w:rPr>
                        </w:pPr>
                        <w:r w:rsidRPr="0029497F">
                          <w:rPr>
                            <w:rFonts w:eastAsia="Calibri"/>
                            <w:b/>
                            <w:bCs/>
                            <w:color w:val="FFFFFF"/>
                            <w:szCs w:val="40"/>
                            <w:lang w:val="fr-BE"/>
                          </w:rPr>
                          <w:t>0.8%</w:t>
                        </w:r>
                      </w:p>
                    </w:txbxContent>
                  </v:textbox>
                </v:shape>
              </v:group>
            </w:pict>
          </mc:Fallback>
        </mc:AlternateContent>
      </w:r>
      <w:r w:rsidRPr="00A04E56">
        <w:rPr>
          <w:rFonts w:ascii="Calibri" w:eastAsia="Calibri" w:hAnsi="Calibri"/>
          <w:noProof/>
          <w:sz w:val="22"/>
          <w:lang w:val="fr-BE" w:eastAsia="fr-BE"/>
        </w:rPr>
        <mc:AlternateContent>
          <mc:Choice Requires="wpg">
            <w:drawing>
              <wp:anchor distT="0" distB="0" distL="114300" distR="114300" simplePos="0" relativeHeight="251751424" behindDoc="0" locked="0" layoutInCell="1" allowOverlap="1" wp14:anchorId="255E96B8" wp14:editId="245BB1C4">
                <wp:simplePos x="0" y="0"/>
                <wp:positionH relativeFrom="column">
                  <wp:posOffset>3028315</wp:posOffset>
                </wp:positionH>
                <wp:positionV relativeFrom="paragraph">
                  <wp:posOffset>1989455</wp:posOffset>
                </wp:positionV>
                <wp:extent cx="545465" cy="445770"/>
                <wp:effectExtent l="0" t="0" r="6985" b="0"/>
                <wp:wrapNone/>
                <wp:docPr id="677" name="Group 677"/>
                <wp:cNvGraphicFramePr/>
                <a:graphic xmlns:a="http://schemas.openxmlformats.org/drawingml/2006/main">
                  <a:graphicData uri="http://schemas.microsoft.com/office/word/2010/wordprocessingGroup">
                    <wpg:wgp>
                      <wpg:cNvGrpSpPr/>
                      <wpg:grpSpPr>
                        <a:xfrm>
                          <a:off x="0" y="0"/>
                          <a:ext cx="545465" cy="445770"/>
                          <a:chOff x="0" y="0"/>
                          <a:chExt cx="681971" cy="557416"/>
                        </a:xfrm>
                      </wpg:grpSpPr>
                      <wps:wsp>
                        <wps:cNvPr id="678" name="Oval 678"/>
                        <wps:cNvSpPr/>
                        <wps:spPr>
                          <a:xfrm>
                            <a:off x="61415" y="0"/>
                            <a:ext cx="557416" cy="557416"/>
                          </a:xfrm>
                          <a:prstGeom prst="ellipse">
                            <a:avLst/>
                          </a:prstGeom>
                          <a:solidFill>
                            <a:srgbClr val="1D3E89"/>
                          </a:solidFill>
                          <a:ln w="25400" cap="flat" cmpd="sng" algn="ctr">
                            <a:noFill/>
                            <a:prstDash val="solid"/>
                          </a:ln>
                          <a:effectLst/>
                        </wps:spPr>
                        <wps:txbx>
                          <w:txbxContent>
                            <w:p w14:paraId="245332E9" w14:textId="77777777" w:rsidR="003C0461" w:rsidRPr="00DC3F66" w:rsidRDefault="003C0461" w:rsidP="0029497F">
                              <w:pPr>
                                <w:jc w:val="center"/>
                                <w:rPr>
                                  <w:b/>
                                  <w:sz w:val="18"/>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5" name="Text Box 2"/>
                        <wps:cNvSpPr txBox="1">
                          <a:spLocks noChangeArrowheads="1"/>
                        </wps:cNvSpPr>
                        <wps:spPr bwMode="auto">
                          <a:xfrm>
                            <a:off x="0" y="110885"/>
                            <a:ext cx="681971" cy="343355"/>
                          </a:xfrm>
                          <a:prstGeom prst="rect">
                            <a:avLst/>
                          </a:prstGeom>
                          <a:noFill/>
                          <a:ln w="9525">
                            <a:noFill/>
                            <a:miter lim="800000"/>
                            <a:headEnd/>
                            <a:tailEnd/>
                          </a:ln>
                        </wps:spPr>
                        <wps:txbx>
                          <w:txbxContent>
                            <w:p w14:paraId="5077CC1C" w14:textId="77777777" w:rsidR="003C0461" w:rsidRPr="0029497F" w:rsidRDefault="003C0461" w:rsidP="0029497F">
                              <w:pPr>
                                <w:pStyle w:val="BodyText1spaceafter"/>
                                <w:spacing w:after="0" w:line="276" w:lineRule="auto"/>
                                <w:jc w:val="center"/>
                                <w:rPr>
                                  <w:color w:val="FFFFFF"/>
                                  <w:sz w:val="14"/>
                                </w:rPr>
                              </w:pPr>
                              <w:r w:rsidRPr="0029497F">
                                <w:rPr>
                                  <w:b/>
                                  <w:bCs/>
                                  <w:color w:val="FFFFFF"/>
                                  <w:sz w:val="22"/>
                                  <w:szCs w:val="40"/>
                                </w:rPr>
                                <w:t>1.7%</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5E96B8" id="Group 677" o:spid="_x0000_s1163" style="position:absolute;left:0;text-align:left;margin-left:238.45pt;margin-top:156.65pt;width:42.95pt;height:35.1pt;z-index:251751424;mso-position-horizontal-relative:text;mso-position-vertical-relative:text;mso-width-relative:margin;mso-height-relative:margin" coordsize="6819,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">
                <v:oval id="Oval 678" o:spid="_x0000_s1164" style="position:absolute;left:614;width:5574;height: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" fillcolor="#1d3e89" stroked="f" strokeweight="2pt">
                  <v:textbox>
                    <w:txbxContent>
                      <w:p w14:paraId="245332E9" w14:textId="77777777" w:rsidR="003C0461" w:rsidRPr="00DC3F66" w:rsidRDefault="003C0461" w:rsidP="0029497F">
                        <w:pPr>
                          <w:jc w:val="center"/>
                          <w:rPr>
                            <w:b/>
                            <w:sz w:val="18"/>
                            <w:lang w:val="fr-BE"/>
                          </w:rPr>
                        </w:pPr>
                      </w:p>
                    </w:txbxContent>
                  </v:textbox>
                </v:oval>
                <v:shape id="_x0000_s1165" type="#_x0000_t202" style="position:absolute;top:1108;width:6819;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" filled="f" stroked="f">
                  <v:textbox>
                    <w:txbxContent>
                      <w:p w14:paraId="5077CC1C" w14:textId="77777777" w:rsidR="003C0461" w:rsidRPr="0029497F" w:rsidRDefault="003C0461" w:rsidP="0029497F">
                        <w:pPr>
                          <w:pStyle w:val="BodyText1spaceafter"/>
                          <w:spacing w:after="0" w:line="276" w:lineRule="auto"/>
                          <w:jc w:val="center"/>
                          <w:rPr>
                            <w:color w:val="FFFFFF"/>
                            <w:sz w:val="14"/>
                          </w:rPr>
                        </w:pPr>
                        <w:r w:rsidRPr="0029497F">
                          <w:rPr>
                            <w:b/>
                            <w:bCs/>
                            <w:color w:val="FFFFFF"/>
                            <w:sz w:val="22"/>
                            <w:szCs w:val="40"/>
                          </w:rPr>
                          <w:t>1.7%</w:t>
                        </w:r>
                      </w:p>
                    </w:txbxContent>
                  </v:textbox>
                </v:shape>
              </v:group>
            </w:pict>
          </mc:Fallback>
        </mc:AlternateContent>
      </w:r>
      <w:r w:rsidRPr="00A04E56">
        <w:rPr>
          <w:rFonts w:ascii="Calibri" w:eastAsia="Calibri" w:hAnsi="Calibri"/>
          <w:noProof/>
          <w:sz w:val="22"/>
          <w:lang w:val="fr-BE" w:eastAsia="fr-BE"/>
        </w:rPr>
        <mc:AlternateContent>
          <mc:Choice Requires="wpg">
            <w:drawing>
              <wp:anchor distT="0" distB="0" distL="114300" distR="114300" simplePos="0" relativeHeight="251793408" behindDoc="0" locked="0" layoutInCell="1" allowOverlap="1" wp14:anchorId="0CC9654E" wp14:editId="6CBF72B5">
                <wp:simplePos x="0" y="0"/>
                <wp:positionH relativeFrom="column">
                  <wp:posOffset>4155440</wp:posOffset>
                </wp:positionH>
                <wp:positionV relativeFrom="paragraph">
                  <wp:posOffset>1988127</wp:posOffset>
                </wp:positionV>
                <wp:extent cx="546735" cy="445770"/>
                <wp:effectExtent l="0" t="0" r="5715" b="0"/>
                <wp:wrapNone/>
                <wp:docPr id="14546" name="Group 14546"/>
                <wp:cNvGraphicFramePr/>
                <a:graphic xmlns:a="http://schemas.openxmlformats.org/drawingml/2006/main">
                  <a:graphicData uri="http://schemas.microsoft.com/office/word/2010/wordprocessingGroup">
                    <wpg:wgp>
                      <wpg:cNvGrpSpPr/>
                      <wpg:grpSpPr>
                        <a:xfrm>
                          <a:off x="0" y="0"/>
                          <a:ext cx="546735" cy="445770"/>
                          <a:chOff x="0" y="0"/>
                          <a:chExt cx="681971" cy="557416"/>
                        </a:xfrm>
                      </wpg:grpSpPr>
                      <wps:wsp>
                        <wps:cNvPr id="14548" name="Oval 14548"/>
                        <wps:cNvSpPr/>
                        <wps:spPr>
                          <a:xfrm>
                            <a:off x="61415" y="0"/>
                            <a:ext cx="557416" cy="557416"/>
                          </a:xfrm>
                          <a:prstGeom prst="ellipse">
                            <a:avLst/>
                          </a:prstGeom>
                          <a:solidFill>
                            <a:srgbClr val="1D3E89"/>
                          </a:solidFill>
                          <a:ln w="25400" cap="flat" cmpd="sng" algn="ctr">
                            <a:noFill/>
                            <a:prstDash val="solid"/>
                          </a:ln>
                          <a:effectLst/>
                        </wps:spPr>
                        <wps:txbx>
                          <w:txbxContent>
                            <w:p w14:paraId="4A617BE4" w14:textId="77777777" w:rsidR="003C0461" w:rsidRPr="00DC3F66" w:rsidRDefault="003C0461" w:rsidP="0029497F">
                              <w:pPr>
                                <w:jc w:val="center"/>
                                <w:rPr>
                                  <w:b/>
                                  <w:sz w:val="18"/>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49" name="Text Box 2"/>
                        <wps:cNvSpPr txBox="1">
                          <a:spLocks noChangeArrowheads="1"/>
                        </wps:cNvSpPr>
                        <wps:spPr bwMode="auto">
                          <a:xfrm>
                            <a:off x="0" y="110885"/>
                            <a:ext cx="681971" cy="343355"/>
                          </a:xfrm>
                          <a:prstGeom prst="rect">
                            <a:avLst/>
                          </a:prstGeom>
                          <a:noFill/>
                          <a:ln w="9525">
                            <a:noFill/>
                            <a:miter lim="800000"/>
                            <a:headEnd/>
                            <a:tailEnd/>
                          </a:ln>
                        </wps:spPr>
                        <wps:txbx>
                          <w:txbxContent>
                            <w:p w14:paraId="1C5EB3F0" w14:textId="77777777" w:rsidR="003C0461" w:rsidRPr="0029497F" w:rsidRDefault="003C0461" w:rsidP="0029497F">
                              <w:pPr>
                                <w:jc w:val="center"/>
                                <w:rPr>
                                  <w:color w:val="FFFFFF"/>
                                  <w:sz w:val="14"/>
                                  <w:szCs w:val="24"/>
                                  <w:lang w:val="fr-BE"/>
                                </w:rPr>
                              </w:pPr>
                              <w:r w:rsidRPr="0029497F">
                                <w:rPr>
                                  <w:rFonts w:eastAsia="Calibri"/>
                                  <w:b/>
                                  <w:bCs/>
                                  <w:color w:val="FFFFFF"/>
                                  <w:szCs w:val="40"/>
                                  <w:lang w:val="fr-BE"/>
                                </w:rPr>
                                <w:t>0.9%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C9654E" id="Group 14546" o:spid="_x0000_s1166" style="position:absolute;left:0;text-align:left;margin-left:327.2pt;margin-top:156.55pt;width:43.05pt;height:35.1pt;z-index:251793408;mso-position-horizontal-relative:text;mso-position-vertical-relative:text;mso-width-relative:margin;mso-height-relative:margin" coordsize="6819,5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">
                <v:oval id="Oval 14548" o:spid="_x0000_s1167" style="position:absolute;left:614;width:5574;height:5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" fillcolor="#1d3e89" stroked="f" strokeweight="2pt">
                  <v:textbox>
                    <w:txbxContent>
                      <w:p w14:paraId="4A617BE4" w14:textId="77777777" w:rsidR="003C0461" w:rsidRPr="00DC3F66" w:rsidRDefault="003C0461" w:rsidP="0029497F">
                        <w:pPr>
                          <w:jc w:val="center"/>
                          <w:rPr>
                            <w:b/>
                            <w:sz w:val="18"/>
                            <w:lang w:val="fr-BE"/>
                          </w:rPr>
                        </w:pPr>
                      </w:p>
                    </w:txbxContent>
                  </v:textbox>
                </v:oval>
                <v:shape id="_x0000_s1168" type="#_x0000_t202" style="position:absolute;top:1108;width:6819;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" filled="f" stroked="f">
                  <v:textbox>
                    <w:txbxContent>
                      <w:p w14:paraId="1C5EB3F0" w14:textId="77777777" w:rsidR="003C0461" w:rsidRPr="0029497F" w:rsidRDefault="003C0461" w:rsidP="0029497F">
                        <w:pPr>
                          <w:jc w:val="center"/>
                          <w:rPr>
                            <w:color w:val="FFFFFF"/>
                            <w:sz w:val="14"/>
                            <w:szCs w:val="24"/>
                            <w:lang w:val="fr-BE"/>
                          </w:rPr>
                        </w:pPr>
                        <w:r w:rsidRPr="0029497F">
                          <w:rPr>
                            <w:rFonts w:eastAsia="Calibri"/>
                            <w:b/>
                            <w:bCs/>
                            <w:color w:val="FFFFFF"/>
                            <w:szCs w:val="40"/>
                            <w:lang w:val="fr-BE"/>
                          </w:rPr>
                          <w:t>0.9%</w:t>
                        </w:r>
                      </w:p>
                    </w:txbxContent>
                  </v:textbox>
                </v:shape>
              </v:group>
            </w:pict>
          </mc:Fallback>
        </mc:AlternateContent>
      </w:r>
      <w:r w:rsidRPr="00A04E56">
        <w:rPr>
          <w:rFonts w:ascii="Calibri" w:eastAsia="Calibri" w:hAnsi="Calibri"/>
          <w:noProof/>
          <w:sz w:val="22"/>
          <w:lang w:val="fr-BE" w:eastAsia="fr-BE"/>
        </w:rPr>
        <mc:AlternateContent>
          <mc:Choice Requires="wpg">
            <w:drawing>
              <wp:anchor distT="0" distB="0" distL="114300" distR="114300" simplePos="0" relativeHeight="251541504" behindDoc="0" locked="0" layoutInCell="1" allowOverlap="1" wp14:anchorId="284FDC4D" wp14:editId="07A0870A">
                <wp:simplePos x="0" y="0"/>
                <wp:positionH relativeFrom="column">
                  <wp:posOffset>3428365</wp:posOffset>
                </wp:positionH>
                <wp:positionV relativeFrom="paragraph">
                  <wp:posOffset>1550093</wp:posOffset>
                </wp:positionV>
                <wp:extent cx="1386205" cy="405765"/>
                <wp:effectExtent l="0" t="0" r="0" b="0"/>
                <wp:wrapSquare wrapText="bothSides"/>
                <wp:docPr id="210" name="Group 210"/>
                <wp:cNvGraphicFramePr/>
                <a:graphic xmlns:a="http://schemas.openxmlformats.org/drawingml/2006/main">
                  <a:graphicData uri="http://schemas.microsoft.com/office/word/2010/wordprocessingGroup">
                    <wpg:wgp>
                      <wpg:cNvGrpSpPr/>
                      <wpg:grpSpPr>
                        <a:xfrm>
                          <a:off x="0" y="0"/>
                          <a:ext cx="1386205" cy="405765"/>
                          <a:chOff x="0" y="0"/>
                          <a:chExt cx="1387890" cy="405765"/>
                        </a:xfrm>
                      </wpg:grpSpPr>
                      <wps:wsp>
                        <wps:cNvPr id="235" name="Text Box 2"/>
                        <wps:cNvSpPr txBox="1">
                          <a:spLocks noChangeArrowheads="1"/>
                        </wps:cNvSpPr>
                        <wps:spPr bwMode="auto">
                          <a:xfrm>
                            <a:off x="0" y="0"/>
                            <a:ext cx="292100" cy="405765"/>
                          </a:xfrm>
                          <a:prstGeom prst="rect">
                            <a:avLst/>
                          </a:prstGeom>
                          <a:noFill/>
                          <a:ln w="9525">
                            <a:noFill/>
                            <a:miter lim="800000"/>
                            <a:headEnd/>
                            <a:tailEnd/>
                          </a:ln>
                        </wps:spPr>
                        <wps:txbx>
                          <w:txbxContent>
                            <w:p w14:paraId="7BE7A1FB" w14:textId="77777777" w:rsidR="003C0461" w:rsidRPr="00B85F96" w:rsidRDefault="003C0461" w:rsidP="0029497F">
                              <w:pPr>
                                <w:rPr>
                                  <w:b/>
                                  <w:color w:val="1D3E89"/>
                                  <w:sz w:val="40"/>
                                </w:rPr>
                              </w:pPr>
                              <w:r w:rsidRPr="00B85F96">
                                <w:rPr>
                                  <w:b/>
                                  <w:color w:val="1D3E89"/>
                                  <w:sz w:val="40"/>
                                </w:rPr>
                                <w:t>-</w:t>
                              </w:r>
                            </w:p>
                          </w:txbxContent>
                        </wps:txbx>
                        <wps:bodyPr rot="0" vert="horz" wrap="square" lIns="91440" tIns="45720" rIns="91440" bIns="45720" anchor="t" anchorCtr="0">
                          <a:noAutofit/>
                        </wps:bodyPr>
                      </wps:wsp>
                      <wps:wsp>
                        <wps:cNvPr id="243" name="Text Box 2"/>
                        <wps:cNvSpPr txBox="1">
                          <a:spLocks noChangeArrowheads="1"/>
                        </wps:cNvSpPr>
                        <wps:spPr bwMode="auto">
                          <a:xfrm>
                            <a:off x="1095790" y="0"/>
                            <a:ext cx="292100" cy="405765"/>
                          </a:xfrm>
                          <a:prstGeom prst="rect">
                            <a:avLst/>
                          </a:prstGeom>
                          <a:noFill/>
                          <a:ln w="9525">
                            <a:noFill/>
                            <a:miter lim="800000"/>
                            <a:headEnd/>
                            <a:tailEnd/>
                          </a:ln>
                        </wps:spPr>
                        <wps:txbx>
                          <w:txbxContent>
                            <w:p w14:paraId="67DDACDA" w14:textId="77777777" w:rsidR="003C0461" w:rsidRPr="00B85F96" w:rsidRDefault="003C0461" w:rsidP="0029497F">
                              <w:pPr>
                                <w:rPr>
                                  <w:b/>
                                  <w:color w:val="1D3E89"/>
                                  <w:sz w:val="40"/>
                                  <w:lang w:val="fr-BE"/>
                                </w:rPr>
                              </w:pPr>
                              <w:r w:rsidRPr="00B85F96">
                                <w:rPr>
                                  <w:b/>
                                  <w:color w:val="1D3E89"/>
                                  <w:sz w:val="40"/>
                                  <w:lang w:val="fr-BE"/>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84FDC4D" id="Group 210" o:spid="_x0000_s1169" style="position:absolute;left:0;text-align:left;margin-left:269.95pt;margin-top:122.05pt;width:109.15pt;height:31.95pt;z-index:251541504;mso-position-horizontal-relative:text;mso-position-vertical-relative:text;mso-width-relative:margin" coordsize="13878,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">
                <v:shape id="_x0000_s1170" type="#_x0000_t202" style="position:absolute;width:292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7BE7A1FB" w14:textId="77777777" w:rsidR="003C0461" w:rsidRPr="00B85F96" w:rsidRDefault="003C0461" w:rsidP="0029497F">
                        <w:pPr>
                          <w:rPr>
                            <w:b/>
                            <w:color w:val="1D3E89"/>
                            <w:sz w:val="40"/>
                          </w:rPr>
                        </w:pPr>
                        <w:r w:rsidRPr="00B85F96">
                          <w:rPr>
                            <w:b/>
                            <w:color w:val="1D3E89"/>
                            <w:sz w:val="40"/>
                          </w:rPr>
                          <w:t>-</w:t>
                        </w:r>
                      </w:p>
                    </w:txbxContent>
                  </v:textbox>
                </v:shape>
                <v:shape id="_x0000_s1171" type="#_x0000_t202" style="position:absolute;left:10957;width:2921;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67DDACDA" w14:textId="77777777" w:rsidR="003C0461" w:rsidRPr="00B85F96" w:rsidRDefault="003C0461" w:rsidP="0029497F">
                        <w:pPr>
                          <w:rPr>
                            <w:b/>
                            <w:color w:val="1D3E89"/>
                            <w:sz w:val="40"/>
                            <w:lang w:val="fr-BE"/>
                          </w:rPr>
                        </w:pPr>
                        <w:r w:rsidRPr="00B85F96">
                          <w:rPr>
                            <w:b/>
                            <w:color w:val="1D3E89"/>
                            <w:sz w:val="40"/>
                            <w:lang w:val="fr-BE"/>
                          </w:rPr>
                          <w:t>=</w:t>
                        </w:r>
                      </w:p>
                    </w:txbxContent>
                  </v:textbox>
                </v:shape>
                <w10:wrap type="square"/>
              </v:group>
            </w:pict>
          </mc:Fallback>
        </mc:AlternateContent>
      </w:r>
      <w:r w:rsidRPr="002951A3">
        <w:rPr>
          <w:rFonts w:ascii="Calibri" w:eastAsia="Calibri" w:hAnsi="Calibri"/>
          <w:noProof/>
          <w:sz w:val="22"/>
          <w:lang w:val="fr-BE" w:eastAsia="fr-BE"/>
        </w:rPr>
        <mc:AlternateContent>
          <mc:Choice Requires="wpc">
            <w:drawing>
              <wp:inline distT="0" distB="0" distL="0" distR="0" wp14:anchorId="2B2BC87E" wp14:editId="05E0CDA3">
                <wp:extent cx="5759450" cy="3559628"/>
                <wp:effectExtent l="0" t="0" r="12700" b="22225"/>
                <wp:docPr id="328" name="Canvas 3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9525">
                          <a:solidFill>
                            <a:srgbClr val="D9D9D9"/>
                          </a:solidFill>
                        </a:ln>
                      </wpc:whole>
                      <wps:wsp>
                        <wps:cNvPr id="295" name="Text Box 295"/>
                        <wps:cNvSpPr txBox="1"/>
                        <wps:spPr>
                          <a:xfrm>
                            <a:off x="64601" y="404734"/>
                            <a:ext cx="566920" cy="556493"/>
                          </a:xfrm>
                          <a:prstGeom prst="rect">
                            <a:avLst/>
                          </a:prstGeom>
                          <a:solidFill>
                            <a:srgbClr val="65BBC8"/>
                          </a:solidFill>
                          <a:ln w="6350">
                            <a:noFill/>
                          </a:ln>
                        </wps:spPr>
                        <wps:txbx>
                          <w:txbxContent>
                            <w:p w14:paraId="77EBC334" w14:textId="77777777" w:rsidR="003C0461" w:rsidRPr="0029497F" w:rsidRDefault="003C0461" w:rsidP="00BE5932">
                              <w:pPr>
                                <w:jc w:val="center"/>
                                <w:rPr>
                                  <w:color w:val="FFFFFF"/>
                                  <w:sz w:val="18"/>
                                  <w:szCs w:val="18"/>
                                </w:rPr>
                              </w:pPr>
                              <w:r w:rsidRPr="0029497F">
                                <w:rPr>
                                  <w:color w:val="FFFFFF"/>
                                  <w:sz w:val="18"/>
                                  <w:szCs w:val="18"/>
                                </w:rPr>
                                <w:t>Ex ante controls</w:t>
                              </w:r>
                            </w:p>
                          </w:txbxContent>
                        </wps:txbx>
                        <wps:bodyPr rot="0" spcFirstLastPara="0" vertOverflow="overflow" horzOverflow="overflow" vert="horz" wrap="square" lIns="90415" tIns="45208" rIns="90415" bIns="45208" numCol="1" spcCol="0" rtlCol="0" fromWordArt="0" anchor="ctr" anchorCtr="0" forceAA="0" compatLnSpc="1">
                          <a:prstTxWarp prst="textNoShape">
                            <a:avLst/>
                          </a:prstTxWarp>
                          <a:noAutofit/>
                        </wps:bodyPr>
                      </wps:wsp>
                      <wps:wsp>
                        <wps:cNvPr id="296" name="Text Box 14447"/>
                        <wps:cNvSpPr txBox="1"/>
                        <wps:spPr>
                          <a:xfrm>
                            <a:off x="827205" y="404734"/>
                            <a:ext cx="793211" cy="556493"/>
                          </a:xfrm>
                          <a:prstGeom prst="rect">
                            <a:avLst/>
                          </a:prstGeom>
                          <a:solidFill>
                            <a:srgbClr val="65BBC8"/>
                          </a:solidFill>
                          <a:ln w="6350">
                            <a:noFill/>
                          </a:ln>
                        </wps:spPr>
                        <wps:txbx>
                          <w:txbxContent>
                            <w:p w14:paraId="2AACAB89" w14:textId="77777777" w:rsidR="003C0461" w:rsidRPr="00B41F0E" w:rsidRDefault="003C0461" w:rsidP="00BE5932">
                              <w:pPr>
                                <w:pStyle w:val="NormalWeb"/>
                                <w:spacing w:line="276" w:lineRule="auto"/>
                                <w:jc w:val="center"/>
                              </w:pPr>
                              <w:r>
                                <w:rPr>
                                  <w:rFonts w:eastAsia="Calibri"/>
                                  <w:bCs/>
                                  <w:color w:val="FFFFFF"/>
                                  <w:sz w:val="18"/>
                                  <w:szCs w:val="18"/>
                                </w:rPr>
                                <w:t xml:space="preserve">Ex </w:t>
                              </w:r>
                              <w:r w:rsidRPr="00B41F0E">
                                <w:rPr>
                                  <w:rFonts w:eastAsia="Calibri"/>
                                  <w:bCs/>
                                  <w:color w:val="FFFFFF"/>
                                  <w:sz w:val="18"/>
                                  <w:szCs w:val="18"/>
                                </w:rPr>
                                <w:t xml:space="preserve">ante </w:t>
                              </w:r>
                              <w:r>
                                <w:rPr>
                                  <w:rFonts w:eastAsia="Calibri"/>
                                  <w:bCs/>
                                  <w:color w:val="FFFFFF"/>
                                  <w:sz w:val="18"/>
                                  <w:szCs w:val="18"/>
                                </w:rPr>
                                <w:t>adjustments</w:t>
                              </w:r>
                            </w:p>
                          </w:txbxContent>
                        </wps:txbx>
                        <wps:bodyPr rot="0" spcFirstLastPara="0" vert="horz" wrap="square" lIns="90415" tIns="45208" rIns="90415" bIns="45208" numCol="1" spcCol="0" rtlCol="0" fromWordArt="0" anchor="ctr" anchorCtr="0" forceAA="0" compatLnSpc="1">
                          <a:prstTxWarp prst="textNoShape">
                            <a:avLst/>
                          </a:prstTxWarp>
                          <a:noAutofit/>
                        </wps:bodyPr>
                      </wps:wsp>
                      <wps:wsp>
                        <wps:cNvPr id="297" name="Text Box 14447"/>
                        <wps:cNvSpPr txBox="1"/>
                        <wps:spPr>
                          <a:xfrm>
                            <a:off x="2722330" y="402754"/>
                            <a:ext cx="741329" cy="566253"/>
                          </a:xfrm>
                          <a:prstGeom prst="rect">
                            <a:avLst/>
                          </a:prstGeom>
                          <a:solidFill>
                            <a:srgbClr val="65BBC8"/>
                          </a:solidFill>
                          <a:ln w="6350">
                            <a:noFill/>
                          </a:ln>
                        </wps:spPr>
                        <wps:txbx>
                          <w:txbxContent>
                            <w:p w14:paraId="799E87CF" w14:textId="77777777" w:rsidR="003C0461" w:rsidRPr="00B41F0E" w:rsidRDefault="003C0461" w:rsidP="00BE5932">
                              <w:pPr>
                                <w:pStyle w:val="NormalWeb"/>
                                <w:spacing w:line="276" w:lineRule="auto"/>
                                <w:jc w:val="center"/>
                              </w:pPr>
                              <w:r>
                                <w:rPr>
                                  <w:rFonts w:eastAsia="Calibri"/>
                                  <w:bCs/>
                                  <w:color w:val="FFFFFF"/>
                                  <w:sz w:val="18"/>
                                  <w:szCs w:val="18"/>
                                </w:rPr>
                                <w:t xml:space="preserve">Ex </w:t>
                              </w:r>
                              <w:r w:rsidRPr="00B41F0E">
                                <w:rPr>
                                  <w:rFonts w:eastAsia="Calibri"/>
                                  <w:bCs/>
                                  <w:color w:val="FFFFFF"/>
                                  <w:sz w:val="18"/>
                                  <w:szCs w:val="18"/>
                                </w:rPr>
                                <w:t>post controls</w:t>
                              </w:r>
                            </w:p>
                          </w:txbxContent>
                        </wps:txbx>
                        <wps:bodyPr rot="0" spcFirstLastPara="0" vert="horz" wrap="square" lIns="90415" tIns="45208" rIns="90415" bIns="45208" numCol="1" spcCol="0" rtlCol="0" fromWordArt="0" anchor="ctr" anchorCtr="0" forceAA="0" compatLnSpc="1">
                          <a:prstTxWarp prst="textNoShape">
                            <a:avLst/>
                          </a:prstTxWarp>
                          <a:noAutofit/>
                        </wps:bodyPr>
                      </wps:wsp>
                      <wps:wsp>
                        <wps:cNvPr id="298" name="Text Box 14447"/>
                        <wps:cNvSpPr txBox="1"/>
                        <wps:spPr>
                          <a:xfrm>
                            <a:off x="3718688" y="404783"/>
                            <a:ext cx="864116" cy="561598"/>
                          </a:xfrm>
                          <a:prstGeom prst="rect">
                            <a:avLst/>
                          </a:prstGeom>
                          <a:solidFill>
                            <a:srgbClr val="65BBC8"/>
                          </a:solidFill>
                          <a:ln w="6350">
                            <a:noFill/>
                          </a:ln>
                        </wps:spPr>
                        <wps:txbx>
                          <w:txbxContent>
                            <w:p w14:paraId="41F29D10" w14:textId="77777777" w:rsidR="003C0461" w:rsidRPr="00B41F0E" w:rsidRDefault="003C0461" w:rsidP="00BE5932">
                              <w:pPr>
                                <w:pStyle w:val="NormalWeb"/>
                                <w:spacing w:line="276" w:lineRule="auto"/>
                                <w:jc w:val="center"/>
                              </w:pPr>
                              <w:r w:rsidRPr="00B41F0E">
                                <w:rPr>
                                  <w:rFonts w:eastAsia="Calibri"/>
                                  <w:bCs/>
                                  <w:color w:val="FFFFFF"/>
                                  <w:sz w:val="18"/>
                                  <w:szCs w:val="18"/>
                                </w:rPr>
                                <w:t>Recoveries and corrections</w:t>
                              </w:r>
                            </w:p>
                          </w:txbxContent>
                        </wps:txbx>
                        <wps:bodyPr rot="0" spcFirstLastPara="0" vert="horz" wrap="square" lIns="90415" tIns="45208" rIns="90415" bIns="45208" numCol="1" spcCol="0" rtlCol="0" fromWordArt="0" anchor="ctr" anchorCtr="0" forceAA="0" compatLnSpc="1">
                          <a:prstTxWarp prst="textNoShape">
                            <a:avLst/>
                          </a:prstTxWarp>
                          <a:spAutoFit/>
                        </wps:bodyPr>
                      </wps:wsp>
                      <wpg:wgp>
                        <wpg:cNvPr id="301" name="Group 301"/>
                        <wpg:cNvGrpSpPr/>
                        <wpg:grpSpPr>
                          <a:xfrm>
                            <a:off x="2514004" y="1451423"/>
                            <a:ext cx="3168903" cy="595630"/>
                            <a:chOff x="2860427" y="2896777"/>
                            <a:chExt cx="3204035" cy="602233"/>
                          </a:xfrm>
                        </wpg:grpSpPr>
                        <wps:wsp>
                          <wps:cNvPr id="303" name="Text Box 14447"/>
                          <wps:cNvSpPr txBox="1"/>
                          <wps:spPr>
                            <a:xfrm>
                              <a:off x="2860427" y="2896777"/>
                              <a:ext cx="960120" cy="595630"/>
                            </a:xfrm>
                            <a:prstGeom prst="rect">
                              <a:avLst/>
                            </a:prstGeom>
                            <a:solidFill>
                              <a:srgbClr val="08AA74"/>
                            </a:solidFill>
                            <a:ln w="6350">
                              <a:noFill/>
                            </a:ln>
                          </wps:spPr>
                          <wps:txbx>
                            <w:txbxContent>
                              <w:p w14:paraId="3BBD9CD9" w14:textId="77777777" w:rsidR="003C0461" w:rsidRPr="00B41F0E" w:rsidRDefault="003C0461" w:rsidP="00BE5932">
                                <w:pPr>
                                  <w:pStyle w:val="NormalWeb"/>
                                  <w:jc w:val="center"/>
                                </w:pPr>
                                <w:r w:rsidRPr="005E4B15">
                                  <w:rPr>
                                    <w:rFonts w:eastAsia="Calibri"/>
                                    <w:b/>
                                    <w:bCs/>
                                    <w:color w:val="FFFFFF"/>
                                    <w:sz w:val="18"/>
                                    <w:szCs w:val="18"/>
                                  </w:rPr>
                                  <w:t>Risk at payment</w:t>
                                </w:r>
                                <w:r w:rsidRPr="00B41F0E">
                                  <w:rPr>
                                    <w:rFonts w:eastAsia="Calibri"/>
                                    <w:bCs/>
                                    <w:color w:val="FFFFFF"/>
                                    <w:sz w:val="18"/>
                                    <w:szCs w:val="18"/>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4" name="Text Box 14447"/>
                          <wps:cNvSpPr txBox="1"/>
                          <wps:spPr>
                            <a:xfrm>
                              <a:off x="4078467" y="2896777"/>
                              <a:ext cx="880879" cy="602233"/>
                            </a:xfrm>
                            <a:prstGeom prst="rect">
                              <a:avLst/>
                            </a:prstGeom>
                            <a:solidFill>
                              <a:srgbClr val="08AA74"/>
                            </a:solidFill>
                            <a:ln w="6350">
                              <a:noFill/>
                            </a:ln>
                          </wps:spPr>
                          <wps:txbx>
                            <w:txbxContent>
                              <w:p w14:paraId="7F229455" w14:textId="77777777" w:rsidR="003C0461" w:rsidRPr="005E4B15" w:rsidRDefault="003C0461" w:rsidP="00BE5932">
                                <w:pPr>
                                  <w:pStyle w:val="NormalWeb"/>
                                  <w:spacing w:line="276" w:lineRule="auto"/>
                                  <w:jc w:val="center"/>
                                  <w:rPr>
                                    <w:b/>
                                  </w:rPr>
                                </w:pPr>
                                <w:r w:rsidRPr="005E4B15">
                                  <w:rPr>
                                    <w:rFonts w:eastAsia="Calibri"/>
                                    <w:b/>
                                    <w:bCs/>
                                    <w:color w:val="FFFFFF"/>
                                    <w:sz w:val="18"/>
                                    <w:szCs w:val="18"/>
                                  </w:rPr>
                                  <w:t>Estimated future corrections</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310" name="Text Box 14447"/>
                          <wps:cNvSpPr txBox="1"/>
                          <wps:spPr>
                            <a:xfrm>
                              <a:off x="5180993" y="2896799"/>
                              <a:ext cx="883469" cy="595608"/>
                            </a:xfrm>
                            <a:prstGeom prst="rect">
                              <a:avLst/>
                            </a:prstGeom>
                            <a:solidFill>
                              <a:srgbClr val="08AA74"/>
                            </a:solidFill>
                            <a:ln w="6350">
                              <a:noFill/>
                            </a:ln>
                          </wps:spPr>
                          <wps:txbx>
                            <w:txbxContent>
                              <w:p w14:paraId="0BC7CA08" w14:textId="77777777" w:rsidR="003C0461" w:rsidRPr="00B41F0E" w:rsidRDefault="003C0461" w:rsidP="00BE5932">
                                <w:pPr>
                                  <w:pStyle w:val="NormalWeb"/>
                                  <w:jc w:val="center"/>
                                </w:pPr>
                                <w:r w:rsidRPr="005E4B15">
                                  <w:rPr>
                                    <w:rFonts w:eastAsia="Calibri"/>
                                    <w:b/>
                                    <w:bCs/>
                                    <w:color w:val="FFFFFF"/>
                                    <w:sz w:val="18"/>
                                    <w:szCs w:val="18"/>
                                  </w:rPr>
                                  <w:t>Risk at closure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s:wsp>
                        <wps:cNvPr id="312" name="Text Box 14447"/>
                        <wps:cNvSpPr txBox="1"/>
                        <wps:spPr>
                          <a:xfrm>
                            <a:off x="2452017" y="2740163"/>
                            <a:ext cx="1082556" cy="716538"/>
                          </a:xfrm>
                          <a:prstGeom prst="rect">
                            <a:avLst/>
                          </a:prstGeom>
                          <a:solidFill>
                            <a:srgbClr val="65BBC8"/>
                          </a:solidFill>
                          <a:ln w="6350">
                            <a:noFill/>
                          </a:ln>
                        </wps:spPr>
                        <wps:txbx>
                          <w:txbxContent>
                            <w:p w14:paraId="789E82FD" w14:textId="77777777" w:rsidR="003C0461" w:rsidRPr="00B41F0E" w:rsidRDefault="003C0461" w:rsidP="00BE5932">
                              <w:pPr>
                                <w:pStyle w:val="NormalWeb"/>
                                <w:spacing w:line="276" w:lineRule="auto"/>
                                <w:jc w:val="center"/>
                              </w:pPr>
                              <w:r w:rsidRPr="00B41F0E">
                                <w:rPr>
                                  <w:rFonts w:eastAsia="Calibri"/>
                                  <w:bCs/>
                                  <w:color w:val="FFFFFF"/>
                                  <w:sz w:val="18"/>
                                  <w:szCs w:val="18"/>
                                </w:rPr>
                                <w:t>Equivalent</w:t>
                              </w:r>
                              <w:r>
                                <w:rPr>
                                  <w:rFonts w:eastAsia="Calibri"/>
                                  <w:bCs/>
                                  <w:color w:val="FFFFFF"/>
                                  <w:sz w:val="18"/>
                                  <w:szCs w:val="18"/>
                                </w:rPr>
                                <w:t xml:space="preserve"> to</w:t>
                              </w:r>
                              <w:r>
                                <w:rPr>
                                  <w:rFonts w:eastAsia="Calibri"/>
                                  <w:bCs/>
                                  <w:color w:val="FFFFFF"/>
                                  <w:sz w:val="18"/>
                                  <w:szCs w:val="18"/>
                                </w:rPr>
                                <w:br/>
                                <w:t xml:space="preserve"> Court of Auditors’ </w:t>
                              </w:r>
                              <w:r w:rsidRPr="00B41F0E">
                                <w:rPr>
                                  <w:rFonts w:eastAsia="Calibri"/>
                                  <w:bCs/>
                                  <w:color w:val="FFFFFF"/>
                                  <w:sz w:val="18"/>
                                  <w:szCs w:val="18"/>
                                </w:rPr>
                                <w:t xml:space="preserve">Most Likely </w:t>
                              </w:r>
                              <w:r>
                                <w:rPr>
                                  <w:rFonts w:eastAsia="Calibri"/>
                                  <w:bCs/>
                                  <w:color w:val="FFFFFF"/>
                                  <w:sz w:val="18"/>
                                  <w:szCs w:val="18"/>
                                </w:rPr>
                                <w:br/>
                              </w:r>
                              <w:r w:rsidRPr="00B41F0E">
                                <w:rPr>
                                  <w:rFonts w:eastAsia="Calibri"/>
                                  <w:bCs/>
                                  <w:color w:val="FFFFFF"/>
                                  <w:sz w:val="18"/>
                                  <w:szCs w:val="18"/>
                                </w:rPr>
                                <w:t>Error rate</w:t>
                              </w:r>
                            </w:p>
                          </w:txbxContent>
                        </wps:txbx>
                        <wps:bodyPr rot="0" spcFirstLastPara="0" vert="horz" wrap="square" lIns="90415" tIns="45208" rIns="90415" bIns="45208" numCol="1" spcCol="0" rtlCol="0" fromWordArt="0" anchor="t" anchorCtr="0" forceAA="0" compatLnSpc="1">
                          <a:prstTxWarp prst="textNoShape">
                            <a:avLst/>
                          </a:prstTxWarp>
                          <a:spAutoFit/>
                        </wps:bodyPr>
                      </wps:wsp>
                      <wps:wsp>
                        <wps:cNvPr id="313" name="Text Box 14447"/>
                        <wps:cNvSpPr txBox="1"/>
                        <wps:spPr>
                          <a:xfrm>
                            <a:off x="1836940" y="412566"/>
                            <a:ext cx="656927" cy="548659"/>
                          </a:xfrm>
                          <a:prstGeom prst="rect">
                            <a:avLst/>
                          </a:prstGeom>
                          <a:solidFill>
                            <a:srgbClr val="65BBC8"/>
                          </a:solidFill>
                          <a:ln w="6350">
                            <a:noFill/>
                          </a:ln>
                        </wps:spPr>
                        <wps:txbx>
                          <w:txbxContent>
                            <w:p w14:paraId="44D3F19C" w14:textId="77777777" w:rsidR="003C0461" w:rsidRPr="00B41F0E" w:rsidRDefault="003C0461" w:rsidP="00BE5932">
                              <w:pPr>
                                <w:pStyle w:val="NormalWeb"/>
                                <w:spacing w:line="276" w:lineRule="auto"/>
                                <w:jc w:val="center"/>
                              </w:pPr>
                              <w:r w:rsidRPr="00B41F0E">
                                <w:rPr>
                                  <w:rFonts w:eastAsia="Calibri"/>
                                  <w:bCs/>
                                  <w:color w:val="FFFFFF"/>
                                  <w:sz w:val="18"/>
                                  <w:szCs w:val="18"/>
                                </w:rPr>
                                <w:t>Payments</w:t>
                              </w:r>
                            </w:p>
                          </w:txbxContent>
                        </wps:txbx>
                        <wps:bodyPr rot="0" spcFirstLastPara="0" vert="horz" wrap="square" lIns="90415" tIns="45208" rIns="90415" bIns="45208" numCol="1" spcCol="0" rtlCol="0" fromWordArt="0" anchor="ctr" anchorCtr="0" forceAA="0" compatLnSpc="1">
                          <a:prstTxWarp prst="textNoShape">
                            <a:avLst/>
                          </a:prstTxWarp>
                          <a:noAutofit/>
                        </wps:bodyPr>
                      </wps:wsp>
                      <wps:wsp>
                        <wps:cNvPr id="315" name="Straight Arrow Connector 315"/>
                        <wps:cNvCnPr/>
                        <wps:spPr>
                          <a:xfrm>
                            <a:off x="673019" y="689130"/>
                            <a:ext cx="134980" cy="1"/>
                          </a:xfrm>
                          <a:prstGeom prst="straightConnector1">
                            <a:avLst/>
                          </a:prstGeom>
                          <a:noFill/>
                          <a:ln w="12700" cap="flat" cmpd="sng" algn="ctr">
                            <a:solidFill>
                              <a:sysClr val="window" lastClr="FFFFFF">
                                <a:lumMod val="65000"/>
                              </a:sysClr>
                            </a:solidFill>
                            <a:prstDash val="solid"/>
                            <a:tailEnd type="triangle"/>
                          </a:ln>
                          <a:effectLst/>
                        </wps:spPr>
                        <wps:bodyPr/>
                      </wps:wsp>
                      <wps:wsp>
                        <wps:cNvPr id="316" name="Straight Arrow Connector 316"/>
                        <wps:cNvCnPr/>
                        <wps:spPr>
                          <a:xfrm>
                            <a:off x="1644603" y="701780"/>
                            <a:ext cx="161978" cy="7"/>
                          </a:xfrm>
                          <a:prstGeom prst="straightConnector1">
                            <a:avLst/>
                          </a:prstGeom>
                          <a:noFill/>
                          <a:ln w="12700" cap="flat" cmpd="sng" algn="ctr">
                            <a:solidFill>
                              <a:sysClr val="window" lastClr="FFFFFF">
                                <a:lumMod val="65000"/>
                              </a:sysClr>
                            </a:solidFill>
                            <a:prstDash val="solid"/>
                            <a:tailEnd type="triangle"/>
                          </a:ln>
                          <a:effectLst/>
                        </wps:spPr>
                        <wps:bodyPr/>
                      </wps:wsp>
                      <wps:wsp>
                        <wps:cNvPr id="317" name="Straight Arrow Connector 317"/>
                        <wps:cNvCnPr/>
                        <wps:spPr>
                          <a:xfrm flipV="1">
                            <a:off x="2519157" y="701786"/>
                            <a:ext cx="161978" cy="29"/>
                          </a:xfrm>
                          <a:prstGeom prst="straightConnector1">
                            <a:avLst/>
                          </a:prstGeom>
                          <a:noFill/>
                          <a:ln w="12700" cap="flat" cmpd="sng" algn="ctr">
                            <a:solidFill>
                              <a:sysClr val="window" lastClr="FFFFFF">
                                <a:lumMod val="65000"/>
                              </a:sysClr>
                            </a:solidFill>
                            <a:prstDash val="solid"/>
                            <a:tailEnd type="triangle"/>
                          </a:ln>
                          <a:effectLst/>
                        </wps:spPr>
                        <wps:bodyPr/>
                      </wps:wsp>
                      <wps:wsp>
                        <wps:cNvPr id="318" name="Straight Arrow Connector 318"/>
                        <wps:cNvCnPr/>
                        <wps:spPr>
                          <a:xfrm flipV="1">
                            <a:off x="2991500" y="2177282"/>
                            <a:ext cx="0" cy="479247"/>
                          </a:xfrm>
                          <a:prstGeom prst="straightConnector1">
                            <a:avLst/>
                          </a:prstGeom>
                          <a:noFill/>
                          <a:ln w="38100" cap="flat" cmpd="sng" algn="ctr">
                            <a:solidFill>
                              <a:srgbClr val="EFC465"/>
                            </a:solidFill>
                            <a:prstDash val="solid"/>
                            <a:tailEnd type="triangle"/>
                          </a:ln>
                          <a:effectLst/>
                        </wps:spPr>
                        <wps:bodyPr/>
                      </wps:wsp>
                      <wps:wsp>
                        <wps:cNvPr id="319" name="Text Box 14447"/>
                        <wps:cNvSpPr txBox="1"/>
                        <wps:spPr>
                          <a:xfrm>
                            <a:off x="4808998" y="412566"/>
                            <a:ext cx="885071" cy="561598"/>
                          </a:xfrm>
                          <a:prstGeom prst="rect">
                            <a:avLst/>
                          </a:prstGeom>
                          <a:solidFill>
                            <a:srgbClr val="65BBC8"/>
                          </a:solidFill>
                          <a:ln w="6350">
                            <a:noFill/>
                          </a:ln>
                        </wps:spPr>
                        <wps:txbx>
                          <w:txbxContent>
                            <w:p w14:paraId="282F95CD" w14:textId="77777777" w:rsidR="003C0461" w:rsidRPr="00B41F0E" w:rsidRDefault="003C0461" w:rsidP="00BE5932">
                              <w:pPr>
                                <w:pStyle w:val="NormalWeb"/>
                                <w:spacing w:line="276" w:lineRule="auto"/>
                                <w:jc w:val="center"/>
                              </w:pPr>
                              <w:r>
                                <w:rPr>
                                  <w:rFonts w:eastAsia="Calibri"/>
                                  <w:bCs/>
                                  <w:color w:val="FFFFFF"/>
                                  <w:sz w:val="18"/>
                                  <w:szCs w:val="18"/>
                                </w:rPr>
                                <w:t>End of programme</w:t>
                              </w:r>
                              <w:r w:rsidRPr="00B41F0E">
                                <w:rPr>
                                  <w:rFonts w:eastAsia="Calibri"/>
                                  <w:bCs/>
                                  <w:color w:val="FFFFFF"/>
                                  <w:sz w:val="18"/>
                                  <w:szCs w:val="18"/>
                                </w:rPr>
                                <w:t>s’ lifecycle</w:t>
                              </w:r>
                            </w:p>
                          </w:txbxContent>
                        </wps:txbx>
                        <wps:bodyPr rot="0" spcFirstLastPara="0" vert="horz" wrap="square" lIns="90415" tIns="45208" rIns="90415" bIns="45208" numCol="1" spcCol="0" rtlCol="0" fromWordArt="0" anchor="ctr" anchorCtr="0" forceAA="0" compatLnSpc="1">
                          <a:prstTxWarp prst="textNoShape">
                            <a:avLst/>
                          </a:prstTxWarp>
                          <a:spAutoFit/>
                        </wps:bodyPr>
                      </wps:wsp>
                      <wps:wsp>
                        <wps:cNvPr id="320" name="Straight Arrow Connector 320"/>
                        <wps:cNvCnPr/>
                        <wps:spPr>
                          <a:xfrm>
                            <a:off x="5155281" y="1057005"/>
                            <a:ext cx="0" cy="303706"/>
                          </a:xfrm>
                          <a:prstGeom prst="straightConnector1">
                            <a:avLst/>
                          </a:prstGeom>
                          <a:noFill/>
                          <a:ln w="38100" cap="flat" cmpd="sng" algn="ctr">
                            <a:solidFill>
                              <a:srgbClr val="EFC465"/>
                            </a:solidFill>
                            <a:prstDash val="solid"/>
                            <a:tailEnd type="triangle"/>
                          </a:ln>
                          <a:effectLst/>
                        </wps:spPr>
                        <wps:bodyPr/>
                      </wps:wsp>
                      <wps:wsp>
                        <wps:cNvPr id="321" name="Straight Arrow Connector 321"/>
                        <wps:cNvCnPr/>
                        <wps:spPr>
                          <a:xfrm flipV="1">
                            <a:off x="3492668" y="701786"/>
                            <a:ext cx="161978" cy="29"/>
                          </a:xfrm>
                          <a:prstGeom prst="straightConnector1">
                            <a:avLst/>
                          </a:prstGeom>
                          <a:noFill/>
                          <a:ln w="12700" cap="flat" cmpd="sng" algn="ctr">
                            <a:solidFill>
                              <a:sysClr val="window" lastClr="FFFFFF">
                                <a:lumMod val="65000"/>
                              </a:sysClr>
                            </a:solidFill>
                            <a:prstDash val="solid"/>
                            <a:tailEnd type="triangle"/>
                          </a:ln>
                          <a:effectLst/>
                        </wps:spPr>
                        <wps:bodyPr/>
                      </wps:wsp>
                      <wps:wsp>
                        <wps:cNvPr id="322" name="Straight Arrow Connector 322"/>
                        <wps:cNvCnPr/>
                        <wps:spPr>
                          <a:xfrm flipV="1">
                            <a:off x="4622232" y="701815"/>
                            <a:ext cx="161978" cy="29"/>
                          </a:xfrm>
                          <a:prstGeom prst="straightConnector1">
                            <a:avLst/>
                          </a:prstGeom>
                          <a:noFill/>
                          <a:ln w="12700" cap="flat" cmpd="sng" algn="ctr">
                            <a:solidFill>
                              <a:sysClr val="window" lastClr="FFFFFF">
                                <a:lumMod val="65000"/>
                              </a:sysClr>
                            </a:solidFill>
                            <a:prstDash val="solid"/>
                            <a:tailEnd type="triangle"/>
                          </a:ln>
                          <a:effectLst/>
                        </wps:spPr>
                        <wps:bodyPr/>
                      </wps:wsp>
                      <wps:wsp>
                        <wps:cNvPr id="323" name="Straight Arrow Connector 323"/>
                        <wps:cNvCnPr/>
                        <wps:spPr>
                          <a:xfrm>
                            <a:off x="2994775" y="1057005"/>
                            <a:ext cx="0" cy="303706"/>
                          </a:xfrm>
                          <a:prstGeom prst="straightConnector1">
                            <a:avLst/>
                          </a:prstGeom>
                          <a:noFill/>
                          <a:ln w="38100" cap="flat" cmpd="sng" algn="ctr">
                            <a:solidFill>
                              <a:srgbClr val="EFC465"/>
                            </a:solidFill>
                            <a:prstDash val="solid"/>
                            <a:tailEnd type="triangle"/>
                          </a:ln>
                          <a:effectLst/>
                        </wps:spPr>
                        <wps:bodyPr/>
                      </wps:wsp>
                      <wps:wsp>
                        <wps:cNvPr id="324" name="Elbow Connector 324"/>
                        <wps:cNvCnPr/>
                        <wps:spPr>
                          <a:xfrm>
                            <a:off x="295005" y="102960"/>
                            <a:ext cx="2701189" cy="202228"/>
                          </a:xfrm>
                          <a:prstGeom prst="bentConnector3">
                            <a:avLst>
                              <a:gd name="adj1" fmla="val 99946"/>
                            </a:avLst>
                          </a:prstGeom>
                          <a:noFill/>
                          <a:ln w="28575" cap="flat" cmpd="sng" algn="ctr">
                            <a:solidFill>
                              <a:srgbClr val="EFC465"/>
                            </a:solidFill>
                            <a:prstDash val="solid"/>
                            <a:tailEnd type="triangle"/>
                          </a:ln>
                          <a:effectLst/>
                        </wps:spPr>
                        <wps:bodyPr/>
                      </wps:wsp>
                      <wps:wsp>
                        <wps:cNvPr id="325" name="Elbow Connector 325"/>
                        <wps:cNvCnPr/>
                        <wps:spPr>
                          <a:xfrm>
                            <a:off x="3110481" y="97012"/>
                            <a:ext cx="2046774" cy="192180"/>
                          </a:xfrm>
                          <a:prstGeom prst="bentConnector3">
                            <a:avLst>
                              <a:gd name="adj1" fmla="val 99946"/>
                            </a:avLst>
                          </a:prstGeom>
                          <a:noFill/>
                          <a:ln w="28575" cap="flat" cmpd="sng" algn="ctr">
                            <a:solidFill>
                              <a:srgbClr val="EFC465"/>
                            </a:solidFill>
                            <a:prstDash val="solid"/>
                            <a:tailEnd type="triangle"/>
                          </a:ln>
                          <a:effectLst/>
                        </wps:spPr>
                        <wps:bodyPr/>
                      </wps:wsp>
                      <wps:wsp>
                        <wps:cNvPr id="326" name="Straight Connector 326"/>
                        <wps:cNvCnPr/>
                        <wps:spPr>
                          <a:xfrm>
                            <a:off x="306506" y="91325"/>
                            <a:ext cx="0" cy="209765"/>
                          </a:xfrm>
                          <a:prstGeom prst="line">
                            <a:avLst/>
                          </a:prstGeom>
                          <a:noFill/>
                          <a:ln w="28575" cap="flat" cmpd="sng" algn="ctr">
                            <a:solidFill>
                              <a:srgbClr val="EFC465"/>
                            </a:solidFill>
                            <a:prstDash val="solid"/>
                          </a:ln>
                          <a:effectLst/>
                        </wps:spPr>
                        <wps:bodyPr/>
                      </wps:wsp>
                      <wps:wsp>
                        <wps:cNvPr id="327" name="Straight Connector 327"/>
                        <wps:cNvCnPr/>
                        <wps:spPr>
                          <a:xfrm>
                            <a:off x="3122394" y="84824"/>
                            <a:ext cx="0" cy="209765"/>
                          </a:xfrm>
                          <a:prstGeom prst="line">
                            <a:avLst/>
                          </a:prstGeom>
                          <a:noFill/>
                          <a:ln w="28575" cap="flat" cmpd="sng" algn="ctr">
                            <a:solidFill>
                              <a:srgbClr val="EFC465"/>
                            </a:solidFill>
                            <a:prstDash val="solid"/>
                          </a:ln>
                          <a:effectLst/>
                        </wps:spPr>
                        <wps:bodyPr/>
                      </wps:wsp>
                    </wpc:wpc>
                  </a:graphicData>
                </a:graphic>
              </wp:inline>
            </w:drawing>
          </mc:Choice>
          <mc:Fallback>
            <w:pict>
              <v:group w14:anchorId="2B2BC87E" id="Canvas 328" o:spid="_x0000_s1172" editas="canvas" style="width:453.5pt;height:280.3pt;mso-position-horizontal-relative:char;mso-position-vertical-relative:line" coordsize="57594,3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">
                <v:shape id="_x0000_s1173" type="#_x0000_t75" style="position:absolute;width:57594;height:35591;visibility:visible;mso-wrap-style:square" stroked="t" strokecolor="#d9d9d9">
                  <v:fill o:detectmouseclick="t"/>
                  <v:path o:connecttype="none"/>
                </v:shape>
                <v:shape id="Text Box 295" o:spid="_x0000_s1174" type="#_x0000_t202" style="position:absolute;left:646;top:4047;width:5669;height:5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" fillcolor="#65bbc8" stroked="f" strokeweight=".5pt">
                  <v:textbox inset="2.51153mm,1.2558mm,2.51153mm,1.2558mm">
                    <w:txbxContent>
                      <w:p w14:paraId="77EBC334" w14:textId="77777777" w:rsidR="003C0461" w:rsidRPr="0029497F" w:rsidRDefault="003C0461" w:rsidP="00BE5932">
                        <w:pPr>
                          <w:jc w:val="center"/>
                          <w:rPr>
                            <w:color w:val="FFFFFF"/>
                            <w:sz w:val="18"/>
                            <w:szCs w:val="18"/>
                          </w:rPr>
                        </w:pPr>
                        <w:r w:rsidRPr="0029497F">
                          <w:rPr>
                            <w:color w:val="FFFFFF"/>
                            <w:sz w:val="18"/>
                            <w:szCs w:val="18"/>
                          </w:rPr>
                          <w:t>Ex ante controls</w:t>
                        </w:r>
                      </w:p>
                    </w:txbxContent>
                  </v:textbox>
                </v:shape>
                <v:shape id="Text Box 14447" o:spid="_x0000_s1175" type="#_x0000_t202" style="position:absolute;left:8272;top:4047;width:7932;height:5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" fillcolor="#65bbc8" stroked="f" strokeweight=".5pt">
                  <v:textbox inset="2.51153mm,1.2558mm,2.51153mm,1.2558mm">
                    <w:txbxContent>
                      <w:p w14:paraId="2AACAB89" w14:textId="77777777" w:rsidR="003C0461" w:rsidRPr="00B41F0E" w:rsidRDefault="003C0461" w:rsidP="00BE5932">
                        <w:pPr>
                          <w:pStyle w:val="NormalWeb"/>
                          <w:spacing w:line="276" w:lineRule="auto"/>
                          <w:jc w:val="center"/>
                        </w:pPr>
                        <w:r>
                          <w:rPr>
                            <w:rFonts w:eastAsia="Calibri"/>
                            <w:bCs/>
                            <w:color w:val="FFFFFF"/>
                            <w:sz w:val="18"/>
                            <w:szCs w:val="18"/>
                          </w:rPr>
                          <w:t xml:space="preserve">Ex </w:t>
                        </w:r>
                        <w:r w:rsidRPr="00B41F0E">
                          <w:rPr>
                            <w:rFonts w:eastAsia="Calibri"/>
                            <w:bCs/>
                            <w:color w:val="FFFFFF"/>
                            <w:sz w:val="18"/>
                            <w:szCs w:val="18"/>
                          </w:rPr>
                          <w:t xml:space="preserve">ante </w:t>
                        </w:r>
                        <w:r>
                          <w:rPr>
                            <w:rFonts w:eastAsia="Calibri"/>
                            <w:bCs/>
                            <w:color w:val="FFFFFF"/>
                            <w:sz w:val="18"/>
                            <w:szCs w:val="18"/>
                          </w:rPr>
                          <w:t>adjustments</w:t>
                        </w:r>
                      </w:p>
                    </w:txbxContent>
                  </v:textbox>
                </v:shape>
                <v:shape id="Text Box 14447" o:spid="_x0000_s1176" type="#_x0000_t202" style="position:absolute;left:27223;top:4027;width:7413;height:5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" fillcolor="#65bbc8" stroked="f" strokeweight=".5pt">
                  <v:textbox inset="2.51153mm,1.2558mm,2.51153mm,1.2558mm">
                    <w:txbxContent>
                      <w:p w14:paraId="799E87CF" w14:textId="77777777" w:rsidR="003C0461" w:rsidRPr="00B41F0E" w:rsidRDefault="003C0461" w:rsidP="00BE5932">
                        <w:pPr>
                          <w:pStyle w:val="NormalWeb"/>
                          <w:spacing w:line="276" w:lineRule="auto"/>
                          <w:jc w:val="center"/>
                        </w:pPr>
                        <w:r>
                          <w:rPr>
                            <w:rFonts w:eastAsia="Calibri"/>
                            <w:bCs/>
                            <w:color w:val="FFFFFF"/>
                            <w:sz w:val="18"/>
                            <w:szCs w:val="18"/>
                          </w:rPr>
                          <w:t xml:space="preserve">Ex </w:t>
                        </w:r>
                        <w:r w:rsidRPr="00B41F0E">
                          <w:rPr>
                            <w:rFonts w:eastAsia="Calibri"/>
                            <w:bCs/>
                            <w:color w:val="FFFFFF"/>
                            <w:sz w:val="18"/>
                            <w:szCs w:val="18"/>
                          </w:rPr>
                          <w:t>post controls</w:t>
                        </w:r>
                      </w:p>
                    </w:txbxContent>
                  </v:textbox>
                </v:shape>
                <v:shape id="Text Box 14447" o:spid="_x0000_s1177" type="#_x0000_t202" style="position:absolute;left:37186;top:4047;width:8642;height: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" fillcolor="#65bbc8" stroked="f" strokeweight=".5pt">
                  <v:textbox style="mso-fit-shape-to-text:t" inset="2.51153mm,1.2558mm,2.51153mm,1.2558mm">
                    <w:txbxContent>
                      <w:p w14:paraId="41F29D10" w14:textId="77777777" w:rsidR="003C0461" w:rsidRPr="00B41F0E" w:rsidRDefault="003C0461" w:rsidP="00BE5932">
                        <w:pPr>
                          <w:pStyle w:val="NormalWeb"/>
                          <w:spacing w:line="276" w:lineRule="auto"/>
                          <w:jc w:val="center"/>
                        </w:pPr>
                        <w:r w:rsidRPr="00B41F0E">
                          <w:rPr>
                            <w:rFonts w:eastAsia="Calibri"/>
                            <w:bCs/>
                            <w:color w:val="FFFFFF"/>
                            <w:sz w:val="18"/>
                            <w:szCs w:val="18"/>
                          </w:rPr>
                          <w:t>Recoveries and corrections</w:t>
                        </w:r>
                      </w:p>
                    </w:txbxContent>
                  </v:textbox>
                </v:shape>
                <v:group id="Group 301" o:spid="_x0000_s1178" style="position:absolute;left:25140;top:14514;width:31689;height:5956" coordorigin="28604,28967" coordsize="32040,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14447" o:spid="_x0000_s1179" type="#_x0000_t202" style="position:absolute;left:28604;top:28967;width:9601;height:5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" fillcolor="#08aa74" stroked="f" strokeweight=".5pt">
                    <v:textbox>
                      <w:txbxContent>
                        <w:p w14:paraId="3BBD9CD9" w14:textId="77777777" w:rsidR="003C0461" w:rsidRPr="00B41F0E" w:rsidRDefault="003C0461" w:rsidP="00BE5932">
                          <w:pPr>
                            <w:pStyle w:val="NormalWeb"/>
                            <w:jc w:val="center"/>
                          </w:pPr>
                          <w:r w:rsidRPr="005E4B15">
                            <w:rPr>
                              <w:rFonts w:eastAsia="Calibri"/>
                              <w:b/>
                              <w:bCs/>
                              <w:color w:val="FFFFFF"/>
                              <w:sz w:val="18"/>
                              <w:szCs w:val="18"/>
                            </w:rPr>
                            <w:t>Risk at payment</w:t>
                          </w:r>
                          <w:r w:rsidRPr="00B41F0E">
                            <w:rPr>
                              <w:rFonts w:eastAsia="Calibri"/>
                              <w:bCs/>
                              <w:color w:val="FFFFFF"/>
                              <w:sz w:val="18"/>
                              <w:szCs w:val="18"/>
                            </w:rPr>
                            <w:t xml:space="preserve"> </w:t>
                          </w:r>
                        </w:p>
                      </w:txbxContent>
                    </v:textbox>
                  </v:shape>
                  <v:shape id="Text Box 14447" o:spid="_x0000_s1180" type="#_x0000_t202" style="position:absolute;left:40784;top:28967;width:8809;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" fillcolor="#08aa74" stroked="f" strokeweight=".5pt">
                    <v:textbox style="mso-fit-shape-to-text:t">
                      <w:txbxContent>
                        <w:p w14:paraId="7F229455" w14:textId="77777777" w:rsidR="003C0461" w:rsidRPr="005E4B15" w:rsidRDefault="003C0461" w:rsidP="00BE5932">
                          <w:pPr>
                            <w:pStyle w:val="NormalWeb"/>
                            <w:spacing w:line="276" w:lineRule="auto"/>
                            <w:jc w:val="center"/>
                            <w:rPr>
                              <w:b/>
                            </w:rPr>
                          </w:pPr>
                          <w:r w:rsidRPr="005E4B15">
                            <w:rPr>
                              <w:rFonts w:eastAsia="Calibri"/>
                              <w:b/>
                              <w:bCs/>
                              <w:color w:val="FFFFFF"/>
                              <w:sz w:val="18"/>
                              <w:szCs w:val="18"/>
                            </w:rPr>
                            <w:t>Estimated future corrections</w:t>
                          </w:r>
                        </w:p>
                      </w:txbxContent>
                    </v:textbox>
                  </v:shape>
                  <v:shape id="Text Box 14447" o:spid="_x0000_s1181" type="#_x0000_t202" style="position:absolute;left:51809;top:28967;width:8835;height:5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" fillcolor="#08aa74" stroked="f" strokeweight=".5pt">
                    <v:textbox>
                      <w:txbxContent>
                        <w:p w14:paraId="0BC7CA08" w14:textId="77777777" w:rsidR="003C0461" w:rsidRPr="00B41F0E" w:rsidRDefault="003C0461" w:rsidP="00BE5932">
                          <w:pPr>
                            <w:pStyle w:val="NormalWeb"/>
                            <w:jc w:val="center"/>
                          </w:pPr>
                          <w:r w:rsidRPr="005E4B15">
                            <w:rPr>
                              <w:rFonts w:eastAsia="Calibri"/>
                              <w:b/>
                              <w:bCs/>
                              <w:color w:val="FFFFFF"/>
                              <w:sz w:val="18"/>
                              <w:szCs w:val="18"/>
                            </w:rPr>
                            <w:t>Risk at closure</w:t>
                          </w:r>
                        </w:p>
                      </w:txbxContent>
                    </v:textbox>
                  </v:shape>
                </v:group>
                <v:shape id="Text Box 14447" o:spid="_x0000_s1182" type="#_x0000_t202" style="position:absolute;left:24520;top:27401;width:10825;height: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" fillcolor="#65bbc8" stroked="f" strokeweight=".5pt">
                  <v:textbox style="mso-fit-shape-to-text:t" inset="2.51153mm,1.2558mm,2.51153mm,1.2558mm">
                    <w:txbxContent>
                      <w:p w14:paraId="789E82FD" w14:textId="77777777" w:rsidR="003C0461" w:rsidRPr="00B41F0E" w:rsidRDefault="003C0461" w:rsidP="00BE5932">
                        <w:pPr>
                          <w:pStyle w:val="NormalWeb"/>
                          <w:spacing w:line="276" w:lineRule="auto"/>
                          <w:jc w:val="center"/>
                        </w:pPr>
                        <w:r w:rsidRPr="00B41F0E">
                          <w:rPr>
                            <w:rFonts w:eastAsia="Calibri"/>
                            <w:bCs/>
                            <w:color w:val="FFFFFF"/>
                            <w:sz w:val="18"/>
                            <w:szCs w:val="18"/>
                          </w:rPr>
                          <w:t>Equivalent</w:t>
                        </w:r>
                        <w:r>
                          <w:rPr>
                            <w:rFonts w:eastAsia="Calibri"/>
                            <w:bCs/>
                            <w:color w:val="FFFFFF"/>
                            <w:sz w:val="18"/>
                            <w:szCs w:val="18"/>
                          </w:rPr>
                          <w:t xml:space="preserve"> to</w:t>
                        </w:r>
                        <w:r>
                          <w:rPr>
                            <w:rFonts w:eastAsia="Calibri"/>
                            <w:bCs/>
                            <w:color w:val="FFFFFF"/>
                            <w:sz w:val="18"/>
                            <w:szCs w:val="18"/>
                          </w:rPr>
                          <w:br/>
                          <w:t xml:space="preserve"> Court of Auditors’ </w:t>
                        </w:r>
                        <w:r w:rsidRPr="00B41F0E">
                          <w:rPr>
                            <w:rFonts w:eastAsia="Calibri"/>
                            <w:bCs/>
                            <w:color w:val="FFFFFF"/>
                            <w:sz w:val="18"/>
                            <w:szCs w:val="18"/>
                          </w:rPr>
                          <w:t xml:space="preserve">Most Likely </w:t>
                        </w:r>
                        <w:r>
                          <w:rPr>
                            <w:rFonts w:eastAsia="Calibri"/>
                            <w:bCs/>
                            <w:color w:val="FFFFFF"/>
                            <w:sz w:val="18"/>
                            <w:szCs w:val="18"/>
                          </w:rPr>
                          <w:br/>
                        </w:r>
                        <w:r w:rsidRPr="00B41F0E">
                          <w:rPr>
                            <w:rFonts w:eastAsia="Calibri"/>
                            <w:bCs/>
                            <w:color w:val="FFFFFF"/>
                            <w:sz w:val="18"/>
                            <w:szCs w:val="18"/>
                          </w:rPr>
                          <w:t>Error rate</w:t>
                        </w:r>
                      </w:p>
                    </w:txbxContent>
                  </v:textbox>
                </v:shape>
                <v:shape id="Text Box 14447" o:spid="_x0000_s1183" type="#_x0000_t202" style="position:absolute;left:18369;top:4125;width:6569;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" fillcolor="#65bbc8" stroked="f" strokeweight=".5pt">
                  <v:textbox inset="2.51153mm,1.2558mm,2.51153mm,1.2558mm">
                    <w:txbxContent>
                      <w:p w14:paraId="44D3F19C" w14:textId="77777777" w:rsidR="003C0461" w:rsidRPr="00B41F0E" w:rsidRDefault="003C0461" w:rsidP="00BE5932">
                        <w:pPr>
                          <w:pStyle w:val="NormalWeb"/>
                          <w:spacing w:line="276" w:lineRule="auto"/>
                          <w:jc w:val="center"/>
                        </w:pPr>
                        <w:r w:rsidRPr="00B41F0E">
                          <w:rPr>
                            <w:rFonts w:eastAsia="Calibri"/>
                            <w:bCs/>
                            <w:color w:val="FFFFFF"/>
                            <w:sz w:val="18"/>
                            <w:szCs w:val="18"/>
                          </w:rPr>
                          <w:t>Payments</w:t>
                        </w:r>
                      </w:p>
                    </w:txbxContent>
                  </v:textbox>
                </v:shape>
                <v:shape id="Straight Arrow Connector 315" o:spid="_x0000_s1184" type="#_x0000_t32" style="position:absolute;left:6730;top:6891;width:1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" strokecolor="#a6a6a6" strokeweight="1pt">
                  <v:stroke endarrow="block"/>
                </v:shape>
                <v:shape id="Straight Arrow Connector 316" o:spid="_x0000_s1185" type="#_x0000_t32" style="position:absolute;left:16446;top:7017;width:16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" strokecolor="#a6a6a6" strokeweight="1pt">
                  <v:stroke endarrow="block"/>
                </v:shape>
                <v:shape id="Straight Arrow Connector 317" o:spid="_x0000_s1186" type="#_x0000_t32" style="position:absolute;left:25191;top:7017;width:162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" strokecolor="#a6a6a6" strokeweight="1pt">
                  <v:stroke endarrow="block"/>
                </v:shape>
                <v:shape id="Straight Arrow Connector 318" o:spid="_x0000_s1187" type="#_x0000_t32" style="position:absolute;left:29915;top:21772;width:0;height:47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" strokecolor="#efc465" strokeweight="3pt">
                  <v:stroke endarrow="block"/>
                </v:shape>
                <v:shape id="Text Box 14447" o:spid="_x0000_s1188" type="#_x0000_t202" style="position:absolute;left:48089;top:4125;width:8851;height:5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" fillcolor="#65bbc8" stroked="f" strokeweight=".5pt">
                  <v:textbox style="mso-fit-shape-to-text:t" inset="2.51153mm,1.2558mm,2.51153mm,1.2558mm">
                    <w:txbxContent>
                      <w:p w14:paraId="282F95CD" w14:textId="77777777" w:rsidR="003C0461" w:rsidRPr="00B41F0E" w:rsidRDefault="003C0461" w:rsidP="00BE5932">
                        <w:pPr>
                          <w:pStyle w:val="NormalWeb"/>
                          <w:spacing w:line="276" w:lineRule="auto"/>
                          <w:jc w:val="center"/>
                        </w:pPr>
                        <w:r>
                          <w:rPr>
                            <w:rFonts w:eastAsia="Calibri"/>
                            <w:bCs/>
                            <w:color w:val="FFFFFF"/>
                            <w:sz w:val="18"/>
                            <w:szCs w:val="18"/>
                          </w:rPr>
                          <w:t>End of programme</w:t>
                        </w:r>
                        <w:r w:rsidRPr="00B41F0E">
                          <w:rPr>
                            <w:rFonts w:eastAsia="Calibri"/>
                            <w:bCs/>
                            <w:color w:val="FFFFFF"/>
                            <w:sz w:val="18"/>
                            <w:szCs w:val="18"/>
                          </w:rPr>
                          <w:t>s’ lifecycle</w:t>
                        </w:r>
                      </w:p>
                    </w:txbxContent>
                  </v:textbox>
                </v:shape>
                <v:shape id="Straight Arrow Connector 320" o:spid="_x0000_s1189" type="#_x0000_t32" style="position:absolute;left:51552;top:10570;width:0;height:3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" strokecolor="#efc465" strokeweight="3pt">
                  <v:stroke endarrow="block"/>
                </v:shape>
                <v:shape id="Straight Arrow Connector 321" o:spid="_x0000_s1190" type="#_x0000_t32" style="position:absolute;left:34926;top:7017;width:162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" strokecolor="#a6a6a6" strokeweight="1pt">
                  <v:stroke endarrow="block"/>
                </v:shape>
                <v:shape id="Straight Arrow Connector 322" o:spid="_x0000_s1191" type="#_x0000_t32" style="position:absolute;left:46222;top:7018;width:16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" strokecolor="#a6a6a6" strokeweight="1pt">
                  <v:stroke endarrow="block"/>
                </v:shape>
                <v:shape id="Straight Arrow Connector 323" o:spid="_x0000_s1192" type="#_x0000_t32" style="position:absolute;left:29947;top:10570;width:0;height:30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" strokecolor="#efc465" strokeweight="3pt">
                  <v:stroke endarrow="block"/>
                </v:shape>
                <v:shape id="Elbow Connector 324" o:spid="_x0000_s1193" type="#_x0000_t34" style="position:absolute;left:2950;top:1029;width:27011;height:20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" adj="21588" strokecolor="#efc465" strokeweight="2.25pt">
                  <v:stroke endarrow="block"/>
                </v:shape>
                <v:shape id="Elbow Connector 325" o:spid="_x0000_s1194" type="#_x0000_t34" style="position:absolute;left:31104;top:970;width:20468;height:192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" adj="21588" strokecolor="#efc465" strokeweight="2.25pt">
                  <v:stroke endarrow="block"/>
                </v:shape>
                <v:line id="Straight Connector 326" o:spid="_x0000_s1195" style="position:absolute;visibility:visible;mso-wrap-style:square" from="3065,913" to="3065,3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" strokecolor="#efc465" strokeweight="2.25pt"/>
                <v:line id="Straight Connector 327" o:spid="_x0000_s1196" style="position:absolute;visibility:visible;mso-wrap-style:square" from="31223,848" to="31223,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" strokecolor="#efc465" strokeweight="2.25pt"/>
                <w10:anchorlock/>
              </v:group>
            </w:pict>
          </mc:Fallback>
        </mc:AlternateContent>
      </w:r>
    </w:p>
    <w:p w14:paraId="6B841857" w14:textId="2743FB8B" w:rsidR="00FC5564" w:rsidRPr="00A04E56" w:rsidRDefault="00DC2880" w:rsidP="00EA3763">
      <w:pPr>
        <w:pStyle w:val="Source-Table-Chart-PhotoCaption"/>
      </w:pPr>
      <w:r w:rsidRPr="00EA3763">
        <w:rPr>
          <w:rStyle w:val="italics"/>
        </w:rPr>
        <w:t>Chart</w:t>
      </w:r>
      <w:r w:rsidR="00FC5564" w:rsidRPr="00277538">
        <w:rPr>
          <w:rStyle w:val="italics"/>
        </w:rPr>
        <w:t>:</w:t>
      </w:r>
      <w:r w:rsidR="00FC5564" w:rsidRPr="00277538">
        <w:t xml:space="preserve"> </w:t>
      </w:r>
      <w:r w:rsidR="00B04562" w:rsidRPr="00A04E56">
        <w:t xml:space="preserve">European </w:t>
      </w:r>
      <w:r w:rsidR="00FC5564" w:rsidRPr="00A04E56">
        <w:t>Commission’s multiannual control cycle</w:t>
      </w:r>
    </w:p>
    <w:p w14:paraId="45A6A8A2" w14:textId="0AA40927" w:rsidR="00FC5564" w:rsidRPr="00A04E56" w:rsidRDefault="00FC5564" w:rsidP="00EA3763">
      <w:pPr>
        <w:pStyle w:val="Source-Table-Chart-PhotoCaption"/>
      </w:pPr>
      <w:r w:rsidRPr="00A04E56">
        <w:rPr>
          <w:rStyle w:val="italics"/>
        </w:rPr>
        <w:t>Source:</w:t>
      </w:r>
      <w:r w:rsidRPr="00A04E56">
        <w:t xml:space="preserve"> </w:t>
      </w:r>
      <w:r w:rsidR="00B04562" w:rsidRPr="00A04E56">
        <w:t xml:space="preserve">European </w:t>
      </w:r>
      <w:r w:rsidRPr="00277538">
        <w:t>Commission</w:t>
      </w:r>
      <w:r w:rsidRPr="00A04E56">
        <w:t>.</w:t>
      </w:r>
    </w:p>
    <w:p w14:paraId="0AE17003" w14:textId="3856FAD5" w:rsidR="00FC5564" w:rsidRPr="00A04E56" w:rsidRDefault="00FC5564" w:rsidP="00D402B2">
      <w:pPr>
        <w:pStyle w:val="BodyText1spacebeforeandafter"/>
      </w:pPr>
      <w:r w:rsidRPr="00A04E56">
        <w:rPr>
          <w:rFonts w:eastAsia="EC Square Sans Pro"/>
        </w:rPr>
        <w:t>As EU spending programmes are multiannual by design, the related control systems and management cycles</w:t>
      </w:r>
      <w:r w:rsidRPr="00A04E56" w:rsidDel="00BC086B">
        <w:rPr>
          <w:rFonts w:eastAsia="EC Square Sans Pro"/>
        </w:rPr>
        <w:t xml:space="preserve"> also cover multiple years</w:t>
      </w:r>
      <w:r w:rsidRPr="00A04E56">
        <w:rPr>
          <w:rFonts w:eastAsia="EC Square Sans Pro"/>
        </w:rPr>
        <w:t xml:space="preserve">. This implies that while errors may be detected in any given year, they are corrected in the current or in subsequent year(s) until the very end of a programme's lifecycle. Consequently, the risk </w:t>
      </w:r>
      <w:r w:rsidRPr="00A04E56">
        <w:t xml:space="preserve">(both as % and </w:t>
      </w:r>
      <w:r w:rsidR="00665EEA" w:rsidRPr="00A04E56">
        <w:t>in</w:t>
      </w:r>
      <w:r w:rsidRPr="00A04E56">
        <w:t xml:space="preserve"> amount) is estimated at two </w:t>
      </w:r>
      <w:r w:rsidR="00665EEA" w:rsidRPr="00A04E56">
        <w:t xml:space="preserve">key </w:t>
      </w:r>
      <w:r w:rsidRPr="00A04E56">
        <w:t xml:space="preserve">stages in the cycle: </w:t>
      </w:r>
      <w:r w:rsidRPr="00A04E56">
        <w:rPr>
          <w:rStyle w:val="BOLDLIGHTBLUEReport"/>
          <w:rFonts w:eastAsiaTheme="minorHAnsi"/>
        </w:rPr>
        <w:t>at payment and at closure</w:t>
      </w:r>
      <w:r w:rsidRPr="00A04E56">
        <w:rPr>
          <w:rFonts w:eastAsia="EC Square Sans Pro"/>
        </w:rPr>
        <w:t xml:space="preserve"> (see </w:t>
      </w:r>
      <w:r w:rsidR="00B56D7C" w:rsidRPr="00A04E56">
        <w:rPr>
          <w:rFonts w:eastAsia="EC Square Sans Pro"/>
        </w:rPr>
        <w:t xml:space="preserve">chart </w:t>
      </w:r>
      <w:r w:rsidRPr="00A04E56">
        <w:rPr>
          <w:rFonts w:eastAsia="EC Square Sans Pro"/>
        </w:rPr>
        <w:t>above). T</w:t>
      </w:r>
      <w:r w:rsidRPr="00A04E56">
        <w:t xml:space="preserve">he Commission considers that </w:t>
      </w:r>
      <w:r w:rsidRPr="00A04E56">
        <w:rPr>
          <w:rStyle w:val="BOLDLIGHTBLUEReport"/>
          <w:rFonts w:eastAsiaTheme="minorHAnsi"/>
        </w:rPr>
        <w:t>the budget is effectively protected when the risk at closure is below the 2% materiality</w:t>
      </w:r>
      <w:r w:rsidR="003D0E4B" w:rsidRPr="008B25AA">
        <w:rPr>
          <w:rStyle w:val="BOLDLIGHTBLUEReport"/>
          <w:rFonts w:eastAsiaTheme="minorHAnsi"/>
          <w:b w:val="0"/>
        </w:rPr>
        <w:t> (</w:t>
      </w:r>
      <w:r w:rsidR="00D4140D" w:rsidRPr="005D7F88">
        <w:rPr>
          <w:rStyle w:val="FootnoteReference"/>
          <w:rFonts w:eastAsiaTheme="minorHAnsi"/>
          <w:color w:val="65BBC8"/>
          <w:sz w:val="20"/>
          <w:lang w:eastAsia="en-GB"/>
        </w:rPr>
        <w:footnoteReference w:id="369"/>
      </w:r>
      <w:r w:rsidR="003D0E4B" w:rsidRPr="008B25AA">
        <w:rPr>
          <w:rStyle w:val="BOLDLIGHTBLUEReport"/>
          <w:rFonts w:eastAsiaTheme="minorHAnsi"/>
          <w:b w:val="0"/>
        </w:rPr>
        <w:t>)</w:t>
      </w:r>
      <w:r w:rsidRPr="00A04E56">
        <w:rPr>
          <w:rStyle w:val="BOLDLIGHTBLUEReport"/>
          <w:rFonts w:eastAsiaTheme="minorHAnsi"/>
        </w:rPr>
        <w:t xml:space="preserve"> threshold</w:t>
      </w:r>
      <w:r w:rsidRPr="00A04E56">
        <w:t>.</w:t>
      </w:r>
    </w:p>
    <w:p w14:paraId="0592E268" w14:textId="4D10783C" w:rsidR="00FC5564" w:rsidRPr="00A04E56" w:rsidRDefault="00FC5564" w:rsidP="00277538">
      <w:pPr>
        <w:pStyle w:val="BulletsblueNew"/>
      </w:pPr>
      <w:r w:rsidRPr="00A04E56">
        <w:t xml:space="preserve">The </w:t>
      </w:r>
      <w:r w:rsidRPr="00A04E56">
        <w:rPr>
          <w:rStyle w:val="BOLDLIGHTBLUEReport"/>
          <w:rFonts w:eastAsiaTheme="minorHAnsi"/>
        </w:rPr>
        <w:t>risk at payment</w:t>
      </w:r>
      <w:r w:rsidRPr="00A04E56">
        <w:t xml:space="preserve"> </w:t>
      </w:r>
      <w:r w:rsidR="00665EEA" w:rsidRPr="00A04E56">
        <w:t>quantifies</w:t>
      </w:r>
      <w:r w:rsidRPr="00A04E56">
        <w:t xml:space="preserve"> those errors that</w:t>
      </w:r>
      <w:r w:rsidR="00665EEA" w:rsidRPr="00A04E56">
        <w:t xml:space="preserve"> might</w:t>
      </w:r>
      <w:r w:rsidRPr="00A04E56">
        <w:t xml:space="preserve"> remain after preventive controls have been applied and payments have been made</w:t>
      </w:r>
      <w:r w:rsidRPr="00A04E56">
        <w:rPr>
          <w:rStyle w:val="fnRef"/>
          <w:rFonts w:ascii="Arial" w:hAnsi="Arial"/>
        </w:rPr>
        <w:t> </w:t>
      </w:r>
      <w:r w:rsidRPr="00A04E56">
        <w:rPr>
          <w:rStyle w:val="fnRef"/>
        </w:rPr>
        <w:t>(</w:t>
      </w:r>
      <w:r w:rsidRPr="00A04E56">
        <w:rPr>
          <w:rStyle w:val="fnRefNo"/>
        </w:rPr>
        <w:footnoteReference w:id="370"/>
      </w:r>
      <w:r w:rsidRPr="00A04E56">
        <w:rPr>
          <w:rStyle w:val="fnRef"/>
        </w:rPr>
        <w:t>)</w:t>
      </w:r>
      <w:r w:rsidRPr="00A04E56">
        <w:t>. These errors are typically detected by Commission departments through surveys or audits. Measurement at this stage allows authorising officers to correct the errors and to take additional preventive measures if necessary (e.g. additional guidance to beneficiaries), and to gauge the effectiveness of their (</w:t>
      </w:r>
      <w:r w:rsidRPr="00A04E56">
        <w:rPr>
          <w:i/>
        </w:rPr>
        <w:t>ex ante</w:t>
      </w:r>
      <w:r w:rsidRPr="00A04E56">
        <w:t>) controls and to adapt them if needed.</w:t>
      </w:r>
    </w:p>
    <w:p w14:paraId="6F0475E9" w14:textId="2458E6C0" w:rsidR="00FC5564" w:rsidRPr="00A04E56" w:rsidDel="007F29C5" w:rsidRDefault="00FC5564" w:rsidP="00277538">
      <w:pPr>
        <w:pStyle w:val="BulletsblueNew-consecutive"/>
      </w:pPr>
      <w:r w:rsidRPr="00A04E56">
        <w:t>Once an</w:t>
      </w:r>
      <w:r w:rsidRPr="00A04E56" w:rsidDel="007F29C5">
        <w:t xml:space="preserve"> error</w:t>
      </w:r>
      <w:r w:rsidRPr="00A04E56">
        <w:t xml:space="preserve"> i</w:t>
      </w:r>
      <w:r w:rsidRPr="00A04E56" w:rsidDel="007F29C5">
        <w:t>s detected</w:t>
      </w:r>
      <w:r w:rsidRPr="00A04E56">
        <w:t>, it</w:t>
      </w:r>
      <w:r w:rsidRPr="00A04E56" w:rsidDel="007F29C5">
        <w:t xml:space="preserve"> will subsequently be corrected either </w:t>
      </w:r>
      <w:r w:rsidRPr="00A04E56">
        <w:t>via</w:t>
      </w:r>
      <w:r w:rsidRPr="00A04E56" w:rsidDel="007F29C5">
        <w:t xml:space="preserve"> recover</w:t>
      </w:r>
      <w:r w:rsidRPr="00A04E56">
        <w:t>y</w:t>
      </w:r>
      <w:r w:rsidRPr="00A04E56" w:rsidDel="007F29C5">
        <w:t xml:space="preserve"> or by </w:t>
      </w:r>
      <w:r w:rsidRPr="00A04E56">
        <w:t xml:space="preserve">being </w:t>
      </w:r>
      <w:r w:rsidRPr="00A04E56" w:rsidDel="007F29C5">
        <w:t>offset against future payments. As</w:t>
      </w:r>
      <w:r w:rsidRPr="00A04E56">
        <w:t xml:space="preserve"> both </w:t>
      </w:r>
      <w:r w:rsidRPr="00051897">
        <w:t>detection</w:t>
      </w:r>
      <w:r w:rsidRPr="00A04E56">
        <w:t xml:space="preserve"> </w:t>
      </w:r>
      <w:r w:rsidR="00140ED2" w:rsidRPr="00A04E56">
        <w:t xml:space="preserve">and </w:t>
      </w:r>
      <w:r w:rsidRPr="00A04E56">
        <w:t>remedy may not be immediate</w:t>
      </w:r>
      <w:r w:rsidRPr="00A04E56" w:rsidDel="007F29C5">
        <w:t xml:space="preserve">, corrections will often not be made in the same financial year as the related payment. </w:t>
      </w:r>
      <w:r w:rsidRPr="00A04E56">
        <w:t>However</w:t>
      </w:r>
      <w:r w:rsidRPr="00A04E56" w:rsidDel="007F29C5">
        <w:t xml:space="preserve">, the multiannual control systems ensure that </w:t>
      </w:r>
      <w:r w:rsidRPr="00051897">
        <w:t>necessary</w:t>
      </w:r>
      <w:r w:rsidRPr="00A04E56" w:rsidDel="007F29C5">
        <w:t xml:space="preserve"> </w:t>
      </w:r>
      <w:r w:rsidRPr="00A04E56" w:rsidDel="007F29C5">
        <w:rPr>
          <w:rStyle w:val="BOLDLIGHTBLUEReport"/>
          <w:rFonts w:eastAsiaTheme="minorHAnsi"/>
        </w:rPr>
        <w:t xml:space="preserve">corrections </w:t>
      </w:r>
      <w:r w:rsidRPr="00A04E56">
        <w:rPr>
          <w:rStyle w:val="BOLDLIGHTBLUEReport"/>
          <w:rFonts w:eastAsiaTheme="minorHAnsi"/>
        </w:rPr>
        <w:t>are made within</w:t>
      </w:r>
      <w:r w:rsidRPr="00A04E56" w:rsidDel="007F29C5">
        <w:t xml:space="preserve"> </w:t>
      </w:r>
      <w:r w:rsidRPr="00A04E56" w:rsidDel="007F29C5">
        <w:rPr>
          <w:rStyle w:val="BOLDLIGHTBLUEReport"/>
          <w:rFonts w:eastAsiaTheme="minorHAnsi"/>
        </w:rPr>
        <w:t xml:space="preserve">the </w:t>
      </w:r>
      <w:r w:rsidR="00665EEA" w:rsidRPr="00A04E56">
        <w:rPr>
          <w:rStyle w:val="BOLDLIGHTBLUEReport"/>
          <w:rFonts w:eastAsiaTheme="minorHAnsi"/>
        </w:rPr>
        <w:t xml:space="preserve">relevant </w:t>
      </w:r>
      <w:r w:rsidRPr="00A04E56" w:rsidDel="007F29C5">
        <w:rPr>
          <w:rStyle w:val="BOLDLIGHTBLUEReport"/>
          <w:rFonts w:eastAsiaTheme="minorHAnsi"/>
        </w:rPr>
        <w:t>programme</w:t>
      </w:r>
      <w:r w:rsidR="00665EEA" w:rsidRPr="00A04E56">
        <w:rPr>
          <w:rStyle w:val="BOLDLIGHTBLUEReport"/>
          <w:rFonts w:eastAsiaTheme="minorHAnsi"/>
        </w:rPr>
        <w:t>'</w:t>
      </w:r>
      <w:r w:rsidRPr="00A04E56" w:rsidDel="007F29C5">
        <w:rPr>
          <w:rStyle w:val="BOLDLIGHTBLUEReport"/>
          <w:rFonts w:eastAsiaTheme="minorHAnsi"/>
        </w:rPr>
        <w:t>s lifecycle</w:t>
      </w:r>
      <w:r w:rsidRPr="00A04E56" w:rsidDel="007F29C5">
        <w:t>.</w:t>
      </w:r>
    </w:p>
    <w:p w14:paraId="192C6C73" w14:textId="77777777" w:rsidR="00FC5564" w:rsidRPr="00A04E56" w:rsidRDefault="00FC5564" w:rsidP="00277538">
      <w:pPr>
        <w:pStyle w:val="BulletsblueNew-Spaceafter"/>
      </w:pPr>
      <w:r w:rsidRPr="00A04E56">
        <w:t xml:space="preserve">To determine the </w:t>
      </w:r>
      <w:r w:rsidRPr="00A04E56">
        <w:rPr>
          <w:rStyle w:val="BOLDLIGHTBLUEReport"/>
          <w:rFonts w:eastAsiaTheme="minorHAnsi"/>
        </w:rPr>
        <w:t>risk at closure</w:t>
      </w:r>
      <w:r w:rsidRPr="00A04E56">
        <w:t xml:space="preserve">, the </w:t>
      </w:r>
      <w:r w:rsidRPr="00A04E56">
        <w:rPr>
          <w:rStyle w:val="BOLDLIGHTBLUEReport"/>
          <w:rFonts w:eastAsiaTheme="minorHAnsi"/>
        </w:rPr>
        <w:t>estimated future corrections</w:t>
      </w:r>
      <w:r w:rsidRPr="00A04E56">
        <w:t xml:space="preserve"> are deducted from the risk at payment. These are the corrections that each department estimates they will implement as a result of (</w:t>
      </w:r>
      <w:r w:rsidRPr="00A04E56">
        <w:rPr>
          <w:i/>
        </w:rPr>
        <w:t>ex post</w:t>
      </w:r>
      <w:r w:rsidRPr="00A04E56">
        <w:t xml:space="preserve">) controls in subsequent years. These conservative and forward-looking estimates are to some extent based on the average financial corrections and recoveries made in past years adjusted as necessary, especially to neutralise elements no longer valid for the current programmes. </w:t>
      </w:r>
    </w:p>
    <w:p w14:paraId="0B719E41" w14:textId="5C5E9288" w:rsidR="00FC5564" w:rsidRPr="00A04E56" w:rsidRDefault="003D0E4B" w:rsidP="00707E72">
      <w:pPr>
        <w:pStyle w:val="BOX3BluedashedborderBluetext"/>
        <w:ind w:left="851" w:right="141"/>
      </w:pPr>
      <w:r w:rsidRPr="00A04E56">
        <w:t>Su</w:t>
      </w:r>
      <w:r w:rsidR="00FC5564" w:rsidRPr="00A04E56">
        <w:t>bsection 3 presents the complete picture of</w:t>
      </w:r>
      <w:r w:rsidR="00FC5564" w:rsidRPr="00A04E56">
        <w:rPr>
          <w:rStyle w:val="italics"/>
        </w:rPr>
        <w:t xml:space="preserve"> all </w:t>
      </w:r>
      <w:r w:rsidR="00FC5564" w:rsidRPr="00A04E56">
        <w:t xml:space="preserve">measures applied </w:t>
      </w:r>
      <w:r w:rsidR="008C1D39" w:rsidRPr="00A04E56">
        <w:t>in 2018</w:t>
      </w:r>
      <w:r w:rsidR="00FC5564" w:rsidRPr="00A04E56">
        <w:t xml:space="preserve"> to protect the EU budget. Those 2018 actuals </w:t>
      </w:r>
      <w:r w:rsidR="00665EEA" w:rsidRPr="00A04E56">
        <w:t>must</w:t>
      </w:r>
      <w:r w:rsidR="00FC5564" w:rsidRPr="00A04E56">
        <w:t xml:space="preserve"> not be confused with the estimates of future corrections </w:t>
      </w:r>
      <w:r w:rsidR="00665EEA" w:rsidRPr="00A04E56">
        <w:t>described</w:t>
      </w:r>
      <w:r w:rsidR="00FC5564" w:rsidRPr="00A04E56">
        <w:t xml:space="preserve"> here. Firstly, the scope of the </w:t>
      </w:r>
      <w:r w:rsidR="00665EEA" w:rsidRPr="00A04E56">
        <w:t>actuals</w:t>
      </w:r>
      <w:r w:rsidR="00FC5564" w:rsidRPr="00A04E56">
        <w:t xml:space="preserve"> is broader as they </w:t>
      </w:r>
      <w:r w:rsidR="00665EEA" w:rsidRPr="00A04E56">
        <w:t>include</w:t>
      </w:r>
      <w:r w:rsidR="00FC5564" w:rsidRPr="00A04E56">
        <w:t xml:space="preserve"> both preventive and corrective measures</w:t>
      </w:r>
      <w:r w:rsidR="00CB6A77" w:rsidRPr="00A04E56">
        <w:t xml:space="preserve"> — </w:t>
      </w:r>
      <w:r w:rsidR="00665EEA" w:rsidRPr="00A04E56">
        <w:t>not</w:t>
      </w:r>
      <w:r w:rsidR="00FC5564" w:rsidRPr="00A04E56">
        <w:t xml:space="preserve"> only </w:t>
      </w:r>
      <w:r w:rsidR="00FC5564" w:rsidRPr="00A04E56">
        <w:rPr>
          <w:rStyle w:val="italics"/>
        </w:rPr>
        <w:t>ex post</w:t>
      </w:r>
      <w:r w:rsidR="00FC5564" w:rsidRPr="00A04E56">
        <w:t xml:space="preserve"> corrections. Secondly, the timing is different as the </w:t>
      </w:r>
      <w:r w:rsidR="00665EEA" w:rsidRPr="00A04E56">
        <w:t>actuals</w:t>
      </w:r>
      <w:r w:rsidR="00FC5564" w:rsidRPr="00A04E56">
        <w:t xml:space="preserve"> relate to expenditure from previous years (during which errors may have been higher)</w:t>
      </w:r>
      <w:r w:rsidR="00CB6A77" w:rsidRPr="00A04E56">
        <w:t xml:space="preserve"> — </w:t>
      </w:r>
      <w:r w:rsidR="00FC5564" w:rsidRPr="00A04E56">
        <w:t xml:space="preserve">compared to </w:t>
      </w:r>
      <w:r w:rsidR="00665EEA" w:rsidRPr="00A04E56">
        <w:t>the estimated future corrections calculated to</w:t>
      </w:r>
      <w:r w:rsidR="00FC5564" w:rsidRPr="00A04E56">
        <w:t xml:space="preserve"> relate </w:t>
      </w:r>
      <w:r w:rsidR="00665EEA" w:rsidRPr="00A04E56">
        <w:t xml:space="preserve">only </w:t>
      </w:r>
      <w:r w:rsidR="00FC5564" w:rsidRPr="00A04E56">
        <w:t xml:space="preserve">to </w:t>
      </w:r>
      <w:r w:rsidR="00665EEA" w:rsidRPr="00A04E56">
        <w:rPr>
          <w:rStyle w:val="italics"/>
        </w:rPr>
        <w:t>2018</w:t>
      </w:r>
      <w:r w:rsidR="00FC5564" w:rsidRPr="00A04E56">
        <w:t xml:space="preserve"> expenditure. </w:t>
      </w:r>
    </w:p>
    <w:p w14:paraId="20D0CA5A" w14:textId="77777777" w:rsidR="00FC5564" w:rsidRPr="00A04E56" w:rsidRDefault="00FC5564" w:rsidP="00EB30D8">
      <w:pPr>
        <w:pStyle w:val="BodyText1spacebeforeandafter"/>
      </w:pPr>
      <w:r w:rsidRPr="00A04E56">
        <w:t>While this approach is applied consistently across the Commission, individual departments also provide additional information on the specificities of their area, if relevant. Further methodological explanations are provided in Annex</w:t>
      </w:r>
      <w:r w:rsidRPr="00A04E56">
        <w:rPr>
          <w:rFonts w:ascii="Calibri" w:hAnsi="Calibri" w:cs="Calibri"/>
        </w:rPr>
        <w:t> </w:t>
      </w:r>
      <w:r w:rsidRPr="00A04E56">
        <w:t>2.</w:t>
      </w:r>
    </w:p>
    <w:p w14:paraId="04EFB504" w14:textId="533CFAA9" w:rsidR="00FC5564" w:rsidRPr="00A04E56" w:rsidRDefault="00FC5564" w:rsidP="00FC5564">
      <w:pPr>
        <w:pStyle w:val="BodyText1spaceafter"/>
        <w:rPr>
          <w:szCs w:val="20"/>
        </w:rPr>
      </w:pPr>
      <w:r w:rsidRPr="00A04E56">
        <w:rPr>
          <w:rStyle w:val="BOLDLIGHTBLUEReport"/>
          <w:rFonts w:eastAsiaTheme="minorHAnsi"/>
        </w:rPr>
        <w:t xml:space="preserve">These concepts have been developed to fit the Commission’s management context, but they largely converge with those used by the European Court of Auditors in its audit approach (see also the comparison in </w:t>
      </w:r>
      <w:r w:rsidRPr="00A04E56">
        <w:rPr>
          <w:rStyle w:val="BOLDLIGHTBLUEReport"/>
          <w:rFonts w:eastAsiaTheme="minorHAnsi"/>
          <w:i/>
        </w:rPr>
        <w:t>the table</w:t>
      </w:r>
      <w:r w:rsidR="006C793E" w:rsidRPr="00A04E56">
        <w:rPr>
          <w:rStyle w:val="BOLDLIGHTBLUEReport"/>
          <w:rFonts w:eastAsiaTheme="minorHAnsi"/>
          <w:i/>
        </w:rPr>
        <w:t xml:space="preserve"> </w:t>
      </w:r>
      <w:r w:rsidR="003D0E4B" w:rsidRPr="00A04E56">
        <w:rPr>
          <w:rStyle w:val="BOLDLIGHTBLUEReport"/>
          <w:rFonts w:eastAsiaTheme="minorHAnsi"/>
          <w:i/>
        </w:rPr>
        <w:t>on the following page</w:t>
      </w:r>
      <w:r w:rsidRPr="00A04E56">
        <w:rPr>
          <w:rStyle w:val="BOLDLIGHTBLUEReport"/>
          <w:rFonts w:eastAsiaTheme="minorHAnsi"/>
        </w:rPr>
        <w:t xml:space="preserve">). </w:t>
      </w:r>
    </w:p>
    <w:p w14:paraId="7B001784" w14:textId="294299FB" w:rsidR="00FC5564" w:rsidRPr="00A04E56" w:rsidRDefault="00FC5564" w:rsidP="00277538">
      <w:pPr>
        <w:pStyle w:val="BulletsblueNew"/>
        <w:rPr>
          <w:rStyle w:val="fnRef"/>
        </w:rPr>
      </w:pPr>
      <w:r w:rsidRPr="00A04E56">
        <w:t>Risk at payment is closest to the European Court of Auditors’ ‘most likely level of error’. In recent years, the Court has recognised that the Commission figures are</w:t>
      </w:r>
      <w:r w:rsidR="00E36290" w:rsidRPr="00A04E56">
        <w:t>,</w:t>
      </w:r>
      <w:r w:rsidRPr="00A04E56">
        <w:t xml:space="preserve"> in most cases</w:t>
      </w:r>
      <w:r w:rsidR="00E36290" w:rsidRPr="00A04E56">
        <w:t>,</w:t>
      </w:r>
      <w:r w:rsidRPr="00A04E56">
        <w:t xml:space="preserve"> broadly in line with the Court's own estimates and/or within its range</w:t>
      </w:r>
      <w:r w:rsidRPr="00A04E56">
        <w:rPr>
          <w:rStyle w:val="fnRef"/>
          <w:rFonts w:ascii="Calibri" w:hAnsi="Calibri" w:cs="Calibri"/>
        </w:rPr>
        <w:t> </w:t>
      </w:r>
      <w:r w:rsidRPr="00A04E56">
        <w:rPr>
          <w:rStyle w:val="fnRef"/>
        </w:rPr>
        <w:t>(</w:t>
      </w:r>
      <w:r w:rsidRPr="00A04E56">
        <w:rPr>
          <w:rStyle w:val="fnRefNo"/>
        </w:rPr>
        <w:footnoteReference w:id="371"/>
      </w:r>
      <w:r w:rsidRPr="00A04E56">
        <w:rPr>
          <w:rStyle w:val="fnRef"/>
        </w:rPr>
        <w:t>).</w:t>
      </w:r>
    </w:p>
    <w:p w14:paraId="20EF24E6" w14:textId="77777777" w:rsidR="00FC5564" w:rsidRPr="00A04E56" w:rsidRDefault="00FC5564" w:rsidP="00277538">
      <w:pPr>
        <w:pStyle w:val="BulletsblueNew"/>
      </w:pPr>
      <w:r w:rsidRPr="00A04E56">
        <w:t>As a basis for calculating the amount(s) at risk, ‘relevant expenditure’ includes the payments made, subtracts new pre-financing paid out (still owned by the Commission) and adds previous pre-financing cleared (ownership transferred to the beneficiaries) during the financial year. This is fully in line with the European Court of Auditors’ approach</w:t>
      </w:r>
      <w:r w:rsidRPr="00A04E56">
        <w:rPr>
          <w:rStyle w:val="fnRef"/>
          <w:rFonts w:ascii="Calibri" w:hAnsi="Calibri" w:cs="Calibri"/>
        </w:rPr>
        <w:t> </w:t>
      </w:r>
      <w:r w:rsidRPr="00A04E56">
        <w:rPr>
          <w:rStyle w:val="fnRef"/>
        </w:rPr>
        <w:t>(</w:t>
      </w:r>
      <w:r w:rsidRPr="00A04E56">
        <w:rPr>
          <w:rStyle w:val="fnRefNo"/>
        </w:rPr>
        <w:footnoteReference w:id="372"/>
      </w:r>
      <w:r w:rsidRPr="00A04E56">
        <w:rPr>
          <w:rStyle w:val="fnRef"/>
        </w:rPr>
        <w:t>).</w:t>
      </w:r>
      <w:r w:rsidRPr="00A04E56">
        <w:t xml:space="preserve"> </w:t>
      </w:r>
    </w:p>
    <w:p w14:paraId="42B2F304" w14:textId="77777777" w:rsidR="00FC5564" w:rsidRPr="00A04E56" w:rsidRDefault="00FC5564" w:rsidP="00277538">
      <w:pPr>
        <w:pStyle w:val="BulletsblueNew-Spaceafter"/>
      </w:pPr>
      <w:r w:rsidRPr="00A04E56">
        <w:t>The ‘materiality threshold’ set, in most cases</w:t>
      </w:r>
      <w:r w:rsidRPr="00A04E56">
        <w:rPr>
          <w:rFonts w:ascii="Calibri" w:hAnsi="Calibri" w:cs="Calibri"/>
        </w:rPr>
        <w:t> </w:t>
      </w:r>
      <w:r w:rsidRPr="00A04E56">
        <w:rPr>
          <w:rStyle w:val="fnRef"/>
        </w:rPr>
        <w:t>(</w:t>
      </w:r>
      <w:r w:rsidRPr="00A04E56">
        <w:rPr>
          <w:rStyle w:val="fnRefNo"/>
        </w:rPr>
        <w:footnoteReference w:id="373"/>
      </w:r>
      <w:r w:rsidRPr="00A04E56">
        <w:rPr>
          <w:rStyle w:val="fnRef"/>
        </w:rPr>
        <w:t>)</w:t>
      </w:r>
      <w:r w:rsidRPr="00A04E56">
        <w:t>, at 2% of the relevant expenditure, is also in line with the Court’s methodology</w:t>
      </w:r>
      <w:r w:rsidRPr="00A04E56">
        <w:rPr>
          <w:rStyle w:val="fnRef"/>
          <w:rFonts w:ascii="Calibri" w:hAnsi="Calibri" w:cs="Calibri"/>
        </w:rPr>
        <w:t> </w:t>
      </w:r>
      <w:r w:rsidRPr="00A04E56">
        <w:rPr>
          <w:rStyle w:val="fnRef"/>
        </w:rPr>
        <w:t>(</w:t>
      </w:r>
      <w:r w:rsidRPr="00A04E56">
        <w:rPr>
          <w:rStyle w:val="fnRefNo"/>
        </w:rPr>
        <w:footnoteReference w:id="374"/>
      </w:r>
      <w:r w:rsidRPr="00A04E56">
        <w:rPr>
          <w:rStyle w:val="fnRef"/>
        </w:rPr>
        <w:t>).</w:t>
      </w:r>
      <w:r w:rsidRPr="00A04E56">
        <w:t xml:space="preserve"> </w:t>
      </w:r>
    </w:p>
    <w:p w14:paraId="6621B6C5" w14:textId="36FC9F71" w:rsidR="00FC5564" w:rsidRPr="00A04E56" w:rsidRDefault="00FC5564" w:rsidP="00D402B2">
      <w:pPr>
        <w:pStyle w:val="BodyText1spaceafter"/>
      </w:pPr>
      <w:r w:rsidRPr="00A04E56">
        <w:rPr>
          <w:rStyle w:val="BOLDLIGHTBLUEReport"/>
          <w:rFonts w:eastAsiaTheme="minorHAnsi"/>
        </w:rPr>
        <w:t>In addition</w:t>
      </w:r>
      <w:r w:rsidRPr="00A04E56">
        <w:t xml:space="preserve">, in order to be able to provide bottom-up management assurance, and to identify and address issues in specific areas, the Commission calculates the error rates per programme (or other relevant segment). This means that the Commission’s information on error rates is </w:t>
      </w:r>
      <w:r w:rsidRPr="00A04E56">
        <w:rPr>
          <w:rStyle w:val="BOLDLIGHTBLUEReport"/>
          <w:rFonts w:eastAsiaTheme="minorHAnsi"/>
        </w:rPr>
        <w:t>more detailed</w:t>
      </w:r>
      <w:r w:rsidRPr="00A04E56">
        <w:t xml:space="preserve"> than that of the Court. Moreover, the Commission’s methodology takes into account the </w:t>
      </w:r>
      <w:r w:rsidRPr="00A04E56">
        <w:rPr>
          <w:rStyle w:val="BOLDLIGHTBLUEReport"/>
          <w:rFonts w:eastAsiaTheme="minorHAnsi"/>
        </w:rPr>
        <w:t>multiannual</w:t>
      </w:r>
      <w:r w:rsidRPr="00A04E56">
        <w:t xml:space="preserve"> nature of the spending programmes, especially the fact that errors not identified at the point of payment can still be detected and corrected during the subsequent year(s).</w:t>
      </w:r>
    </w:p>
    <w:p w14:paraId="50567CD5" w14:textId="4699CA07" w:rsidR="00CC24B2" w:rsidRDefault="00CC24B2" w:rsidP="00277538">
      <w:pPr>
        <w:pStyle w:val="BodyText1spaceafter"/>
      </w:pPr>
    </w:p>
    <w:tbl>
      <w:tblPr>
        <w:tblStyle w:val="Simpletable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68"/>
        <w:gridCol w:w="3969"/>
        <w:gridCol w:w="3575"/>
      </w:tblGrid>
      <w:tr w:rsidR="00A36589" w:rsidRPr="00A04E56" w14:paraId="6ED49DD0" w14:textId="77777777" w:rsidTr="00A36589">
        <w:tc>
          <w:tcPr>
            <w:tcW w:w="1668" w:type="dxa"/>
            <w:tcBorders>
              <w:bottom w:val="single" w:sz="8" w:space="0" w:color="FFFFFF"/>
            </w:tcBorders>
          </w:tcPr>
          <w:p w14:paraId="03358B91" w14:textId="77777777" w:rsidR="00A36589" w:rsidRPr="00A04E56" w:rsidRDefault="00A36589" w:rsidP="00277538">
            <w:pPr>
              <w:pStyle w:val="NoParagraphStyle"/>
              <w:spacing w:after="120" w:line="240" w:lineRule="auto"/>
              <w:textAlignment w:val="auto"/>
              <w:rPr>
                <w:rFonts w:eastAsia="Calibri"/>
                <w:lang w:val="en-GB"/>
              </w:rPr>
            </w:pPr>
          </w:p>
        </w:tc>
        <w:tc>
          <w:tcPr>
            <w:tcW w:w="3969" w:type="dxa"/>
            <w:tcBorders>
              <w:bottom w:val="single" w:sz="8" w:space="0" w:color="FFFFFF"/>
            </w:tcBorders>
            <w:shd w:val="clear" w:color="auto" w:fill="FBEFD5"/>
          </w:tcPr>
          <w:p w14:paraId="3837F5D8" w14:textId="3F73D542" w:rsidR="00A36589" w:rsidRPr="00A04E56" w:rsidRDefault="00A36589" w:rsidP="00277538">
            <w:pPr>
              <w:autoSpaceDE w:val="0"/>
              <w:autoSpaceDN w:val="0"/>
              <w:adjustRightInd w:val="0"/>
              <w:spacing w:after="120"/>
              <w:ind w:left="181"/>
              <w:textAlignment w:val="center"/>
              <w:rPr>
                <w:rFonts w:eastAsia="Calibri" w:cs="MinionPro-Regular"/>
                <w:color w:val="000000"/>
                <w:szCs w:val="24"/>
              </w:rPr>
            </w:pPr>
            <w:r w:rsidRPr="00A04E56">
              <w:rPr>
                <w:rFonts w:eastAsia="Calibri" w:cs="EC Square Sans Pro"/>
                <w:b/>
                <w:bCs/>
                <w:color w:val="000000"/>
                <w:szCs w:val="18"/>
              </w:rPr>
              <w:t>European Commission</w:t>
            </w:r>
            <w:r w:rsidRPr="00A04E56">
              <w:rPr>
                <w:rFonts w:eastAsia="Calibri" w:cs="EC Square Sans Pro"/>
                <w:b/>
                <w:bCs/>
                <w:color w:val="000000"/>
                <w:szCs w:val="18"/>
              </w:rPr>
              <w:br/>
            </w:r>
            <w:r w:rsidRPr="00A04E56">
              <w:rPr>
                <w:rFonts w:eastAsia="Calibri" w:cs="EC Square Sans Pro"/>
                <w:color w:val="000000"/>
                <w:szCs w:val="18"/>
              </w:rPr>
              <w:t>management perspective</w:t>
            </w:r>
          </w:p>
        </w:tc>
        <w:tc>
          <w:tcPr>
            <w:tcW w:w="3575" w:type="dxa"/>
            <w:tcBorders>
              <w:bottom w:val="single" w:sz="8" w:space="0" w:color="FFFFFF"/>
            </w:tcBorders>
            <w:shd w:val="clear" w:color="auto" w:fill="D7EDF1"/>
          </w:tcPr>
          <w:p w14:paraId="55DF33D7" w14:textId="497C5412" w:rsidR="00A36589" w:rsidRPr="00A04E56" w:rsidRDefault="00A36589" w:rsidP="00277538">
            <w:pPr>
              <w:autoSpaceDE w:val="0"/>
              <w:autoSpaceDN w:val="0"/>
              <w:adjustRightInd w:val="0"/>
              <w:spacing w:after="120"/>
              <w:ind w:left="181"/>
              <w:textAlignment w:val="center"/>
              <w:rPr>
                <w:rFonts w:eastAsia="Calibri" w:cs="MinionPro-Regular"/>
                <w:color w:val="000000"/>
                <w:szCs w:val="24"/>
              </w:rPr>
            </w:pPr>
            <w:r w:rsidRPr="00A04E56">
              <w:rPr>
                <w:rFonts w:eastAsia="Calibri" w:cs="EC Square Sans Pro"/>
                <w:b/>
                <w:bCs/>
                <w:color w:val="000000"/>
                <w:szCs w:val="18"/>
              </w:rPr>
              <w:t>European Court of Auditors</w:t>
            </w:r>
            <w:r w:rsidRPr="00A04E56">
              <w:rPr>
                <w:rFonts w:eastAsia="Calibri" w:cs="EC Square Sans Pro"/>
                <w:b/>
                <w:bCs/>
                <w:color w:val="000000"/>
                <w:szCs w:val="18"/>
              </w:rPr>
              <w:br/>
            </w:r>
            <w:r w:rsidRPr="00A04E56">
              <w:rPr>
                <w:rFonts w:eastAsia="Calibri" w:cs="EC Square Sans Pro"/>
                <w:color w:val="000000"/>
                <w:szCs w:val="18"/>
              </w:rPr>
              <w:t>audit perspective</w:t>
            </w:r>
          </w:p>
        </w:tc>
      </w:tr>
      <w:tr w:rsidR="00A36589" w:rsidRPr="00A04E56" w14:paraId="25956989" w14:textId="77777777" w:rsidTr="00A36589">
        <w:tc>
          <w:tcPr>
            <w:tcW w:w="1668" w:type="dxa"/>
            <w:tcBorders>
              <w:top w:val="single" w:sz="8" w:space="0" w:color="FFFFFF"/>
            </w:tcBorders>
          </w:tcPr>
          <w:p w14:paraId="6DB7252D" w14:textId="77777777" w:rsidR="00A36589" w:rsidRPr="00277538" w:rsidRDefault="00A36589" w:rsidP="00277538">
            <w:pPr>
              <w:autoSpaceDE w:val="0"/>
              <w:autoSpaceDN w:val="0"/>
              <w:adjustRightInd w:val="0"/>
              <w:spacing w:after="120"/>
              <w:textAlignment w:val="center"/>
              <w:rPr>
                <w:rFonts w:eastAsia="Calibri" w:cs="MinionPro-Regular"/>
                <w:color w:val="65BBC8"/>
                <w:szCs w:val="24"/>
              </w:rPr>
            </w:pPr>
            <w:r w:rsidRPr="00277538">
              <w:rPr>
                <w:rFonts w:eastAsia="Calibri" w:cs="EC Square Sans Pro"/>
                <w:b/>
                <w:bCs/>
                <w:color w:val="65BBC8"/>
                <w:szCs w:val="18"/>
              </w:rPr>
              <w:t>Objective</w:t>
            </w:r>
          </w:p>
        </w:tc>
        <w:tc>
          <w:tcPr>
            <w:tcW w:w="3969" w:type="dxa"/>
            <w:tcBorders>
              <w:top w:val="single" w:sz="8" w:space="0" w:color="FFFFFF"/>
              <w:bottom w:val="single" w:sz="8" w:space="0" w:color="FFFFFF"/>
            </w:tcBorders>
            <w:shd w:val="clear" w:color="auto" w:fill="FBEFD5"/>
          </w:tcPr>
          <w:p w14:paraId="09CE8305" w14:textId="6F3BDD11" w:rsidR="00A36589" w:rsidRPr="00A04E56" w:rsidRDefault="00A36589" w:rsidP="00277538">
            <w:pPr>
              <w:numPr>
                <w:ilvl w:val="0"/>
                <w:numId w:val="43"/>
              </w:numPr>
              <w:autoSpaceDE w:val="0"/>
              <w:autoSpaceDN w:val="0"/>
              <w:adjustRightInd w:val="0"/>
              <w:spacing w:after="120"/>
              <w:ind w:left="470" w:hanging="283"/>
              <w:textAlignment w:val="center"/>
              <w:rPr>
                <w:rFonts w:eastAsia="Calibri" w:cs="EC Square Sans Pro"/>
                <w:color w:val="000000"/>
                <w:szCs w:val="18"/>
              </w:rPr>
            </w:pPr>
            <w:r w:rsidRPr="00A04E56">
              <w:rPr>
                <w:rFonts w:eastAsia="Calibri" w:cs="EC Square Sans Pro"/>
                <w:color w:val="000000"/>
                <w:szCs w:val="18"/>
              </w:rPr>
              <w:t>provide annual management assurance</w:t>
            </w:r>
          </w:p>
          <w:p w14:paraId="5284FC0E" w14:textId="77777777" w:rsidR="00A36589" w:rsidRPr="00A04E56" w:rsidRDefault="00A36589" w:rsidP="00277538">
            <w:pPr>
              <w:numPr>
                <w:ilvl w:val="0"/>
                <w:numId w:val="43"/>
              </w:numPr>
              <w:autoSpaceDE w:val="0"/>
              <w:autoSpaceDN w:val="0"/>
              <w:adjustRightInd w:val="0"/>
              <w:spacing w:after="120"/>
              <w:ind w:left="470" w:hanging="283"/>
              <w:textAlignment w:val="center"/>
              <w:rPr>
                <w:rFonts w:eastAsia="Calibri" w:cs="MinionPro-Regular"/>
                <w:color w:val="000000"/>
                <w:szCs w:val="24"/>
              </w:rPr>
            </w:pPr>
            <w:r w:rsidRPr="00A04E56">
              <w:rPr>
                <w:rFonts w:eastAsia="Calibri" w:cs="EC Square Sans Pro"/>
                <w:color w:val="000000"/>
                <w:szCs w:val="18"/>
              </w:rPr>
              <w:t xml:space="preserve">identify weaknesses and take action </w:t>
            </w:r>
            <w:r w:rsidRPr="00A04E56">
              <w:rPr>
                <w:rFonts w:eastAsia="Calibri" w:cs="EC Square Sans Pro"/>
                <w:color w:val="000000"/>
                <w:szCs w:val="18"/>
              </w:rPr>
              <w:br/>
              <w:t>on a multiannual basis</w:t>
            </w:r>
          </w:p>
        </w:tc>
        <w:tc>
          <w:tcPr>
            <w:tcW w:w="3575" w:type="dxa"/>
            <w:tcBorders>
              <w:top w:val="single" w:sz="8" w:space="0" w:color="FFFFFF"/>
              <w:bottom w:val="single" w:sz="8" w:space="0" w:color="FFFFFF"/>
            </w:tcBorders>
            <w:shd w:val="clear" w:color="auto" w:fill="D7EDF1"/>
          </w:tcPr>
          <w:p w14:paraId="52C6897D" w14:textId="669CD740" w:rsidR="00A36589" w:rsidRPr="00A04E56" w:rsidRDefault="00A36589" w:rsidP="00277538">
            <w:pPr>
              <w:numPr>
                <w:ilvl w:val="0"/>
                <w:numId w:val="43"/>
              </w:numPr>
              <w:tabs>
                <w:tab w:val="left" w:pos="135"/>
              </w:tabs>
              <w:suppressAutoHyphens/>
              <w:autoSpaceDE w:val="0"/>
              <w:autoSpaceDN w:val="0"/>
              <w:adjustRightInd w:val="0"/>
              <w:spacing w:after="120"/>
              <w:ind w:left="515" w:hanging="339"/>
              <w:textAlignment w:val="center"/>
              <w:rPr>
                <w:rFonts w:eastAsia="Calibri" w:cs="MinionPro-Regular"/>
                <w:color w:val="000000"/>
                <w:szCs w:val="24"/>
              </w:rPr>
            </w:pPr>
            <w:r w:rsidRPr="00A04E56">
              <w:rPr>
                <w:rFonts w:eastAsia="Calibri" w:cs="EC Square Sans Pro"/>
                <w:color w:val="000000"/>
                <w:szCs w:val="18"/>
              </w:rPr>
              <w:t xml:space="preserve">provide an audit opinion on legality and regularity of financial transactions of </w:t>
            </w:r>
            <w:r w:rsidR="008F5F6E" w:rsidRPr="00A04E56">
              <w:rPr>
                <w:rFonts w:eastAsia="Calibri" w:cs="EC Square Sans Pro"/>
                <w:color w:val="000000"/>
                <w:szCs w:val="18"/>
              </w:rPr>
              <w:t>one specific</w:t>
            </w:r>
            <w:r w:rsidRPr="00A04E56">
              <w:rPr>
                <w:rFonts w:eastAsia="Calibri" w:cs="EC Square Sans Pro"/>
                <w:color w:val="000000"/>
                <w:szCs w:val="18"/>
              </w:rPr>
              <w:t xml:space="preserve"> year</w:t>
            </w:r>
          </w:p>
        </w:tc>
      </w:tr>
      <w:tr w:rsidR="00A36589" w:rsidRPr="00A04E56" w14:paraId="2D10EDAD" w14:textId="77777777" w:rsidTr="00C91D3B">
        <w:tc>
          <w:tcPr>
            <w:tcW w:w="1668" w:type="dxa"/>
            <w:tcMar>
              <w:bottom w:w="0" w:type="dxa"/>
            </w:tcMar>
          </w:tcPr>
          <w:p w14:paraId="6FFE8089" w14:textId="77777777" w:rsidR="00A36589" w:rsidRPr="00277538" w:rsidRDefault="00A36589" w:rsidP="00277538">
            <w:pPr>
              <w:suppressAutoHyphens/>
              <w:autoSpaceDE w:val="0"/>
              <w:autoSpaceDN w:val="0"/>
              <w:adjustRightInd w:val="0"/>
              <w:spacing w:after="120"/>
              <w:textAlignment w:val="center"/>
              <w:rPr>
                <w:rFonts w:eastAsia="Calibri" w:cs="MinionPro-Regular"/>
                <w:color w:val="65BBC8"/>
                <w:szCs w:val="24"/>
              </w:rPr>
            </w:pPr>
            <w:r w:rsidRPr="00277538">
              <w:rPr>
                <w:rFonts w:eastAsia="Calibri" w:cs="EC Square Sans Pro"/>
                <w:b/>
                <w:bCs/>
                <w:color w:val="65BBC8"/>
                <w:szCs w:val="18"/>
              </w:rPr>
              <w:t>Level of granularity</w:t>
            </w:r>
          </w:p>
        </w:tc>
        <w:tc>
          <w:tcPr>
            <w:tcW w:w="3969" w:type="dxa"/>
            <w:tcBorders>
              <w:top w:val="single" w:sz="8" w:space="0" w:color="FFFFFF"/>
            </w:tcBorders>
            <w:shd w:val="clear" w:color="auto" w:fill="FBEFD5"/>
            <w:tcMar>
              <w:bottom w:w="0" w:type="dxa"/>
            </w:tcMar>
          </w:tcPr>
          <w:p w14:paraId="4429E84A" w14:textId="2141429F" w:rsidR="00A36589" w:rsidRPr="00A04E56" w:rsidRDefault="00A36589" w:rsidP="00277538">
            <w:pPr>
              <w:numPr>
                <w:ilvl w:val="0"/>
                <w:numId w:val="43"/>
              </w:numPr>
              <w:tabs>
                <w:tab w:val="left" w:pos="135"/>
              </w:tabs>
              <w:autoSpaceDE w:val="0"/>
              <w:autoSpaceDN w:val="0"/>
              <w:adjustRightInd w:val="0"/>
              <w:spacing w:after="120"/>
              <w:ind w:left="470" w:hanging="283"/>
              <w:textAlignment w:val="center"/>
              <w:rPr>
                <w:rFonts w:eastAsia="Calibri" w:cs="EC Square Sans Pro"/>
                <w:color w:val="000000"/>
                <w:szCs w:val="18"/>
              </w:rPr>
            </w:pPr>
            <w:r w:rsidRPr="00A04E56">
              <w:rPr>
                <w:rFonts w:eastAsia="Calibri" w:cs="EC Square Sans Pro"/>
                <w:color w:val="000000"/>
                <w:szCs w:val="18"/>
              </w:rPr>
              <w:t xml:space="preserve">EU budget as a whole and individual error rates </w:t>
            </w:r>
            <w:r w:rsidR="008F5F6E" w:rsidRPr="00A04E56">
              <w:rPr>
                <w:rFonts w:eastAsia="Calibri" w:cs="EC Square Sans Pro"/>
                <w:color w:val="000000"/>
                <w:szCs w:val="18"/>
              </w:rPr>
              <w:t>for each department and policy area under</w:t>
            </w:r>
            <w:r w:rsidRPr="00A04E56">
              <w:rPr>
                <w:rFonts w:eastAsia="Calibri" w:cs="EC Square Sans Pro"/>
                <w:color w:val="000000"/>
                <w:szCs w:val="18"/>
              </w:rPr>
              <w:t xml:space="preserve"> all MFF headings (</w:t>
            </w:r>
            <w:r w:rsidR="00633659" w:rsidRPr="00A04E56">
              <w:rPr>
                <w:rFonts w:eastAsia="Calibri" w:cs="EC Square Sans Pro"/>
                <w:color w:val="000000"/>
                <w:szCs w:val="18"/>
              </w:rPr>
              <w:t>1</w:t>
            </w:r>
            <w:r w:rsidR="00633659">
              <w:rPr>
                <w:rFonts w:ascii="Calibri" w:eastAsia="Calibri" w:hAnsi="Calibri" w:cs="Calibri"/>
                <w:color w:val="000000"/>
                <w:szCs w:val="18"/>
              </w:rPr>
              <w:t> </w:t>
            </w:r>
            <w:r w:rsidRPr="00A04E56">
              <w:rPr>
                <w:rFonts w:eastAsia="Calibri" w:cs="EC Square Sans Pro"/>
                <w:color w:val="000000"/>
                <w:szCs w:val="18"/>
              </w:rPr>
              <w:t xml:space="preserve">to 5), plus </w:t>
            </w:r>
            <w:r w:rsidR="00C65882" w:rsidRPr="00A04E56">
              <w:rPr>
                <w:rFonts w:eastAsia="Calibri" w:cs="EC Square Sans Pro"/>
                <w:color w:val="000000"/>
                <w:szCs w:val="18"/>
              </w:rPr>
              <w:t xml:space="preserve">for </w:t>
            </w:r>
            <w:r w:rsidRPr="00A04E56">
              <w:rPr>
                <w:rFonts w:eastAsia="Calibri" w:cs="EC Square Sans Pro"/>
                <w:color w:val="000000"/>
                <w:szCs w:val="18"/>
              </w:rPr>
              <w:t>revenue</w:t>
            </w:r>
          </w:p>
          <w:p w14:paraId="0E2B3D10" w14:textId="6A178343" w:rsidR="00A36589" w:rsidRPr="00A04E56" w:rsidRDefault="00A36589" w:rsidP="00277538">
            <w:pPr>
              <w:keepNext/>
              <w:numPr>
                <w:ilvl w:val="0"/>
                <w:numId w:val="43"/>
              </w:numPr>
              <w:tabs>
                <w:tab w:val="left" w:pos="135"/>
              </w:tabs>
              <w:autoSpaceDE w:val="0"/>
              <w:autoSpaceDN w:val="0"/>
              <w:adjustRightInd w:val="0"/>
              <w:spacing w:after="120"/>
              <w:ind w:left="471" w:hanging="284"/>
              <w:textAlignment w:val="center"/>
              <w:rPr>
                <w:rFonts w:eastAsia="Calibri" w:cs="EC Square Sans Pro"/>
                <w:color w:val="000000"/>
                <w:szCs w:val="18"/>
              </w:rPr>
            </w:pPr>
            <w:r w:rsidRPr="00A04E56">
              <w:rPr>
                <w:rFonts w:eastAsia="Calibri" w:cs="EC Square Sans Pro"/>
                <w:b/>
                <w:color w:val="000000"/>
                <w:szCs w:val="18"/>
              </w:rPr>
              <w:t>error rates calculated</w:t>
            </w:r>
            <w:r w:rsidRPr="00A04E56">
              <w:rPr>
                <w:rFonts w:eastAsia="Calibri" w:cs="EC Square Sans Pro"/>
                <w:b/>
                <w:bCs/>
                <w:color w:val="000000"/>
                <w:szCs w:val="18"/>
              </w:rPr>
              <w:t xml:space="preserve"> per policy area, programme and/or relevant (sub)segments</w:t>
            </w:r>
          </w:p>
        </w:tc>
        <w:tc>
          <w:tcPr>
            <w:tcW w:w="3575" w:type="dxa"/>
            <w:tcBorders>
              <w:top w:val="single" w:sz="8" w:space="0" w:color="FFFFFF"/>
            </w:tcBorders>
            <w:shd w:val="clear" w:color="auto" w:fill="D7EDF1"/>
            <w:tcMar>
              <w:bottom w:w="0" w:type="dxa"/>
            </w:tcMar>
          </w:tcPr>
          <w:p w14:paraId="078C5120" w14:textId="6DEB15EB" w:rsidR="00A36589" w:rsidRPr="00A04E56" w:rsidRDefault="00A36589" w:rsidP="00277538">
            <w:pPr>
              <w:numPr>
                <w:ilvl w:val="0"/>
                <w:numId w:val="43"/>
              </w:numPr>
              <w:tabs>
                <w:tab w:val="left" w:pos="135"/>
              </w:tabs>
              <w:suppressAutoHyphens/>
              <w:autoSpaceDE w:val="0"/>
              <w:autoSpaceDN w:val="0"/>
              <w:adjustRightInd w:val="0"/>
              <w:spacing w:after="120"/>
              <w:ind w:left="471" w:hanging="284"/>
              <w:textAlignment w:val="center"/>
              <w:rPr>
                <w:rFonts w:eastAsia="Calibri" w:cs="MinionPro-Regular"/>
                <w:color w:val="000000"/>
                <w:szCs w:val="24"/>
              </w:rPr>
            </w:pPr>
            <w:r w:rsidRPr="00A04E56">
              <w:rPr>
                <w:rFonts w:eastAsia="Calibri" w:cs="EC Square Sans Pro"/>
                <w:color w:val="000000"/>
                <w:szCs w:val="18"/>
              </w:rPr>
              <w:t xml:space="preserve">EU budget as a whole and individual error rates for </w:t>
            </w:r>
            <w:r w:rsidRPr="00A04E56">
              <w:rPr>
                <w:rFonts w:eastAsia="Calibri" w:cs="EC Square Sans Pro"/>
                <w:color w:val="000000"/>
                <w:szCs w:val="18"/>
              </w:rPr>
              <w:br/>
              <w:t xml:space="preserve">MFF headings 1a, 1b, 2 and 5, </w:t>
            </w:r>
            <w:r w:rsidRPr="00A04E56">
              <w:rPr>
                <w:rFonts w:eastAsia="Calibri" w:cs="EC Square Sans Pro"/>
                <w:color w:val="000000"/>
                <w:szCs w:val="18"/>
              </w:rPr>
              <w:br/>
              <w:t xml:space="preserve">plus </w:t>
            </w:r>
            <w:r w:rsidR="00C65882" w:rsidRPr="00A04E56">
              <w:rPr>
                <w:rFonts w:eastAsia="Calibri" w:cs="EC Square Sans Pro"/>
                <w:color w:val="000000"/>
                <w:szCs w:val="18"/>
              </w:rPr>
              <w:t xml:space="preserve">for </w:t>
            </w:r>
            <w:r w:rsidRPr="00A04E56">
              <w:rPr>
                <w:rFonts w:eastAsia="Calibri" w:cs="EC Square Sans Pro"/>
                <w:color w:val="000000"/>
                <w:szCs w:val="18"/>
              </w:rPr>
              <w:t>revenue</w:t>
            </w:r>
          </w:p>
        </w:tc>
      </w:tr>
      <w:tr w:rsidR="00C91D3B" w:rsidRPr="00A04E56" w14:paraId="0038064C" w14:textId="77777777" w:rsidTr="00C91D3B">
        <w:tc>
          <w:tcPr>
            <w:tcW w:w="1668" w:type="dxa"/>
            <w:tcMar>
              <w:top w:w="0" w:type="dxa"/>
            </w:tcMar>
          </w:tcPr>
          <w:p w14:paraId="2D51E4C7" w14:textId="77777777" w:rsidR="00C91D3B" w:rsidRPr="001167D9" w:rsidRDefault="00C91D3B" w:rsidP="001167D9">
            <w:pPr>
              <w:suppressAutoHyphens/>
              <w:autoSpaceDE w:val="0"/>
              <w:autoSpaceDN w:val="0"/>
              <w:adjustRightInd w:val="0"/>
              <w:spacing w:after="120"/>
              <w:textAlignment w:val="center"/>
              <w:rPr>
                <w:rFonts w:eastAsia="Calibri" w:cs="EC Square Sans Pro"/>
                <w:b/>
                <w:bCs/>
                <w:color w:val="65BBC8"/>
                <w:szCs w:val="18"/>
              </w:rPr>
            </w:pPr>
          </w:p>
        </w:tc>
        <w:tc>
          <w:tcPr>
            <w:tcW w:w="3969" w:type="dxa"/>
            <w:tcBorders>
              <w:bottom w:val="single" w:sz="8" w:space="0" w:color="FFFFFF"/>
            </w:tcBorders>
            <w:shd w:val="clear" w:color="auto" w:fill="FBEFD5"/>
            <w:tcMar>
              <w:top w:w="0" w:type="dxa"/>
            </w:tcMar>
          </w:tcPr>
          <w:p w14:paraId="39C26B14" w14:textId="6DEC7677" w:rsidR="00C91D3B" w:rsidRPr="00A04E56" w:rsidRDefault="00C91D3B" w:rsidP="001167D9">
            <w:pPr>
              <w:numPr>
                <w:ilvl w:val="0"/>
                <w:numId w:val="43"/>
              </w:numPr>
              <w:tabs>
                <w:tab w:val="left" w:pos="135"/>
              </w:tabs>
              <w:autoSpaceDE w:val="0"/>
              <w:autoSpaceDN w:val="0"/>
              <w:adjustRightInd w:val="0"/>
              <w:spacing w:after="120"/>
              <w:ind w:left="470" w:hanging="283"/>
              <w:textAlignment w:val="center"/>
              <w:rPr>
                <w:rFonts w:eastAsia="Calibri" w:cs="EC Square Sans Pro"/>
                <w:color w:val="000000"/>
                <w:szCs w:val="18"/>
              </w:rPr>
            </w:pPr>
            <w:r w:rsidRPr="00A04E56">
              <w:rPr>
                <w:rFonts w:eastAsia="Calibri" w:cs="EC Square Sans Pro"/>
                <w:color w:val="000000"/>
                <w:szCs w:val="18"/>
              </w:rPr>
              <w:t>expenditure and revenue of the year (or 2 years for research) with a multiannual perspective</w:t>
            </w:r>
          </w:p>
        </w:tc>
        <w:tc>
          <w:tcPr>
            <w:tcW w:w="3575" w:type="dxa"/>
            <w:tcBorders>
              <w:bottom w:val="single" w:sz="8" w:space="0" w:color="FFFFFF"/>
            </w:tcBorders>
            <w:shd w:val="clear" w:color="auto" w:fill="D7EDF1"/>
            <w:tcMar>
              <w:top w:w="0" w:type="dxa"/>
            </w:tcMar>
          </w:tcPr>
          <w:p w14:paraId="7292AE5C" w14:textId="4B1B5A49" w:rsidR="00C91D3B" w:rsidRPr="00C91D3B" w:rsidRDefault="00C91D3B" w:rsidP="00C91D3B">
            <w:pPr>
              <w:numPr>
                <w:ilvl w:val="0"/>
                <w:numId w:val="43"/>
              </w:numPr>
              <w:tabs>
                <w:tab w:val="left" w:pos="135"/>
              </w:tabs>
              <w:suppressAutoHyphens/>
              <w:autoSpaceDE w:val="0"/>
              <w:autoSpaceDN w:val="0"/>
              <w:adjustRightInd w:val="0"/>
              <w:spacing w:after="120"/>
              <w:ind w:left="470" w:hanging="283"/>
              <w:textAlignment w:val="center"/>
              <w:rPr>
                <w:rFonts w:eastAsia="Calibri" w:cs="EC Square Sans Pro"/>
                <w:color w:val="000000"/>
                <w:szCs w:val="18"/>
              </w:rPr>
            </w:pPr>
            <w:r w:rsidRPr="00A04E56">
              <w:rPr>
                <w:rFonts w:eastAsia="Calibri" w:cs="EC Square Sans Pro"/>
                <w:color w:val="000000"/>
                <w:szCs w:val="18"/>
              </w:rPr>
              <w:t xml:space="preserve">expenditure and revenue of </w:t>
            </w:r>
            <w:r w:rsidRPr="00A04E56">
              <w:rPr>
                <w:rFonts w:eastAsia="Calibri" w:cs="EC Square Sans Pro"/>
                <w:color w:val="000000"/>
                <w:szCs w:val="18"/>
              </w:rPr>
              <w:br/>
              <w:t>the year</w:t>
            </w:r>
          </w:p>
        </w:tc>
      </w:tr>
      <w:tr w:rsidR="00A36589" w:rsidRPr="00A04E56" w14:paraId="459AF07D" w14:textId="77777777" w:rsidTr="00A36589">
        <w:tc>
          <w:tcPr>
            <w:tcW w:w="1668" w:type="dxa"/>
          </w:tcPr>
          <w:p w14:paraId="7D7AD066" w14:textId="77777777" w:rsidR="00A36589" w:rsidRPr="00277538" w:rsidRDefault="00A36589" w:rsidP="00277538">
            <w:pPr>
              <w:autoSpaceDE w:val="0"/>
              <w:autoSpaceDN w:val="0"/>
              <w:adjustRightInd w:val="0"/>
              <w:spacing w:after="120"/>
              <w:textAlignment w:val="center"/>
              <w:rPr>
                <w:rFonts w:eastAsia="Calibri" w:cs="MinionPro-Regular"/>
                <w:color w:val="65BBC8"/>
                <w:szCs w:val="24"/>
              </w:rPr>
            </w:pPr>
            <w:r w:rsidRPr="00277538">
              <w:rPr>
                <w:rFonts w:eastAsia="Calibri" w:cs="EC Square Sans Pro"/>
                <w:b/>
                <w:bCs/>
                <w:color w:val="65BBC8"/>
                <w:spacing w:val="-9"/>
                <w:szCs w:val="18"/>
              </w:rPr>
              <w:t>Multiannuality</w:t>
            </w:r>
          </w:p>
        </w:tc>
        <w:tc>
          <w:tcPr>
            <w:tcW w:w="3969" w:type="dxa"/>
            <w:tcBorders>
              <w:top w:val="single" w:sz="8" w:space="0" w:color="FFFFFF"/>
              <w:bottom w:val="single" w:sz="8" w:space="0" w:color="FFFFFF"/>
            </w:tcBorders>
            <w:shd w:val="clear" w:color="auto" w:fill="FBEFD5"/>
          </w:tcPr>
          <w:p w14:paraId="6B99CEFD" w14:textId="43A8FB7E" w:rsidR="00A36589" w:rsidRPr="00A04E56" w:rsidRDefault="00C275FD" w:rsidP="00277538">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color w:val="000000"/>
                <w:szCs w:val="24"/>
              </w:rPr>
            </w:pPr>
            <w:r w:rsidRPr="00A04E56">
              <w:rPr>
                <w:rFonts w:eastAsia="Calibri" w:cs="EC Square Sans Pro"/>
                <w:b/>
                <w:color w:val="000000"/>
                <w:szCs w:val="18"/>
              </w:rPr>
              <w:t>two error rates ('risk at payment' and 'risk at closure'); multiannuality p</w:t>
            </w:r>
            <w:r w:rsidR="00A36589" w:rsidRPr="00A04E56">
              <w:rPr>
                <w:rFonts w:eastAsia="Calibri" w:cs="EC Square Sans Pro"/>
                <w:b/>
                <w:color w:val="000000"/>
                <w:szCs w:val="18"/>
              </w:rPr>
              <w:t>rospectively taken into account</w:t>
            </w:r>
            <w:r w:rsidRPr="00A04E56">
              <w:rPr>
                <w:rFonts w:eastAsia="Calibri" w:cs="EC Square Sans Pro"/>
                <w:b/>
                <w:color w:val="000000"/>
                <w:szCs w:val="18"/>
              </w:rPr>
              <w:t xml:space="preserve"> </w:t>
            </w:r>
            <w:r w:rsidR="00C65882" w:rsidRPr="00A04E56">
              <w:rPr>
                <w:rFonts w:eastAsia="Calibri" w:cs="EC Square Sans Pro"/>
                <w:b/>
                <w:color w:val="000000"/>
                <w:szCs w:val="18"/>
              </w:rPr>
              <w:t>for</w:t>
            </w:r>
            <w:r w:rsidRPr="00A04E56">
              <w:rPr>
                <w:rFonts w:eastAsia="Calibri" w:cs="EC Square Sans Pro"/>
                <w:b/>
                <w:color w:val="000000"/>
                <w:szCs w:val="18"/>
              </w:rPr>
              <w:t xml:space="preserve"> the risk at closure, through estimated</w:t>
            </w:r>
            <w:r w:rsidR="00A36589" w:rsidRPr="00A04E56">
              <w:rPr>
                <w:rFonts w:eastAsia="Calibri" w:cs="EC Square Sans Pro"/>
                <w:b/>
                <w:bCs/>
                <w:color w:val="000000"/>
                <w:szCs w:val="18"/>
              </w:rPr>
              <w:t xml:space="preserve"> future corrections </w:t>
            </w:r>
            <w:r w:rsidRPr="00A04E56">
              <w:rPr>
                <w:rFonts w:eastAsia="Calibri" w:cs="EC Square Sans Pro"/>
                <w:b/>
                <w:color w:val="000000"/>
                <w:szCs w:val="18"/>
              </w:rPr>
              <w:t>for</w:t>
            </w:r>
            <w:r w:rsidR="00A36589" w:rsidRPr="00A04E56">
              <w:rPr>
                <w:rFonts w:eastAsia="Calibri" w:cs="EC Square Sans Pro"/>
                <w:b/>
                <w:color w:val="000000"/>
                <w:szCs w:val="18"/>
              </w:rPr>
              <w:t xml:space="preserve"> all programmes</w:t>
            </w:r>
          </w:p>
        </w:tc>
        <w:tc>
          <w:tcPr>
            <w:tcW w:w="3575" w:type="dxa"/>
            <w:tcBorders>
              <w:top w:val="single" w:sz="8" w:space="0" w:color="FFFFFF"/>
              <w:bottom w:val="single" w:sz="8" w:space="0" w:color="FFFFFF"/>
            </w:tcBorders>
            <w:shd w:val="clear" w:color="auto" w:fill="D7EDF1"/>
          </w:tcPr>
          <w:p w14:paraId="06A6BC85" w14:textId="4F2A7492" w:rsidR="00A36589" w:rsidRPr="00A04E56" w:rsidRDefault="00C275FD" w:rsidP="00277538">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color w:val="000000"/>
                <w:szCs w:val="24"/>
              </w:rPr>
            </w:pPr>
            <w:r w:rsidRPr="00A04E56">
              <w:rPr>
                <w:rFonts w:eastAsia="Calibri" w:cs="EC Square Sans Pro"/>
                <w:color w:val="000000"/>
                <w:szCs w:val="18"/>
              </w:rPr>
              <w:t>one error rate (</w:t>
            </w:r>
            <w:r w:rsidR="008B1B22" w:rsidRPr="00A04E56">
              <w:rPr>
                <w:rFonts w:eastAsia="Calibri" w:cs="EC Square Sans Pro"/>
                <w:color w:val="000000"/>
                <w:szCs w:val="18"/>
              </w:rPr>
              <w:t>'most likely error'</w:t>
            </w:r>
            <w:r w:rsidRPr="00A04E56">
              <w:rPr>
                <w:rFonts w:eastAsia="Calibri" w:cs="EC Square Sans Pro"/>
                <w:color w:val="000000"/>
                <w:szCs w:val="18"/>
              </w:rPr>
              <w:t>): multiannuality retroactively taken into account, only through financial corrections implemented for closed programmes</w:t>
            </w:r>
          </w:p>
        </w:tc>
      </w:tr>
      <w:tr w:rsidR="00A36589" w:rsidRPr="00A04E56" w14:paraId="6DC69691" w14:textId="77777777" w:rsidTr="00A36589">
        <w:tc>
          <w:tcPr>
            <w:tcW w:w="1668" w:type="dxa"/>
          </w:tcPr>
          <w:p w14:paraId="6408D1C3" w14:textId="77777777" w:rsidR="00A36589" w:rsidRPr="00277538" w:rsidRDefault="00A36589" w:rsidP="00277538">
            <w:pPr>
              <w:autoSpaceDE w:val="0"/>
              <w:autoSpaceDN w:val="0"/>
              <w:adjustRightInd w:val="0"/>
              <w:spacing w:after="120"/>
              <w:textAlignment w:val="center"/>
              <w:rPr>
                <w:rFonts w:eastAsia="Calibri" w:cs="MinionPro-Regular"/>
                <w:color w:val="65BBC8"/>
                <w:szCs w:val="24"/>
              </w:rPr>
            </w:pPr>
            <w:r w:rsidRPr="00277538">
              <w:rPr>
                <w:rFonts w:eastAsia="Calibri" w:cs="EC Square Sans Pro"/>
                <w:b/>
                <w:bCs/>
                <w:color w:val="65BBC8"/>
                <w:szCs w:val="18"/>
              </w:rPr>
              <w:t>Materiality threshold</w:t>
            </w:r>
          </w:p>
        </w:tc>
        <w:tc>
          <w:tcPr>
            <w:tcW w:w="3969" w:type="dxa"/>
            <w:tcBorders>
              <w:top w:val="single" w:sz="8" w:space="0" w:color="FFFFFF"/>
              <w:bottom w:val="single" w:sz="8" w:space="0" w:color="FFFFFF"/>
            </w:tcBorders>
            <w:shd w:val="clear" w:color="auto" w:fill="FBEFD5"/>
          </w:tcPr>
          <w:p w14:paraId="41640453" w14:textId="77777777" w:rsidR="00A36589" w:rsidRPr="00A04E56" w:rsidRDefault="00A36589" w:rsidP="00277538">
            <w:pPr>
              <w:numPr>
                <w:ilvl w:val="0"/>
                <w:numId w:val="43"/>
              </w:numPr>
              <w:tabs>
                <w:tab w:val="left" w:pos="135"/>
              </w:tabs>
              <w:suppressAutoHyphens/>
              <w:autoSpaceDE w:val="0"/>
              <w:autoSpaceDN w:val="0"/>
              <w:adjustRightInd w:val="0"/>
              <w:spacing w:after="120"/>
              <w:ind w:left="471" w:hanging="284"/>
              <w:textAlignment w:val="center"/>
              <w:rPr>
                <w:rFonts w:eastAsia="Calibri" w:cs="EC Square Sans Pro"/>
                <w:color w:val="000000"/>
                <w:szCs w:val="18"/>
              </w:rPr>
            </w:pPr>
            <w:r w:rsidRPr="00A04E56">
              <w:rPr>
                <w:rFonts w:eastAsia="Calibri" w:cs="EC Square Sans Pro"/>
                <w:color w:val="000000"/>
                <w:szCs w:val="18"/>
              </w:rPr>
              <w:t xml:space="preserve">2% </w:t>
            </w:r>
          </w:p>
          <w:p w14:paraId="3506BFDE" w14:textId="77777777" w:rsidR="00A36589" w:rsidRPr="00A04E56" w:rsidRDefault="00A36589" w:rsidP="00277538">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color w:val="000000"/>
                <w:szCs w:val="24"/>
              </w:rPr>
            </w:pPr>
            <w:r w:rsidRPr="00A04E56">
              <w:rPr>
                <w:rFonts w:eastAsia="Calibri" w:cs="EC Square Sans Pro"/>
                <w:color w:val="000000"/>
                <w:szCs w:val="18"/>
              </w:rPr>
              <w:t>except for revenue (1%) and for Horizon 2020 (between 2% and 5%)</w:t>
            </w:r>
          </w:p>
        </w:tc>
        <w:tc>
          <w:tcPr>
            <w:tcW w:w="3575" w:type="dxa"/>
            <w:tcBorders>
              <w:top w:val="single" w:sz="8" w:space="0" w:color="FFFFFF"/>
              <w:bottom w:val="single" w:sz="8" w:space="0" w:color="FFFFFF"/>
            </w:tcBorders>
            <w:shd w:val="clear" w:color="auto" w:fill="D7EDF1"/>
          </w:tcPr>
          <w:p w14:paraId="5EFB67B6" w14:textId="77777777" w:rsidR="00A36589" w:rsidRPr="00A04E56" w:rsidRDefault="00A36589" w:rsidP="00277538">
            <w:pPr>
              <w:numPr>
                <w:ilvl w:val="0"/>
                <w:numId w:val="43"/>
              </w:numPr>
              <w:tabs>
                <w:tab w:val="left" w:pos="135"/>
              </w:tabs>
              <w:suppressAutoHyphens/>
              <w:autoSpaceDE w:val="0"/>
              <w:autoSpaceDN w:val="0"/>
              <w:adjustRightInd w:val="0"/>
              <w:spacing w:after="120"/>
              <w:ind w:left="470" w:hanging="283"/>
              <w:textAlignment w:val="center"/>
              <w:rPr>
                <w:rFonts w:eastAsia="Calibri" w:cs="MinionPro-Regular"/>
                <w:color w:val="000000"/>
                <w:szCs w:val="24"/>
              </w:rPr>
            </w:pPr>
            <w:r w:rsidRPr="00A04E56">
              <w:rPr>
                <w:rFonts w:eastAsia="Calibri" w:cs="EC Square Sans Pro"/>
                <w:color w:val="000000"/>
                <w:szCs w:val="18"/>
              </w:rPr>
              <w:t>2%</w:t>
            </w:r>
          </w:p>
        </w:tc>
      </w:tr>
      <w:tr w:rsidR="00A36589" w:rsidRPr="00A04E56" w14:paraId="642003AC" w14:textId="77777777" w:rsidTr="00A36589">
        <w:tc>
          <w:tcPr>
            <w:tcW w:w="1668" w:type="dxa"/>
          </w:tcPr>
          <w:p w14:paraId="768B36A1" w14:textId="77777777" w:rsidR="00A36589" w:rsidRPr="00277538" w:rsidRDefault="00A36589" w:rsidP="00277538">
            <w:pPr>
              <w:autoSpaceDE w:val="0"/>
              <w:autoSpaceDN w:val="0"/>
              <w:adjustRightInd w:val="0"/>
              <w:spacing w:after="120"/>
              <w:textAlignment w:val="center"/>
              <w:rPr>
                <w:rFonts w:eastAsia="Calibri" w:cs="EC Square Sans Pro"/>
                <w:b/>
                <w:bCs/>
                <w:color w:val="65BBC8"/>
                <w:szCs w:val="18"/>
              </w:rPr>
            </w:pPr>
            <w:r w:rsidRPr="00277538">
              <w:rPr>
                <w:rFonts w:eastAsia="Calibri" w:cs="EC Square Sans Pro"/>
                <w:b/>
                <w:bCs/>
                <w:color w:val="65BBC8"/>
                <w:szCs w:val="18"/>
              </w:rPr>
              <w:t>More information</w:t>
            </w:r>
          </w:p>
        </w:tc>
        <w:tc>
          <w:tcPr>
            <w:tcW w:w="3969" w:type="dxa"/>
            <w:tcBorders>
              <w:top w:val="single" w:sz="8" w:space="0" w:color="FFFFFF"/>
            </w:tcBorders>
            <w:shd w:val="clear" w:color="auto" w:fill="FBEFD5"/>
          </w:tcPr>
          <w:p w14:paraId="55BBA55D" w14:textId="77777777" w:rsidR="00A36589" w:rsidRPr="00A04E56" w:rsidRDefault="00A36589" w:rsidP="00277538">
            <w:pPr>
              <w:numPr>
                <w:ilvl w:val="0"/>
                <w:numId w:val="43"/>
              </w:numPr>
              <w:tabs>
                <w:tab w:val="left" w:pos="135"/>
              </w:tabs>
              <w:suppressAutoHyphens/>
              <w:autoSpaceDE w:val="0"/>
              <w:autoSpaceDN w:val="0"/>
              <w:adjustRightInd w:val="0"/>
              <w:spacing w:after="120"/>
              <w:ind w:left="471" w:hanging="284"/>
              <w:textAlignment w:val="center"/>
              <w:rPr>
                <w:rFonts w:eastAsia="Calibri" w:cs="EC Square Sans Pro"/>
                <w:color w:val="000000"/>
                <w:szCs w:val="18"/>
              </w:rPr>
            </w:pPr>
            <w:r w:rsidRPr="00A04E56">
              <w:rPr>
                <w:rFonts w:eastAsia="Calibri" w:cs="EC Square Sans Pro"/>
                <w:color w:val="000000"/>
                <w:szCs w:val="18"/>
              </w:rPr>
              <w:t>Annex 2 of this report</w:t>
            </w:r>
          </w:p>
        </w:tc>
        <w:tc>
          <w:tcPr>
            <w:tcW w:w="3575" w:type="dxa"/>
            <w:tcBorders>
              <w:top w:val="single" w:sz="8" w:space="0" w:color="FFFFFF"/>
            </w:tcBorders>
            <w:shd w:val="clear" w:color="auto" w:fill="D7EDF1"/>
          </w:tcPr>
          <w:p w14:paraId="1AC3C9C3" w14:textId="25526251" w:rsidR="00A36589" w:rsidRPr="00A04E56" w:rsidRDefault="00A36589" w:rsidP="00277538">
            <w:pPr>
              <w:numPr>
                <w:ilvl w:val="0"/>
                <w:numId w:val="43"/>
              </w:numPr>
              <w:tabs>
                <w:tab w:val="left" w:pos="135"/>
              </w:tabs>
              <w:suppressAutoHyphens/>
              <w:autoSpaceDE w:val="0"/>
              <w:autoSpaceDN w:val="0"/>
              <w:adjustRightInd w:val="0"/>
              <w:spacing w:after="120"/>
              <w:ind w:left="470" w:hanging="283"/>
              <w:textAlignment w:val="center"/>
              <w:rPr>
                <w:rFonts w:eastAsia="Calibri" w:cs="EC Square Sans Pro"/>
                <w:color w:val="000000"/>
                <w:szCs w:val="18"/>
              </w:rPr>
            </w:pPr>
            <w:r w:rsidRPr="00A04E56">
              <w:rPr>
                <w:rFonts w:eastAsia="Calibri" w:cs="EC Square Sans Pro"/>
                <w:color w:val="000000"/>
                <w:szCs w:val="18"/>
              </w:rPr>
              <w:t xml:space="preserve">ECA’s </w:t>
            </w:r>
            <w:r w:rsidR="00F85C7D" w:rsidRPr="00A04E56">
              <w:rPr>
                <w:rFonts w:eastAsia="Calibri" w:cs="EC Square Sans Pro"/>
                <w:color w:val="000000"/>
                <w:szCs w:val="18"/>
              </w:rPr>
              <w:t>annual report</w:t>
            </w:r>
            <w:r w:rsidRPr="00A04E56">
              <w:rPr>
                <w:rFonts w:eastAsia="Calibri" w:cs="EC Square Sans Pro"/>
                <w:color w:val="000000"/>
                <w:szCs w:val="18"/>
              </w:rPr>
              <w:t>; Annex 1.1</w:t>
            </w:r>
          </w:p>
        </w:tc>
      </w:tr>
    </w:tbl>
    <w:p w14:paraId="4AE86848" w14:textId="2AC6F103" w:rsidR="00FC5564" w:rsidRPr="00A04E56" w:rsidRDefault="00FC5564" w:rsidP="00277538">
      <w:pPr>
        <w:pStyle w:val="Source-Table-Chart-PhotoCaption"/>
      </w:pPr>
      <w:r w:rsidRPr="00A04E56">
        <w:rPr>
          <w:rStyle w:val="italics"/>
        </w:rPr>
        <w:t>Table:</w:t>
      </w:r>
      <w:r w:rsidRPr="00A04E56">
        <w:t xml:space="preserve"> Methodology used by the Commission to estimate the risk at payment and closure in comparison with the Court of Auditor</w:t>
      </w:r>
      <w:r w:rsidR="000B693C" w:rsidRPr="00A04E56">
        <w:t>s</w:t>
      </w:r>
      <w:r w:rsidRPr="00A04E56">
        <w:t>’ methodology</w:t>
      </w:r>
    </w:p>
    <w:p w14:paraId="50F56CAB" w14:textId="3C53E2C2" w:rsidR="00FC5564" w:rsidRPr="00A04E56" w:rsidRDefault="00FC5564">
      <w:pPr>
        <w:pStyle w:val="Source-Table-Chart-PhotoCaption"/>
      </w:pPr>
      <w:r w:rsidRPr="00A04E56">
        <w:rPr>
          <w:rStyle w:val="italics"/>
        </w:rPr>
        <w:t>Source:</w:t>
      </w:r>
      <w:r w:rsidRPr="00A04E56">
        <w:t xml:space="preserve"> </w:t>
      </w:r>
      <w:r w:rsidR="00B04562" w:rsidRPr="00A04E56">
        <w:t xml:space="preserve">European </w:t>
      </w:r>
      <w:r w:rsidRPr="00A04E56">
        <w:t xml:space="preserve">Commission annual activity reports and annual report of the </w:t>
      </w:r>
      <w:r w:rsidR="00B04562" w:rsidRPr="00A04E56">
        <w:t xml:space="preserve">European </w:t>
      </w:r>
      <w:r w:rsidRPr="00A04E56">
        <w:t>Court of Auditors.</w:t>
      </w:r>
    </w:p>
    <w:p w14:paraId="056E711A" w14:textId="77777777" w:rsidR="00EA1AD8" w:rsidRDefault="00EA1AD8">
      <w:pPr>
        <w:rPr>
          <w:rFonts w:eastAsia="Calibri"/>
          <w:b/>
          <w:i/>
          <w:noProof/>
          <w:color w:val="65BBC8" w:themeColor="accent1"/>
          <w:sz w:val="22"/>
          <w:lang w:eastAsia="zh-CN"/>
        </w:rPr>
      </w:pPr>
      <w:r>
        <w:rPr>
          <w:b/>
          <w:i/>
          <w:color w:val="65BBC8" w:themeColor="accent1"/>
          <w:sz w:val="22"/>
          <w:lang w:eastAsia="zh-CN"/>
        </w:rPr>
        <w:br w:type="page"/>
      </w:r>
    </w:p>
    <w:p w14:paraId="3C33618E" w14:textId="1E06C98A" w:rsidR="00FC5564" w:rsidRPr="00A04E56" w:rsidRDefault="00FC5564" w:rsidP="00DD5E94">
      <w:pPr>
        <w:pStyle w:val="SubtitleLightBlueReport11pt"/>
        <w:rPr>
          <w:b w:val="0"/>
          <w:i/>
        </w:rPr>
      </w:pPr>
      <w:r w:rsidRPr="00A04E56">
        <w:t>The 2018 control results show that, with an estimated risk at closure of 0.8% of EU spending, the EU budget is protected</w:t>
      </w:r>
    </w:p>
    <w:p w14:paraId="1A3264F2" w14:textId="2D18D01D" w:rsidR="00FC5564" w:rsidRPr="00A04E56" w:rsidRDefault="00FC5564" w:rsidP="002B107F">
      <w:pPr>
        <w:keepNext/>
        <w:spacing w:after="240"/>
        <w:jc w:val="both"/>
      </w:pPr>
      <w:r w:rsidRPr="00A04E56">
        <w:rPr>
          <w:rStyle w:val="BOLDLIGHTBLUEReport"/>
          <w:rFonts w:eastAsiaTheme="minorHAnsi"/>
        </w:rPr>
        <w:t xml:space="preserve">The graphs </w:t>
      </w:r>
      <w:r w:rsidR="00665EEA" w:rsidRPr="00A04E56">
        <w:rPr>
          <w:rStyle w:val="BOLDLIGHTBLUEReport"/>
          <w:rFonts w:eastAsiaTheme="minorHAnsi"/>
        </w:rPr>
        <w:t>overleaf</w:t>
      </w:r>
      <w:r w:rsidRPr="00A04E56">
        <w:t xml:space="preserve"> present the risks at payment and at closure for the period 2016 to 2018, for the entire Commission and per main policy area of the EU budget </w:t>
      </w:r>
      <w:r w:rsidR="006C793E" w:rsidRPr="00A04E56">
        <w:t>(</w:t>
      </w:r>
      <w:r w:rsidRPr="00A04E56">
        <w:t>in %</w:t>
      </w:r>
      <w:r w:rsidR="006C793E" w:rsidRPr="00A04E56">
        <w:t>)</w:t>
      </w:r>
      <w:r w:rsidRPr="00A04E56">
        <w:t>. Annex 2 provides further details and definitions.</w:t>
      </w:r>
    </w:p>
    <w:p w14:paraId="112C28C7" w14:textId="5FACFADC" w:rsidR="00FC5564" w:rsidRPr="00A04E56" w:rsidRDefault="002828E3" w:rsidP="003417EA">
      <w:pPr>
        <w:keepNext/>
        <w:jc w:val="both"/>
        <w:rPr>
          <w:b/>
        </w:rPr>
      </w:pPr>
      <w:r>
        <w:rPr>
          <w:b/>
          <w:noProof/>
          <w:lang w:val="fr-BE" w:eastAsia="fr-BE"/>
        </w:rPr>
        <w:drawing>
          <wp:inline distT="0" distB="0" distL="0" distR="0" wp14:anchorId="0A20A6D6" wp14:editId="268AB650">
            <wp:extent cx="2051206" cy="4428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153(1).emf"/>
                    <pic:cNvPicPr/>
                  </pic:nvPicPr>
                  <pic:blipFill>
                    <a:blip r:embed="rId234" cstate="email">
                      <a:extLst>
                        <a:ext uri="{28A0092B-C50C-407E-A947-70E740481C1C}">
                          <a14:useLocalDpi xmlns:a14="http://schemas.microsoft.com/office/drawing/2010/main"/>
                        </a:ext>
                      </a:extLst>
                    </a:blip>
                    <a:stretch>
                      <a:fillRect/>
                    </a:stretch>
                  </pic:blipFill>
                  <pic:spPr>
                    <a:xfrm>
                      <a:off x="0" y="0"/>
                      <a:ext cx="2051206" cy="4428000"/>
                    </a:xfrm>
                    <a:prstGeom prst="rect">
                      <a:avLst/>
                    </a:prstGeom>
                  </pic:spPr>
                </pic:pic>
              </a:graphicData>
            </a:graphic>
          </wp:inline>
        </w:drawing>
      </w:r>
    </w:p>
    <w:p w14:paraId="0DA7A378" w14:textId="2BF4C213" w:rsidR="000B693C" w:rsidRPr="00A04E56" w:rsidRDefault="0026177A" w:rsidP="00107DA0">
      <w:pPr>
        <w:pStyle w:val="Source-Table-Chart-PhotoCaption"/>
      </w:pPr>
      <w:r w:rsidRPr="00107DA0">
        <w:rPr>
          <w:rStyle w:val="italics"/>
        </w:rPr>
        <w:t>Chart</w:t>
      </w:r>
      <w:r w:rsidR="00FC5564" w:rsidRPr="00A04E56">
        <w:t>: Risks at payment and at closure for the period 2016-2018, for the entire Commission in %.</w:t>
      </w:r>
    </w:p>
    <w:p w14:paraId="65D428CE" w14:textId="77777777" w:rsidR="000B693C" w:rsidRPr="00A04E56" w:rsidRDefault="000B693C" w:rsidP="00107DA0">
      <w:pPr>
        <w:pStyle w:val="Source-Table-Chart-PhotoCaption"/>
      </w:pPr>
      <w:r w:rsidRPr="00107DA0">
        <w:rPr>
          <w:rStyle w:val="italics"/>
        </w:rPr>
        <w:t>Source:</w:t>
      </w:r>
      <w:r w:rsidRPr="00A04E56">
        <w:t xml:space="preserve"> European Commission annual activity reports</w:t>
      </w:r>
    </w:p>
    <w:p w14:paraId="43D07FA3" w14:textId="77777777" w:rsidR="008F5E28" w:rsidRPr="00A04E56" w:rsidRDefault="008F5E28" w:rsidP="00FC5564">
      <w:pPr>
        <w:jc w:val="both"/>
        <w:rPr>
          <w:sz w:val="16"/>
          <w:szCs w:val="16"/>
        </w:rPr>
      </w:pPr>
    </w:p>
    <w:p w14:paraId="390953A8" w14:textId="4F91D3D6" w:rsidR="00FC5564" w:rsidRPr="00A04E56" w:rsidRDefault="002828E3" w:rsidP="002D40FB">
      <w:pPr>
        <w:jc w:val="center"/>
      </w:pPr>
      <w:r>
        <w:rPr>
          <w:noProof/>
          <w:lang w:val="fr-BE" w:eastAsia="fr-BE"/>
        </w:rPr>
        <w:drawing>
          <wp:inline distT="0" distB="0" distL="0" distR="0" wp14:anchorId="28789F2C" wp14:editId="4F504626">
            <wp:extent cx="5760720" cy="829691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153.emf"/>
                    <pic:cNvPicPr/>
                  </pic:nvPicPr>
                  <pic:blipFill>
                    <a:blip r:embed="rId235" cstate="email">
                      <a:extLst>
                        <a:ext uri="{28A0092B-C50C-407E-A947-70E740481C1C}">
                          <a14:useLocalDpi xmlns:a14="http://schemas.microsoft.com/office/drawing/2010/main"/>
                        </a:ext>
                      </a:extLst>
                    </a:blip>
                    <a:stretch>
                      <a:fillRect/>
                    </a:stretch>
                  </pic:blipFill>
                  <pic:spPr>
                    <a:xfrm>
                      <a:off x="0" y="0"/>
                      <a:ext cx="5760720" cy="8296910"/>
                    </a:xfrm>
                    <a:prstGeom prst="rect">
                      <a:avLst/>
                    </a:prstGeom>
                  </pic:spPr>
                </pic:pic>
              </a:graphicData>
            </a:graphic>
          </wp:inline>
        </w:drawing>
      </w:r>
    </w:p>
    <w:p w14:paraId="330E17E8" w14:textId="67C62F10" w:rsidR="000B693C" w:rsidRPr="00A04E56" w:rsidRDefault="0026177A" w:rsidP="00107DA0">
      <w:pPr>
        <w:pStyle w:val="Source-Table-Chart-PhotoCaption"/>
      </w:pPr>
      <w:r w:rsidRPr="00107DA0">
        <w:rPr>
          <w:rStyle w:val="italics"/>
        </w:rPr>
        <w:t>Charts</w:t>
      </w:r>
      <w:r w:rsidR="00FC5564" w:rsidRPr="00A04E56">
        <w:t>: Risks at payment and at closure for the period 2016-2018, per policy area in %.</w:t>
      </w:r>
    </w:p>
    <w:p w14:paraId="72EFAAC6" w14:textId="77777777" w:rsidR="000B693C" w:rsidRPr="00A04E56" w:rsidRDefault="000B693C" w:rsidP="00107DA0">
      <w:pPr>
        <w:pStyle w:val="Source-Table-Chart-PhotoCaption"/>
        <w:rPr>
          <w:highlight w:val="yellow"/>
        </w:rPr>
      </w:pPr>
      <w:r w:rsidRPr="00107DA0">
        <w:rPr>
          <w:rStyle w:val="italics"/>
        </w:rPr>
        <w:t>Source:</w:t>
      </w:r>
      <w:r w:rsidRPr="00A04E56">
        <w:t xml:space="preserve"> European Commission annual activity reports</w:t>
      </w:r>
      <w:r w:rsidRPr="00A04E56">
        <w:rPr>
          <w:highlight w:val="yellow"/>
        </w:rPr>
        <w:t xml:space="preserve"> </w:t>
      </w:r>
    </w:p>
    <w:p w14:paraId="35E8A543" w14:textId="77777777" w:rsidR="00FC5564" w:rsidRPr="00A04E56" w:rsidRDefault="00FC5564" w:rsidP="00FC5564">
      <w:pPr>
        <w:jc w:val="both"/>
      </w:pPr>
    </w:p>
    <w:p w14:paraId="3918BC14" w14:textId="77777777" w:rsidR="00FC5564" w:rsidRPr="00A04E56" w:rsidRDefault="00FC5564" w:rsidP="00FC5564">
      <w:r w:rsidRPr="00A04E56">
        <w:br w:type="page"/>
      </w:r>
    </w:p>
    <w:p w14:paraId="24E4529F" w14:textId="77777777" w:rsidR="00FC5564" w:rsidRPr="00907EF7" w:rsidRDefault="00FC5564" w:rsidP="00907EF7">
      <w:pPr>
        <w:pStyle w:val="SubtitleLightBlueReport11pt"/>
      </w:pPr>
      <w:r w:rsidRPr="00907EF7">
        <w:t>The estimated risk at payment (1.7%) remains stable below the 2% level. The future corrections (0.9%) are conservatively estimated. The estimated risk at closure (0.8%) remains very low.</w:t>
      </w:r>
    </w:p>
    <w:p w14:paraId="66426192" w14:textId="289282E8" w:rsidR="00FC5564" w:rsidRPr="00A04E56" w:rsidRDefault="00FC5564" w:rsidP="00FC5564">
      <w:pPr>
        <w:pStyle w:val="BodyText1spaceafter"/>
        <w:rPr>
          <w:color w:val="auto"/>
        </w:rPr>
      </w:pPr>
      <w:r w:rsidRPr="00A04E56">
        <w:rPr>
          <w:color w:val="auto"/>
        </w:rPr>
        <w:t xml:space="preserve">For </w:t>
      </w:r>
      <w:r w:rsidRPr="00A04E56">
        <w:rPr>
          <w:i/>
          <w:color w:val="auto"/>
        </w:rPr>
        <w:t>agriculture</w:t>
      </w:r>
      <w:r w:rsidRPr="00A04E56">
        <w:rPr>
          <w:color w:val="auto"/>
        </w:rPr>
        <w:t xml:space="preserve">, the risk at payment is </w:t>
      </w:r>
      <w:r w:rsidR="00E12733" w:rsidRPr="00A04E56">
        <w:rPr>
          <w:color w:val="auto"/>
        </w:rPr>
        <w:t>continuing its downward trend</w:t>
      </w:r>
      <w:r w:rsidR="00B42A2A">
        <w:rPr>
          <w:color w:val="auto"/>
        </w:rPr>
        <w:t xml:space="preserve"> (slight </w:t>
      </w:r>
      <w:r w:rsidR="00840F24">
        <w:rPr>
          <w:color w:val="auto"/>
        </w:rPr>
        <w:t xml:space="preserve">further </w:t>
      </w:r>
      <w:r w:rsidR="00B42A2A">
        <w:rPr>
          <w:color w:val="auto"/>
        </w:rPr>
        <w:t>decrease)</w:t>
      </w:r>
      <w:r w:rsidRPr="00A04E56">
        <w:rPr>
          <w:color w:val="auto"/>
        </w:rPr>
        <w:t xml:space="preserve">, both in absolute amount and </w:t>
      </w:r>
      <w:r w:rsidR="00EE110D">
        <w:rPr>
          <w:color w:val="auto"/>
        </w:rPr>
        <w:t>as a</w:t>
      </w:r>
      <w:r w:rsidRPr="00A04E56">
        <w:rPr>
          <w:color w:val="auto"/>
        </w:rPr>
        <w:t xml:space="preserve"> percentage (2.</w:t>
      </w:r>
      <w:r w:rsidR="00B42A2A">
        <w:rPr>
          <w:color w:val="auto"/>
        </w:rPr>
        <w:t>1</w:t>
      </w:r>
      <w:r w:rsidRPr="00A04E56">
        <w:rPr>
          <w:color w:val="auto"/>
        </w:rPr>
        <w:t xml:space="preserve">%). As in previous years, the risk remains higher (3.2%) in </w:t>
      </w:r>
      <w:r w:rsidR="00175E25" w:rsidRPr="00A04E56">
        <w:rPr>
          <w:color w:val="auto"/>
        </w:rPr>
        <w:t xml:space="preserve">rural development (the common agricultural policy's pillar </w:t>
      </w:r>
      <w:r w:rsidR="00E12733" w:rsidRPr="00A04E56">
        <w:rPr>
          <w:color w:val="auto"/>
        </w:rPr>
        <w:t>II</w:t>
      </w:r>
      <w:r w:rsidRPr="00A04E56">
        <w:rPr>
          <w:color w:val="auto"/>
        </w:rPr>
        <w:t xml:space="preserve">) than in the Guarantee Fund's Market Interventions (2.5%) and </w:t>
      </w:r>
      <w:r w:rsidR="00175E25" w:rsidRPr="00A04E56">
        <w:rPr>
          <w:color w:val="auto"/>
        </w:rPr>
        <w:t>direc</w:t>
      </w:r>
      <w:r w:rsidRPr="00A04E56">
        <w:rPr>
          <w:color w:val="auto"/>
        </w:rPr>
        <w:t xml:space="preserve">t payments (1.8%) (together the </w:t>
      </w:r>
      <w:r w:rsidR="00175E25" w:rsidRPr="00A04E56">
        <w:rPr>
          <w:color w:val="auto"/>
        </w:rPr>
        <w:t xml:space="preserve">common agricultural policy's pillar </w:t>
      </w:r>
      <w:r w:rsidR="00E12733" w:rsidRPr="00A04E56">
        <w:rPr>
          <w:color w:val="auto"/>
        </w:rPr>
        <w:t>I</w:t>
      </w:r>
      <w:r w:rsidRPr="00A04E56">
        <w:rPr>
          <w:color w:val="auto"/>
        </w:rPr>
        <w:t xml:space="preserve">). Owing to the design of the programmes and control systems, nearly all errors affecting payments not yet detected at year-end, are expected to be covered by subsequent financial corrections. This explains the high level of estimated future corrections (1.9% </w:t>
      </w:r>
      <w:r w:rsidRPr="00EE110D">
        <w:rPr>
          <w:i/>
          <w:color w:val="auto"/>
          <w:u w:val="single"/>
        </w:rPr>
        <w:t>for 2018</w:t>
      </w:r>
      <w:r w:rsidRPr="00A04E56">
        <w:rPr>
          <w:color w:val="auto"/>
        </w:rPr>
        <w:t xml:space="preserve">, 2.1% </w:t>
      </w:r>
      <w:r w:rsidR="008C1D39" w:rsidRPr="00EE110D">
        <w:rPr>
          <w:color w:val="auto"/>
        </w:rPr>
        <w:t>in 2017</w:t>
      </w:r>
      <w:r w:rsidRPr="00A04E56">
        <w:rPr>
          <w:color w:val="auto"/>
        </w:rPr>
        <w:t>). Thus the estimated risk at closure (here termed ‘final amount at risk’</w:t>
      </w:r>
      <w:r w:rsidR="00CB6A77" w:rsidRPr="00A04E56">
        <w:rPr>
          <w:color w:val="auto"/>
        </w:rPr>
        <w:t xml:space="preserve"> — </w:t>
      </w:r>
      <w:r w:rsidRPr="00A04E56">
        <w:rPr>
          <w:color w:val="auto"/>
        </w:rPr>
        <w:t xml:space="preserve">in the absence of </w:t>
      </w:r>
      <w:r w:rsidR="00E12733" w:rsidRPr="00A04E56">
        <w:rPr>
          <w:color w:val="auto"/>
        </w:rPr>
        <w:t xml:space="preserve">a </w:t>
      </w:r>
      <w:r w:rsidRPr="00A04E56">
        <w:rPr>
          <w:color w:val="auto"/>
        </w:rPr>
        <w:t xml:space="preserve">formal closure of the </w:t>
      </w:r>
      <w:r w:rsidR="00E12733" w:rsidRPr="00A04E56">
        <w:rPr>
          <w:color w:val="auto"/>
        </w:rPr>
        <w:t xml:space="preserve">Guarantee Fund </w:t>
      </w:r>
      <w:r w:rsidRPr="00A04E56">
        <w:rPr>
          <w:color w:val="auto"/>
        </w:rPr>
        <w:t xml:space="preserve">programmes) remains low at 0.2%. </w:t>
      </w:r>
    </w:p>
    <w:p w14:paraId="36D101B2" w14:textId="6F1943D5" w:rsidR="0097536F" w:rsidRPr="00A04E56" w:rsidRDefault="00FC5564" w:rsidP="00F96D51">
      <w:pPr>
        <w:pStyle w:val="BodyText1spaceafter"/>
      </w:pPr>
      <w:r w:rsidRPr="00A04E56">
        <w:t xml:space="preserve">In </w:t>
      </w:r>
      <w:r w:rsidRPr="00A04E56">
        <w:rPr>
          <w:i/>
        </w:rPr>
        <w:t>cohesion, migration and fisheries</w:t>
      </w:r>
      <w:r w:rsidRPr="00A04E56">
        <w:t xml:space="preserve">, implementation of the current programmes is now fully up to speed. </w:t>
      </w:r>
      <w:r w:rsidR="00470C58" w:rsidRPr="00A04E56">
        <w:t xml:space="preserve">The risk at payment has increased from 1.1% </w:t>
      </w:r>
      <w:r w:rsidR="008C1D39" w:rsidRPr="00277538">
        <w:t>in 2017</w:t>
      </w:r>
      <w:r w:rsidR="00470C58" w:rsidRPr="00A04E56">
        <w:t xml:space="preserve"> to 1.7% </w:t>
      </w:r>
      <w:r w:rsidR="008C1D39" w:rsidRPr="00A04E56">
        <w:rPr>
          <w:i/>
          <w:u w:val="single"/>
        </w:rPr>
        <w:t>in 2018</w:t>
      </w:r>
      <w:r w:rsidR="00470C58" w:rsidRPr="00A04E56">
        <w:t>, but the estimated future corrections have increased as well (</w:t>
      </w:r>
      <w:r w:rsidR="008E17FB">
        <w:t xml:space="preserve">to </w:t>
      </w:r>
      <w:r w:rsidR="00470C58" w:rsidRPr="00A04E56">
        <w:t>0.4%). The risk at closure is estimated at 1.3%, broadly in line with 2017 (1.1%).</w:t>
      </w:r>
    </w:p>
    <w:p w14:paraId="4A1288B5" w14:textId="22C49F36" w:rsidR="00284BA0" w:rsidRPr="00A04E56" w:rsidRDefault="00470C58" w:rsidP="00F96D51">
      <w:pPr>
        <w:pStyle w:val="BodyText1spaceafter"/>
        <w:rPr>
          <w:noProof w:val="0"/>
          <w:color w:val="auto"/>
        </w:rPr>
      </w:pPr>
      <w:r w:rsidRPr="00A04E56">
        <w:rPr>
          <w:noProof w:val="0"/>
        </w:rPr>
        <w:t xml:space="preserve">In </w:t>
      </w:r>
      <w:r w:rsidR="00F504A4" w:rsidRPr="00A04E56">
        <w:rPr>
          <w:noProof w:val="0"/>
        </w:rPr>
        <w:t>cohesion</w:t>
      </w:r>
      <w:r w:rsidRPr="00A04E56">
        <w:rPr>
          <w:noProof w:val="0"/>
        </w:rPr>
        <w:t xml:space="preserve">, </w:t>
      </w:r>
      <w:r w:rsidR="00FC5564" w:rsidRPr="00A04E56">
        <w:rPr>
          <w:noProof w:val="0"/>
        </w:rPr>
        <w:t xml:space="preserve">a number of operational programmes in Member States proceeded to their first payments </w:t>
      </w:r>
      <w:r w:rsidR="008C1D39" w:rsidRPr="00A04E56">
        <w:rPr>
          <w:i/>
          <w:noProof w:val="0"/>
          <w:u w:val="single"/>
        </w:rPr>
        <w:t>in 2018</w:t>
      </w:r>
      <w:r w:rsidRPr="00A04E56">
        <w:rPr>
          <w:noProof w:val="0"/>
        </w:rPr>
        <w:t>. This</w:t>
      </w:r>
      <w:r w:rsidR="00FC5564" w:rsidRPr="00A04E56">
        <w:rPr>
          <w:noProof w:val="0"/>
        </w:rPr>
        <w:t xml:space="preserve"> led to a significant increase in payments between 2017 and 2018, by approximately EUR 20 billion. It was possible for auditors to examine the full process </w:t>
      </w:r>
      <w:r w:rsidR="00570390" w:rsidRPr="00A04E56">
        <w:rPr>
          <w:noProof w:val="0"/>
        </w:rPr>
        <w:t>for a higher number of programmes and higher volume of expenditure</w:t>
      </w:r>
      <w:r w:rsidR="00FC5564" w:rsidRPr="00A04E56">
        <w:rPr>
          <w:noProof w:val="0"/>
        </w:rPr>
        <w:t>. This resulted in an increase</w:t>
      </w:r>
      <w:r w:rsidR="00570390" w:rsidRPr="00A04E56">
        <w:rPr>
          <w:noProof w:val="0"/>
        </w:rPr>
        <w:t>d</w:t>
      </w:r>
      <w:r w:rsidR="00FC5564" w:rsidRPr="00A04E56">
        <w:rPr>
          <w:noProof w:val="0"/>
        </w:rPr>
        <w:t xml:space="preserve"> number of or operational programmes under reservation compared to 2017 as well as a higher weighted average error rate. </w:t>
      </w:r>
      <w:r w:rsidR="003D0E4B" w:rsidRPr="00A04E56">
        <w:rPr>
          <w:noProof w:val="0"/>
        </w:rPr>
        <w:t xml:space="preserve">For </w:t>
      </w:r>
      <w:r w:rsidR="00F96D51" w:rsidRPr="00A04E56">
        <w:rPr>
          <w:noProof w:val="0"/>
          <w:color w:val="auto"/>
        </w:rPr>
        <w:t>the European Regional Development Fund</w:t>
      </w:r>
      <w:r w:rsidR="00570390" w:rsidRPr="00A04E56">
        <w:rPr>
          <w:noProof w:val="0"/>
          <w:color w:val="auto"/>
        </w:rPr>
        <w:t>,</w:t>
      </w:r>
      <w:r w:rsidR="00BF14AE" w:rsidRPr="00A04E56">
        <w:rPr>
          <w:noProof w:val="0"/>
          <w:color w:val="auto"/>
        </w:rPr>
        <w:t xml:space="preserve"> in particular</w:t>
      </w:r>
      <w:r w:rsidR="00570390" w:rsidRPr="00A04E56">
        <w:rPr>
          <w:noProof w:val="0"/>
          <w:color w:val="auto"/>
        </w:rPr>
        <w:t>,</w:t>
      </w:r>
      <w:r w:rsidR="00BF14AE" w:rsidRPr="00A04E56">
        <w:rPr>
          <w:noProof w:val="0"/>
          <w:color w:val="auto"/>
        </w:rPr>
        <w:t xml:space="preserve"> </w:t>
      </w:r>
      <w:r w:rsidR="00570390" w:rsidRPr="00A04E56">
        <w:rPr>
          <w:noProof w:val="0"/>
        </w:rPr>
        <w:t>which entails the largest share of expenditure under this policy area, the risk at payment has increased to</w:t>
      </w:r>
      <w:r w:rsidR="00BF14AE" w:rsidRPr="00A04E56">
        <w:rPr>
          <w:noProof w:val="0"/>
        </w:rPr>
        <w:t xml:space="preserve"> </w:t>
      </w:r>
      <w:r w:rsidR="00BF14AE" w:rsidRPr="00A04E56">
        <w:rPr>
          <w:noProof w:val="0"/>
          <w:color w:val="auto"/>
        </w:rPr>
        <w:t>2.0%</w:t>
      </w:r>
      <w:r w:rsidR="00F96D51" w:rsidRPr="00A04E56">
        <w:rPr>
          <w:noProof w:val="0"/>
          <w:color w:val="auto"/>
        </w:rPr>
        <w:t>.</w:t>
      </w:r>
    </w:p>
    <w:p w14:paraId="552A5FD2" w14:textId="58178A06" w:rsidR="00284BA0" w:rsidRPr="00A04E56" w:rsidRDefault="008C1D39" w:rsidP="00284BA0">
      <w:pPr>
        <w:pStyle w:val="BodyText1spaceafter"/>
        <w:rPr>
          <w:rFonts w:eastAsiaTheme="minorHAnsi"/>
        </w:rPr>
      </w:pPr>
      <w:r w:rsidRPr="00A04E56">
        <w:rPr>
          <w:rFonts w:eastAsiaTheme="minorHAnsi"/>
          <w:i/>
          <w:u w:val="single"/>
        </w:rPr>
        <w:t>In 2018</w:t>
      </w:r>
      <w:r w:rsidR="00284BA0" w:rsidRPr="00A04E56">
        <w:rPr>
          <w:rFonts w:eastAsiaTheme="minorHAnsi"/>
        </w:rPr>
        <w:t xml:space="preserve">, the Member States' audit authorities reported irregularities under a common typology </w:t>
      </w:r>
      <w:r w:rsidR="00570390" w:rsidRPr="00A04E56">
        <w:rPr>
          <w:rFonts w:eastAsiaTheme="minorHAnsi"/>
        </w:rPr>
        <w:t>agreed with and recommended</w:t>
      </w:r>
      <w:r w:rsidR="00284BA0" w:rsidRPr="00A04E56">
        <w:rPr>
          <w:rFonts w:eastAsiaTheme="minorHAnsi"/>
        </w:rPr>
        <w:t xml:space="preserve"> by the Commission</w:t>
      </w:r>
      <w:r w:rsidR="00570390" w:rsidRPr="00A04E56">
        <w:rPr>
          <w:rFonts w:eastAsiaTheme="minorHAnsi"/>
        </w:rPr>
        <w:t>.</w:t>
      </w:r>
      <w:r w:rsidR="00284BA0" w:rsidRPr="00A04E56">
        <w:rPr>
          <w:rFonts w:eastAsiaTheme="minorHAnsi"/>
        </w:rPr>
        <w:t xml:space="preserve"> Ineligible expenditure</w:t>
      </w:r>
      <w:r w:rsidR="00570390" w:rsidRPr="00A04E56">
        <w:rPr>
          <w:rFonts w:eastAsiaTheme="minorHAnsi"/>
        </w:rPr>
        <w:t xml:space="preserve"> and </w:t>
      </w:r>
      <w:r w:rsidR="00284BA0" w:rsidRPr="00A04E56">
        <w:rPr>
          <w:rFonts w:eastAsiaTheme="minorHAnsi"/>
        </w:rPr>
        <w:t>public</w:t>
      </w:r>
      <w:r w:rsidR="00A62298" w:rsidRPr="00A04E56">
        <w:rPr>
          <w:rFonts w:eastAsiaTheme="minorHAnsi"/>
        </w:rPr>
        <w:t>-</w:t>
      </w:r>
      <w:r w:rsidR="00284BA0" w:rsidRPr="00A04E56">
        <w:rPr>
          <w:rFonts w:eastAsiaTheme="minorHAnsi"/>
        </w:rPr>
        <w:t xml:space="preserve">procurement irregularities are the main sources of irregularities </w:t>
      </w:r>
      <w:r w:rsidR="00570390" w:rsidRPr="00A04E56">
        <w:rPr>
          <w:rFonts w:eastAsiaTheme="minorHAnsi"/>
        </w:rPr>
        <w:t>they identified. This also</w:t>
      </w:r>
      <w:r w:rsidR="00284BA0" w:rsidRPr="00A04E56">
        <w:rPr>
          <w:rFonts w:eastAsiaTheme="minorHAnsi"/>
        </w:rPr>
        <w:t xml:space="preserve"> corresponds to the most common types of irregularities identified by the Commission departments through their audits. Moreover, missing documentation or audit</w:t>
      </w:r>
      <w:r w:rsidR="00A62298" w:rsidRPr="00A04E56">
        <w:rPr>
          <w:rFonts w:eastAsiaTheme="minorHAnsi"/>
        </w:rPr>
        <w:t>-</w:t>
      </w:r>
      <w:r w:rsidR="00284BA0" w:rsidRPr="00A04E56">
        <w:rPr>
          <w:rFonts w:eastAsiaTheme="minorHAnsi"/>
        </w:rPr>
        <w:t xml:space="preserve">trail issues constitute another important source of </w:t>
      </w:r>
      <w:r w:rsidR="00570390" w:rsidRPr="00A04E56">
        <w:rPr>
          <w:rFonts w:eastAsiaTheme="minorHAnsi"/>
        </w:rPr>
        <w:t xml:space="preserve">audit </w:t>
      </w:r>
      <w:r w:rsidR="00284BA0" w:rsidRPr="00A04E56">
        <w:rPr>
          <w:rFonts w:eastAsiaTheme="minorHAnsi"/>
        </w:rPr>
        <w:t xml:space="preserve">findings. </w:t>
      </w:r>
    </w:p>
    <w:p w14:paraId="55AAECCE" w14:textId="228573CA" w:rsidR="00284BA0" w:rsidRPr="00A04E56" w:rsidRDefault="00284BA0" w:rsidP="00284BA0">
      <w:pPr>
        <w:pStyle w:val="BodyText1spaceafter"/>
        <w:rPr>
          <w:rFonts w:eastAsiaTheme="minorHAnsi"/>
        </w:rPr>
      </w:pPr>
      <w:r w:rsidRPr="00A04E56">
        <w:rPr>
          <w:rFonts w:eastAsiaTheme="minorHAnsi"/>
        </w:rPr>
        <w:t>In order to tackle the most frequent errors, beside</w:t>
      </w:r>
      <w:r w:rsidR="00A62298" w:rsidRPr="00A04E56">
        <w:rPr>
          <w:rFonts w:eastAsiaTheme="minorHAnsi"/>
        </w:rPr>
        <w:t>s</w:t>
      </w:r>
      <w:r w:rsidRPr="00A04E56">
        <w:rPr>
          <w:rFonts w:eastAsiaTheme="minorHAnsi"/>
        </w:rPr>
        <w:t xml:space="preserve"> financial corrections for past expenditure and corrective measures on the system for the future in all cases, audit authorities are encouraged </w:t>
      </w:r>
      <w:r w:rsidR="00570390" w:rsidRPr="00A04E56">
        <w:rPr>
          <w:rFonts w:eastAsiaTheme="minorHAnsi"/>
        </w:rPr>
        <w:t xml:space="preserve">by the Commission services </w:t>
      </w:r>
      <w:r w:rsidRPr="00A04E56">
        <w:rPr>
          <w:rFonts w:eastAsiaTheme="minorHAnsi"/>
        </w:rPr>
        <w:t>to report back to managing and certifying authorities on the main sources of identified irregularities. This allows these programme authorities to adjust their internal controls, reinforce their checklists</w:t>
      </w:r>
      <w:r w:rsidR="00091924" w:rsidRPr="00A04E56">
        <w:rPr>
          <w:rFonts w:eastAsiaTheme="minorHAnsi"/>
        </w:rPr>
        <w:t xml:space="preserve"> and</w:t>
      </w:r>
      <w:r w:rsidRPr="00A04E56">
        <w:rPr>
          <w:rFonts w:eastAsiaTheme="minorHAnsi"/>
        </w:rPr>
        <w:t xml:space="preserve"> further train their staff and beneficiaries. Capacity</w:t>
      </w:r>
      <w:r w:rsidR="00B270C9" w:rsidRPr="00A04E56">
        <w:rPr>
          <w:rFonts w:eastAsiaTheme="minorHAnsi"/>
        </w:rPr>
        <w:t>-</w:t>
      </w:r>
      <w:r w:rsidRPr="00A04E56">
        <w:rPr>
          <w:rFonts w:eastAsiaTheme="minorHAnsi"/>
        </w:rPr>
        <w:t xml:space="preserve">building events and joint workshops are also organised with </w:t>
      </w:r>
      <w:r w:rsidR="00570390" w:rsidRPr="00A04E56">
        <w:rPr>
          <w:rFonts w:eastAsiaTheme="minorHAnsi"/>
        </w:rPr>
        <w:t xml:space="preserve">the programme authorities in particular with </w:t>
      </w:r>
      <w:r w:rsidRPr="00A04E56">
        <w:rPr>
          <w:rFonts w:eastAsiaTheme="minorHAnsi"/>
        </w:rPr>
        <w:t>audit authorities (for example to determine which minimum documentation should be available to ensure an adequate audit trail</w:t>
      </w:r>
      <w:r w:rsidR="00570390" w:rsidRPr="00A04E56">
        <w:rPr>
          <w:rFonts w:eastAsiaTheme="minorHAnsi"/>
        </w:rPr>
        <w:t>, a recommendation made by the Court in its 2017</w:t>
      </w:r>
      <w:r w:rsidR="00E205FA" w:rsidRPr="00A04E56">
        <w:rPr>
          <w:rFonts w:eastAsiaTheme="minorHAnsi"/>
        </w:rPr>
        <w:t xml:space="preserve"> annual report</w:t>
      </w:r>
      <w:r w:rsidRPr="00A04E56">
        <w:rPr>
          <w:rFonts w:eastAsiaTheme="minorHAnsi"/>
        </w:rPr>
        <w:t xml:space="preserve">). </w:t>
      </w:r>
    </w:p>
    <w:p w14:paraId="1815AE3E" w14:textId="195C178F" w:rsidR="00570390" w:rsidRPr="00A04E56" w:rsidRDefault="00570390" w:rsidP="00570390">
      <w:pPr>
        <w:pStyle w:val="BodyText1spaceafter"/>
        <w:rPr>
          <w:rFonts w:eastAsiaTheme="minorHAnsi"/>
        </w:rPr>
      </w:pPr>
      <w:r w:rsidRPr="00A04E56">
        <w:rPr>
          <w:rFonts w:eastAsiaTheme="minorHAnsi"/>
        </w:rPr>
        <w:t xml:space="preserve">Given the importance of public procurement for cohesion policy, the Commission </w:t>
      </w:r>
      <w:r w:rsidR="001045AB" w:rsidRPr="00A04E56">
        <w:rPr>
          <w:rFonts w:eastAsiaTheme="minorHAnsi"/>
        </w:rPr>
        <w:t xml:space="preserve">public-procurement action plan </w:t>
      </w:r>
      <w:r w:rsidRPr="00A04E56">
        <w:rPr>
          <w:rFonts w:eastAsiaTheme="minorHAnsi"/>
        </w:rPr>
        <w:t>has been updated to improve compliance of public</w:t>
      </w:r>
      <w:r w:rsidR="00B270C9" w:rsidRPr="00A04E56">
        <w:rPr>
          <w:rFonts w:eastAsiaTheme="minorHAnsi"/>
        </w:rPr>
        <w:t>-</w:t>
      </w:r>
      <w:r w:rsidRPr="00A04E56">
        <w:rPr>
          <w:rFonts w:eastAsiaTheme="minorHAnsi"/>
        </w:rPr>
        <w:t>procurement procedures</w:t>
      </w:r>
      <w:r w:rsidR="00727C33">
        <w:rPr>
          <w:rFonts w:ascii="Calibri" w:eastAsiaTheme="minorHAnsi" w:hAnsi="Calibri" w:cs="Calibri"/>
        </w:rPr>
        <w:t> </w:t>
      </w:r>
      <w:r w:rsidRPr="00A04E56">
        <w:rPr>
          <w:rFonts w:ascii="Calibri" w:hAnsi="Calibri" w:cs="Calibri"/>
        </w:rPr>
        <w:t>(</w:t>
      </w:r>
      <w:r w:rsidRPr="00727C33">
        <w:rPr>
          <w:rStyle w:val="fnRefNo"/>
        </w:rPr>
        <w:footnoteReference w:id="375"/>
      </w:r>
      <w:r w:rsidRPr="00A04E56">
        <w:rPr>
          <w:rFonts w:ascii="Calibri" w:hAnsi="Calibri" w:cs="Calibri"/>
        </w:rPr>
        <w:t>)</w:t>
      </w:r>
      <w:r w:rsidRPr="00A04E56">
        <w:t xml:space="preserve"> </w:t>
      </w:r>
      <w:r w:rsidRPr="00A04E56">
        <w:rPr>
          <w:rFonts w:eastAsiaTheme="minorHAnsi"/>
        </w:rPr>
        <w:t>in this policy area. Particular emphasis is given to actions helping Member States to further professionalise procurers, in line with the public</w:t>
      </w:r>
      <w:r w:rsidR="00B270C9" w:rsidRPr="00A04E56">
        <w:rPr>
          <w:rFonts w:eastAsiaTheme="minorHAnsi"/>
        </w:rPr>
        <w:t>-</w:t>
      </w:r>
      <w:r w:rsidRPr="00A04E56">
        <w:rPr>
          <w:rFonts w:eastAsiaTheme="minorHAnsi"/>
        </w:rPr>
        <w:t>procurement package adopted by the Commission in October 2017. Extensive guidance, good practices and explanations are made available online by the Commisison and peer</w:t>
      </w:r>
      <w:r w:rsidR="00B270C9" w:rsidRPr="00A04E56">
        <w:rPr>
          <w:rFonts w:eastAsiaTheme="minorHAnsi"/>
        </w:rPr>
        <w:t>-</w:t>
      </w:r>
      <w:r w:rsidRPr="00A04E56">
        <w:rPr>
          <w:rFonts w:eastAsiaTheme="minorHAnsi"/>
        </w:rPr>
        <w:t>to</w:t>
      </w:r>
      <w:r w:rsidR="00B270C9" w:rsidRPr="00A04E56">
        <w:rPr>
          <w:rFonts w:eastAsiaTheme="minorHAnsi"/>
        </w:rPr>
        <w:t>-</w:t>
      </w:r>
      <w:r w:rsidRPr="00A04E56">
        <w:rPr>
          <w:rFonts w:eastAsiaTheme="minorHAnsi"/>
        </w:rPr>
        <w:t>peer exchanges are promoted under this action plan to support contracting authorities and programm</w:t>
      </w:r>
      <w:r w:rsidR="00B270C9" w:rsidRPr="00A04E56">
        <w:rPr>
          <w:rFonts w:eastAsiaTheme="minorHAnsi"/>
        </w:rPr>
        <w:t>e</w:t>
      </w:r>
      <w:r w:rsidRPr="00A04E56">
        <w:rPr>
          <w:rFonts w:eastAsiaTheme="minorHAnsi"/>
        </w:rPr>
        <w:t xml:space="preserve"> authorities to deal with these issues and reduce errors.</w:t>
      </w:r>
    </w:p>
    <w:p w14:paraId="6CFD1290" w14:textId="015A306B" w:rsidR="00570390" w:rsidRPr="00A04E56" w:rsidRDefault="00BF14AE" w:rsidP="00B979B5">
      <w:pPr>
        <w:pStyle w:val="BodyText1spaceafter"/>
      </w:pPr>
      <w:r w:rsidRPr="00A04E56">
        <w:t>All errors detected by the Member States</w:t>
      </w:r>
      <w:r w:rsidR="00470C58" w:rsidRPr="00A04E56">
        <w:t>,</w:t>
      </w:r>
      <w:r w:rsidRPr="00A04E56">
        <w:t xml:space="preserve"> the Commission or by the Court of Auditors </w:t>
      </w:r>
      <w:r w:rsidR="00470C58" w:rsidRPr="00A04E56">
        <w:t xml:space="preserve">in their respective audits </w:t>
      </w:r>
      <w:r w:rsidRPr="00A04E56">
        <w:t xml:space="preserve">are systematically </w:t>
      </w:r>
      <w:r w:rsidR="00570390" w:rsidRPr="00A04E56">
        <w:t>subject to financial corrections. Under shared management</w:t>
      </w:r>
      <w:r w:rsidR="00D27E82" w:rsidRPr="00A04E56">
        <w:t>,</w:t>
      </w:r>
      <w:r w:rsidR="00570390" w:rsidRPr="00A04E56">
        <w:t xml:space="preserve"> programmes are not closed until all financial corrections are implemented and</w:t>
      </w:r>
      <w:r w:rsidR="00D27E82" w:rsidRPr="00A04E56">
        <w:t>,</w:t>
      </w:r>
      <w:r w:rsidR="00570390" w:rsidRPr="00A04E56">
        <w:t xml:space="preserve"> for </w:t>
      </w:r>
      <w:r w:rsidR="00B270C9" w:rsidRPr="00A04E56">
        <w:t>cohes</w:t>
      </w:r>
      <w:r w:rsidR="00570390" w:rsidRPr="00A04E56">
        <w:t xml:space="preserve">ion policy, the Commission applies further financial corrections when the level of error (reported or recalculated) remains above 2% in annual programme accounts. </w:t>
      </w:r>
    </w:p>
    <w:p w14:paraId="4B598AEF" w14:textId="5FA597A4" w:rsidR="00FC5564" w:rsidRPr="00A04E56" w:rsidRDefault="00FC5564" w:rsidP="00FC5564">
      <w:pPr>
        <w:pStyle w:val="BodyText1spaceafter"/>
        <w:rPr>
          <w:strike/>
          <w:color w:val="auto"/>
        </w:rPr>
      </w:pPr>
      <w:r w:rsidRPr="00277538">
        <w:rPr>
          <w:color w:val="auto"/>
        </w:rPr>
        <w:t>For</w:t>
      </w:r>
      <w:r w:rsidRPr="00A04E56">
        <w:rPr>
          <w:color w:val="auto"/>
        </w:rPr>
        <w:t xml:space="preserve"> </w:t>
      </w:r>
      <w:r w:rsidRPr="00A04E56">
        <w:rPr>
          <w:i/>
          <w:color w:val="auto"/>
        </w:rPr>
        <w:t>external relations</w:t>
      </w:r>
      <w:r w:rsidRPr="00A04E56">
        <w:rPr>
          <w:color w:val="auto"/>
        </w:rPr>
        <w:t xml:space="preserve">, studies carried out annually show that the error rates have further decreased, which leads to a lower risk at payment (0.9% </w:t>
      </w:r>
      <w:r w:rsidRPr="00277538">
        <w:rPr>
          <w:i/>
          <w:color w:val="auto"/>
          <w:u w:val="single"/>
        </w:rPr>
        <w:t>for 2018</w:t>
      </w:r>
      <w:r w:rsidRPr="00A04E56">
        <w:rPr>
          <w:color w:val="auto"/>
        </w:rPr>
        <w:t xml:space="preserve">, down from 1.2% </w:t>
      </w:r>
      <w:r w:rsidR="008C1D39" w:rsidRPr="00277538">
        <w:rPr>
          <w:color w:val="auto"/>
        </w:rPr>
        <w:t>in 2017</w:t>
      </w:r>
      <w:r w:rsidRPr="00A04E56">
        <w:rPr>
          <w:color w:val="auto"/>
        </w:rPr>
        <w:t>) (see also subsection</w:t>
      </w:r>
      <w:r w:rsidRPr="00A04E56">
        <w:rPr>
          <w:rFonts w:ascii="Calibri" w:hAnsi="Calibri" w:cs="Calibri"/>
          <w:color w:val="auto"/>
        </w:rPr>
        <w:t> </w:t>
      </w:r>
      <w:r w:rsidRPr="00A04E56">
        <w:rPr>
          <w:color w:val="auto"/>
        </w:rPr>
        <w:t xml:space="preserve">5). The control strategies used lead to systematic </w:t>
      </w:r>
      <w:r w:rsidRPr="00A04E56">
        <w:rPr>
          <w:i/>
          <w:color w:val="auto"/>
        </w:rPr>
        <w:t>ex post</w:t>
      </w:r>
      <w:r w:rsidRPr="00A04E56">
        <w:rPr>
          <w:color w:val="auto"/>
        </w:rPr>
        <w:t xml:space="preserve"> corrections but only those from the most recent years are used as the basis for the estimated future corrections. </w:t>
      </w:r>
    </w:p>
    <w:p w14:paraId="7800DAA9" w14:textId="31D5CD44" w:rsidR="00B31237" w:rsidRPr="00A04E56" w:rsidRDefault="00FC5564" w:rsidP="0094508C">
      <w:pPr>
        <w:pStyle w:val="BodyText1spaceafter"/>
      </w:pPr>
      <w:r w:rsidRPr="00A04E56">
        <w:t>For</w:t>
      </w:r>
      <w:r w:rsidRPr="00A04E56">
        <w:rPr>
          <w:color w:val="auto"/>
        </w:rPr>
        <w:t xml:space="preserve"> the broad </w:t>
      </w:r>
      <w:r w:rsidRPr="00A04E56">
        <w:rPr>
          <w:i/>
          <w:color w:val="auto"/>
        </w:rPr>
        <w:t>research, industry, space, energy and transport</w:t>
      </w:r>
      <w:r w:rsidRPr="00A04E56">
        <w:rPr>
          <w:color w:val="auto"/>
        </w:rPr>
        <w:t xml:space="preserve"> policy area, the weighted average risk at payment is for the first time below 2% (1.9% </w:t>
      </w:r>
      <w:r w:rsidRPr="00277538">
        <w:rPr>
          <w:i/>
          <w:color w:val="auto"/>
          <w:u w:val="single"/>
        </w:rPr>
        <w:t>for 2018</w:t>
      </w:r>
      <w:r w:rsidRPr="00A04E56">
        <w:rPr>
          <w:color w:val="auto"/>
        </w:rPr>
        <w:t xml:space="preserve">, down from 2.4% </w:t>
      </w:r>
      <w:r w:rsidR="008C1D39" w:rsidRPr="00277538">
        <w:rPr>
          <w:color w:val="auto"/>
        </w:rPr>
        <w:t>in 2017</w:t>
      </w:r>
      <w:r w:rsidRPr="00A04E56">
        <w:rPr>
          <w:color w:val="auto"/>
        </w:rPr>
        <w:t xml:space="preserve">). </w:t>
      </w:r>
      <w:r w:rsidR="00665EEA" w:rsidRPr="00A04E56">
        <w:rPr>
          <w:color w:val="auto"/>
        </w:rPr>
        <w:t>Within</w:t>
      </w:r>
      <w:r w:rsidRPr="00A04E56">
        <w:rPr>
          <w:color w:val="auto"/>
        </w:rPr>
        <w:t xml:space="preserve"> th</w:t>
      </w:r>
      <w:r w:rsidR="00D320F1" w:rsidRPr="00A04E56">
        <w:rPr>
          <w:color w:val="auto"/>
        </w:rPr>
        <w:t>is</w:t>
      </w:r>
      <w:r w:rsidRPr="00A04E56">
        <w:rPr>
          <w:color w:val="auto"/>
        </w:rPr>
        <w:t xml:space="preserve"> policy area, the risk at payment for the research and competitiveness programmes remains above 2%. </w:t>
      </w:r>
      <w:r w:rsidR="00665EEA" w:rsidRPr="00A04E56">
        <w:rPr>
          <w:color w:val="auto"/>
        </w:rPr>
        <w:t>Higher risk</w:t>
      </w:r>
      <w:r w:rsidRPr="00A04E56">
        <w:rPr>
          <w:color w:val="auto"/>
        </w:rPr>
        <w:t xml:space="preserve"> is inherent to grants based on the reimbursement of actual eligible costs claimed which are used in the Horizon 2020 and the </w:t>
      </w:r>
      <w:r w:rsidR="00D320F1" w:rsidRPr="00A04E56">
        <w:rPr>
          <w:color w:val="auto"/>
        </w:rPr>
        <w:t>competiveness for small and medium-sized enterprises programmes</w:t>
      </w:r>
      <w:r w:rsidRPr="00A04E56">
        <w:rPr>
          <w:color w:val="auto"/>
        </w:rPr>
        <w:t xml:space="preserve">. Complexities in determining the exact direct and indirect costs which can be charged to projects lead to errors in cost claims and the related payments. Even though many such errors are later detected and corrected by </w:t>
      </w:r>
      <w:r w:rsidRPr="00A04E56">
        <w:rPr>
          <w:i/>
          <w:color w:val="auto"/>
        </w:rPr>
        <w:t>ex post</w:t>
      </w:r>
      <w:r w:rsidRPr="00A04E56">
        <w:rPr>
          <w:color w:val="auto"/>
        </w:rPr>
        <w:t xml:space="preserve"> controls (see below), they still affect the risk at payment stage. Nevertheless, the research departments continuously strive to reduc</w:t>
      </w:r>
      <w:r w:rsidR="00665EEA" w:rsidRPr="00A04E56">
        <w:rPr>
          <w:color w:val="auto"/>
        </w:rPr>
        <w:t>e</w:t>
      </w:r>
      <w:r w:rsidRPr="00A04E56">
        <w:rPr>
          <w:color w:val="auto"/>
        </w:rPr>
        <w:t xml:space="preserve"> of the level of error: e.g. </w:t>
      </w:r>
      <w:r w:rsidR="00D320F1" w:rsidRPr="00A04E56">
        <w:rPr>
          <w:color w:val="auto"/>
        </w:rPr>
        <w:t xml:space="preserve">through </w:t>
      </w:r>
      <w:r w:rsidRPr="00A04E56">
        <w:rPr>
          <w:color w:val="auto"/>
        </w:rPr>
        <w:t>further simplification of the model grant agreement, clearer communication o</w:t>
      </w:r>
      <w:r w:rsidR="00665EEA" w:rsidRPr="00A04E56">
        <w:rPr>
          <w:color w:val="auto"/>
        </w:rPr>
        <w:t>f</w:t>
      </w:r>
      <w:r w:rsidRPr="00A04E56">
        <w:rPr>
          <w:color w:val="auto"/>
        </w:rPr>
        <w:t xml:space="preserve"> eligibility rules (15 events organised) and further extending lump-sum financing. The Commission’s proposal for the next generation research programme (Horizon Europe) also includes simplified cost options. Meanwhile, the </w:t>
      </w:r>
      <w:r w:rsidRPr="00A04E56">
        <w:rPr>
          <w:i/>
          <w:color w:val="auto"/>
        </w:rPr>
        <w:t>ex post</w:t>
      </w:r>
      <w:r w:rsidRPr="00A04E56">
        <w:rPr>
          <w:color w:val="auto"/>
        </w:rPr>
        <w:t xml:space="preserve"> control strategy for the Horizon 2020 research programme common to all departments involved is well established and </w:t>
      </w:r>
      <w:r w:rsidR="007C71C8" w:rsidRPr="00A04E56">
        <w:rPr>
          <w:color w:val="auto"/>
        </w:rPr>
        <w:t>has</w:t>
      </w:r>
      <w:r w:rsidRPr="00A04E56">
        <w:rPr>
          <w:color w:val="auto"/>
        </w:rPr>
        <w:t xml:space="preserve"> led to significant </w:t>
      </w:r>
      <w:r w:rsidRPr="00A04E56">
        <w:rPr>
          <w:i/>
          <w:color w:val="auto"/>
        </w:rPr>
        <w:t>ex post</w:t>
      </w:r>
      <w:r w:rsidRPr="00A04E56">
        <w:rPr>
          <w:color w:val="auto"/>
        </w:rPr>
        <w:t xml:space="preserve"> corrections over the years — </w:t>
      </w:r>
      <w:r w:rsidR="007C71C8" w:rsidRPr="00A04E56">
        <w:rPr>
          <w:color w:val="auto"/>
        </w:rPr>
        <w:t>which</w:t>
      </w:r>
      <w:r w:rsidRPr="00A04E56">
        <w:rPr>
          <w:color w:val="auto"/>
        </w:rPr>
        <w:t xml:space="preserve"> are used as the basis for the estimated future corrections.</w:t>
      </w:r>
      <w:r w:rsidR="0094508C" w:rsidRPr="00A04E56">
        <w:t xml:space="preserve"> </w:t>
      </w:r>
    </w:p>
    <w:p w14:paraId="4533C5FF" w14:textId="11893571" w:rsidR="00FC5564" w:rsidRPr="00A04E56" w:rsidRDefault="00DB0F53" w:rsidP="0094508C">
      <w:pPr>
        <w:pStyle w:val="BodyText1spaceafter"/>
        <w:rPr>
          <w:color w:val="auto"/>
        </w:rPr>
      </w:pPr>
      <w:r w:rsidRPr="00A04E56">
        <w:rPr>
          <w:color w:val="auto"/>
        </w:rPr>
        <w:t xml:space="preserve">However, outside the Horizon 2020 grants, </w:t>
      </w:r>
      <w:r w:rsidR="00271ED4" w:rsidRPr="00A04E56">
        <w:rPr>
          <w:color w:val="auto"/>
        </w:rPr>
        <w:t>the risks at payment and closure for the Connecting Europe Facility (transport, energy and telecom)</w:t>
      </w:r>
      <w:r w:rsidR="00CB6A77" w:rsidRPr="00A04E56">
        <w:rPr>
          <w:color w:val="auto"/>
        </w:rPr>
        <w:t xml:space="preserve"> — </w:t>
      </w:r>
      <w:r w:rsidR="00271ED4" w:rsidRPr="00A04E56">
        <w:rPr>
          <w:color w:val="auto"/>
        </w:rPr>
        <w:t xml:space="preserve">implemented by the </w:t>
      </w:r>
      <w:r w:rsidR="00E02F7E" w:rsidRPr="00A04E56">
        <w:rPr>
          <w:color w:val="auto"/>
        </w:rPr>
        <w:t>I</w:t>
      </w:r>
      <w:r w:rsidR="003F06C3" w:rsidRPr="00A04E56">
        <w:rPr>
          <w:color w:val="auto"/>
        </w:rPr>
        <w:t xml:space="preserve">nnovation and </w:t>
      </w:r>
      <w:r w:rsidR="00E02F7E" w:rsidRPr="00A04E56">
        <w:rPr>
          <w:color w:val="auto"/>
        </w:rPr>
        <w:t>N</w:t>
      </w:r>
      <w:r w:rsidR="00271ED4" w:rsidRPr="00A04E56">
        <w:rPr>
          <w:color w:val="auto"/>
        </w:rPr>
        <w:t xml:space="preserve">etworks </w:t>
      </w:r>
      <w:r w:rsidR="00E02F7E" w:rsidRPr="00A04E56">
        <w:rPr>
          <w:color w:val="auto"/>
        </w:rPr>
        <w:t>E</w:t>
      </w:r>
      <w:r w:rsidR="00271ED4" w:rsidRPr="00A04E56">
        <w:rPr>
          <w:color w:val="auto"/>
        </w:rPr>
        <w:t xml:space="preserve">xecutive </w:t>
      </w:r>
      <w:r w:rsidR="00E02F7E" w:rsidRPr="00A04E56">
        <w:rPr>
          <w:color w:val="auto"/>
        </w:rPr>
        <w:t>A</w:t>
      </w:r>
      <w:r w:rsidR="00271ED4" w:rsidRPr="00A04E56">
        <w:rPr>
          <w:color w:val="auto"/>
        </w:rPr>
        <w:t>gency</w:t>
      </w:r>
      <w:r w:rsidR="00F504A4" w:rsidRPr="00A04E56">
        <w:rPr>
          <w:rFonts w:ascii="Calibri" w:hAnsi="Calibri" w:cs="Calibri"/>
          <w:color w:val="auto"/>
        </w:rPr>
        <w:t> (INEA)</w:t>
      </w:r>
      <w:r w:rsidR="00CB6A77" w:rsidRPr="00A04E56">
        <w:rPr>
          <w:color w:val="auto"/>
        </w:rPr>
        <w:t xml:space="preserve"> — </w:t>
      </w:r>
      <w:r w:rsidR="00271ED4" w:rsidRPr="00A04E56">
        <w:rPr>
          <w:color w:val="auto"/>
        </w:rPr>
        <w:t xml:space="preserve">are below 2%. </w:t>
      </w:r>
      <w:r w:rsidR="006F435F" w:rsidRPr="00A04E56">
        <w:rPr>
          <w:color w:val="auto"/>
        </w:rPr>
        <w:t>Furthermore</w:t>
      </w:r>
      <w:r w:rsidR="00271ED4" w:rsidRPr="00A04E56">
        <w:rPr>
          <w:color w:val="auto"/>
        </w:rPr>
        <w:t xml:space="preserve">, </w:t>
      </w:r>
      <w:r w:rsidRPr="00A04E56">
        <w:rPr>
          <w:color w:val="auto"/>
        </w:rPr>
        <w:t>t</w:t>
      </w:r>
      <w:r w:rsidR="0064315B" w:rsidRPr="00A04E56">
        <w:rPr>
          <w:color w:val="auto"/>
        </w:rPr>
        <w:t xml:space="preserve">he type of funding </w:t>
      </w:r>
      <w:r w:rsidR="007B705D" w:rsidRPr="00A04E56">
        <w:rPr>
          <w:color w:val="auto"/>
        </w:rPr>
        <w:t>and the</w:t>
      </w:r>
      <w:r w:rsidR="0089409A" w:rsidRPr="00A04E56">
        <w:rPr>
          <w:color w:val="auto"/>
        </w:rPr>
        <w:t xml:space="preserve"> related</w:t>
      </w:r>
      <w:r w:rsidR="007B705D" w:rsidRPr="00A04E56">
        <w:rPr>
          <w:color w:val="auto"/>
        </w:rPr>
        <w:t xml:space="preserve"> full auditing </w:t>
      </w:r>
      <w:r w:rsidR="0064315B" w:rsidRPr="00A04E56">
        <w:rPr>
          <w:color w:val="auto"/>
        </w:rPr>
        <w:t>of the entrusted enti</w:t>
      </w:r>
      <w:r w:rsidR="005B4330" w:rsidRPr="00A04E56">
        <w:rPr>
          <w:color w:val="auto"/>
        </w:rPr>
        <w:t>ti</w:t>
      </w:r>
      <w:r w:rsidR="0064315B" w:rsidRPr="00A04E56">
        <w:rPr>
          <w:color w:val="auto"/>
        </w:rPr>
        <w:t xml:space="preserve">es active </w:t>
      </w:r>
      <w:r w:rsidR="0094508C" w:rsidRPr="00A04E56">
        <w:rPr>
          <w:color w:val="auto"/>
        </w:rPr>
        <w:t xml:space="preserve">for the </w:t>
      </w:r>
      <w:r w:rsidR="005B4330" w:rsidRPr="00A04E56">
        <w:rPr>
          <w:color w:val="auto"/>
        </w:rPr>
        <w:t xml:space="preserve">space and the global navigation satellite system </w:t>
      </w:r>
      <w:r w:rsidR="00452F97" w:rsidRPr="00A04E56">
        <w:rPr>
          <w:color w:val="auto"/>
        </w:rPr>
        <w:t>(sub)</w:t>
      </w:r>
      <w:r w:rsidR="0094508C" w:rsidRPr="00A04E56">
        <w:rPr>
          <w:color w:val="auto"/>
        </w:rPr>
        <w:t>programmes</w:t>
      </w:r>
      <w:r w:rsidR="00671AD5" w:rsidRPr="00A04E56">
        <w:rPr>
          <w:rStyle w:val="fnRef"/>
          <w:rFonts w:ascii="Calibri" w:hAnsi="Calibri"/>
        </w:rPr>
        <w:t> </w:t>
      </w:r>
      <w:r w:rsidR="0089409A" w:rsidRPr="00A04E56">
        <w:rPr>
          <w:rStyle w:val="fnRef"/>
        </w:rPr>
        <w:t>(</w:t>
      </w:r>
      <w:r w:rsidR="005B21A9" w:rsidRPr="00A04E56">
        <w:rPr>
          <w:rStyle w:val="fnRefNo"/>
        </w:rPr>
        <w:footnoteReference w:id="376"/>
      </w:r>
      <w:r w:rsidR="0089409A" w:rsidRPr="00A04E56">
        <w:rPr>
          <w:rStyle w:val="fnRef"/>
        </w:rPr>
        <w:t>)</w:t>
      </w:r>
      <w:r w:rsidR="00CB6A77" w:rsidRPr="00A04E56">
        <w:rPr>
          <w:rFonts w:ascii="Calibri" w:hAnsi="Calibri" w:cs="Calibri"/>
          <w:color w:val="auto"/>
        </w:rPr>
        <w:t xml:space="preserve"> — </w:t>
      </w:r>
      <w:r w:rsidR="0064315B" w:rsidRPr="00A04E56">
        <w:rPr>
          <w:color w:val="auto"/>
        </w:rPr>
        <w:t>such as the European Space Agency (ESA) and the European GNSS Agency (GSA)</w:t>
      </w:r>
      <w:r w:rsidR="00CB6A77" w:rsidRPr="00A04E56">
        <w:rPr>
          <w:color w:val="auto"/>
        </w:rPr>
        <w:t xml:space="preserve"> — </w:t>
      </w:r>
      <w:r w:rsidRPr="00A04E56">
        <w:rPr>
          <w:color w:val="auto"/>
        </w:rPr>
        <w:t xml:space="preserve">entail </w:t>
      </w:r>
      <w:r w:rsidR="00815026" w:rsidRPr="00A04E56">
        <w:rPr>
          <w:color w:val="auto"/>
        </w:rPr>
        <w:t xml:space="preserve">inherently </w:t>
      </w:r>
      <w:r w:rsidR="0064315B" w:rsidRPr="00A04E56">
        <w:rPr>
          <w:color w:val="auto"/>
        </w:rPr>
        <w:t>low</w:t>
      </w:r>
      <w:r w:rsidRPr="00A04E56">
        <w:rPr>
          <w:color w:val="auto"/>
        </w:rPr>
        <w:t>er</w:t>
      </w:r>
      <w:r w:rsidR="0064315B" w:rsidRPr="00A04E56">
        <w:rPr>
          <w:color w:val="auto"/>
        </w:rPr>
        <w:t xml:space="preserve"> risks</w:t>
      </w:r>
      <w:r w:rsidR="00BF14AE" w:rsidRPr="00A04E56">
        <w:rPr>
          <w:color w:val="auto"/>
        </w:rPr>
        <w:t xml:space="preserve"> at payment</w:t>
      </w:r>
      <w:r w:rsidR="0064315B" w:rsidRPr="00A04E56">
        <w:rPr>
          <w:color w:val="auto"/>
        </w:rPr>
        <w:t xml:space="preserve"> and </w:t>
      </w:r>
      <w:r w:rsidR="00BF14AE" w:rsidRPr="00A04E56">
        <w:rPr>
          <w:color w:val="auto"/>
        </w:rPr>
        <w:t>closure</w:t>
      </w:r>
      <w:r w:rsidR="006F435F" w:rsidRPr="00A04E56">
        <w:rPr>
          <w:color w:val="auto"/>
        </w:rPr>
        <w:t>,</w:t>
      </w:r>
      <w:r w:rsidR="00271ED4" w:rsidRPr="00A04E56">
        <w:rPr>
          <w:color w:val="auto"/>
        </w:rPr>
        <w:t xml:space="preserve"> </w:t>
      </w:r>
      <w:r w:rsidRPr="00A04E56">
        <w:rPr>
          <w:color w:val="auto"/>
        </w:rPr>
        <w:t>conservatively set between 0.5</w:t>
      </w:r>
      <w:r w:rsidR="008C77D2">
        <w:rPr>
          <w:color w:val="auto"/>
        </w:rPr>
        <w:t xml:space="preserve"> </w:t>
      </w:r>
      <w:r w:rsidRPr="00A04E56">
        <w:rPr>
          <w:color w:val="auto"/>
        </w:rPr>
        <w:t>-</w:t>
      </w:r>
      <w:r w:rsidR="008C77D2">
        <w:rPr>
          <w:color w:val="auto"/>
        </w:rPr>
        <w:t xml:space="preserve"> </w:t>
      </w:r>
      <w:r w:rsidRPr="00A04E56">
        <w:rPr>
          <w:color w:val="auto"/>
        </w:rPr>
        <w:t>0.6% nevertheless</w:t>
      </w:r>
      <w:r w:rsidR="00016ED6" w:rsidRPr="00A04E56">
        <w:rPr>
          <w:color w:val="auto"/>
        </w:rPr>
        <w:t>.</w:t>
      </w:r>
      <w:r w:rsidR="00271ED4" w:rsidRPr="00A04E56">
        <w:rPr>
          <w:color w:val="auto"/>
        </w:rPr>
        <w:t xml:space="preserve"> </w:t>
      </w:r>
    </w:p>
    <w:p w14:paraId="6E3F92F0" w14:textId="1731AFA0" w:rsidR="00FC5564" w:rsidRPr="00A04E56" w:rsidRDefault="00FC5564" w:rsidP="00FC5564">
      <w:pPr>
        <w:pStyle w:val="BodyText1spaceafter"/>
        <w:rPr>
          <w:color w:val="auto"/>
        </w:rPr>
      </w:pPr>
      <w:r w:rsidRPr="00A04E56">
        <w:rPr>
          <w:color w:val="auto"/>
        </w:rPr>
        <w:t xml:space="preserve">For </w:t>
      </w:r>
      <w:r w:rsidRPr="00A04E56">
        <w:rPr>
          <w:i/>
          <w:color w:val="auto"/>
        </w:rPr>
        <w:t>other internal policies</w:t>
      </w:r>
      <w:r w:rsidRPr="00A04E56">
        <w:rPr>
          <w:color w:val="auto"/>
        </w:rPr>
        <w:t>, the risk at payment, estimated future corrections and risk at closure remain stable and low, at 0.7%, 0.1% and 0.6</w:t>
      </w:r>
      <w:r w:rsidR="007C71C8" w:rsidRPr="00A04E56">
        <w:rPr>
          <w:color w:val="auto"/>
        </w:rPr>
        <w:t>% respectively</w:t>
      </w:r>
      <w:r w:rsidRPr="00A04E56">
        <w:rPr>
          <w:color w:val="auto"/>
        </w:rPr>
        <w:t>. Some education and culture programmes have a higher</w:t>
      </w:r>
      <w:r w:rsidR="00DF0116" w:rsidRPr="00A04E56">
        <w:rPr>
          <w:color w:val="auto"/>
        </w:rPr>
        <w:t>-</w:t>
      </w:r>
      <w:r w:rsidRPr="00A04E56">
        <w:rPr>
          <w:color w:val="auto"/>
        </w:rPr>
        <w:t>risk profile (also typically complex reimbursement programmes; see above) which has led to reservations (see subsection</w:t>
      </w:r>
      <w:r w:rsidRPr="00A04E56">
        <w:rPr>
          <w:rFonts w:ascii="Calibri" w:hAnsi="Calibri" w:cs="Calibri"/>
          <w:color w:val="auto"/>
        </w:rPr>
        <w:t> </w:t>
      </w:r>
      <w:r w:rsidRPr="00A04E56">
        <w:rPr>
          <w:color w:val="auto"/>
        </w:rPr>
        <w:t xml:space="preserve">5). </w:t>
      </w:r>
    </w:p>
    <w:p w14:paraId="17F4F016" w14:textId="682B5461" w:rsidR="00FC5564" w:rsidRPr="00A04E56" w:rsidRDefault="00FC5564" w:rsidP="00FC5564">
      <w:pPr>
        <w:pStyle w:val="BodyText1spaceafter"/>
        <w:rPr>
          <w:color w:val="auto"/>
        </w:rPr>
      </w:pPr>
      <w:r w:rsidRPr="00A04E56">
        <w:rPr>
          <w:color w:val="auto"/>
        </w:rPr>
        <w:t xml:space="preserve">Finally, the </w:t>
      </w:r>
      <w:r w:rsidRPr="00A04E56">
        <w:rPr>
          <w:i/>
          <w:color w:val="auto"/>
        </w:rPr>
        <w:t>other services and administration</w:t>
      </w:r>
      <w:r w:rsidRPr="00A04E56">
        <w:rPr>
          <w:color w:val="auto"/>
        </w:rPr>
        <w:t xml:space="preserve"> departments manage mostly low-risk types of expenditure. Nevertheless, a prudent approach is taken and a conservative 0.5% error rate is applied. This results in a weighted average risk at payment of 0.2%. As most of these departments have control systems with predominantly </w:t>
      </w:r>
      <w:r w:rsidRPr="00A04E56">
        <w:rPr>
          <w:i/>
          <w:color w:val="auto"/>
        </w:rPr>
        <w:t>ex ante</w:t>
      </w:r>
      <w:r w:rsidRPr="00A04E56">
        <w:rPr>
          <w:color w:val="auto"/>
        </w:rPr>
        <w:t xml:space="preserve"> controls, a conservative 0.0% estimate is applied in terms of systemic future </w:t>
      </w:r>
      <w:r w:rsidRPr="00A04E56">
        <w:rPr>
          <w:i/>
          <w:color w:val="auto"/>
        </w:rPr>
        <w:t>ex post</w:t>
      </w:r>
      <w:r w:rsidRPr="00A04E56">
        <w:rPr>
          <w:color w:val="auto"/>
        </w:rPr>
        <w:t xml:space="preserve"> corrections. Thus, the risk at closure is almost equal to the risk at payment and remains very low at 0.2%. </w:t>
      </w:r>
    </w:p>
    <w:p w14:paraId="034BEBA6" w14:textId="595EF215" w:rsidR="00FC5564" w:rsidRPr="00A04E56" w:rsidRDefault="00FC5564" w:rsidP="00C257BF">
      <w:pPr>
        <w:pStyle w:val="BOX2Blue"/>
      </w:pPr>
      <w:r w:rsidRPr="00A04E56">
        <w:t>Given that the</w:t>
      </w:r>
      <w:r w:rsidR="00822530" w:rsidRPr="00A04E56">
        <w:t xml:space="preserve"> overall</w:t>
      </w:r>
      <w:r w:rsidRPr="00A04E56">
        <w:t xml:space="preserve"> </w:t>
      </w:r>
      <w:r w:rsidRPr="00A04E56">
        <w:rPr>
          <w:rStyle w:val="BOLDLIGHTBLUEReport"/>
          <w:rFonts w:eastAsiaTheme="minorHAnsi"/>
        </w:rPr>
        <w:t>risk at closure</w:t>
      </w:r>
      <w:r w:rsidRPr="00A04E56">
        <w:t xml:space="preserve"> is estimated to be </w:t>
      </w:r>
      <w:r w:rsidRPr="00A04E56">
        <w:rPr>
          <w:rStyle w:val="BOLDLIGHTBLUEReport"/>
          <w:rFonts w:eastAsiaTheme="minorHAnsi"/>
        </w:rPr>
        <w:t>less than 2%</w:t>
      </w:r>
      <w:r w:rsidRPr="00A04E56">
        <w:t xml:space="preserve"> of the total relevant expenditure, the Commission departments’ multiannual control systems in general ensure appropriate management of the risks relating to the legality and regularity of the transactions and ensure that the financial corrections and recoveries made over the entire life of programmes </w:t>
      </w:r>
      <w:r w:rsidRPr="00A04E56">
        <w:rPr>
          <w:rStyle w:val="BOLDLIGHTBLUEReport"/>
          <w:rFonts w:eastAsiaTheme="minorHAnsi"/>
        </w:rPr>
        <w:t>protect the EU budget</w:t>
      </w:r>
      <w:r w:rsidRPr="00A04E56">
        <w:t xml:space="preserve"> overall.</w:t>
      </w:r>
    </w:p>
    <w:p w14:paraId="0647571B" w14:textId="147D8B85" w:rsidR="00FC5564" w:rsidRPr="00A04E56" w:rsidRDefault="00FC5564" w:rsidP="00AC1D4D">
      <w:pPr>
        <w:pStyle w:val="Title3Report"/>
        <w:pageBreakBefore/>
        <w:spacing w:before="0"/>
        <w:rPr>
          <w:noProof/>
        </w:rPr>
      </w:pPr>
      <w:bookmarkStart w:id="254" w:name="_Toc6403748"/>
      <w:r w:rsidRPr="00A04E56">
        <w:rPr>
          <w:sz w:val="28"/>
          <w:szCs w:val="28"/>
        </w:rPr>
        <w:t>2.2.</w:t>
      </w:r>
      <w:r w:rsidRPr="00A04E56">
        <w:rPr>
          <w:sz w:val="28"/>
          <w:szCs w:val="28"/>
        </w:rPr>
        <w:tab/>
        <w:t>Control systems are efficient: they lead to less</w:t>
      </w:r>
      <w:r w:rsidR="009E1DEB">
        <w:rPr>
          <w:sz w:val="28"/>
          <w:szCs w:val="28"/>
        </w:rPr>
        <w:t xml:space="preserve"> </w:t>
      </w:r>
      <w:r w:rsidR="002B5F47" w:rsidRPr="00A04E56">
        <w:rPr>
          <w:sz w:val="28"/>
          <w:szCs w:val="28"/>
        </w:rPr>
        <w:t>burdensome</w:t>
      </w:r>
      <w:r w:rsidRPr="00A04E56">
        <w:rPr>
          <w:sz w:val="28"/>
          <w:szCs w:val="28"/>
        </w:rPr>
        <w:t xml:space="preserve"> procedure</w:t>
      </w:r>
      <w:r w:rsidR="007C71C8" w:rsidRPr="00A04E56">
        <w:rPr>
          <w:sz w:val="28"/>
          <w:szCs w:val="28"/>
        </w:rPr>
        <w:t>s</w:t>
      </w:r>
      <w:r w:rsidRPr="00A04E56">
        <w:rPr>
          <w:sz w:val="28"/>
          <w:szCs w:val="28"/>
        </w:rPr>
        <w:t xml:space="preserve"> and enable timely payments</w:t>
      </w:r>
      <w:bookmarkEnd w:id="254"/>
    </w:p>
    <w:p w14:paraId="79E56632" w14:textId="77777777" w:rsidR="00FC5564" w:rsidRPr="00A04E56" w:rsidRDefault="00FC5564" w:rsidP="00FC5564">
      <w:pPr>
        <w:pStyle w:val="BodyText1spaceafter"/>
        <w:rPr>
          <w:color w:val="auto"/>
        </w:rPr>
      </w:pPr>
      <w:r w:rsidRPr="00A04E56">
        <w:rPr>
          <w:color w:val="auto"/>
        </w:rPr>
        <w:t xml:space="preserve">During 2018, the Commission continued its efforts to generate </w:t>
      </w:r>
      <w:r w:rsidRPr="00A04E56">
        <w:rPr>
          <w:rStyle w:val="BOLDLIGHTBLUEReport"/>
          <w:rFonts w:eastAsiaTheme="minorHAnsi"/>
        </w:rPr>
        <w:t>synergies and efficiencies</w:t>
      </w:r>
      <w:r w:rsidRPr="00A04E56">
        <w:rPr>
          <w:rStyle w:val="BOLDLIGHTBLUEReport"/>
          <w:rFonts w:eastAsiaTheme="minorHAnsi"/>
          <w:color w:val="auto"/>
        </w:rPr>
        <w:t xml:space="preserve"> </w:t>
      </w:r>
      <w:r w:rsidRPr="00A04E56">
        <w:rPr>
          <w:color w:val="auto"/>
        </w:rPr>
        <w:t xml:space="preserve">in financial management. </w:t>
      </w:r>
    </w:p>
    <w:p w14:paraId="3D06FE80" w14:textId="76132098" w:rsidR="00797B0B" w:rsidRPr="00A04E56" w:rsidRDefault="00074A7E" w:rsidP="00FC5564">
      <w:pPr>
        <w:pStyle w:val="BodyText1spaceafter"/>
        <w:rPr>
          <w:bCs/>
        </w:rPr>
      </w:pPr>
      <w:r w:rsidRPr="00A04E56">
        <w:t xml:space="preserve">The </w:t>
      </w:r>
      <w:r w:rsidRPr="00A04E56">
        <w:rPr>
          <w:rStyle w:val="BOLDLIGHTBLUEReport"/>
          <w:rFonts w:eastAsiaTheme="minorHAnsi"/>
        </w:rPr>
        <w:t>2018 revis</w:t>
      </w:r>
      <w:r w:rsidR="007C71C8" w:rsidRPr="00A04E56">
        <w:rPr>
          <w:rStyle w:val="BOLDLIGHTBLUEReport"/>
          <w:rFonts w:eastAsiaTheme="minorHAnsi"/>
        </w:rPr>
        <w:t>ion of the</w:t>
      </w:r>
      <w:r w:rsidRPr="00A04E56">
        <w:rPr>
          <w:rStyle w:val="BOLDLIGHTBLUEReport"/>
          <w:rFonts w:eastAsiaTheme="minorHAnsi"/>
        </w:rPr>
        <w:t xml:space="preserve"> </w:t>
      </w:r>
      <w:r w:rsidR="00AE4B2D" w:rsidRPr="00A04E56">
        <w:rPr>
          <w:rStyle w:val="BOLDLIGHTBLUEReport"/>
          <w:rFonts w:eastAsiaTheme="minorHAnsi"/>
        </w:rPr>
        <w:t>financial regulation</w:t>
      </w:r>
      <w:r w:rsidRPr="00A04E56">
        <w:t xml:space="preserve"> </w:t>
      </w:r>
      <w:r w:rsidRPr="00A04E56">
        <w:rPr>
          <w:rStyle w:val="BOLDLIGHTBLUEReport"/>
          <w:rFonts w:eastAsiaTheme="minorHAnsi"/>
        </w:rPr>
        <w:t>reduced red tape</w:t>
      </w:r>
      <w:r w:rsidRPr="006210B2">
        <w:rPr>
          <w:rStyle w:val="BOLDLIGHTBLUEReport"/>
          <w:rFonts w:ascii="Calibri" w:eastAsiaTheme="minorHAnsi" w:hAnsi="Calibri"/>
          <w:b w:val="0"/>
          <w:color w:val="auto"/>
        </w:rPr>
        <w:t> </w:t>
      </w:r>
      <w:r w:rsidRPr="00A04E56">
        <w:rPr>
          <w:rStyle w:val="BOLDLIGHTBLUEReport"/>
          <w:rFonts w:ascii="Calibri" w:eastAsiaTheme="minorHAnsi" w:hAnsi="Calibri"/>
          <w:b w:val="0"/>
          <w:color w:val="auto"/>
        </w:rPr>
        <w:t>(</w:t>
      </w:r>
      <w:r w:rsidRPr="006210B2">
        <w:rPr>
          <w:rStyle w:val="fnRefNo"/>
        </w:rPr>
        <w:footnoteReference w:id="377"/>
      </w:r>
      <w:r w:rsidRPr="00A04E56">
        <w:rPr>
          <w:rStyle w:val="BOLDLIGHTBLUEReport"/>
          <w:rFonts w:ascii="Calibri" w:eastAsiaTheme="minorHAnsi" w:hAnsi="Calibri"/>
          <w:b w:val="0"/>
          <w:color w:val="auto"/>
        </w:rPr>
        <w:t>)</w:t>
      </w:r>
      <w:r w:rsidRPr="00A04E56">
        <w:rPr>
          <w:color w:val="auto"/>
        </w:rPr>
        <w:t>. It introduced concrete simplifications for beneficiaries of EU funds in terms of access to funds, use of funds and controls. For instance, less but more</w:t>
      </w:r>
      <w:r w:rsidR="00185B3E" w:rsidRPr="00A04E56">
        <w:rPr>
          <w:color w:val="auto"/>
        </w:rPr>
        <w:t>-</w:t>
      </w:r>
      <w:r w:rsidRPr="00A04E56">
        <w:rPr>
          <w:color w:val="auto"/>
        </w:rPr>
        <w:t>targeted information is requ</w:t>
      </w:r>
      <w:r w:rsidR="007C71C8" w:rsidRPr="00A04E56">
        <w:rPr>
          <w:color w:val="auto"/>
        </w:rPr>
        <w:t>ired</w:t>
      </w:r>
      <w:r w:rsidRPr="00A04E56">
        <w:rPr>
          <w:color w:val="auto"/>
        </w:rPr>
        <w:t xml:space="preserve"> from recipients; information will only be </w:t>
      </w:r>
      <w:r w:rsidR="007C71C8" w:rsidRPr="00A04E56">
        <w:rPr>
          <w:color w:val="auto"/>
        </w:rPr>
        <w:t>requested</w:t>
      </w:r>
      <w:r w:rsidRPr="00A04E56">
        <w:rPr>
          <w:color w:val="auto"/>
        </w:rPr>
        <w:t xml:space="preserve"> once (e.g. proof of legal status in the context of e-grants/e-procurement); the Commission can rely on existing assessments (national authorities/trusted </w:t>
      </w:r>
      <w:r w:rsidR="00AE4B2D" w:rsidRPr="00A04E56">
        <w:rPr>
          <w:color w:val="auto"/>
        </w:rPr>
        <w:t>international organisations</w:t>
      </w:r>
      <w:r w:rsidRPr="00A04E56">
        <w:rPr>
          <w:color w:val="auto"/>
        </w:rPr>
        <w:t>) instead of checking the same thing twice (e.g. technical/financial capacity); payments may be based on outputs or results achieved instead of on costs incurred</w:t>
      </w:r>
      <w:r w:rsidR="00CB6A77" w:rsidRPr="00A04E56">
        <w:rPr>
          <w:color w:val="auto"/>
        </w:rPr>
        <w:t xml:space="preserve"> — </w:t>
      </w:r>
      <w:r w:rsidR="007C71C8" w:rsidRPr="00A04E56">
        <w:rPr>
          <w:color w:val="auto"/>
        </w:rPr>
        <w:t>this</w:t>
      </w:r>
      <w:r w:rsidRPr="00A04E56">
        <w:rPr>
          <w:color w:val="auto"/>
        </w:rPr>
        <w:t xml:space="preserve"> used to require justifying every cost with supporting documents; plus the acceptance of beneficiaries’ usual accounting practices will be checked </w:t>
      </w:r>
      <w:r w:rsidRPr="00A04E56">
        <w:rPr>
          <w:i/>
          <w:color w:val="auto"/>
        </w:rPr>
        <w:t>ex ante</w:t>
      </w:r>
      <w:r w:rsidRPr="00A04E56">
        <w:rPr>
          <w:color w:val="auto"/>
        </w:rPr>
        <w:t xml:space="preserve"> and may not be challenged via </w:t>
      </w:r>
      <w:r w:rsidRPr="00A04E56">
        <w:rPr>
          <w:i/>
          <w:color w:val="auto"/>
        </w:rPr>
        <w:t>ex post</w:t>
      </w:r>
      <w:r w:rsidRPr="00A04E56">
        <w:rPr>
          <w:color w:val="auto"/>
        </w:rPr>
        <w:t xml:space="preserve"> controls. Concrete simplification measures in shared management include </w:t>
      </w:r>
      <w:r w:rsidRPr="00A04E56">
        <w:t>simpler</w:t>
      </w:r>
      <w:r w:rsidR="00062B87" w:rsidRPr="00A04E56">
        <w:t>,</w:t>
      </w:r>
      <w:r w:rsidRPr="00A04E56">
        <w:t xml:space="preserve"> harmonised</w:t>
      </w:r>
      <w:r w:rsidR="00062B87" w:rsidRPr="00A04E56">
        <w:t xml:space="preserve"> and more</w:t>
      </w:r>
      <w:r w:rsidR="00B9477C" w:rsidRPr="00A04E56">
        <w:t>-</w:t>
      </w:r>
      <w:r w:rsidR="00062B87" w:rsidRPr="00A04E56">
        <w:t>flexible</w:t>
      </w:r>
      <w:r w:rsidRPr="00A04E56">
        <w:t xml:space="preserve"> financial rules </w:t>
      </w:r>
      <w:r w:rsidR="00062B87" w:rsidRPr="00A04E56">
        <w:t xml:space="preserve">and amendments </w:t>
      </w:r>
      <w:r w:rsidRPr="00A04E56">
        <w:t xml:space="preserve">for seven funds and the rollover of </w:t>
      </w:r>
      <w:r w:rsidRPr="00A04E56">
        <w:rPr>
          <w:bCs/>
        </w:rPr>
        <w:t>existing designations of implementing authorities in Member States.</w:t>
      </w:r>
      <w:r w:rsidR="00797B0B" w:rsidRPr="00A04E56">
        <w:t xml:space="preserve"> In terms of fraud, t</w:t>
      </w:r>
      <w:r w:rsidR="00797B0B" w:rsidRPr="00A04E56">
        <w:rPr>
          <w:bCs/>
        </w:rPr>
        <w:t>he simplification possibilities for the future programmes offer the chance to make those even more fraud-resilient.</w:t>
      </w:r>
    </w:p>
    <w:p w14:paraId="25C319E2" w14:textId="77777777" w:rsidR="00FC5564" w:rsidRPr="00A04E56" w:rsidRDefault="00FC5564" w:rsidP="00FC5564">
      <w:pPr>
        <w:pStyle w:val="BodyText1spaceafter"/>
        <w:rPr>
          <w:color w:val="auto"/>
        </w:rPr>
      </w:pPr>
      <w:r w:rsidRPr="00A04E56">
        <w:rPr>
          <w:color w:val="auto"/>
        </w:rPr>
        <w:t xml:space="preserve">Further </w:t>
      </w:r>
      <w:r w:rsidRPr="00A04E56">
        <w:rPr>
          <w:rStyle w:val="BOLDLIGHTBLUEReport"/>
          <w:rFonts w:eastAsiaTheme="minorHAnsi"/>
        </w:rPr>
        <w:t>progress</w:t>
      </w:r>
      <w:r w:rsidRPr="00A04E56">
        <w:rPr>
          <w:color w:val="808080" w:themeColor="background1" w:themeShade="80"/>
        </w:rPr>
        <w:t xml:space="preserve"> </w:t>
      </w:r>
      <w:r w:rsidRPr="00A04E56">
        <w:rPr>
          <w:color w:val="auto"/>
        </w:rPr>
        <w:t xml:space="preserve">has been achieved in the field of a </w:t>
      </w:r>
      <w:r w:rsidRPr="00A04E56">
        <w:rPr>
          <w:rStyle w:val="BOLDLIGHTBLUEReport"/>
          <w:rFonts w:eastAsiaTheme="minorHAnsi"/>
        </w:rPr>
        <w:t>common single-entry point for all tenderers/applicants</w:t>
      </w:r>
      <w:r w:rsidRPr="00A04E56">
        <w:rPr>
          <w:color w:val="auto"/>
        </w:rPr>
        <w:t>, which went live in the second half of 2018.</w:t>
      </w:r>
    </w:p>
    <w:p w14:paraId="48C4B736" w14:textId="097557FD" w:rsidR="00FC5564" w:rsidRPr="00A04E56" w:rsidRDefault="00FC5564" w:rsidP="00FC5564">
      <w:pPr>
        <w:pStyle w:val="BodyText1spaceafter"/>
        <w:rPr>
          <w:color w:val="auto"/>
        </w:rPr>
      </w:pPr>
      <w:r w:rsidRPr="00A04E56">
        <w:rPr>
          <w:color w:val="auto"/>
        </w:rPr>
        <w:t xml:space="preserve">For the next multiannual financial framework, the Commission has prioritised further simplification and harmonisation of the </w:t>
      </w:r>
      <w:r w:rsidRPr="00A04E56">
        <w:rPr>
          <w:rStyle w:val="BOLDLIGHTBLUEReport"/>
          <w:rFonts w:eastAsiaTheme="minorHAnsi"/>
        </w:rPr>
        <w:t>next generation of spending programmes</w:t>
      </w:r>
      <w:r w:rsidRPr="00A04E56">
        <w:rPr>
          <w:color w:val="auto"/>
        </w:rPr>
        <w:t xml:space="preserve">. It has proposed a more </w:t>
      </w:r>
      <w:r w:rsidR="00B23FA4" w:rsidRPr="00A04E56">
        <w:rPr>
          <w:color w:val="auto"/>
        </w:rPr>
        <w:t>consistent</w:t>
      </w:r>
      <w:r w:rsidRPr="00A04E56">
        <w:rPr>
          <w:color w:val="auto"/>
        </w:rPr>
        <w:t>, focused and transparent set-up of the EU budget with a clear structure more closely aligned with political priorities. For example, the Commission has proposed reduc</w:t>
      </w:r>
      <w:r w:rsidR="007C71C8" w:rsidRPr="00A04E56">
        <w:rPr>
          <w:color w:val="auto"/>
        </w:rPr>
        <w:t>ing</w:t>
      </w:r>
      <w:r w:rsidRPr="00A04E56">
        <w:rPr>
          <w:color w:val="auto"/>
        </w:rPr>
        <w:t xml:space="preserve"> the number of programmes by more than a third, bringing funding sources together. The Commission also proposes more </w:t>
      </w:r>
      <w:r w:rsidR="00532054" w:rsidRPr="00A04E56">
        <w:rPr>
          <w:color w:val="auto"/>
        </w:rPr>
        <w:t xml:space="preserve">consistent </w:t>
      </w:r>
      <w:r w:rsidRPr="00A04E56">
        <w:rPr>
          <w:color w:val="auto"/>
        </w:rPr>
        <w:t>and interoperable spending programmes by harmonising rules across programmes in order to facilitate combining support under several programmes and to avoid overlaps.</w:t>
      </w:r>
      <w:r w:rsidR="00074A7E" w:rsidRPr="00A04E56">
        <w:t xml:space="preserve"> </w:t>
      </w:r>
      <w:r w:rsidR="00074A7E" w:rsidRPr="00A04E56">
        <w:rPr>
          <w:color w:val="auto"/>
        </w:rPr>
        <w:t xml:space="preserve">In addition, the new spending programmes proposed by the Commission allow for the use of the simplification steps </w:t>
      </w:r>
      <w:r w:rsidR="00DF6659" w:rsidRPr="00A04E56">
        <w:rPr>
          <w:color w:val="auto"/>
        </w:rPr>
        <w:t>envisaged</w:t>
      </w:r>
      <w:r w:rsidR="00074A7E" w:rsidRPr="00A04E56">
        <w:rPr>
          <w:color w:val="auto"/>
        </w:rPr>
        <w:t xml:space="preserve"> by the new </w:t>
      </w:r>
      <w:r w:rsidR="00AE4B2D" w:rsidRPr="00A04E56">
        <w:rPr>
          <w:color w:val="auto"/>
        </w:rPr>
        <w:t>financial regulation</w:t>
      </w:r>
      <w:r w:rsidR="00074A7E" w:rsidRPr="00A04E56">
        <w:rPr>
          <w:color w:val="auto"/>
        </w:rPr>
        <w:t>.</w:t>
      </w:r>
    </w:p>
    <w:p w14:paraId="3DB570BA" w14:textId="3DDD5CE2" w:rsidR="00FC5564" w:rsidRPr="00A04E56" w:rsidRDefault="00FC5564" w:rsidP="00FC5564">
      <w:pPr>
        <w:pStyle w:val="BodyText1spaceafter"/>
      </w:pPr>
      <w:r w:rsidRPr="00A04E56">
        <w:t xml:space="preserve">Commission departments reported that they made 92% of their payments on time. </w:t>
      </w:r>
      <w:r w:rsidR="008C1D39" w:rsidRPr="00A04E56">
        <w:rPr>
          <w:i/>
          <w:u w:val="single"/>
        </w:rPr>
        <w:t>In 2018</w:t>
      </w:r>
      <w:r w:rsidRPr="00A04E56">
        <w:t>, the Commission’s average net payment time was 18</w:t>
      </w:r>
      <w:r w:rsidRPr="00A04E56">
        <w:rPr>
          <w:rFonts w:ascii="Calibri" w:hAnsi="Calibri" w:cs="Calibri"/>
        </w:rPr>
        <w:t> </w:t>
      </w:r>
      <w:r w:rsidRPr="00A04E56">
        <w:t>days (well below the statutory ceiling of 30</w:t>
      </w:r>
      <w:r w:rsidRPr="00A04E56">
        <w:rPr>
          <w:rFonts w:ascii="Calibri" w:hAnsi="Calibri" w:cs="Calibri"/>
        </w:rPr>
        <w:t> </w:t>
      </w:r>
      <w:r w:rsidRPr="00A04E56">
        <w:t xml:space="preserve">days). Furthermore, the number of payments affected by delay further decreased, from 10.4% </w:t>
      </w:r>
      <w:r w:rsidR="008C1D39" w:rsidRPr="00277538">
        <w:t>in 2017</w:t>
      </w:r>
      <w:r w:rsidRPr="00A04E56">
        <w:t xml:space="preserve"> to 7.6% </w:t>
      </w:r>
      <w:r w:rsidR="008C1D39" w:rsidRPr="00A04E56">
        <w:rPr>
          <w:i/>
          <w:u w:val="single"/>
        </w:rPr>
        <w:t>in 2018</w:t>
      </w:r>
      <w:r w:rsidRPr="00A04E56">
        <w:t xml:space="preserve"> (see details in Annex</w:t>
      </w:r>
      <w:r w:rsidRPr="00A04E56">
        <w:rPr>
          <w:rFonts w:ascii="Calibri" w:hAnsi="Calibri" w:cs="Calibri"/>
        </w:rPr>
        <w:t> </w:t>
      </w:r>
      <w:r w:rsidRPr="00A04E56">
        <w:t>6).</w:t>
      </w:r>
    </w:p>
    <w:p w14:paraId="74B26ECD" w14:textId="27240E08" w:rsidR="00FC5564" w:rsidRPr="00A04E56" w:rsidRDefault="00FC5564" w:rsidP="002C2550">
      <w:pPr>
        <w:pStyle w:val="BOX2Blue0"/>
        <w:rPr>
          <w:rStyle w:val="BOLDLIGHTBLUEReport"/>
          <w:rFonts w:eastAsiaTheme="minorHAnsi"/>
        </w:rPr>
      </w:pPr>
      <w:r w:rsidRPr="00A04E56">
        <w:rPr>
          <w:rStyle w:val="BOLDLIGHTBLUEReport"/>
          <w:rFonts w:eastAsiaTheme="minorHAnsi"/>
        </w:rPr>
        <w:t>The Commission’s continuous efforts to introduce improvements in the control environment and to exploit synergies contribute to less</w:t>
      </w:r>
      <w:r w:rsidR="009E1DEB">
        <w:rPr>
          <w:rStyle w:val="BOLDLIGHTBLUEReport"/>
          <w:rFonts w:eastAsiaTheme="minorHAnsi"/>
        </w:rPr>
        <w:t xml:space="preserve"> </w:t>
      </w:r>
      <w:r w:rsidRPr="00A04E56">
        <w:rPr>
          <w:rStyle w:val="BOLDLIGHTBLUEReport"/>
          <w:rFonts w:eastAsiaTheme="minorHAnsi"/>
        </w:rPr>
        <w:t>burdensome procedures and increased efficiency of controls. This</w:t>
      </w:r>
      <w:r w:rsidR="00E83CCA" w:rsidRPr="00A04E56">
        <w:rPr>
          <w:rStyle w:val="BOLDLIGHTBLUEReport"/>
          <w:rFonts w:eastAsiaTheme="minorHAnsi"/>
        </w:rPr>
        <w:t xml:space="preserve">, amongst other things, </w:t>
      </w:r>
      <w:r w:rsidRPr="00A04E56">
        <w:rPr>
          <w:rStyle w:val="BOLDLIGHTBLUEReport"/>
          <w:rFonts w:eastAsiaTheme="minorHAnsi"/>
        </w:rPr>
        <w:t>enables timely payments to beneficiaries and other recipients of EU funds.</w:t>
      </w:r>
    </w:p>
    <w:p w14:paraId="63E09D97" w14:textId="77777777" w:rsidR="00FC5564" w:rsidRPr="00A04E56" w:rsidRDefault="00FC5564" w:rsidP="00C257BF">
      <w:pPr>
        <w:pStyle w:val="Title3Report"/>
        <w:pageBreakBefore/>
        <w:rPr>
          <w:noProof/>
        </w:rPr>
      </w:pPr>
      <w:bookmarkStart w:id="255" w:name="_Toc6403749"/>
      <w:r w:rsidRPr="00A04E56">
        <w:rPr>
          <w:sz w:val="28"/>
          <w:szCs w:val="28"/>
        </w:rPr>
        <w:t>2.3.</w:t>
      </w:r>
      <w:r w:rsidRPr="00A04E56">
        <w:rPr>
          <w:sz w:val="28"/>
          <w:szCs w:val="28"/>
        </w:rPr>
        <w:tab/>
        <w:t xml:space="preserve">Control costs are economical </w:t>
      </w:r>
      <w:bookmarkEnd w:id="255"/>
    </w:p>
    <w:p w14:paraId="3B0AA111" w14:textId="2C259AF7" w:rsidR="00FC5564" w:rsidRPr="00A04E56" w:rsidRDefault="00FC5564" w:rsidP="00D21274">
      <w:pPr>
        <w:pStyle w:val="BodyText1spaceafter"/>
        <w:keepNext/>
      </w:pPr>
      <w:r w:rsidRPr="00A04E56">
        <w:t>The costs of controls</w:t>
      </w:r>
      <w:r w:rsidRPr="00A04E56">
        <w:rPr>
          <w:rStyle w:val="BOLDLIGHTBLUEReport"/>
          <w:rFonts w:eastAsiaTheme="minorHAnsi"/>
        </w:rPr>
        <w:t xml:space="preserve"> </w:t>
      </w:r>
      <w:r w:rsidRPr="00A04E56">
        <w:t xml:space="preserve">vary substantially between departments. This can be explained by a number of factors: see examples in the </w:t>
      </w:r>
      <w:r w:rsidR="0042307F" w:rsidRPr="00A04E56">
        <w:rPr>
          <w:rStyle w:val="BOLDLIGHTBLUEReport"/>
          <w:rFonts w:eastAsia="Calibri"/>
        </w:rPr>
        <w:t>b</w:t>
      </w:r>
      <w:r w:rsidRPr="00A04E56">
        <w:rPr>
          <w:rStyle w:val="BOLDLIGHTBLUEReport"/>
          <w:rFonts w:eastAsia="Calibri"/>
        </w:rPr>
        <w:t>ox</w:t>
      </w:r>
      <w:r w:rsidRPr="00A04E56">
        <w:t xml:space="preserve"> below. </w:t>
      </w:r>
    </w:p>
    <w:p w14:paraId="21D1E2A4" w14:textId="32F0009D" w:rsidR="00FC5564" w:rsidRPr="00A04E56" w:rsidRDefault="00FC5564" w:rsidP="00C257BF">
      <w:pPr>
        <w:pStyle w:val="BOX3BluedashedborderBluetext-Bold"/>
      </w:pPr>
      <w:r w:rsidRPr="00A04E56">
        <w:t>Examples of cost</w:t>
      </w:r>
      <w:r w:rsidR="00A22212" w:rsidRPr="00A04E56">
        <w:t xml:space="preserve"> </w:t>
      </w:r>
      <w:r w:rsidRPr="00A04E56">
        <w:t>drivers:</w:t>
      </w:r>
    </w:p>
    <w:p w14:paraId="0BF082C6" w14:textId="77777777" w:rsidR="00FC5564" w:rsidRPr="00A04E56" w:rsidRDefault="00FC5564" w:rsidP="00C257BF">
      <w:pPr>
        <w:pStyle w:val="BOX3BluedashedborderBluebullets"/>
      </w:pPr>
      <w:r w:rsidRPr="00A04E56">
        <w:t xml:space="preserve">the different degrees of complexity of the programmes managed; </w:t>
      </w:r>
    </w:p>
    <w:p w14:paraId="24D5AD90" w14:textId="3C544740" w:rsidR="00FC5564" w:rsidRPr="00A04E56" w:rsidRDefault="00FC5564" w:rsidP="00C257BF">
      <w:pPr>
        <w:pStyle w:val="BOX3BluedashedborderBluebullets"/>
      </w:pPr>
      <w:r w:rsidRPr="00A04E56">
        <w:t>the volumes and amounts to be processed (i.e. processing a high number of low-value transactions is more labour</w:t>
      </w:r>
      <w:r w:rsidR="00A22212" w:rsidRPr="00A04E56">
        <w:t xml:space="preserve"> </w:t>
      </w:r>
      <w:r w:rsidRPr="00A04E56">
        <w:t xml:space="preserve">intensive); </w:t>
      </w:r>
    </w:p>
    <w:p w14:paraId="347039AA" w14:textId="77777777" w:rsidR="00FC5564" w:rsidRPr="00A04E56" w:rsidRDefault="00FC5564" w:rsidP="00C257BF">
      <w:pPr>
        <w:pStyle w:val="BOX3BluedashedborderBluebullets"/>
      </w:pPr>
      <w:r w:rsidRPr="00A04E56">
        <w:t xml:space="preserve">the specific risk profiles of the programmes managed; </w:t>
      </w:r>
    </w:p>
    <w:p w14:paraId="50610C1E" w14:textId="77777777" w:rsidR="00FC5564" w:rsidRPr="00A04E56" w:rsidRDefault="00FC5564" w:rsidP="00C257BF">
      <w:pPr>
        <w:pStyle w:val="BOX3BluedashedborderBluebullets"/>
      </w:pPr>
      <w:r w:rsidRPr="00A04E56">
        <w:t xml:space="preserve">possible diseconomies of scale for certain smaller programmes or funds managed by smaller entrusted entities </w:t>
      </w:r>
    </w:p>
    <w:p w14:paraId="361AC12D" w14:textId="1B7059AB" w:rsidR="00FC5564" w:rsidRPr="00A04E56" w:rsidRDefault="00FC5564" w:rsidP="00FC5564">
      <w:pPr>
        <w:pStyle w:val="BodyText1spacebeforeandafter"/>
        <w:rPr>
          <w:rStyle w:val="BOLDLIGHTBLUEReport"/>
          <w:rFonts w:eastAsiaTheme="minorHAnsi"/>
        </w:rPr>
      </w:pPr>
      <w:r w:rsidRPr="00A04E56">
        <w:t xml:space="preserve">Therefore, a simple </w:t>
      </w:r>
      <w:r w:rsidRPr="00A04E56">
        <w:rPr>
          <w:rStyle w:val="BOLDLIGHTBLUEReport"/>
          <w:rFonts w:eastAsiaTheme="minorHAnsi"/>
        </w:rPr>
        <w:t>comparison</w:t>
      </w:r>
      <w:r w:rsidRPr="00A04E56">
        <w:t xml:space="preserve"> between the quantifiable aspects reported by departments would be of </w:t>
      </w:r>
      <w:r w:rsidRPr="00A04E56">
        <w:rPr>
          <w:rStyle w:val="BOLDLIGHTBLUEReport"/>
          <w:rFonts w:eastAsiaTheme="minorHAnsi"/>
        </w:rPr>
        <w:t>limited value</w:t>
      </w:r>
      <w:r w:rsidRPr="00A04E56">
        <w:rPr>
          <w:rStyle w:val="BOLDLIGHTBLUEReport"/>
          <w:rFonts w:eastAsiaTheme="minorHAnsi"/>
          <w:color w:val="auto"/>
        </w:rPr>
        <w:t>.</w:t>
      </w:r>
      <w:r w:rsidRPr="00A04E56">
        <w:t xml:space="preserve"> For example, despite</w:t>
      </w:r>
      <w:r w:rsidR="003D0E4B" w:rsidRPr="00A04E56">
        <w:t xml:space="preserve"> the fact that </w:t>
      </w:r>
      <w:r w:rsidRPr="00A04E56">
        <w:t>certain smaller programmes and/or departments</w:t>
      </w:r>
      <w:r w:rsidRPr="00A04E56">
        <w:rPr>
          <w:rStyle w:val="fnRef"/>
          <w:rFonts w:ascii="Calibri" w:hAnsi="Calibri" w:cs="Calibri"/>
        </w:rPr>
        <w:t> </w:t>
      </w:r>
      <w:r w:rsidRPr="00A04E56">
        <w:rPr>
          <w:rStyle w:val="fnRef"/>
        </w:rPr>
        <w:t>(</w:t>
      </w:r>
      <w:r w:rsidRPr="00A04E56">
        <w:rPr>
          <w:rStyle w:val="fnRefNo"/>
        </w:rPr>
        <w:footnoteReference w:id="378"/>
      </w:r>
      <w:r w:rsidRPr="00A04E56">
        <w:rPr>
          <w:rStyle w:val="fnRef"/>
        </w:rPr>
        <w:t>)</w:t>
      </w:r>
      <w:r w:rsidR="003D0E4B" w:rsidRPr="00A04E56">
        <w:rPr>
          <w:rStyle w:val="fnRef"/>
        </w:rPr>
        <w:t xml:space="preserve"> can benefit less from economies of scale</w:t>
      </w:r>
      <w:r w:rsidRPr="00A04E56">
        <w:t>, procurement controls may be irreducible regardless of the amount involved.</w:t>
      </w:r>
    </w:p>
    <w:p w14:paraId="3B71B2DD" w14:textId="77777777" w:rsidR="00FC5564" w:rsidRPr="00A04E56" w:rsidRDefault="00FC5564" w:rsidP="00FC5564">
      <w:pPr>
        <w:pStyle w:val="BodyText1spaceafter"/>
      </w:pPr>
      <w:r w:rsidRPr="00A04E56">
        <w:t xml:space="preserve">In the annual activity reports for 2018, the majority of the departments reported that, overall, their estimated costs of control were </w:t>
      </w:r>
      <w:r w:rsidRPr="00A04E56">
        <w:rPr>
          <w:rStyle w:val="BOLDLIGHTBLUEReport"/>
          <w:rFonts w:eastAsiaTheme="minorHAnsi"/>
        </w:rPr>
        <w:t>stable</w:t>
      </w:r>
      <w:r w:rsidRPr="00A04E56">
        <w:t xml:space="preserve"> over time</w:t>
      </w:r>
      <w:r w:rsidRPr="00A04E56">
        <w:rPr>
          <w:rStyle w:val="fnRef"/>
          <w:rFonts w:ascii="Calibri" w:hAnsi="Calibri" w:cs="Calibri"/>
        </w:rPr>
        <w:t> </w:t>
      </w:r>
      <w:r w:rsidRPr="00A04E56">
        <w:rPr>
          <w:rStyle w:val="fnRef"/>
        </w:rPr>
        <w:t>(</w:t>
      </w:r>
      <w:r w:rsidRPr="00A04E56">
        <w:rPr>
          <w:rStyle w:val="fnRefNo"/>
        </w:rPr>
        <w:footnoteReference w:id="379"/>
      </w:r>
      <w:r w:rsidRPr="00A04E56">
        <w:rPr>
          <w:rStyle w:val="fnRef"/>
        </w:rPr>
        <w:t>)</w:t>
      </w:r>
      <w:r w:rsidRPr="00A04E56">
        <w:t xml:space="preserve">. This was mainly due to the unchanged control environments and strategies in place for the current programmes. Most of them reported that costs were </w:t>
      </w:r>
      <w:r w:rsidRPr="00A04E56">
        <w:rPr>
          <w:rStyle w:val="BOLDLIGHTBLUEReport"/>
          <w:rFonts w:eastAsiaTheme="minorHAnsi"/>
        </w:rPr>
        <w:t xml:space="preserve">suitable </w:t>
      </w:r>
      <w:r w:rsidRPr="00A04E56">
        <w:t>in view of their control environment. Those departments which reported an apparently high cost for (some parts of) their relevant control systems have explained this by referring to specific cost drivers in such cases.</w:t>
      </w:r>
    </w:p>
    <w:p w14:paraId="13E7A81F" w14:textId="083E2F48" w:rsidR="00FC5564" w:rsidRPr="00A04E56" w:rsidRDefault="00FC5564" w:rsidP="00FC5564">
      <w:pPr>
        <w:pStyle w:val="BodyText1spaceafter"/>
      </w:pPr>
      <w:r w:rsidRPr="00A04E56">
        <w:t xml:space="preserve">In addition, for the sake of transparency, those departments dealing with shared and/or indirect management reported on the cost of controls in Member States and entrusted entities separately from the Commission’s own cost of controls. </w:t>
      </w:r>
    </w:p>
    <w:p w14:paraId="78EDD857" w14:textId="403133FD" w:rsidR="00FC5564" w:rsidRPr="00A04E56" w:rsidRDefault="00FC5564" w:rsidP="000F72DD">
      <w:pPr>
        <w:pStyle w:val="Title2Report"/>
        <w:pageBreakBefore/>
        <w:rPr>
          <w:iCs/>
          <w:noProof/>
        </w:rPr>
      </w:pPr>
      <w:bookmarkStart w:id="256" w:name="_Toc9534255"/>
      <w:bookmarkStart w:id="257" w:name="_Toc9879909"/>
      <w:bookmarkStart w:id="258" w:name="_Toc10549880"/>
      <w:bookmarkStart w:id="259" w:name="_Toc12021052"/>
      <w:r w:rsidRPr="00A04E56">
        <w:rPr>
          <w:iCs/>
          <w:noProof/>
        </w:rPr>
        <w:t xml:space="preserve">3. </w:t>
      </w:r>
      <w:bookmarkStart w:id="260" w:name="Financialcorrectionsandrecoveries"/>
      <w:r w:rsidR="00D04988" w:rsidRPr="00A04E56">
        <w:rPr>
          <w:iCs/>
          <w:noProof/>
        </w:rPr>
        <w:t xml:space="preserve">Financial corrections and recoveries </w:t>
      </w:r>
      <w:bookmarkEnd w:id="260"/>
      <w:r w:rsidR="00D04988" w:rsidRPr="00A04E56">
        <w:rPr>
          <w:iCs/>
          <w:noProof/>
        </w:rPr>
        <w:t>show that the multiannual control cycle protects the EU budget</w:t>
      </w:r>
      <w:bookmarkEnd w:id="256"/>
      <w:bookmarkEnd w:id="257"/>
      <w:bookmarkEnd w:id="258"/>
      <w:bookmarkEnd w:id="259"/>
    </w:p>
    <w:p w14:paraId="57917525" w14:textId="77777777" w:rsidR="00FC5564" w:rsidRPr="00A04E56" w:rsidRDefault="00FC5564" w:rsidP="00FC5564">
      <w:pPr>
        <w:pStyle w:val="BodyText1"/>
        <w:spacing w:after="240"/>
        <w:rPr>
          <w:rStyle w:val="BOLDLIGHTBLUEReport"/>
          <w:rFonts w:eastAsiaTheme="minorHAnsi"/>
        </w:rPr>
      </w:pPr>
      <w:r w:rsidRPr="00A04E56">
        <w:rPr>
          <w:rStyle w:val="BOLDLIGHTBLUEReport"/>
          <w:rFonts w:eastAsiaTheme="minorHAnsi"/>
        </w:rPr>
        <w:t>The primary objective of financial corrections and recoveries is to ensure that only expenditure in accordance with the legal framework is financed by the EU budget.</w:t>
      </w:r>
    </w:p>
    <w:p w14:paraId="0247E9E2" w14:textId="54A88624" w:rsidR="00FC5564" w:rsidRPr="00A04E56" w:rsidRDefault="00FC5564" w:rsidP="00D21274">
      <w:pPr>
        <w:pStyle w:val="BodyText1spaceafter"/>
        <w:rPr>
          <w:rStyle w:val="Emphasis"/>
          <w:i w:val="0"/>
        </w:rPr>
      </w:pPr>
      <w:r w:rsidRPr="00A04E56">
        <w:rPr>
          <w:rStyle w:val="Emphasis"/>
          <w:i w:val="0"/>
        </w:rPr>
        <w:t xml:space="preserve">When implementing the EU budget it is especially important to prevent, or detect and subsequently correct system weaknesses leading to errors, irregularities or fraud. The Commission and, for programmes under shared management, Member State authorities take preventive and corrective measures (i.e. financial corrections and recoveries) as provided </w:t>
      </w:r>
      <w:r w:rsidRPr="00A04E56">
        <w:rPr>
          <w:rStyle w:val="Emphasis"/>
          <w:i w:val="0"/>
          <w:iCs w:val="0"/>
        </w:rPr>
        <w:t>for</w:t>
      </w:r>
      <w:r w:rsidRPr="00A04E56">
        <w:rPr>
          <w:rStyle w:val="Emphasis"/>
          <w:i w:val="0"/>
        </w:rPr>
        <w:t xml:space="preserve"> in EU legislation to protect the EU budget from illegal or irregular expenditure — see also subsection 2 above and Annex 2</w:t>
      </w:r>
      <w:r w:rsidRPr="00A04E56" w:rsidDel="00DD05B2">
        <w:rPr>
          <w:rStyle w:val="Emphasis"/>
          <w:i w:val="0"/>
        </w:rPr>
        <w:t>.</w:t>
      </w:r>
    </w:p>
    <w:p w14:paraId="198EC0FE" w14:textId="4F71D6A4" w:rsidR="007C5EEE" w:rsidRPr="00A04E56" w:rsidRDefault="007C5EEE" w:rsidP="00D24C7D">
      <w:pPr>
        <w:pStyle w:val="Title3Report-Numbered"/>
      </w:pPr>
      <w:r w:rsidRPr="00A04E56">
        <w:t xml:space="preserve">3.1. Overview of </w:t>
      </w:r>
      <w:r w:rsidRPr="00A04E56">
        <w:rPr>
          <w:i/>
        </w:rPr>
        <w:t>ex ante</w:t>
      </w:r>
      <w:r w:rsidRPr="00A04E56">
        <w:t xml:space="preserve"> and </w:t>
      </w:r>
      <w:r w:rsidRPr="00A04E56">
        <w:rPr>
          <w:i/>
        </w:rPr>
        <w:t>ex post</w:t>
      </w:r>
      <w:r w:rsidRPr="00A04E56">
        <w:t xml:space="preserve"> controls</w:t>
      </w:r>
    </w:p>
    <w:p w14:paraId="1BE4239F" w14:textId="0F5861B4" w:rsidR="00FC5564" w:rsidRPr="00A04E56" w:rsidRDefault="00967E7E" w:rsidP="001E680A">
      <w:pPr>
        <w:pStyle w:val="BodyText"/>
        <w:keepNext/>
        <w:ind w:firstLine="426"/>
        <w:rPr>
          <w:rStyle w:val="BOLDLIGHTBLUEReport"/>
          <w:rFonts w:eastAsiaTheme="minorHAnsi"/>
        </w:rPr>
      </w:pPr>
      <w:r w:rsidRPr="00A04E56">
        <w:rPr>
          <w:rStyle w:val="BOLDLIGHTBLUEReport"/>
          <w:rFonts w:eastAsiaTheme="minorHAnsi"/>
        </w:rPr>
        <w:t xml:space="preserve">3.1.1. </w:t>
      </w:r>
      <w:r w:rsidR="00FC5564" w:rsidRPr="00A04E56">
        <w:rPr>
          <w:rStyle w:val="BOLDLIGHTBLUEReport"/>
          <w:rFonts w:eastAsiaTheme="minorHAnsi"/>
          <w:i/>
        </w:rPr>
        <w:t>Ex</w:t>
      </w:r>
      <w:r w:rsidR="00BA4EA5" w:rsidRPr="00A04E56">
        <w:rPr>
          <w:rStyle w:val="BOLDLIGHTBLUEReport"/>
          <w:rFonts w:eastAsiaTheme="minorHAnsi"/>
          <w:i/>
        </w:rPr>
        <w:t xml:space="preserve"> </w:t>
      </w:r>
      <w:r w:rsidR="00FC5564" w:rsidRPr="00A04E56">
        <w:rPr>
          <w:rStyle w:val="BOLDLIGHTBLUEReport"/>
          <w:rFonts w:eastAsiaTheme="minorHAnsi"/>
          <w:i/>
        </w:rPr>
        <w:t>ante</w:t>
      </w:r>
      <w:r w:rsidR="00FC5564" w:rsidRPr="00A04E56">
        <w:rPr>
          <w:rStyle w:val="BOLDLIGHTBLUEReport"/>
          <w:rFonts w:eastAsiaTheme="minorHAnsi"/>
        </w:rPr>
        <w:t xml:space="preserve"> controls</w:t>
      </w:r>
    </w:p>
    <w:p w14:paraId="1A375E29" w14:textId="2E40C261" w:rsidR="00FC5564" w:rsidRPr="00A04E56" w:rsidRDefault="00FC5564" w:rsidP="00FC5564">
      <w:pPr>
        <w:pStyle w:val="BodyText1spaceafter"/>
        <w:spacing w:after="120"/>
        <w:rPr>
          <w:rStyle w:val="Emphasis"/>
          <w:rFonts w:eastAsiaTheme="minorHAnsi"/>
          <w:i w:val="0"/>
          <w:noProof w:val="0"/>
          <w:color w:val="auto"/>
          <w:lang w:eastAsia="en-US"/>
        </w:rPr>
      </w:pPr>
      <w:r w:rsidRPr="00A04E56">
        <w:rPr>
          <w:rStyle w:val="Emphasis"/>
          <w:i w:val="0"/>
        </w:rPr>
        <w:t>Prevention is the first line of defence against errors. The Commission’s key preventive mechanisms include interrupting and suspending payments</w:t>
      </w:r>
      <w:r w:rsidR="00AF44E5" w:rsidRPr="00A04E56">
        <w:rPr>
          <w:rStyle w:val="fnRef"/>
          <w:rFonts w:ascii="Calibri" w:hAnsi="Calibri"/>
        </w:rPr>
        <w:t> </w:t>
      </w:r>
      <w:r w:rsidR="00AF44E5" w:rsidRPr="00A04E56">
        <w:rPr>
          <w:rStyle w:val="fnRef"/>
        </w:rPr>
        <w:t>(</w:t>
      </w:r>
      <w:r w:rsidRPr="00A04E56">
        <w:rPr>
          <w:rStyle w:val="fnRefNo"/>
        </w:rPr>
        <w:footnoteReference w:id="380"/>
      </w:r>
      <w:r w:rsidR="00AF44E5" w:rsidRPr="00A04E56">
        <w:rPr>
          <w:rStyle w:val="fnRef"/>
        </w:rPr>
        <w:t>)</w:t>
      </w:r>
      <w:r w:rsidRPr="00A04E56">
        <w:rPr>
          <w:rStyle w:val="Emphasis"/>
          <w:i w:val="0"/>
        </w:rPr>
        <w:t xml:space="preserve">, as well as carrying out </w:t>
      </w:r>
      <w:r w:rsidRPr="00A04E56">
        <w:rPr>
          <w:rStyle w:val="Emphasis"/>
        </w:rPr>
        <w:t>ex</w:t>
      </w:r>
      <w:r w:rsidR="00BA4EA5" w:rsidRPr="00A04E56">
        <w:rPr>
          <w:rStyle w:val="Emphasis"/>
        </w:rPr>
        <w:t xml:space="preserve"> </w:t>
      </w:r>
      <w:r w:rsidRPr="00A04E56">
        <w:rPr>
          <w:rStyle w:val="Emphasis"/>
        </w:rPr>
        <w:t>ante</w:t>
      </w:r>
      <w:r w:rsidRPr="00A04E56">
        <w:rPr>
          <w:rStyle w:val="Emphasis"/>
          <w:i w:val="0"/>
        </w:rPr>
        <w:t xml:space="preserve"> </w:t>
      </w:r>
      <w:r w:rsidR="000C26D2" w:rsidRPr="00A04E56">
        <w:rPr>
          <w:rStyle w:val="Emphasis"/>
          <w:i w:val="0"/>
        </w:rPr>
        <w:t>checks (‘</w:t>
      </w:r>
      <w:r w:rsidRPr="00A04E56">
        <w:rPr>
          <w:rStyle w:val="Emphasis"/>
          <w:i w:val="0"/>
        </w:rPr>
        <w:t>controls</w:t>
      </w:r>
      <w:r w:rsidR="000C26D2" w:rsidRPr="00A04E56">
        <w:rPr>
          <w:rStyle w:val="Emphasis"/>
          <w:i w:val="0"/>
        </w:rPr>
        <w:t>’)</w:t>
      </w:r>
      <w:r w:rsidRPr="00A04E56">
        <w:rPr>
          <w:rStyle w:val="Emphasis"/>
          <w:i w:val="0"/>
        </w:rPr>
        <w:t xml:space="preserve"> leading to the rejection of ineligible amounts before the Commission accepts expenditure and makes payments. The Commission focuses more and more on such preventive measures with a view to better protecting the EU budget. These also serve as incentives for Member States to reduce irregular payments. </w:t>
      </w:r>
      <w:r w:rsidR="008C1D39" w:rsidRPr="00A04E56">
        <w:rPr>
          <w:rStyle w:val="BOLDLIGHTBLUEReport"/>
          <w:rFonts w:eastAsia="Calibri"/>
          <w:i/>
          <w:u w:val="single"/>
        </w:rPr>
        <w:t>In 2018</w:t>
      </w:r>
      <w:r w:rsidRPr="00A04E56">
        <w:rPr>
          <w:rStyle w:val="BOLDLIGHTBLUEReport"/>
          <w:rFonts w:eastAsia="Calibri"/>
        </w:rPr>
        <w:t>, preventive measures confirmed amounted to EUR 4</w:t>
      </w:r>
      <w:r w:rsidR="000C0DC5" w:rsidRPr="00A04E56">
        <w:rPr>
          <w:rStyle w:val="BOLDLIGHTBLUEReport"/>
          <w:rFonts w:eastAsia="Calibri"/>
        </w:rPr>
        <w:t>49</w:t>
      </w:r>
      <w:r w:rsidRPr="00A04E56">
        <w:rPr>
          <w:rStyle w:val="BOLDLIGHTBLUEReport"/>
          <w:rFonts w:eastAsia="Calibri"/>
        </w:rPr>
        <w:t xml:space="preserve"> million and preventive measures implemented amounted to EUR 55</w:t>
      </w:r>
      <w:r w:rsidR="000C0DC5" w:rsidRPr="00A04E56">
        <w:rPr>
          <w:rStyle w:val="BOLDLIGHTBLUEReport"/>
          <w:rFonts w:eastAsia="Calibri"/>
        </w:rPr>
        <w:t>1</w:t>
      </w:r>
      <w:r w:rsidRPr="00A04E56">
        <w:rPr>
          <w:rStyle w:val="BOLDLIGHTBLUEReport"/>
          <w:rFonts w:eastAsia="Calibri"/>
        </w:rPr>
        <w:t xml:space="preserve"> million</w:t>
      </w:r>
      <w:r w:rsidRPr="00A04E56">
        <w:rPr>
          <w:rStyle w:val="Emphasis"/>
          <w:i w:val="0"/>
        </w:rPr>
        <w:t xml:space="preserve">. These include </w:t>
      </w:r>
      <w:r w:rsidRPr="00A04E56" w:rsidDel="0023203E">
        <w:rPr>
          <w:rStyle w:val="Emphasis"/>
        </w:rPr>
        <w:t>ex ante</w:t>
      </w:r>
      <w:r w:rsidRPr="00A04E56" w:rsidDel="0023203E">
        <w:rPr>
          <w:rStyle w:val="Emphasis"/>
          <w:i w:val="0"/>
        </w:rPr>
        <w:t xml:space="preserve"> </w:t>
      </w:r>
      <w:r w:rsidRPr="00A04E56">
        <w:rPr>
          <w:rStyle w:val="Emphasis"/>
          <w:i w:val="0"/>
        </w:rPr>
        <w:t>controls</w:t>
      </w:r>
      <w:r w:rsidRPr="00A04E56" w:rsidDel="0023203E">
        <w:rPr>
          <w:rStyle w:val="Emphasis"/>
          <w:i w:val="0"/>
        </w:rPr>
        <w:t xml:space="preserve"> </w:t>
      </w:r>
      <w:r w:rsidRPr="00A04E56">
        <w:rPr>
          <w:rStyle w:val="Emphasis"/>
          <w:i w:val="0"/>
        </w:rPr>
        <w:t xml:space="preserve">such as deductions before payment/acceptance by the Commission, Member State deductions from new expenditure declared to the Commission (‘at source’ deductions) and other </w:t>
      </w:r>
      <w:r w:rsidRPr="00A04E56">
        <w:rPr>
          <w:rStyle w:val="Emphasis"/>
        </w:rPr>
        <w:t>ex</w:t>
      </w:r>
      <w:r w:rsidR="00BA4EA5" w:rsidRPr="00A04E56">
        <w:rPr>
          <w:rStyle w:val="Emphasis"/>
        </w:rPr>
        <w:t xml:space="preserve"> </w:t>
      </w:r>
      <w:r w:rsidRPr="00A04E56">
        <w:rPr>
          <w:rStyle w:val="Emphasis"/>
        </w:rPr>
        <w:t>ante</w:t>
      </w:r>
      <w:r w:rsidRPr="00A04E56">
        <w:rPr>
          <w:rStyle w:val="Emphasis"/>
          <w:i w:val="0"/>
        </w:rPr>
        <w:t xml:space="preserve"> adjustments which, if not performed, would otherwise have led to expenditure being incurred that was not in line with the legal framework.</w:t>
      </w:r>
    </w:p>
    <w:tbl>
      <w:tblPr>
        <w:tblStyle w:val="GridTable4-Accent11"/>
        <w:tblW w:w="9091" w:type="dxa"/>
        <w:tblInd w:w="57" w:type="dxa"/>
        <w:tblLayout w:type="fixed"/>
        <w:tblCellMar>
          <w:top w:w="57" w:type="dxa"/>
          <w:left w:w="57" w:type="dxa"/>
          <w:bottom w:w="57" w:type="dxa"/>
          <w:right w:w="57" w:type="dxa"/>
        </w:tblCellMar>
        <w:tblLook w:val="04A0" w:firstRow="1" w:lastRow="0" w:firstColumn="1" w:lastColumn="0" w:noHBand="0" w:noVBand="1"/>
      </w:tblPr>
      <w:tblGrid>
        <w:gridCol w:w="2596"/>
        <w:gridCol w:w="1677"/>
        <w:gridCol w:w="530"/>
        <w:gridCol w:w="2630"/>
        <w:gridCol w:w="1658"/>
      </w:tblGrid>
      <w:tr w:rsidR="00FC5564" w:rsidRPr="00A04E56" w14:paraId="32A4AA48" w14:textId="77777777" w:rsidTr="00C53476">
        <w:trPr>
          <w:cnfStyle w:val="100000000000" w:firstRow="1" w:lastRow="0" w:firstColumn="0" w:lastColumn="0" w:oddVBand="0" w:evenVBand="0" w:oddHBand="0" w:evenHBand="0" w:firstRowFirstColumn="0" w:firstRowLastColumn="0" w:lastRowFirstColumn="0" w:lastRowLastColumn="0"/>
          <w:cantSplit/>
          <w:trHeight w:val="510"/>
        </w:trPr>
        <w:tc>
          <w:tcPr>
            <w:cnfStyle w:val="001000000000" w:firstRow="0" w:lastRow="0" w:firstColumn="1" w:lastColumn="0" w:oddVBand="0" w:evenVBand="0" w:oddHBand="0" w:evenHBand="0" w:firstRowFirstColumn="0" w:firstRowLastColumn="0" w:lastRowFirstColumn="0" w:lastRowLastColumn="0"/>
            <w:tcW w:w="2596" w:type="dxa"/>
            <w:tcBorders>
              <w:right w:val="single" w:sz="4" w:space="0" w:color="FFFFFF" w:themeColor="background1"/>
            </w:tcBorders>
            <w:vAlign w:val="center"/>
          </w:tcPr>
          <w:p w14:paraId="59241BBE" w14:textId="77777777" w:rsidR="00FC5564" w:rsidRPr="00A04E56" w:rsidRDefault="00FC5564" w:rsidP="003417EA">
            <w:pPr>
              <w:pStyle w:val="BodyText"/>
              <w:keepNext/>
              <w:spacing w:after="100" w:afterAutospacing="1"/>
              <w:rPr>
                <w:b w:val="0"/>
              </w:rPr>
            </w:pPr>
            <w:r w:rsidRPr="00A04E56">
              <w:t>Preventive measures confirmed</w:t>
            </w:r>
          </w:p>
        </w:tc>
        <w:tc>
          <w:tcPr>
            <w:tcW w:w="1677" w:type="dxa"/>
            <w:tcBorders>
              <w:left w:val="single" w:sz="4" w:space="0" w:color="FFFFFF" w:themeColor="background1"/>
            </w:tcBorders>
            <w:vAlign w:val="center"/>
          </w:tcPr>
          <w:p w14:paraId="5949217D" w14:textId="77777777" w:rsidR="00FC5564" w:rsidRPr="00A04E56" w:rsidRDefault="00FC5564" w:rsidP="003417EA">
            <w:pPr>
              <w:pStyle w:val="BodyText"/>
              <w:keepNext/>
              <w:spacing w:after="100" w:afterAutospacing="1"/>
              <w:jc w:val="right"/>
              <w:cnfStyle w:val="100000000000" w:firstRow="1" w:lastRow="0" w:firstColumn="0" w:lastColumn="0" w:oddVBand="0" w:evenVBand="0" w:oddHBand="0" w:evenHBand="0" w:firstRowFirstColumn="0" w:firstRowLastColumn="0" w:lastRowFirstColumn="0" w:lastRowLastColumn="0"/>
              <w:rPr>
                <w:b w:val="0"/>
              </w:rPr>
            </w:pPr>
            <w:r w:rsidRPr="00A04E56">
              <w:t>2018</w:t>
            </w:r>
          </w:p>
        </w:tc>
        <w:tc>
          <w:tcPr>
            <w:tcW w:w="530" w:type="dxa"/>
            <w:tcBorders>
              <w:top w:val="nil"/>
              <w:bottom w:val="nil"/>
            </w:tcBorders>
            <w:shd w:val="clear" w:color="auto" w:fill="FFFFFF" w:themeFill="background1"/>
            <w:vAlign w:val="center"/>
          </w:tcPr>
          <w:p w14:paraId="65968D9A" w14:textId="77777777" w:rsidR="00FC5564" w:rsidRPr="00A04E56" w:rsidRDefault="00FC5564" w:rsidP="003417EA">
            <w:pPr>
              <w:pStyle w:val="BodyText"/>
              <w:keepNext/>
              <w:cnfStyle w:val="100000000000" w:firstRow="1" w:lastRow="0" w:firstColumn="0" w:lastColumn="0" w:oddVBand="0" w:evenVBand="0" w:oddHBand="0" w:evenHBand="0" w:firstRowFirstColumn="0" w:firstRowLastColumn="0" w:lastRowFirstColumn="0" w:lastRowLastColumn="0"/>
              <w:rPr>
                <w:b w:val="0"/>
              </w:rPr>
            </w:pPr>
          </w:p>
        </w:tc>
        <w:tc>
          <w:tcPr>
            <w:tcW w:w="2630" w:type="dxa"/>
            <w:tcBorders>
              <w:right w:val="single" w:sz="4" w:space="0" w:color="FFFFFF" w:themeColor="background1"/>
            </w:tcBorders>
            <w:vAlign w:val="center"/>
          </w:tcPr>
          <w:p w14:paraId="5BC33AF0" w14:textId="77777777" w:rsidR="00FC5564" w:rsidRPr="00A04E56" w:rsidRDefault="00FC5564" w:rsidP="003417EA">
            <w:pPr>
              <w:pStyle w:val="BodyText"/>
              <w:keepNext/>
              <w:spacing w:after="0"/>
              <w:cnfStyle w:val="100000000000" w:firstRow="1" w:lastRow="0" w:firstColumn="0" w:lastColumn="0" w:oddVBand="0" w:evenVBand="0" w:oddHBand="0" w:evenHBand="0" w:firstRowFirstColumn="0" w:firstRowLastColumn="0" w:lastRowFirstColumn="0" w:lastRowLastColumn="0"/>
              <w:rPr>
                <w:b w:val="0"/>
              </w:rPr>
            </w:pPr>
            <w:r w:rsidRPr="00A04E56">
              <w:t>Preventive measures implemented</w:t>
            </w:r>
          </w:p>
        </w:tc>
        <w:tc>
          <w:tcPr>
            <w:tcW w:w="1658" w:type="dxa"/>
            <w:tcBorders>
              <w:left w:val="single" w:sz="4" w:space="0" w:color="FFFFFF" w:themeColor="background1"/>
            </w:tcBorders>
            <w:vAlign w:val="center"/>
          </w:tcPr>
          <w:p w14:paraId="6BB8FBE6" w14:textId="77777777" w:rsidR="00FC5564" w:rsidRPr="00A04E56" w:rsidRDefault="00FC5564" w:rsidP="003417EA">
            <w:pPr>
              <w:pStyle w:val="BodyText"/>
              <w:keepNext/>
              <w:spacing w:after="0"/>
              <w:jc w:val="right"/>
              <w:cnfStyle w:val="100000000000" w:firstRow="1" w:lastRow="0" w:firstColumn="0" w:lastColumn="0" w:oddVBand="0" w:evenVBand="0" w:oddHBand="0" w:evenHBand="0" w:firstRowFirstColumn="0" w:firstRowLastColumn="0" w:lastRowFirstColumn="0" w:lastRowLastColumn="0"/>
              <w:rPr>
                <w:b w:val="0"/>
              </w:rPr>
            </w:pPr>
            <w:r w:rsidRPr="00A04E56">
              <w:t>2018</w:t>
            </w:r>
          </w:p>
        </w:tc>
      </w:tr>
      <w:tr w:rsidR="00FC5564" w:rsidRPr="00A04E56" w14:paraId="50691E69" w14:textId="77777777" w:rsidTr="00C53476">
        <w:trPr>
          <w:cnfStyle w:val="000000100000" w:firstRow="0" w:lastRow="0" w:firstColumn="0" w:lastColumn="0" w:oddVBand="0" w:evenVBand="0" w:oddHBand="1" w:evenHBand="0" w:firstRowFirstColumn="0" w:firstRowLastColumn="0" w:lastRowFirstColumn="0" w:lastRowLastColumn="0"/>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72254C38" w14:textId="77777777" w:rsidR="00FC5564" w:rsidRPr="00A04E56" w:rsidRDefault="00FC5564" w:rsidP="003417EA">
            <w:pPr>
              <w:pStyle w:val="BodyText"/>
              <w:keepNext/>
              <w:rPr>
                <w:b w:val="0"/>
              </w:rPr>
            </w:pPr>
            <w:r w:rsidRPr="00A04E56">
              <w:t>Agricultural policy:</w:t>
            </w:r>
          </w:p>
        </w:tc>
        <w:tc>
          <w:tcPr>
            <w:tcW w:w="1677" w:type="dxa"/>
          </w:tcPr>
          <w:p w14:paraId="1BE9E5CD"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rPr>
              <w:t>87</w:t>
            </w:r>
          </w:p>
        </w:tc>
        <w:tc>
          <w:tcPr>
            <w:tcW w:w="530" w:type="dxa"/>
            <w:tcBorders>
              <w:top w:val="nil"/>
              <w:bottom w:val="nil"/>
            </w:tcBorders>
            <w:shd w:val="clear" w:color="auto" w:fill="FFFFFF" w:themeFill="background1"/>
          </w:tcPr>
          <w:p w14:paraId="77219AD9"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p>
        </w:tc>
        <w:tc>
          <w:tcPr>
            <w:tcW w:w="2630" w:type="dxa"/>
          </w:tcPr>
          <w:p w14:paraId="5F3E6B92" w14:textId="77777777" w:rsidR="00FC5564" w:rsidRPr="00A04E56" w:rsidRDefault="00FC5564" w:rsidP="003417EA">
            <w:pPr>
              <w:pStyle w:val="BodyText"/>
              <w:keepNext/>
              <w:cnfStyle w:val="000000100000" w:firstRow="0" w:lastRow="0" w:firstColumn="0" w:lastColumn="0" w:oddVBand="0" w:evenVBand="0" w:oddHBand="1" w:evenHBand="0" w:firstRowFirstColumn="0" w:firstRowLastColumn="0" w:lastRowFirstColumn="0" w:lastRowLastColumn="0"/>
              <w:rPr>
                <w:b/>
              </w:rPr>
            </w:pPr>
            <w:r w:rsidRPr="00A04E56">
              <w:rPr>
                <w:b/>
              </w:rPr>
              <w:t>Agricultural policy:</w:t>
            </w:r>
          </w:p>
        </w:tc>
        <w:tc>
          <w:tcPr>
            <w:tcW w:w="1658" w:type="dxa"/>
          </w:tcPr>
          <w:p w14:paraId="78B199E0"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rPr>
              <w:t>87</w:t>
            </w:r>
          </w:p>
        </w:tc>
      </w:tr>
      <w:tr w:rsidR="00FC5564" w:rsidRPr="00A04E56" w14:paraId="1FE36215" w14:textId="77777777" w:rsidTr="00491FBD">
        <w:trPr>
          <w:cantSplit/>
          <w:trHeight w:hRule="exact" w:val="587"/>
        </w:trPr>
        <w:tc>
          <w:tcPr>
            <w:cnfStyle w:val="001000000000" w:firstRow="0" w:lastRow="0" w:firstColumn="1" w:lastColumn="0" w:oddVBand="0" w:evenVBand="0" w:oddHBand="0" w:evenHBand="0" w:firstRowFirstColumn="0" w:firstRowLastColumn="0" w:lastRowFirstColumn="0" w:lastRowLastColumn="0"/>
            <w:tcW w:w="2596" w:type="dxa"/>
          </w:tcPr>
          <w:p w14:paraId="6BC07BAE" w14:textId="0385CD1F" w:rsidR="00FC5564" w:rsidRPr="00A04E56" w:rsidRDefault="00491FBD" w:rsidP="003417EA">
            <w:pPr>
              <w:pStyle w:val="BodyText"/>
              <w:keepNext/>
              <w:ind w:left="142"/>
            </w:pPr>
            <w:r w:rsidRPr="00491FBD">
              <w:t>European Agricultural Guarantee Fund</w:t>
            </w:r>
          </w:p>
        </w:tc>
        <w:tc>
          <w:tcPr>
            <w:tcW w:w="1677" w:type="dxa"/>
          </w:tcPr>
          <w:p w14:paraId="5255C4BC"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87</w:t>
            </w:r>
          </w:p>
        </w:tc>
        <w:tc>
          <w:tcPr>
            <w:tcW w:w="530" w:type="dxa"/>
            <w:tcBorders>
              <w:top w:val="nil"/>
              <w:bottom w:val="nil"/>
            </w:tcBorders>
            <w:shd w:val="clear" w:color="auto" w:fill="FFFFFF" w:themeFill="background1"/>
          </w:tcPr>
          <w:p w14:paraId="3F694A52"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630" w:type="dxa"/>
          </w:tcPr>
          <w:p w14:paraId="45550674" w14:textId="75258C65" w:rsidR="00FC5564" w:rsidRPr="00A04E56" w:rsidDel="00DA49D3" w:rsidRDefault="00491FBD" w:rsidP="003417EA">
            <w:pPr>
              <w:pStyle w:val="BodyText"/>
              <w:keepNext/>
              <w:ind w:left="137"/>
              <w:cnfStyle w:val="000000000000" w:firstRow="0" w:lastRow="0" w:firstColumn="0" w:lastColumn="0" w:oddVBand="0" w:evenVBand="0" w:oddHBand="0" w:evenHBand="0" w:firstRowFirstColumn="0" w:firstRowLastColumn="0" w:lastRowFirstColumn="0" w:lastRowLastColumn="0"/>
              <w:rPr>
                <w:b/>
              </w:rPr>
            </w:pPr>
            <w:r w:rsidRPr="00491FBD">
              <w:rPr>
                <w:b/>
              </w:rPr>
              <w:t>European Agricultural Guarantee Fund</w:t>
            </w:r>
          </w:p>
        </w:tc>
        <w:tc>
          <w:tcPr>
            <w:tcW w:w="1658" w:type="dxa"/>
          </w:tcPr>
          <w:p w14:paraId="69E561BC"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87</w:t>
            </w:r>
          </w:p>
        </w:tc>
      </w:tr>
      <w:tr w:rsidR="00FC5564" w:rsidRPr="00A04E56" w14:paraId="4BD2A6DC" w14:textId="77777777" w:rsidTr="00C53476">
        <w:trPr>
          <w:cnfStyle w:val="000000100000" w:firstRow="0" w:lastRow="0" w:firstColumn="0" w:lastColumn="0" w:oddVBand="0" w:evenVBand="0" w:oddHBand="1" w:evenHBand="0" w:firstRowFirstColumn="0" w:firstRowLastColumn="0" w:lastRowFirstColumn="0" w:lastRowLastColumn="0"/>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713691F9" w14:textId="77777777" w:rsidR="00FC5564" w:rsidRPr="00A04E56" w:rsidRDefault="00FC5564" w:rsidP="003417EA">
            <w:pPr>
              <w:pStyle w:val="BodyText"/>
              <w:keepNext/>
              <w:ind w:left="142"/>
            </w:pPr>
            <w:r w:rsidRPr="00A04E56">
              <w:t>Rural Development</w:t>
            </w:r>
          </w:p>
        </w:tc>
        <w:tc>
          <w:tcPr>
            <w:tcW w:w="1677" w:type="dxa"/>
          </w:tcPr>
          <w:p w14:paraId="558AEF32"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c>
          <w:tcPr>
            <w:tcW w:w="530" w:type="dxa"/>
            <w:tcBorders>
              <w:top w:val="nil"/>
              <w:bottom w:val="nil"/>
            </w:tcBorders>
            <w:shd w:val="clear" w:color="auto" w:fill="FFFFFF" w:themeFill="background1"/>
          </w:tcPr>
          <w:p w14:paraId="4E07472D"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630" w:type="dxa"/>
          </w:tcPr>
          <w:p w14:paraId="0842666A" w14:textId="77777777" w:rsidR="00FC5564" w:rsidRPr="00A04E56" w:rsidDel="00DA49D3" w:rsidRDefault="00FC5564"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A04E56">
              <w:rPr>
                <w:b/>
              </w:rPr>
              <w:t>Rural Development</w:t>
            </w:r>
          </w:p>
        </w:tc>
        <w:tc>
          <w:tcPr>
            <w:tcW w:w="1658" w:type="dxa"/>
          </w:tcPr>
          <w:p w14:paraId="765F948C"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r>
      <w:tr w:rsidR="00FC5564" w:rsidRPr="00A04E56" w14:paraId="0D5EDF54" w14:textId="77777777" w:rsidTr="00C53476">
        <w:trPr>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6B582441" w14:textId="77777777" w:rsidR="00FC5564" w:rsidRPr="00A04E56" w:rsidRDefault="00FC5564" w:rsidP="003417EA">
            <w:pPr>
              <w:pStyle w:val="BodyText"/>
              <w:keepNext/>
              <w:rPr>
                <w:b w:val="0"/>
              </w:rPr>
            </w:pPr>
            <w:r w:rsidRPr="00A04E56">
              <w:t>Cohesion policy:</w:t>
            </w:r>
          </w:p>
        </w:tc>
        <w:tc>
          <w:tcPr>
            <w:tcW w:w="1677" w:type="dxa"/>
          </w:tcPr>
          <w:p w14:paraId="2F73C5C1" w14:textId="056DC94D" w:rsidR="00FC5564" w:rsidRPr="00A04E56" w:rsidRDefault="00680C2E"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w:t>
            </w:r>
          </w:p>
        </w:tc>
        <w:tc>
          <w:tcPr>
            <w:tcW w:w="530" w:type="dxa"/>
            <w:tcBorders>
              <w:top w:val="nil"/>
              <w:bottom w:val="nil"/>
            </w:tcBorders>
            <w:shd w:val="clear" w:color="auto" w:fill="FFFFFF" w:themeFill="background1"/>
          </w:tcPr>
          <w:p w14:paraId="07764593"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p>
        </w:tc>
        <w:tc>
          <w:tcPr>
            <w:tcW w:w="2630" w:type="dxa"/>
          </w:tcPr>
          <w:p w14:paraId="5F57BE51" w14:textId="77777777" w:rsidR="00FC5564" w:rsidRPr="00A04E56" w:rsidDel="00DA49D3" w:rsidRDefault="00FC5564" w:rsidP="003417EA">
            <w:pPr>
              <w:pStyle w:val="BodyText"/>
              <w:keepNext/>
              <w:cnfStyle w:val="000000000000" w:firstRow="0" w:lastRow="0" w:firstColumn="0" w:lastColumn="0" w:oddVBand="0" w:evenVBand="0" w:oddHBand="0" w:evenHBand="0" w:firstRowFirstColumn="0" w:firstRowLastColumn="0" w:lastRowFirstColumn="0" w:lastRowLastColumn="0"/>
              <w:rPr>
                <w:b/>
              </w:rPr>
            </w:pPr>
            <w:r w:rsidRPr="00A04E56">
              <w:rPr>
                <w:b/>
              </w:rPr>
              <w:t>Cohesion policy:</w:t>
            </w:r>
          </w:p>
        </w:tc>
        <w:tc>
          <w:tcPr>
            <w:tcW w:w="1658" w:type="dxa"/>
          </w:tcPr>
          <w:p w14:paraId="442CFFD1" w14:textId="5FD03C14"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10</w:t>
            </w:r>
            <w:r w:rsidR="00680C2E" w:rsidRPr="00A04E56">
              <w:rPr>
                <w:b/>
              </w:rPr>
              <w:t>5</w:t>
            </w:r>
          </w:p>
        </w:tc>
      </w:tr>
      <w:tr w:rsidR="00FC5564" w:rsidRPr="00A04E56" w14:paraId="5ED25B86" w14:textId="77777777" w:rsidTr="004D4F6A">
        <w:trPr>
          <w:cnfStyle w:val="000000100000" w:firstRow="0" w:lastRow="0" w:firstColumn="0" w:lastColumn="0" w:oddVBand="0" w:evenVBand="0" w:oddHBand="1" w:evenHBand="0" w:firstRowFirstColumn="0" w:firstRowLastColumn="0" w:lastRowFirstColumn="0" w:lastRowLastColumn="0"/>
          <w:cantSplit/>
          <w:trHeight w:hRule="exact" w:val="545"/>
        </w:trPr>
        <w:tc>
          <w:tcPr>
            <w:cnfStyle w:val="001000000000" w:firstRow="0" w:lastRow="0" w:firstColumn="1" w:lastColumn="0" w:oddVBand="0" w:evenVBand="0" w:oddHBand="0" w:evenHBand="0" w:firstRowFirstColumn="0" w:firstRowLastColumn="0" w:lastRowFirstColumn="0" w:lastRowLastColumn="0"/>
            <w:tcW w:w="2596" w:type="dxa"/>
          </w:tcPr>
          <w:p w14:paraId="0BAA4A4C" w14:textId="4AE0FC29" w:rsidR="00FC5564" w:rsidRPr="00A04E56" w:rsidRDefault="004D4F6A" w:rsidP="003417EA">
            <w:pPr>
              <w:pStyle w:val="BodyText"/>
              <w:keepNext/>
              <w:ind w:left="142"/>
              <w:rPr>
                <w:b w:val="0"/>
              </w:rPr>
            </w:pPr>
            <w:r w:rsidRPr="004D4F6A">
              <w:t>European Regional Development Fund</w:t>
            </w:r>
          </w:p>
        </w:tc>
        <w:tc>
          <w:tcPr>
            <w:tcW w:w="1677" w:type="dxa"/>
          </w:tcPr>
          <w:p w14:paraId="1EF1029A" w14:textId="529DB271" w:rsidR="00FC5564" w:rsidRPr="00A04E56" w:rsidRDefault="00680C2E"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c>
          <w:tcPr>
            <w:tcW w:w="530" w:type="dxa"/>
            <w:tcBorders>
              <w:top w:val="nil"/>
              <w:bottom w:val="nil"/>
            </w:tcBorders>
            <w:shd w:val="clear" w:color="auto" w:fill="FFFFFF" w:themeFill="background1"/>
          </w:tcPr>
          <w:p w14:paraId="1EFDA23E"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630" w:type="dxa"/>
          </w:tcPr>
          <w:p w14:paraId="0345E544" w14:textId="025941F5" w:rsidR="00FC5564" w:rsidRPr="00A04E56" w:rsidDel="00DA49D3" w:rsidRDefault="004D4F6A"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4D4F6A">
              <w:rPr>
                <w:b/>
              </w:rPr>
              <w:t>European Regional Development Fund</w:t>
            </w:r>
          </w:p>
        </w:tc>
        <w:tc>
          <w:tcPr>
            <w:tcW w:w="1658" w:type="dxa"/>
          </w:tcPr>
          <w:p w14:paraId="2B7912C8" w14:textId="06D3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10</w:t>
            </w:r>
            <w:r w:rsidR="00680C2E" w:rsidRPr="00A04E56">
              <w:t>5</w:t>
            </w:r>
          </w:p>
        </w:tc>
      </w:tr>
      <w:tr w:rsidR="00FC5564" w:rsidRPr="00A04E56" w14:paraId="0AA18EB4" w14:textId="77777777" w:rsidTr="00C53476">
        <w:trPr>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470DFE7E" w14:textId="77777777" w:rsidR="00FC5564" w:rsidRPr="00A04E56" w:rsidRDefault="00FC5564" w:rsidP="003417EA">
            <w:pPr>
              <w:pStyle w:val="BodyText"/>
              <w:keepNext/>
              <w:ind w:left="142"/>
              <w:rPr>
                <w:b w:val="0"/>
              </w:rPr>
            </w:pPr>
            <w:r w:rsidRPr="00A04E56">
              <w:t>Cohesion Fund</w:t>
            </w:r>
          </w:p>
        </w:tc>
        <w:tc>
          <w:tcPr>
            <w:tcW w:w="1677" w:type="dxa"/>
          </w:tcPr>
          <w:p w14:paraId="7EE9074E"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w:t>
            </w:r>
          </w:p>
        </w:tc>
        <w:tc>
          <w:tcPr>
            <w:tcW w:w="530" w:type="dxa"/>
            <w:tcBorders>
              <w:top w:val="nil"/>
              <w:bottom w:val="nil"/>
            </w:tcBorders>
            <w:shd w:val="clear" w:color="auto" w:fill="FFFFFF" w:themeFill="background1"/>
          </w:tcPr>
          <w:p w14:paraId="4CCA2BE1"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630" w:type="dxa"/>
          </w:tcPr>
          <w:p w14:paraId="030229FD" w14:textId="77777777" w:rsidR="00FC5564" w:rsidRPr="00A04E56" w:rsidDel="00DA49D3" w:rsidRDefault="00FC5564" w:rsidP="003417EA">
            <w:pPr>
              <w:pStyle w:val="BodyText"/>
              <w:keepNext/>
              <w:ind w:left="137"/>
              <w:cnfStyle w:val="000000000000" w:firstRow="0" w:lastRow="0" w:firstColumn="0" w:lastColumn="0" w:oddVBand="0" w:evenVBand="0" w:oddHBand="0" w:evenHBand="0" w:firstRowFirstColumn="0" w:firstRowLastColumn="0" w:lastRowFirstColumn="0" w:lastRowLastColumn="0"/>
              <w:rPr>
                <w:b/>
              </w:rPr>
            </w:pPr>
            <w:r w:rsidRPr="00A04E56">
              <w:rPr>
                <w:b/>
              </w:rPr>
              <w:t>Cohesion Fund</w:t>
            </w:r>
          </w:p>
        </w:tc>
        <w:tc>
          <w:tcPr>
            <w:tcW w:w="1658" w:type="dxa"/>
          </w:tcPr>
          <w:p w14:paraId="05117AD2"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w:t>
            </w:r>
          </w:p>
        </w:tc>
      </w:tr>
      <w:tr w:rsidR="00FC5564" w:rsidRPr="00A04E56" w14:paraId="067EEB55" w14:textId="77777777" w:rsidTr="00C53476">
        <w:trPr>
          <w:cnfStyle w:val="000000100000" w:firstRow="0" w:lastRow="0" w:firstColumn="0" w:lastColumn="0" w:oddVBand="0" w:evenVBand="0" w:oddHBand="1" w:evenHBand="0" w:firstRowFirstColumn="0" w:firstRowLastColumn="0" w:lastRowFirstColumn="0" w:lastRowLastColumn="0"/>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72EC53A3" w14:textId="0990D881" w:rsidR="00FC5564" w:rsidRPr="00A04E56" w:rsidRDefault="004D4F6A" w:rsidP="003417EA">
            <w:pPr>
              <w:pStyle w:val="BodyText"/>
              <w:keepNext/>
              <w:ind w:left="142"/>
              <w:rPr>
                <w:b w:val="0"/>
              </w:rPr>
            </w:pPr>
            <w:r w:rsidRPr="004D4F6A">
              <w:t>European Social Fund</w:t>
            </w:r>
          </w:p>
        </w:tc>
        <w:tc>
          <w:tcPr>
            <w:tcW w:w="1677" w:type="dxa"/>
          </w:tcPr>
          <w:p w14:paraId="6F51975D"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c>
          <w:tcPr>
            <w:tcW w:w="530" w:type="dxa"/>
            <w:tcBorders>
              <w:top w:val="nil"/>
              <w:bottom w:val="nil"/>
            </w:tcBorders>
            <w:shd w:val="clear" w:color="auto" w:fill="FFFFFF" w:themeFill="background1"/>
          </w:tcPr>
          <w:p w14:paraId="2828CD89"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630" w:type="dxa"/>
          </w:tcPr>
          <w:p w14:paraId="4061D943" w14:textId="675A5D2F" w:rsidR="00FC5564" w:rsidRPr="00A04E56" w:rsidDel="00DA49D3" w:rsidRDefault="004D4F6A"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4D4F6A">
              <w:rPr>
                <w:b/>
              </w:rPr>
              <w:t>European Social Fund</w:t>
            </w:r>
          </w:p>
        </w:tc>
        <w:tc>
          <w:tcPr>
            <w:tcW w:w="1658" w:type="dxa"/>
          </w:tcPr>
          <w:p w14:paraId="04D8A6AD"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r>
      <w:tr w:rsidR="00FC5564" w:rsidRPr="00A04E56" w14:paraId="29BF980C" w14:textId="77777777" w:rsidTr="00C53476">
        <w:trPr>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4E16BCFF" w14:textId="7936D679" w:rsidR="00FC5564" w:rsidRPr="00A04E56" w:rsidRDefault="004D4F6A" w:rsidP="003417EA">
            <w:pPr>
              <w:pStyle w:val="BodyText"/>
              <w:keepNext/>
              <w:ind w:left="142"/>
              <w:rPr>
                <w:b w:val="0"/>
              </w:rPr>
            </w:pPr>
            <w:r w:rsidRPr="004D4F6A">
              <w:t xml:space="preserve">Financial Instrument for Fisheries Guidance </w:t>
            </w:r>
            <w:r w:rsidR="00FC5564" w:rsidRPr="00A04E56">
              <w:t>/EFF</w:t>
            </w:r>
          </w:p>
        </w:tc>
        <w:tc>
          <w:tcPr>
            <w:tcW w:w="1677" w:type="dxa"/>
          </w:tcPr>
          <w:p w14:paraId="595D676A"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w:t>
            </w:r>
          </w:p>
        </w:tc>
        <w:tc>
          <w:tcPr>
            <w:tcW w:w="530" w:type="dxa"/>
            <w:tcBorders>
              <w:top w:val="nil"/>
              <w:bottom w:val="nil"/>
            </w:tcBorders>
            <w:shd w:val="clear" w:color="auto" w:fill="FFFFFF" w:themeFill="background1"/>
          </w:tcPr>
          <w:p w14:paraId="6F55331C"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630" w:type="dxa"/>
          </w:tcPr>
          <w:p w14:paraId="32969EB3" w14:textId="2DEBCA1C" w:rsidR="00FC5564" w:rsidRPr="00A04E56" w:rsidRDefault="004D4F6A" w:rsidP="003417EA">
            <w:pPr>
              <w:pStyle w:val="BodyText"/>
              <w:keepNext/>
              <w:ind w:left="137"/>
              <w:cnfStyle w:val="000000000000" w:firstRow="0" w:lastRow="0" w:firstColumn="0" w:lastColumn="0" w:oddVBand="0" w:evenVBand="0" w:oddHBand="0" w:evenHBand="0" w:firstRowFirstColumn="0" w:firstRowLastColumn="0" w:lastRowFirstColumn="0" w:lastRowLastColumn="0"/>
              <w:rPr>
                <w:b/>
              </w:rPr>
            </w:pPr>
            <w:r w:rsidRPr="004D4F6A">
              <w:rPr>
                <w:b/>
              </w:rPr>
              <w:t xml:space="preserve">Financial Instrument for Fisheries Guidance </w:t>
            </w:r>
            <w:r w:rsidR="00FC5564" w:rsidRPr="00A04E56">
              <w:rPr>
                <w:b/>
              </w:rPr>
              <w:t>/EFF</w:t>
            </w:r>
          </w:p>
        </w:tc>
        <w:tc>
          <w:tcPr>
            <w:tcW w:w="1658" w:type="dxa"/>
          </w:tcPr>
          <w:p w14:paraId="575317A9"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w:t>
            </w:r>
          </w:p>
        </w:tc>
      </w:tr>
      <w:tr w:rsidR="00FC5564" w:rsidRPr="00A04E56" w14:paraId="677E76B2" w14:textId="77777777" w:rsidTr="00491FBD">
        <w:trPr>
          <w:cnfStyle w:val="000000100000" w:firstRow="0" w:lastRow="0" w:firstColumn="0" w:lastColumn="0" w:oddVBand="0" w:evenVBand="0" w:oddHBand="1" w:evenHBand="0" w:firstRowFirstColumn="0" w:firstRowLastColumn="0" w:lastRowFirstColumn="0" w:lastRowLastColumn="0"/>
          <w:cantSplit/>
          <w:trHeight w:hRule="exact" w:val="586"/>
        </w:trPr>
        <w:tc>
          <w:tcPr>
            <w:cnfStyle w:val="001000000000" w:firstRow="0" w:lastRow="0" w:firstColumn="1" w:lastColumn="0" w:oddVBand="0" w:evenVBand="0" w:oddHBand="0" w:evenHBand="0" w:firstRowFirstColumn="0" w:firstRowLastColumn="0" w:lastRowFirstColumn="0" w:lastRowLastColumn="0"/>
            <w:tcW w:w="2596" w:type="dxa"/>
          </w:tcPr>
          <w:p w14:paraId="3638BC2F" w14:textId="67DFEA70" w:rsidR="00FC5564" w:rsidRPr="00A04E56" w:rsidRDefault="00491FBD" w:rsidP="003417EA">
            <w:pPr>
              <w:pStyle w:val="BodyText"/>
              <w:keepNext/>
              <w:ind w:left="142"/>
              <w:rPr>
                <w:b w:val="0"/>
              </w:rPr>
            </w:pPr>
            <w:r w:rsidRPr="00491FBD">
              <w:t>European Agricultural Guidance and Guarantee Fund</w:t>
            </w:r>
          </w:p>
        </w:tc>
        <w:tc>
          <w:tcPr>
            <w:tcW w:w="1677" w:type="dxa"/>
          </w:tcPr>
          <w:p w14:paraId="399816EA"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c>
          <w:tcPr>
            <w:tcW w:w="530" w:type="dxa"/>
            <w:tcBorders>
              <w:top w:val="nil"/>
              <w:bottom w:val="nil"/>
            </w:tcBorders>
            <w:shd w:val="clear" w:color="auto" w:fill="FFFFFF" w:themeFill="background1"/>
          </w:tcPr>
          <w:p w14:paraId="1AB3DF8F"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630" w:type="dxa"/>
          </w:tcPr>
          <w:p w14:paraId="01942E8B" w14:textId="6569DF7C" w:rsidR="00FC5564" w:rsidRPr="00A04E56" w:rsidDel="00DA49D3" w:rsidRDefault="00491FBD"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491FBD">
              <w:rPr>
                <w:b/>
              </w:rPr>
              <w:t>European Agricultural Guidance and Guarantee Fund</w:t>
            </w:r>
          </w:p>
        </w:tc>
        <w:tc>
          <w:tcPr>
            <w:tcW w:w="1658" w:type="dxa"/>
          </w:tcPr>
          <w:p w14:paraId="2CCA49D0"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t>-</w:t>
            </w:r>
          </w:p>
        </w:tc>
      </w:tr>
      <w:tr w:rsidR="00FC5564" w:rsidRPr="00A04E56" w14:paraId="15C5CA20" w14:textId="77777777" w:rsidTr="00C53476">
        <w:trPr>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799C709A" w14:textId="77777777" w:rsidR="00FC5564" w:rsidRPr="00A04E56" w:rsidRDefault="00FC5564" w:rsidP="003417EA">
            <w:pPr>
              <w:pStyle w:val="BodyText"/>
              <w:keepNext/>
              <w:rPr>
                <w:b w:val="0"/>
              </w:rPr>
            </w:pPr>
            <w:r w:rsidRPr="00A04E56">
              <w:t>Internal Policies</w:t>
            </w:r>
          </w:p>
        </w:tc>
        <w:tc>
          <w:tcPr>
            <w:tcW w:w="1677" w:type="dxa"/>
          </w:tcPr>
          <w:p w14:paraId="0198B5B1"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196</w:t>
            </w:r>
          </w:p>
        </w:tc>
        <w:tc>
          <w:tcPr>
            <w:tcW w:w="530" w:type="dxa"/>
            <w:tcBorders>
              <w:top w:val="nil"/>
              <w:bottom w:val="nil"/>
            </w:tcBorders>
            <w:shd w:val="clear" w:color="auto" w:fill="FFFFFF" w:themeFill="background1"/>
          </w:tcPr>
          <w:p w14:paraId="5A7EF096"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p>
        </w:tc>
        <w:tc>
          <w:tcPr>
            <w:tcW w:w="2630" w:type="dxa"/>
          </w:tcPr>
          <w:p w14:paraId="52E0878E" w14:textId="77777777" w:rsidR="00FC5564" w:rsidRPr="00A04E56" w:rsidDel="00DA49D3" w:rsidRDefault="00FC5564" w:rsidP="003417EA">
            <w:pPr>
              <w:pStyle w:val="BodyText"/>
              <w:keepNext/>
              <w:cnfStyle w:val="000000000000" w:firstRow="0" w:lastRow="0" w:firstColumn="0" w:lastColumn="0" w:oddVBand="0" w:evenVBand="0" w:oddHBand="0" w:evenHBand="0" w:firstRowFirstColumn="0" w:firstRowLastColumn="0" w:lastRowFirstColumn="0" w:lastRowLastColumn="0"/>
              <w:rPr>
                <w:b/>
              </w:rPr>
            </w:pPr>
            <w:r w:rsidRPr="00A04E56">
              <w:rPr>
                <w:b/>
              </w:rPr>
              <w:t>Internal Policies</w:t>
            </w:r>
          </w:p>
        </w:tc>
        <w:tc>
          <w:tcPr>
            <w:tcW w:w="1658" w:type="dxa"/>
          </w:tcPr>
          <w:p w14:paraId="0ABD2875" w14:textId="77777777" w:rsidR="00FC5564" w:rsidRPr="00A04E56" w:rsidDel="00DA49D3"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195</w:t>
            </w:r>
          </w:p>
        </w:tc>
      </w:tr>
      <w:tr w:rsidR="00FC5564" w:rsidRPr="00A04E56" w14:paraId="3D6BA86C" w14:textId="77777777" w:rsidTr="00C53476">
        <w:trPr>
          <w:cnfStyle w:val="000000100000" w:firstRow="0" w:lastRow="0" w:firstColumn="0" w:lastColumn="0" w:oddVBand="0" w:evenVBand="0" w:oddHBand="1" w:evenHBand="0" w:firstRowFirstColumn="0" w:firstRowLastColumn="0" w:lastRowFirstColumn="0" w:lastRowLastColumn="0"/>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5FE7FB40" w14:textId="77777777" w:rsidR="00FC5564" w:rsidRPr="00A04E56" w:rsidRDefault="00FC5564" w:rsidP="003417EA">
            <w:pPr>
              <w:pStyle w:val="BodyText"/>
              <w:keepNext/>
              <w:rPr>
                <w:b w:val="0"/>
              </w:rPr>
            </w:pPr>
            <w:r w:rsidRPr="00A04E56">
              <w:t>External Policies</w:t>
            </w:r>
          </w:p>
        </w:tc>
        <w:tc>
          <w:tcPr>
            <w:tcW w:w="1677" w:type="dxa"/>
          </w:tcPr>
          <w:p w14:paraId="619EA6FB"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rPr>
              <w:t>162</w:t>
            </w:r>
          </w:p>
        </w:tc>
        <w:tc>
          <w:tcPr>
            <w:tcW w:w="530" w:type="dxa"/>
            <w:tcBorders>
              <w:top w:val="nil"/>
              <w:bottom w:val="nil"/>
            </w:tcBorders>
            <w:shd w:val="clear" w:color="auto" w:fill="FFFFFF" w:themeFill="background1"/>
          </w:tcPr>
          <w:p w14:paraId="1E78D822"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p>
        </w:tc>
        <w:tc>
          <w:tcPr>
            <w:tcW w:w="2630" w:type="dxa"/>
          </w:tcPr>
          <w:p w14:paraId="1D0847E0" w14:textId="77777777" w:rsidR="00FC5564" w:rsidRPr="00A04E56" w:rsidRDefault="00FC5564" w:rsidP="003417EA">
            <w:pPr>
              <w:pStyle w:val="BodyText"/>
              <w:keepNext/>
              <w:cnfStyle w:val="000000100000" w:firstRow="0" w:lastRow="0" w:firstColumn="0" w:lastColumn="0" w:oddVBand="0" w:evenVBand="0" w:oddHBand="1" w:evenHBand="0" w:firstRowFirstColumn="0" w:firstRowLastColumn="0" w:lastRowFirstColumn="0" w:lastRowLastColumn="0"/>
              <w:rPr>
                <w:b/>
              </w:rPr>
            </w:pPr>
            <w:r w:rsidRPr="00A04E56">
              <w:rPr>
                <w:b/>
              </w:rPr>
              <w:t>External Policies</w:t>
            </w:r>
          </w:p>
        </w:tc>
        <w:tc>
          <w:tcPr>
            <w:tcW w:w="1658" w:type="dxa"/>
          </w:tcPr>
          <w:p w14:paraId="61BA26B4"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rPr>
              <w:t>161</w:t>
            </w:r>
          </w:p>
        </w:tc>
      </w:tr>
      <w:tr w:rsidR="00FC5564" w:rsidRPr="00A04E56" w14:paraId="0DC4C5D7" w14:textId="77777777" w:rsidTr="00C53476">
        <w:trPr>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662919B0" w14:textId="77777777" w:rsidR="00FC5564" w:rsidRPr="00A04E56" w:rsidRDefault="00FC5564" w:rsidP="003417EA">
            <w:pPr>
              <w:pStyle w:val="BodyText"/>
              <w:keepNext/>
              <w:rPr>
                <w:b w:val="0"/>
              </w:rPr>
            </w:pPr>
            <w:r w:rsidRPr="00A04E56">
              <w:t>Administration</w:t>
            </w:r>
          </w:p>
        </w:tc>
        <w:tc>
          <w:tcPr>
            <w:tcW w:w="1677" w:type="dxa"/>
          </w:tcPr>
          <w:p w14:paraId="51CB68B3"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3</w:t>
            </w:r>
          </w:p>
        </w:tc>
        <w:tc>
          <w:tcPr>
            <w:tcW w:w="530" w:type="dxa"/>
            <w:tcBorders>
              <w:top w:val="nil"/>
              <w:bottom w:val="nil"/>
            </w:tcBorders>
            <w:shd w:val="clear" w:color="auto" w:fill="FFFFFF" w:themeFill="background1"/>
          </w:tcPr>
          <w:p w14:paraId="037C8D39"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630" w:type="dxa"/>
          </w:tcPr>
          <w:p w14:paraId="5C42704A" w14:textId="77777777" w:rsidR="00FC5564" w:rsidRPr="00A04E56" w:rsidRDefault="00FC5564" w:rsidP="003417EA">
            <w:pPr>
              <w:pStyle w:val="BodyText"/>
              <w:keepNext/>
              <w:cnfStyle w:val="000000000000" w:firstRow="0" w:lastRow="0" w:firstColumn="0" w:lastColumn="0" w:oddVBand="0" w:evenVBand="0" w:oddHBand="0" w:evenHBand="0" w:firstRowFirstColumn="0" w:firstRowLastColumn="0" w:lastRowFirstColumn="0" w:lastRowLastColumn="0"/>
              <w:rPr>
                <w:b/>
              </w:rPr>
            </w:pPr>
            <w:r w:rsidRPr="00A04E56">
              <w:rPr>
                <w:b/>
              </w:rPr>
              <w:t>Administration</w:t>
            </w:r>
          </w:p>
        </w:tc>
        <w:tc>
          <w:tcPr>
            <w:tcW w:w="1658" w:type="dxa"/>
          </w:tcPr>
          <w:p w14:paraId="7BDAA3A4"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3</w:t>
            </w:r>
          </w:p>
        </w:tc>
      </w:tr>
      <w:tr w:rsidR="00FC5564" w:rsidRPr="00A04E56" w14:paraId="2FC7CE3B" w14:textId="77777777" w:rsidTr="00C53476">
        <w:trPr>
          <w:cnfStyle w:val="000000100000" w:firstRow="0" w:lastRow="0" w:firstColumn="0" w:lastColumn="0" w:oddVBand="0" w:evenVBand="0" w:oddHBand="1" w:evenHBand="0" w:firstRowFirstColumn="0" w:firstRowLastColumn="0" w:lastRowFirstColumn="0" w:lastRowLastColumn="0"/>
          <w:cantSplit/>
          <w:trHeight w:hRule="exact" w:val="286"/>
        </w:trPr>
        <w:tc>
          <w:tcPr>
            <w:cnfStyle w:val="001000000000" w:firstRow="0" w:lastRow="0" w:firstColumn="1" w:lastColumn="0" w:oddVBand="0" w:evenVBand="0" w:oddHBand="0" w:evenHBand="0" w:firstRowFirstColumn="0" w:firstRowLastColumn="0" w:lastRowFirstColumn="0" w:lastRowLastColumn="0"/>
            <w:tcW w:w="2596" w:type="dxa"/>
          </w:tcPr>
          <w:p w14:paraId="50E674F0" w14:textId="77777777" w:rsidR="00FC5564" w:rsidRPr="00A04E56" w:rsidRDefault="00FC5564" w:rsidP="003417EA">
            <w:pPr>
              <w:pStyle w:val="BodyText"/>
              <w:keepNext/>
              <w:rPr>
                <w:b w:val="0"/>
              </w:rPr>
            </w:pPr>
            <w:r w:rsidRPr="00A04E56">
              <w:t>Total</w:t>
            </w:r>
          </w:p>
        </w:tc>
        <w:tc>
          <w:tcPr>
            <w:tcW w:w="1677" w:type="dxa"/>
          </w:tcPr>
          <w:p w14:paraId="3420FEFE" w14:textId="799ABE9C"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rPr>
              <w:t>4</w:t>
            </w:r>
            <w:r w:rsidR="00680C2E" w:rsidRPr="00A04E56">
              <w:rPr>
                <w:b/>
              </w:rPr>
              <w:t>49</w:t>
            </w:r>
          </w:p>
        </w:tc>
        <w:tc>
          <w:tcPr>
            <w:tcW w:w="530" w:type="dxa"/>
            <w:tcBorders>
              <w:top w:val="nil"/>
              <w:bottom w:val="nil"/>
            </w:tcBorders>
            <w:shd w:val="clear" w:color="auto" w:fill="FFFFFF" w:themeFill="background1"/>
          </w:tcPr>
          <w:p w14:paraId="70E32E03" w14:textId="77777777"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p>
        </w:tc>
        <w:tc>
          <w:tcPr>
            <w:tcW w:w="2630" w:type="dxa"/>
          </w:tcPr>
          <w:p w14:paraId="56691DD4" w14:textId="77777777" w:rsidR="00FC5564" w:rsidRPr="00A04E56" w:rsidDel="00DA49D3" w:rsidRDefault="00FC5564" w:rsidP="003417EA">
            <w:pPr>
              <w:pStyle w:val="BodyText"/>
              <w:keepNext/>
              <w:cnfStyle w:val="000000100000" w:firstRow="0" w:lastRow="0" w:firstColumn="0" w:lastColumn="0" w:oddVBand="0" w:evenVBand="0" w:oddHBand="1" w:evenHBand="0" w:firstRowFirstColumn="0" w:firstRowLastColumn="0" w:lastRowFirstColumn="0" w:lastRowLastColumn="0"/>
              <w:rPr>
                <w:b/>
              </w:rPr>
            </w:pPr>
            <w:r w:rsidRPr="00A04E56">
              <w:rPr>
                <w:b/>
              </w:rPr>
              <w:t>Total</w:t>
            </w:r>
          </w:p>
        </w:tc>
        <w:tc>
          <w:tcPr>
            <w:tcW w:w="1658" w:type="dxa"/>
          </w:tcPr>
          <w:p w14:paraId="19AA27DB" w14:textId="408F5138" w:rsidR="00FC5564" w:rsidRPr="00A04E56" w:rsidDel="00DA49D3"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rPr>
              <w:t>55</w:t>
            </w:r>
            <w:r w:rsidR="00680C2E" w:rsidRPr="00A04E56">
              <w:rPr>
                <w:b/>
              </w:rPr>
              <w:t>1</w:t>
            </w:r>
          </w:p>
        </w:tc>
      </w:tr>
    </w:tbl>
    <w:p w14:paraId="715563D1" w14:textId="12856067" w:rsidR="009632DD" w:rsidRPr="00A04E56" w:rsidRDefault="00FC5564" w:rsidP="00107DA0">
      <w:pPr>
        <w:pStyle w:val="Source-Table-Chart-PhotoCaption"/>
        <w:rPr>
          <w:rFonts w:asciiTheme="minorHAnsi" w:hAnsiTheme="minorHAnsi"/>
          <w:i/>
          <w:color w:val="808080" w:themeColor="background1" w:themeShade="80"/>
        </w:rPr>
      </w:pPr>
      <w:r w:rsidRPr="00107DA0">
        <w:rPr>
          <w:rStyle w:val="italics"/>
        </w:rPr>
        <w:t>Tables:</w:t>
      </w:r>
      <w:r w:rsidRPr="00A04E56">
        <w:t xml:space="preserve"> Preventive measures overview for 2018 (EUR million)</w:t>
      </w:r>
      <w:r w:rsidR="00491FBD">
        <w:t xml:space="preserve"> </w:t>
      </w:r>
      <w:r w:rsidR="009632DD" w:rsidRPr="00107DA0">
        <w:t xml:space="preserve">It should be noted that due to the rounding of figures into EUR millions, some financial data in the tables above may appear not to add </w:t>
      </w:r>
      <w:r w:rsidR="009632DD" w:rsidRPr="00A04E56">
        <w:rPr>
          <w:color w:val="000000" w:themeColor="text1"/>
        </w:rPr>
        <w:t>up.</w:t>
      </w:r>
    </w:p>
    <w:p w14:paraId="4FFDFF12" w14:textId="77777777" w:rsidR="00747341" w:rsidRPr="00277538" w:rsidRDefault="00747341" w:rsidP="00107DA0">
      <w:pPr>
        <w:pStyle w:val="Source-Table-Chart-PhotoCaption"/>
        <w:rPr>
          <w:lang w:val="fr-CA"/>
        </w:rPr>
      </w:pPr>
      <w:r w:rsidRPr="00277538">
        <w:rPr>
          <w:rStyle w:val="italics"/>
          <w:lang w:val="fr-CA"/>
        </w:rPr>
        <w:t>Source:</w:t>
      </w:r>
      <w:r w:rsidRPr="00277538">
        <w:rPr>
          <w:lang w:val="fr-CA"/>
        </w:rPr>
        <w:t xml:space="preserve"> European Commission.</w:t>
      </w:r>
    </w:p>
    <w:p w14:paraId="63241AE0" w14:textId="0E5FC0E1" w:rsidR="00FC5564" w:rsidRPr="00277538" w:rsidRDefault="00967E7E" w:rsidP="00D21274">
      <w:pPr>
        <w:pStyle w:val="BodyText1"/>
        <w:keepNext/>
        <w:spacing w:after="240"/>
        <w:rPr>
          <w:rStyle w:val="BOLDLIGHTBLUEReport"/>
          <w:rFonts w:eastAsiaTheme="minorHAnsi"/>
          <w:lang w:val="fr-CA"/>
        </w:rPr>
      </w:pPr>
      <w:r w:rsidRPr="00277538">
        <w:rPr>
          <w:rStyle w:val="BOLDLIGHTBLUEReport"/>
          <w:rFonts w:eastAsiaTheme="minorHAnsi"/>
          <w:lang w:val="fr-CA"/>
        </w:rPr>
        <w:t xml:space="preserve">3.1.2. </w:t>
      </w:r>
      <w:r w:rsidR="00FC5564" w:rsidRPr="00277538">
        <w:rPr>
          <w:rStyle w:val="BOLDLIGHTBLUEReport"/>
          <w:rFonts w:eastAsiaTheme="minorHAnsi"/>
          <w:i/>
          <w:lang w:val="fr-CA"/>
        </w:rPr>
        <w:t>Ex</w:t>
      </w:r>
      <w:r w:rsidR="00C9214E" w:rsidRPr="00277538">
        <w:rPr>
          <w:rStyle w:val="BOLDLIGHTBLUEReport"/>
          <w:rFonts w:eastAsiaTheme="minorHAnsi"/>
          <w:i/>
          <w:lang w:val="fr-CA"/>
        </w:rPr>
        <w:t xml:space="preserve"> </w:t>
      </w:r>
      <w:r w:rsidR="00FC5564" w:rsidRPr="00277538">
        <w:rPr>
          <w:rStyle w:val="BOLDLIGHTBLUEReport"/>
          <w:rFonts w:eastAsiaTheme="minorHAnsi"/>
          <w:i/>
          <w:lang w:val="fr-CA"/>
        </w:rPr>
        <w:t>post</w:t>
      </w:r>
      <w:r w:rsidR="00FC5564" w:rsidRPr="00277538">
        <w:rPr>
          <w:rStyle w:val="BOLDLIGHTBLUEReport"/>
          <w:rFonts w:eastAsiaTheme="minorHAnsi"/>
          <w:lang w:val="fr-CA"/>
        </w:rPr>
        <w:t xml:space="preserve"> controls</w:t>
      </w:r>
    </w:p>
    <w:p w14:paraId="7B27F57D" w14:textId="00276594" w:rsidR="00FC5564" w:rsidRPr="00A04E56" w:rsidRDefault="00FC5564" w:rsidP="00FC5564">
      <w:pPr>
        <w:pStyle w:val="BodyText"/>
        <w:spacing w:after="240"/>
        <w:jc w:val="both"/>
        <w:rPr>
          <w:rStyle w:val="Emphasis"/>
          <w:i w:val="0"/>
        </w:rPr>
      </w:pPr>
      <w:r w:rsidRPr="00A04E56">
        <w:rPr>
          <w:rStyle w:val="Emphasis"/>
          <w:i w:val="0"/>
        </w:rPr>
        <w:t>Where preventive mechanisms are not effective, the Commission, as part of its supervisory role, appl</w:t>
      </w:r>
      <w:r w:rsidR="007C71C8" w:rsidRPr="00A04E56">
        <w:rPr>
          <w:rStyle w:val="Emphasis"/>
          <w:i w:val="0"/>
        </w:rPr>
        <w:t>ies</w:t>
      </w:r>
      <w:r w:rsidRPr="00A04E56">
        <w:rPr>
          <w:rStyle w:val="Emphasis"/>
          <w:i w:val="0"/>
        </w:rPr>
        <w:t xml:space="preserve"> corrective mechanisms. The Commission’s main corrective mechanisms include </w:t>
      </w:r>
      <w:r w:rsidRPr="00A04E56">
        <w:rPr>
          <w:rStyle w:val="Emphasis"/>
        </w:rPr>
        <w:t>ex</w:t>
      </w:r>
      <w:r w:rsidR="00BA4EA5" w:rsidRPr="00A04E56">
        <w:rPr>
          <w:rStyle w:val="Emphasis"/>
        </w:rPr>
        <w:t xml:space="preserve"> </w:t>
      </w:r>
      <w:r w:rsidRPr="00A04E56">
        <w:rPr>
          <w:rStyle w:val="Emphasis"/>
        </w:rPr>
        <w:t>post</w:t>
      </w:r>
      <w:r w:rsidRPr="00A04E56">
        <w:rPr>
          <w:rStyle w:val="Emphasis"/>
          <w:i w:val="0"/>
        </w:rPr>
        <w:t xml:space="preserve"> </w:t>
      </w:r>
      <w:r w:rsidR="009F59E7" w:rsidRPr="00A04E56">
        <w:rPr>
          <w:rStyle w:val="Emphasis"/>
          <w:i w:val="0"/>
        </w:rPr>
        <w:t>audits (‘</w:t>
      </w:r>
      <w:r w:rsidRPr="00A04E56">
        <w:rPr>
          <w:rStyle w:val="Emphasis"/>
          <w:i w:val="0"/>
        </w:rPr>
        <w:t>controls</w:t>
      </w:r>
      <w:r w:rsidR="009F59E7" w:rsidRPr="00A04E56">
        <w:rPr>
          <w:rStyle w:val="Emphasis"/>
          <w:i w:val="0"/>
        </w:rPr>
        <w:t>’)</w:t>
      </w:r>
      <w:r w:rsidRPr="00A04E56">
        <w:rPr>
          <w:rStyle w:val="Emphasis"/>
          <w:i w:val="0"/>
        </w:rPr>
        <w:t xml:space="preserve"> on amounts it has accepted and paid out. In shared management, these lead to financial corrections and in direct and indirect management, they result in recoveries from final recipients. </w:t>
      </w:r>
      <w:r w:rsidR="008C1D39" w:rsidRPr="00A04E56">
        <w:rPr>
          <w:rStyle w:val="BOLDLIGHTBLUEReport"/>
          <w:rFonts w:eastAsiaTheme="minorHAnsi"/>
          <w:i/>
          <w:u w:val="single"/>
        </w:rPr>
        <w:t>In 2018</w:t>
      </w:r>
      <w:r w:rsidRPr="00A04E56">
        <w:rPr>
          <w:rStyle w:val="BOLDLIGHTBLUEReport"/>
          <w:rFonts w:eastAsiaTheme="minorHAnsi"/>
        </w:rPr>
        <w:t>, corrective measures confirmed amounted to EUR</w:t>
      </w:r>
      <w:r w:rsidR="00810348" w:rsidRPr="00A04E56">
        <w:rPr>
          <w:rStyle w:val="BOLDLIGHTBLUEReport"/>
          <w:rFonts w:ascii="Calibri" w:eastAsiaTheme="minorHAnsi" w:hAnsi="Calibri" w:cs="Calibri"/>
        </w:rPr>
        <w:t> </w:t>
      </w:r>
      <w:r w:rsidRPr="00A04E56">
        <w:rPr>
          <w:rStyle w:val="BOLDLIGHTBLUEReport"/>
          <w:rFonts w:eastAsiaTheme="minorHAnsi"/>
        </w:rPr>
        <w:t>1.2</w:t>
      </w:r>
      <w:r w:rsidR="00810348" w:rsidRPr="00A04E56">
        <w:rPr>
          <w:rStyle w:val="BOLDLIGHTBLUEReport"/>
          <w:rFonts w:ascii="Calibri" w:eastAsiaTheme="minorHAnsi" w:hAnsi="Calibri" w:cs="Calibri"/>
        </w:rPr>
        <w:t> </w:t>
      </w:r>
      <w:r w:rsidRPr="00A04E56">
        <w:rPr>
          <w:rStyle w:val="BOLDLIGHTBLUEReport"/>
          <w:rFonts w:eastAsiaTheme="minorHAnsi"/>
        </w:rPr>
        <w:t>billion and corrective measures implemented amounted to EUR</w:t>
      </w:r>
      <w:r w:rsidR="00810348" w:rsidRPr="00A04E56">
        <w:rPr>
          <w:rStyle w:val="BOLDLIGHTBLUEReport"/>
          <w:rFonts w:ascii="Calibri" w:eastAsiaTheme="minorHAnsi" w:hAnsi="Calibri" w:cs="Calibri"/>
        </w:rPr>
        <w:t> </w:t>
      </w:r>
      <w:r w:rsidRPr="00A04E56">
        <w:rPr>
          <w:rStyle w:val="BOLDLIGHTBLUEReport"/>
          <w:rFonts w:eastAsiaTheme="minorHAnsi"/>
        </w:rPr>
        <w:t>2.6</w:t>
      </w:r>
      <w:r w:rsidR="00810348" w:rsidRPr="00A04E56">
        <w:rPr>
          <w:rStyle w:val="BOLDLIGHTBLUEReport"/>
          <w:rFonts w:ascii="Calibri" w:eastAsiaTheme="minorHAnsi" w:hAnsi="Calibri" w:cs="Calibri"/>
        </w:rPr>
        <w:t> </w:t>
      </w:r>
      <w:r w:rsidRPr="00A04E56">
        <w:rPr>
          <w:rStyle w:val="BOLDLIGHTBLUEReport"/>
          <w:rFonts w:eastAsiaTheme="minorHAnsi"/>
        </w:rPr>
        <w:t>billion.</w:t>
      </w:r>
      <w:r w:rsidRPr="00A04E56">
        <w:rPr>
          <w:rStyle w:val="Emphasis"/>
          <w:i w:val="0"/>
        </w:rPr>
        <w:t xml:space="preserve"> These include recovery orders issued, implementation of the results of the </w:t>
      </w:r>
      <w:r w:rsidRPr="00A04E56">
        <w:rPr>
          <w:rStyle w:val="Emphasis"/>
        </w:rPr>
        <w:t>ex post</w:t>
      </w:r>
      <w:r w:rsidRPr="00A04E56">
        <w:rPr>
          <w:rStyle w:val="Emphasis"/>
          <w:i w:val="0"/>
        </w:rPr>
        <w:t xml:space="preserve"> controls in cost claims and invoices, financial corrections applied and replacement of expenditure (‘withdrawals’).</w:t>
      </w:r>
    </w:p>
    <w:tbl>
      <w:tblPr>
        <w:tblStyle w:val="GridTable4-Accent11"/>
        <w:tblW w:w="9093" w:type="dxa"/>
        <w:tblCellMar>
          <w:left w:w="57" w:type="dxa"/>
          <w:right w:w="57" w:type="dxa"/>
        </w:tblCellMar>
        <w:tblLook w:val="04A0" w:firstRow="1" w:lastRow="0" w:firstColumn="1" w:lastColumn="0" w:noHBand="0" w:noVBand="1"/>
      </w:tblPr>
      <w:tblGrid>
        <w:gridCol w:w="2694"/>
        <w:gridCol w:w="1559"/>
        <w:gridCol w:w="567"/>
        <w:gridCol w:w="2551"/>
        <w:gridCol w:w="1722"/>
      </w:tblGrid>
      <w:tr w:rsidR="00FC5564" w:rsidRPr="00A04E56" w14:paraId="2B8F1345" w14:textId="77777777" w:rsidTr="00BB081C">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FFFFFF" w:themeColor="background1"/>
            </w:tcBorders>
            <w:vAlign w:val="center"/>
          </w:tcPr>
          <w:p w14:paraId="4701AEC0" w14:textId="77777777" w:rsidR="00FC5564" w:rsidRPr="00A04E56" w:rsidRDefault="00FC5564" w:rsidP="003417EA">
            <w:pPr>
              <w:pStyle w:val="BodyText"/>
              <w:keepNext/>
              <w:spacing w:after="100" w:afterAutospacing="1"/>
            </w:pPr>
            <w:r w:rsidRPr="00A04E56">
              <w:t>Corrective measures confirmed</w:t>
            </w:r>
          </w:p>
        </w:tc>
        <w:tc>
          <w:tcPr>
            <w:tcW w:w="1559" w:type="dxa"/>
            <w:tcBorders>
              <w:left w:val="single" w:sz="4" w:space="0" w:color="FFFFFF" w:themeColor="background1"/>
            </w:tcBorders>
            <w:vAlign w:val="center"/>
          </w:tcPr>
          <w:p w14:paraId="2699DCC9" w14:textId="77777777" w:rsidR="00FC5564" w:rsidRPr="00A04E56" w:rsidRDefault="00FC5564" w:rsidP="003417EA">
            <w:pPr>
              <w:pStyle w:val="BodyText"/>
              <w:keepNext/>
              <w:spacing w:after="100" w:afterAutospacing="1"/>
              <w:jc w:val="right"/>
              <w:cnfStyle w:val="100000000000" w:firstRow="1" w:lastRow="0" w:firstColumn="0" w:lastColumn="0" w:oddVBand="0" w:evenVBand="0" w:oddHBand="0" w:evenHBand="0" w:firstRowFirstColumn="0" w:firstRowLastColumn="0" w:lastRowFirstColumn="0" w:lastRowLastColumn="0"/>
            </w:pPr>
            <w:r w:rsidRPr="00A04E56">
              <w:t>2018</w:t>
            </w:r>
          </w:p>
        </w:tc>
        <w:tc>
          <w:tcPr>
            <w:tcW w:w="567" w:type="dxa"/>
            <w:tcBorders>
              <w:top w:val="single" w:sz="4" w:space="0" w:color="FFFFFF" w:themeColor="background1"/>
              <w:bottom w:val="single" w:sz="4" w:space="0" w:color="FFFFFF" w:themeColor="background1"/>
            </w:tcBorders>
            <w:shd w:val="clear" w:color="auto" w:fill="FFFFFF" w:themeFill="background1"/>
            <w:vAlign w:val="center"/>
          </w:tcPr>
          <w:p w14:paraId="77B7C71C" w14:textId="77777777" w:rsidR="00FC5564" w:rsidRPr="00A04E56" w:rsidRDefault="00FC5564" w:rsidP="003417EA">
            <w:pPr>
              <w:pStyle w:val="BodyText"/>
              <w:keepNext/>
              <w:spacing w:after="100" w:afterAutospacing="1"/>
              <w:cnfStyle w:val="100000000000" w:firstRow="1" w:lastRow="0" w:firstColumn="0" w:lastColumn="0" w:oddVBand="0" w:evenVBand="0" w:oddHBand="0" w:evenHBand="0" w:firstRowFirstColumn="0" w:firstRowLastColumn="0" w:lastRowFirstColumn="0" w:lastRowLastColumn="0"/>
            </w:pPr>
          </w:p>
        </w:tc>
        <w:tc>
          <w:tcPr>
            <w:tcW w:w="2551" w:type="dxa"/>
            <w:tcBorders>
              <w:right w:val="single" w:sz="4" w:space="0" w:color="FFFFFF" w:themeColor="background1"/>
            </w:tcBorders>
            <w:vAlign w:val="center"/>
          </w:tcPr>
          <w:p w14:paraId="605E70EF" w14:textId="77777777" w:rsidR="00FC5564" w:rsidRPr="00A04E56" w:rsidRDefault="00FC5564" w:rsidP="003417EA">
            <w:pPr>
              <w:pStyle w:val="BodyText"/>
              <w:keepNext/>
              <w:spacing w:after="100" w:afterAutospacing="1"/>
              <w:cnfStyle w:val="100000000000" w:firstRow="1" w:lastRow="0" w:firstColumn="0" w:lastColumn="0" w:oddVBand="0" w:evenVBand="0" w:oddHBand="0" w:evenHBand="0" w:firstRowFirstColumn="0" w:firstRowLastColumn="0" w:lastRowFirstColumn="0" w:lastRowLastColumn="0"/>
            </w:pPr>
            <w:r w:rsidRPr="00A04E56">
              <w:t>Corrective measures implemented</w:t>
            </w:r>
          </w:p>
        </w:tc>
        <w:tc>
          <w:tcPr>
            <w:tcW w:w="1722" w:type="dxa"/>
            <w:tcBorders>
              <w:left w:val="single" w:sz="4" w:space="0" w:color="FFFFFF" w:themeColor="background1"/>
            </w:tcBorders>
            <w:vAlign w:val="center"/>
          </w:tcPr>
          <w:p w14:paraId="221F7318" w14:textId="77777777" w:rsidR="00FC5564" w:rsidRPr="00A04E56" w:rsidRDefault="00FC5564" w:rsidP="003417EA">
            <w:pPr>
              <w:pStyle w:val="BodyText"/>
              <w:keepNext/>
              <w:spacing w:after="100" w:afterAutospacing="1"/>
              <w:jc w:val="right"/>
              <w:cnfStyle w:val="100000000000" w:firstRow="1" w:lastRow="0" w:firstColumn="0" w:lastColumn="0" w:oddVBand="0" w:evenVBand="0" w:oddHBand="0" w:evenHBand="0" w:firstRowFirstColumn="0" w:firstRowLastColumn="0" w:lastRowFirstColumn="0" w:lastRowLastColumn="0"/>
            </w:pPr>
            <w:r w:rsidRPr="00A04E56">
              <w:t>2018</w:t>
            </w:r>
          </w:p>
        </w:tc>
      </w:tr>
      <w:tr w:rsidR="00FC5564" w:rsidRPr="00A04E56" w14:paraId="7873485B" w14:textId="77777777" w:rsidTr="00BB081C">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2AE316B5" w14:textId="77777777" w:rsidR="00FC5564" w:rsidRPr="00A04E56" w:rsidRDefault="00FC5564" w:rsidP="003417EA">
            <w:pPr>
              <w:pStyle w:val="BodyText"/>
              <w:keepNext/>
            </w:pPr>
            <w:r w:rsidRPr="00A04E56">
              <w:t>Agricultural policy:</w:t>
            </w:r>
          </w:p>
        </w:tc>
        <w:tc>
          <w:tcPr>
            <w:tcW w:w="1559" w:type="dxa"/>
          </w:tcPr>
          <w:p w14:paraId="64EAF305"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rFonts w:cs="Arial"/>
                <w:b/>
                <w:bCs/>
                <w:i/>
                <w:iCs/>
                <w:color w:val="000000"/>
                <w:szCs w:val="20"/>
              </w:rPr>
              <w:t xml:space="preserve"> 730</w:t>
            </w:r>
          </w:p>
        </w:tc>
        <w:tc>
          <w:tcPr>
            <w:tcW w:w="567" w:type="dxa"/>
            <w:tcBorders>
              <w:top w:val="single" w:sz="4" w:space="0" w:color="FFFFFF" w:themeColor="background1"/>
              <w:bottom w:val="single" w:sz="4" w:space="0" w:color="FFFFFF" w:themeColor="background1"/>
            </w:tcBorders>
            <w:shd w:val="clear" w:color="auto" w:fill="FFFFFF" w:themeFill="background1"/>
          </w:tcPr>
          <w:p w14:paraId="2479FBC8"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p>
        </w:tc>
        <w:tc>
          <w:tcPr>
            <w:tcW w:w="2551" w:type="dxa"/>
          </w:tcPr>
          <w:p w14:paraId="76BCEFE2" w14:textId="77777777" w:rsidR="00FC5564" w:rsidRPr="00A04E56" w:rsidRDefault="00FC5564" w:rsidP="003417EA">
            <w:pPr>
              <w:pStyle w:val="BodyText"/>
              <w:keepNext/>
              <w:ind w:hanging="5"/>
              <w:cnfStyle w:val="000000100000" w:firstRow="0" w:lastRow="0" w:firstColumn="0" w:lastColumn="0" w:oddVBand="0" w:evenVBand="0" w:oddHBand="1" w:evenHBand="0" w:firstRowFirstColumn="0" w:firstRowLastColumn="0" w:lastRowFirstColumn="0" w:lastRowLastColumn="0"/>
              <w:rPr>
                <w:b/>
              </w:rPr>
            </w:pPr>
            <w:r w:rsidRPr="00A04E56">
              <w:rPr>
                <w:b/>
              </w:rPr>
              <w:t>Agricultural policy:</w:t>
            </w:r>
          </w:p>
        </w:tc>
        <w:tc>
          <w:tcPr>
            <w:tcW w:w="1722" w:type="dxa"/>
          </w:tcPr>
          <w:p w14:paraId="494BB533"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b/>
                <w:color w:val="000000"/>
              </w:rPr>
              <w:t>1 579</w:t>
            </w:r>
          </w:p>
        </w:tc>
      </w:tr>
      <w:tr w:rsidR="00FC5564" w:rsidRPr="00A04E56" w14:paraId="28AEA9E7" w14:textId="77777777" w:rsidTr="00BB081C">
        <w:trPr>
          <w:cantSplit/>
          <w:trHeight w:val="283"/>
        </w:trPr>
        <w:tc>
          <w:tcPr>
            <w:cnfStyle w:val="001000000000" w:firstRow="0" w:lastRow="0" w:firstColumn="1" w:lastColumn="0" w:oddVBand="0" w:evenVBand="0" w:oddHBand="0" w:evenHBand="0" w:firstRowFirstColumn="0" w:firstRowLastColumn="0" w:lastRowFirstColumn="0" w:lastRowLastColumn="0"/>
            <w:tcW w:w="2694" w:type="dxa"/>
          </w:tcPr>
          <w:p w14:paraId="79ABBB4C" w14:textId="06B97892" w:rsidR="00FC5564" w:rsidRPr="00A04E56" w:rsidRDefault="004D4F6A" w:rsidP="003417EA">
            <w:pPr>
              <w:pStyle w:val="BodyText"/>
              <w:keepNext/>
              <w:ind w:left="142"/>
            </w:pPr>
            <w:r w:rsidRPr="004D4F6A">
              <w:t>European Agricultural Guarantee Fund</w:t>
            </w:r>
          </w:p>
        </w:tc>
        <w:tc>
          <w:tcPr>
            <w:tcW w:w="1559" w:type="dxa"/>
          </w:tcPr>
          <w:p w14:paraId="4C3D56B5"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rPr>
                <w:rFonts w:cs="Arial"/>
                <w:color w:val="000000"/>
                <w:szCs w:val="20"/>
              </w:rPr>
              <w:t xml:space="preserve"> 358</w:t>
            </w:r>
          </w:p>
        </w:tc>
        <w:tc>
          <w:tcPr>
            <w:tcW w:w="567" w:type="dxa"/>
            <w:tcBorders>
              <w:top w:val="single" w:sz="4" w:space="0" w:color="FFFFFF" w:themeColor="background1"/>
              <w:bottom w:val="single" w:sz="4" w:space="0" w:color="FFFFFF" w:themeColor="background1"/>
            </w:tcBorders>
            <w:shd w:val="clear" w:color="auto" w:fill="FFFFFF" w:themeFill="background1"/>
          </w:tcPr>
          <w:p w14:paraId="68344095"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551" w:type="dxa"/>
          </w:tcPr>
          <w:p w14:paraId="379E845F" w14:textId="7BA5992A" w:rsidR="00FC5564" w:rsidRPr="00A04E56" w:rsidRDefault="004D4F6A" w:rsidP="003417EA">
            <w:pPr>
              <w:pStyle w:val="BodyText"/>
              <w:keepNext/>
              <w:ind w:left="137"/>
              <w:cnfStyle w:val="000000000000" w:firstRow="0" w:lastRow="0" w:firstColumn="0" w:lastColumn="0" w:oddVBand="0" w:evenVBand="0" w:oddHBand="0" w:evenHBand="0" w:firstRowFirstColumn="0" w:firstRowLastColumn="0" w:lastRowFirstColumn="0" w:lastRowLastColumn="0"/>
              <w:rPr>
                <w:b/>
              </w:rPr>
            </w:pPr>
            <w:r w:rsidRPr="004D4F6A">
              <w:rPr>
                <w:b/>
              </w:rPr>
              <w:t>European Agricultural Guarantee Fund</w:t>
            </w:r>
          </w:p>
        </w:tc>
        <w:tc>
          <w:tcPr>
            <w:tcW w:w="1722" w:type="dxa"/>
          </w:tcPr>
          <w:p w14:paraId="57490E19"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rPr>
                <w:rFonts w:cs="Arial"/>
                <w:color w:val="000000"/>
                <w:szCs w:val="20"/>
              </w:rPr>
              <w:t xml:space="preserve"> 876</w:t>
            </w:r>
          </w:p>
        </w:tc>
      </w:tr>
      <w:tr w:rsidR="00FC5564" w:rsidRPr="00A04E56" w14:paraId="3B78DCB5" w14:textId="77777777" w:rsidTr="00BB081C">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4FB8CE12" w14:textId="77777777" w:rsidR="00FC5564" w:rsidRPr="00A04E56" w:rsidRDefault="00FC5564" w:rsidP="003417EA">
            <w:pPr>
              <w:pStyle w:val="BodyText"/>
              <w:keepNext/>
              <w:ind w:left="142"/>
            </w:pPr>
            <w:r w:rsidRPr="00A04E56">
              <w:t>Rural Development</w:t>
            </w:r>
          </w:p>
        </w:tc>
        <w:tc>
          <w:tcPr>
            <w:tcW w:w="1559" w:type="dxa"/>
          </w:tcPr>
          <w:p w14:paraId="7FC6697E"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color w:val="000000"/>
                <w:szCs w:val="20"/>
              </w:rPr>
              <w:t xml:space="preserve"> 372</w:t>
            </w:r>
          </w:p>
        </w:tc>
        <w:tc>
          <w:tcPr>
            <w:tcW w:w="567" w:type="dxa"/>
            <w:tcBorders>
              <w:top w:val="single" w:sz="4" w:space="0" w:color="FFFFFF" w:themeColor="background1"/>
              <w:bottom w:val="single" w:sz="4" w:space="0" w:color="FFFFFF" w:themeColor="background1"/>
            </w:tcBorders>
            <w:shd w:val="clear" w:color="auto" w:fill="FFFFFF" w:themeFill="background1"/>
          </w:tcPr>
          <w:p w14:paraId="79CA089F"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551" w:type="dxa"/>
          </w:tcPr>
          <w:p w14:paraId="56B9B3B9" w14:textId="77777777" w:rsidR="00FC5564" w:rsidRPr="00A04E56" w:rsidRDefault="00FC5564"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A04E56">
              <w:rPr>
                <w:b/>
              </w:rPr>
              <w:t>Rural Development</w:t>
            </w:r>
          </w:p>
        </w:tc>
        <w:tc>
          <w:tcPr>
            <w:tcW w:w="1722" w:type="dxa"/>
          </w:tcPr>
          <w:p w14:paraId="2D3092B4"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color w:val="000000"/>
                <w:szCs w:val="20"/>
              </w:rPr>
              <w:t xml:space="preserve"> 702</w:t>
            </w:r>
          </w:p>
        </w:tc>
      </w:tr>
      <w:tr w:rsidR="00FC5564" w:rsidRPr="00A04E56" w14:paraId="32BF9BC3" w14:textId="77777777" w:rsidTr="00BB081C">
        <w:trPr>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26B7D303" w14:textId="77777777" w:rsidR="00FC5564" w:rsidRPr="00A04E56" w:rsidRDefault="00FC5564" w:rsidP="003417EA">
            <w:pPr>
              <w:pStyle w:val="BodyText"/>
              <w:keepNext/>
            </w:pPr>
            <w:r w:rsidRPr="00A04E56">
              <w:t>Cohesion policy:</w:t>
            </w:r>
          </w:p>
        </w:tc>
        <w:tc>
          <w:tcPr>
            <w:tcW w:w="1559" w:type="dxa"/>
          </w:tcPr>
          <w:p w14:paraId="7526E9F6" w14:textId="02708642"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rFonts w:cs="Arial"/>
                <w:b/>
                <w:bCs/>
                <w:i/>
                <w:iCs/>
                <w:szCs w:val="20"/>
              </w:rPr>
              <w:t xml:space="preserve"> 4</w:t>
            </w:r>
            <w:r w:rsidR="007C58FE" w:rsidRPr="00A04E56">
              <w:rPr>
                <w:rFonts w:cs="Arial"/>
                <w:b/>
                <w:bCs/>
                <w:i/>
                <w:iCs/>
                <w:szCs w:val="20"/>
              </w:rPr>
              <w:t>14</w:t>
            </w:r>
          </w:p>
        </w:tc>
        <w:tc>
          <w:tcPr>
            <w:tcW w:w="567" w:type="dxa"/>
            <w:tcBorders>
              <w:top w:val="single" w:sz="4" w:space="0" w:color="FFFFFF" w:themeColor="background1"/>
              <w:bottom w:val="single" w:sz="4" w:space="0" w:color="FFFFFF" w:themeColor="background1"/>
            </w:tcBorders>
            <w:shd w:val="clear" w:color="auto" w:fill="FFFFFF" w:themeFill="background1"/>
          </w:tcPr>
          <w:p w14:paraId="70EA7455"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p>
        </w:tc>
        <w:tc>
          <w:tcPr>
            <w:tcW w:w="2551" w:type="dxa"/>
          </w:tcPr>
          <w:p w14:paraId="6D7DC55B" w14:textId="77777777" w:rsidR="00FC5564" w:rsidRPr="00A04E56" w:rsidRDefault="00FC5564" w:rsidP="003417EA">
            <w:pPr>
              <w:pStyle w:val="BodyText"/>
              <w:keepNext/>
              <w:cnfStyle w:val="000000000000" w:firstRow="0" w:lastRow="0" w:firstColumn="0" w:lastColumn="0" w:oddVBand="0" w:evenVBand="0" w:oddHBand="0" w:evenHBand="0" w:firstRowFirstColumn="0" w:firstRowLastColumn="0" w:lastRowFirstColumn="0" w:lastRowLastColumn="0"/>
              <w:rPr>
                <w:b/>
              </w:rPr>
            </w:pPr>
            <w:r w:rsidRPr="00A04E56">
              <w:rPr>
                <w:b/>
              </w:rPr>
              <w:t>Cohesion policy:</w:t>
            </w:r>
          </w:p>
        </w:tc>
        <w:tc>
          <w:tcPr>
            <w:tcW w:w="1722" w:type="dxa"/>
          </w:tcPr>
          <w:p w14:paraId="0D09243B" w14:textId="31DB3AE4"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rFonts w:cs="Arial"/>
                <w:b/>
                <w:szCs w:val="20"/>
              </w:rPr>
              <w:t xml:space="preserve"> 96</w:t>
            </w:r>
            <w:r w:rsidR="007C58FE" w:rsidRPr="00A04E56">
              <w:rPr>
                <w:rFonts w:cs="Arial"/>
                <w:b/>
                <w:szCs w:val="20"/>
              </w:rPr>
              <w:t>5</w:t>
            </w:r>
          </w:p>
        </w:tc>
      </w:tr>
      <w:tr w:rsidR="00FC5564" w:rsidRPr="00A04E56" w14:paraId="5E98A6B7" w14:textId="77777777" w:rsidTr="00BB081C">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694" w:type="dxa"/>
          </w:tcPr>
          <w:p w14:paraId="7BC767BF" w14:textId="760908EC" w:rsidR="00FC5564" w:rsidRPr="00A04E56" w:rsidRDefault="004D4F6A" w:rsidP="003417EA">
            <w:pPr>
              <w:pStyle w:val="BodyText"/>
              <w:keepNext/>
              <w:ind w:left="142"/>
            </w:pPr>
            <w:r w:rsidRPr="004D4F6A">
              <w:t>European Regional Development Fund</w:t>
            </w:r>
          </w:p>
        </w:tc>
        <w:tc>
          <w:tcPr>
            <w:tcW w:w="1559" w:type="dxa"/>
          </w:tcPr>
          <w:p w14:paraId="2BE3F769" w14:textId="426F056C"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bCs/>
                <w:szCs w:val="20"/>
              </w:rPr>
              <w:t xml:space="preserve"> 28</w:t>
            </w:r>
            <w:r w:rsidR="007C58FE" w:rsidRPr="00A04E56">
              <w:rPr>
                <w:rFonts w:cs="Arial"/>
                <w:bCs/>
                <w:szCs w:val="20"/>
              </w:rPr>
              <w:t>6</w:t>
            </w:r>
          </w:p>
        </w:tc>
        <w:tc>
          <w:tcPr>
            <w:tcW w:w="567" w:type="dxa"/>
            <w:tcBorders>
              <w:top w:val="single" w:sz="4" w:space="0" w:color="FFFFFF" w:themeColor="background1"/>
              <w:bottom w:val="single" w:sz="4" w:space="0" w:color="FFFFFF" w:themeColor="background1"/>
            </w:tcBorders>
            <w:shd w:val="clear" w:color="auto" w:fill="FFFFFF" w:themeFill="background1"/>
          </w:tcPr>
          <w:p w14:paraId="639735B5"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551" w:type="dxa"/>
          </w:tcPr>
          <w:p w14:paraId="3AF4544B" w14:textId="0DE15E20" w:rsidR="00FC5564" w:rsidRPr="00A04E56" w:rsidRDefault="004D4F6A"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4D4F6A">
              <w:rPr>
                <w:b/>
              </w:rPr>
              <w:t>European Regional Development Fund</w:t>
            </w:r>
          </w:p>
        </w:tc>
        <w:tc>
          <w:tcPr>
            <w:tcW w:w="1722" w:type="dxa"/>
          </w:tcPr>
          <w:p w14:paraId="4A529E88" w14:textId="382FDA90"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bCs/>
                <w:szCs w:val="20"/>
              </w:rPr>
              <w:t xml:space="preserve"> </w:t>
            </w:r>
            <w:r w:rsidR="007C58FE" w:rsidRPr="00A04E56">
              <w:rPr>
                <w:rFonts w:cs="Arial"/>
                <w:bCs/>
                <w:szCs w:val="20"/>
              </w:rPr>
              <w:t>902</w:t>
            </w:r>
          </w:p>
        </w:tc>
      </w:tr>
      <w:tr w:rsidR="00FC5564" w:rsidRPr="00A04E56" w14:paraId="7E63C2AB" w14:textId="77777777" w:rsidTr="00BB081C">
        <w:trPr>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2140961F" w14:textId="77777777" w:rsidR="00FC5564" w:rsidRPr="00A04E56" w:rsidRDefault="00FC5564" w:rsidP="003417EA">
            <w:pPr>
              <w:pStyle w:val="BodyText"/>
              <w:keepNext/>
              <w:ind w:left="142"/>
            </w:pPr>
            <w:r w:rsidRPr="00A04E56">
              <w:t>Cohesion Fund</w:t>
            </w:r>
          </w:p>
        </w:tc>
        <w:tc>
          <w:tcPr>
            <w:tcW w:w="1559" w:type="dxa"/>
          </w:tcPr>
          <w:p w14:paraId="45CBDC5B"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rPr>
                <w:rFonts w:cs="Arial"/>
                <w:bCs/>
                <w:szCs w:val="20"/>
              </w:rPr>
              <w:t xml:space="preserve"> 90</w:t>
            </w:r>
          </w:p>
        </w:tc>
        <w:tc>
          <w:tcPr>
            <w:tcW w:w="567" w:type="dxa"/>
            <w:tcBorders>
              <w:top w:val="single" w:sz="4" w:space="0" w:color="FFFFFF" w:themeColor="background1"/>
              <w:bottom w:val="single" w:sz="4" w:space="0" w:color="FFFFFF" w:themeColor="background1"/>
            </w:tcBorders>
            <w:shd w:val="clear" w:color="auto" w:fill="FFFFFF" w:themeFill="background1"/>
          </w:tcPr>
          <w:p w14:paraId="38D178A2"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551" w:type="dxa"/>
          </w:tcPr>
          <w:p w14:paraId="570DB611" w14:textId="77777777" w:rsidR="00FC5564" w:rsidRPr="00A04E56" w:rsidRDefault="00FC5564" w:rsidP="003417EA">
            <w:pPr>
              <w:pStyle w:val="BodyText"/>
              <w:keepNext/>
              <w:ind w:left="137"/>
              <w:cnfStyle w:val="000000000000" w:firstRow="0" w:lastRow="0" w:firstColumn="0" w:lastColumn="0" w:oddVBand="0" w:evenVBand="0" w:oddHBand="0" w:evenHBand="0" w:firstRowFirstColumn="0" w:firstRowLastColumn="0" w:lastRowFirstColumn="0" w:lastRowLastColumn="0"/>
              <w:rPr>
                <w:b/>
              </w:rPr>
            </w:pPr>
            <w:r w:rsidRPr="00A04E56">
              <w:rPr>
                <w:b/>
              </w:rPr>
              <w:t>Cohesion Fund</w:t>
            </w:r>
          </w:p>
        </w:tc>
        <w:tc>
          <w:tcPr>
            <w:tcW w:w="1722" w:type="dxa"/>
          </w:tcPr>
          <w:p w14:paraId="440E9480"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rPr>
                <w:rFonts w:cs="Arial"/>
                <w:bCs/>
                <w:szCs w:val="20"/>
              </w:rPr>
              <w:t xml:space="preserve"> </w:t>
            </w:r>
            <w:r w:rsidRPr="00A04E56">
              <w:t>48</w:t>
            </w:r>
          </w:p>
        </w:tc>
      </w:tr>
      <w:tr w:rsidR="00FC5564" w:rsidRPr="00A04E56" w14:paraId="17F7B057" w14:textId="77777777" w:rsidTr="00BB081C">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543027F6" w14:textId="4D2BC646" w:rsidR="00FC5564" w:rsidRPr="00A04E56" w:rsidRDefault="004D4F6A" w:rsidP="003417EA">
            <w:pPr>
              <w:pStyle w:val="BodyText"/>
              <w:keepNext/>
              <w:ind w:left="142"/>
            </w:pPr>
            <w:r w:rsidRPr="004D4F6A">
              <w:t>European Social Fund</w:t>
            </w:r>
          </w:p>
        </w:tc>
        <w:tc>
          <w:tcPr>
            <w:tcW w:w="1559" w:type="dxa"/>
          </w:tcPr>
          <w:p w14:paraId="5679DC5C"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bCs/>
                <w:szCs w:val="20"/>
              </w:rPr>
              <w:t xml:space="preserve"> 34</w:t>
            </w:r>
          </w:p>
        </w:tc>
        <w:tc>
          <w:tcPr>
            <w:tcW w:w="567" w:type="dxa"/>
            <w:tcBorders>
              <w:top w:val="single" w:sz="4" w:space="0" w:color="FFFFFF" w:themeColor="background1"/>
              <w:bottom w:val="single" w:sz="4" w:space="0" w:color="FFFFFF" w:themeColor="background1"/>
            </w:tcBorders>
            <w:shd w:val="clear" w:color="auto" w:fill="FFFFFF" w:themeFill="background1"/>
          </w:tcPr>
          <w:p w14:paraId="1C07A704"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551" w:type="dxa"/>
          </w:tcPr>
          <w:p w14:paraId="6C9F0603" w14:textId="737256F4" w:rsidR="00FC5564" w:rsidRPr="00A04E56" w:rsidRDefault="004D4F6A"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4D4F6A">
              <w:rPr>
                <w:b/>
              </w:rPr>
              <w:t>European Social Fund</w:t>
            </w:r>
          </w:p>
        </w:tc>
        <w:tc>
          <w:tcPr>
            <w:tcW w:w="1722" w:type="dxa"/>
          </w:tcPr>
          <w:p w14:paraId="2BB69ED2"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bCs/>
                <w:szCs w:val="20"/>
              </w:rPr>
              <w:t xml:space="preserve"> </w:t>
            </w:r>
            <w:r w:rsidRPr="00A04E56">
              <w:t>12</w:t>
            </w:r>
          </w:p>
        </w:tc>
      </w:tr>
      <w:tr w:rsidR="00FC5564" w:rsidRPr="00A04E56" w14:paraId="3D55C368" w14:textId="77777777" w:rsidTr="00BB081C">
        <w:trPr>
          <w:cantSplit/>
          <w:trHeight w:val="283"/>
        </w:trPr>
        <w:tc>
          <w:tcPr>
            <w:cnfStyle w:val="001000000000" w:firstRow="0" w:lastRow="0" w:firstColumn="1" w:lastColumn="0" w:oddVBand="0" w:evenVBand="0" w:oddHBand="0" w:evenHBand="0" w:firstRowFirstColumn="0" w:firstRowLastColumn="0" w:lastRowFirstColumn="0" w:lastRowLastColumn="0"/>
            <w:tcW w:w="2694" w:type="dxa"/>
          </w:tcPr>
          <w:p w14:paraId="1434A91D" w14:textId="0650659F" w:rsidR="00FC5564" w:rsidRPr="00A04E56" w:rsidRDefault="004D4F6A" w:rsidP="003417EA">
            <w:pPr>
              <w:pStyle w:val="BodyText"/>
              <w:keepNext/>
              <w:ind w:left="142"/>
            </w:pPr>
            <w:r w:rsidRPr="004D4F6A">
              <w:t xml:space="preserve">Financial Instrument for Fisheries Guidance </w:t>
            </w:r>
            <w:r w:rsidR="00FC5564" w:rsidRPr="00A04E56">
              <w:t>/</w:t>
            </w:r>
            <w:r>
              <w:t xml:space="preserve"> </w:t>
            </w:r>
            <w:r w:rsidRPr="004D4F6A">
              <w:t>European Fisheries Fund</w:t>
            </w:r>
          </w:p>
        </w:tc>
        <w:tc>
          <w:tcPr>
            <w:tcW w:w="1559" w:type="dxa"/>
          </w:tcPr>
          <w:p w14:paraId="43487728"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rPr>
                <w:rFonts w:cs="Arial"/>
                <w:bCs/>
                <w:szCs w:val="20"/>
              </w:rPr>
              <w:t xml:space="preserve"> -</w:t>
            </w:r>
          </w:p>
        </w:tc>
        <w:tc>
          <w:tcPr>
            <w:tcW w:w="567" w:type="dxa"/>
            <w:tcBorders>
              <w:top w:val="single" w:sz="4" w:space="0" w:color="FFFFFF" w:themeColor="background1"/>
              <w:bottom w:val="single" w:sz="4" w:space="0" w:color="FFFFFF" w:themeColor="background1"/>
            </w:tcBorders>
            <w:shd w:val="clear" w:color="auto" w:fill="FFFFFF" w:themeFill="background1"/>
          </w:tcPr>
          <w:p w14:paraId="4E100728"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551" w:type="dxa"/>
          </w:tcPr>
          <w:p w14:paraId="57EF6A43" w14:textId="42939BAB" w:rsidR="00FC5564" w:rsidRPr="00A04E56" w:rsidRDefault="004D4F6A" w:rsidP="003417EA">
            <w:pPr>
              <w:pStyle w:val="BodyText"/>
              <w:keepNext/>
              <w:ind w:left="137"/>
              <w:cnfStyle w:val="000000000000" w:firstRow="0" w:lastRow="0" w:firstColumn="0" w:lastColumn="0" w:oddVBand="0" w:evenVBand="0" w:oddHBand="0" w:evenHBand="0" w:firstRowFirstColumn="0" w:firstRowLastColumn="0" w:lastRowFirstColumn="0" w:lastRowLastColumn="0"/>
              <w:rPr>
                <w:b/>
              </w:rPr>
            </w:pPr>
            <w:r w:rsidRPr="004D4F6A">
              <w:rPr>
                <w:b/>
              </w:rPr>
              <w:t xml:space="preserve">Financial Instrument for Fisheries Guidance </w:t>
            </w:r>
            <w:r w:rsidR="00FC5564" w:rsidRPr="00A04E56">
              <w:rPr>
                <w:b/>
              </w:rPr>
              <w:t>/</w:t>
            </w:r>
            <w:r>
              <w:rPr>
                <w:b/>
              </w:rPr>
              <w:t xml:space="preserve"> </w:t>
            </w:r>
            <w:r w:rsidRPr="004D4F6A">
              <w:rPr>
                <w:b/>
              </w:rPr>
              <w:t>European Fisheries Fund</w:t>
            </w:r>
          </w:p>
        </w:tc>
        <w:tc>
          <w:tcPr>
            <w:tcW w:w="1722" w:type="dxa"/>
          </w:tcPr>
          <w:p w14:paraId="16CC794A"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r w:rsidRPr="00A04E56">
              <w:t>-</w:t>
            </w:r>
          </w:p>
        </w:tc>
      </w:tr>
      <w:tr w:rsidR="00FC5564" w:rsidRPr="00A04E56" w14:paraId="05DA0093" w14:textId="77777777" w:rsidTr="00BB081C">
        <w:trPr>
          <w:cnfStyle w:val="000000100000" w:firstRow="0" w:lastRow="0" w:firstColumn="0" w:lastColumn="0" w:oddVBand="0" w:evenVBand="0" w:oddHBand="1"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2694" w:type="dxa"/>
          </w:tcPr>
          <w:p w14:paraId="1E36371D" w14:textId="4FFB3DAF" w:rsidR="00FC5564" w:rsidRPr="00A04E56" w:rsidRDefault="004D4F6A" w:rsidP="003417EA">
            <w:pPr>
              <w:pStyle w:val="BodyText"/>
              <w:keepNext/>
              <w:ind w:left="142"/>
            </w:pPr>
            <w:r w:rsidRPr="004D4F6A">
              <w:t xml:space="preserve">European Agricultural Guidance and Guarantee Fund </w:t>
            </w:r>
          </w:p>
        </w:tc>
        <w:tc>
          <w:tcPr>
            <w:tcW w:w="1559" w:type="dxa"/>
          </w:tcPr>
          <w:p w14:paraId="20ED0E35"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bCs/>
                <w:szCs w:val="20"/>
              </w:rPr>
              <w:t xml:space="preserve"> 3</w:t>
            </w:r>
          </w:p>
        </w:tc>
        <w:tc>
          <w:tcPr>
            <w:tcW w:w="567" w:type="dxa"/>
            <w:tcBorders>
              <w:top w:val="single" w:sz="4" w:space="0" w:color="FFFFFF" w:themeColor="background1"/>
              <w:bottom w:val="single" w:sz="4" w:space="0" w:color="FFFFFF" w:themeColor="background1"/>
            </w:tcBorders>
            <w:shd w:val="clear" w:color="auto" w:fill="FFFFFF" w:themeFill="background1"/>
          </w:tcPr>
          <w:p w14:paraId="4146C359"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p>
        </w:tc>
        <w:tc>
          <w:tcPr>
            <w:tcW w:w="2551" w:type="dxa"/>
          </w:tcPr>
          <w:p w14:paraId="52C0FABB" w14:textId="087D257B" w:rsidR="00FC5564" w:rsidRPr="00A04E56" w:rsidRDefault="004D4F6A" w:rsidP="003417EA">
            <w:pPr>
              <w:pStyle w:val="BodyText"/>
              <w:keepNext/>
              <w:ind w:left="137"/>
              <w:cnfStyle w:val="000000100000" w:firstRow="0" w:lastRow="0" w:firstColumn="0" w:lastColumn="0" w:oddVBand="0" w:evenVBand="0" w:oddHBand="1" w:evenHBand="0" w:firstRowFirstColumn="0" w:firstRowLastColumn="0" w:lastRowFirstColumn="0" w:lastRowLastColumn="0"/>
              <w:rPr>
                <w:b/>
              </w:rPr>
            </w:pPr>
            <w:r w:rsidRPr="004D4F6A">
              <w:rPr>
                <w:b/>
              </w:rPr>
              <w:t xml:space="preserve">European Agricultural Guidance and Guarantee Fund </w:t>
            </w:r>
          </w:p>
        </w:tc>
        <w:tc>
          <w:tcPr>
            <w:tcW w:w="1722" w:type="dxa"/>
          </w:tcPr>
          <w:p w14:paraId="505FCA20"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pPr>
            <w:r w:rsidRPr="00A04E56">
              <w:rPr>
                <w:rFonts w:cs="Arial"/>
                <w:bCs/>
                <w:szCs w:val="20"/>
              </w:rPr>
              <w:t xml:space="preserve"> </w:t>
            </w:r>
            <w:r w:rsidRPr="00A04E56">
              <w:t>3</w:t>
            </w:r>
          </w:p>
        </w:tc>
      </w:tr>
      <w:tr w:rsidR="00FC5564" w:rsidRPr="00A04E56" w14:paraId="5D8C64A8" w14:textId="77777777" w:rsidTr="00BB081C">
        <w:trPr>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1754BDCE" w14:textId="77777777" w:rsidR="00FC5564" w:rsidRPr="00A04E56" w:rsidRDefault="00FC5564" w:rsidP="003417EA">
            <w:pPr>
              <w:pStyle w:val="BodyText"/>
              <w:keepNext/>
            </w:pPr>
            <w:r w:rsidRPr="00A04E56">
              <w:t>Internal Policies</w:t>
            </w:r>
          </w:p>
        </w:tc>
        <w:tc>
          <w:tcPr>
            <w:tcW w:w="1559" w:type="dxa"/>
          </w:tcPr>
          <w:p w14:paraId="2902365E"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b/>
              </w:rPr>
              <w:t xml:space="preserve"> 53</w:t>
            </w:r>
          </w:p>
        </w:tc>
        <w:tc>
          <w:tcPr>
            <w:tcW w:w="567" w:type="dxa"/>
            <w:tcBorders>
              <w:top w:val="single" w:sz="4" w:space="0" w:color="FFFFFF" w:themeColor="background1"/>
              <w:bottom w:val="single" w:sz="4" w:space="0" w:color="FFFFFF" w:themeColor="background1"/>
            </w:tcBorders>
            <w:shd w:val="clear" w:color="auto" w:fill="FFFFFF" w:themeFill="background1"/>
          </w:tcPr>
          <w:p w14:paraId="54EC8645"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p>
        </w:tc>
        <w:tc>
          <w:tcPr>
            <w:tcW w:w="2551" w:type="dxa"/>
          </w:tcPr>
          <w:p w14:paraId="10E7E1E8" w14:textId="77777777" w:rsidR="00FC5564" w:rsidRPr="00A04E56" w:rsidRDefault="00FC5564" w:rsidP="003417EA">
            <w:pPr>
              <w:pStyle w:val="BodyText"/>
              <w:keepNext/>
              <w:cnfStyle w:val="000000000000" w:firstRow="0" w:lastRow="0" w:firstColumn="0" w:lastColumn="0" w:oddVBand="0" w:evenVBand="0" w:oddHBand="0" w:evenHBand="0" w:firstRowFirstColumn="0" w:firstRowLastColumn="0" w:lastRowFirstColumn="0" w:lastRowLastColumn="0"/>
              <w:rPr>
                <w:b/>
              </w:rPr>
            </w:pPr>
            <w:r w:rsidRPr="00A04E56">
              <w:rPr>
                <w:b/>
              </w:rPr>
              <w:t>Internal Policies</w:t>
            </w:r>
          </w:p>
        </w:tc>
        <w:tc>
          <w:tcPr>
            <w:tcW w:w="1722" w:type="dxa"/>
          </w:tcPr>
          <w:p w14:paraId="2AD236C8"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rFonts w:cs="Arial"/>
                <w:b/>
                <w:szCs w:val="20"/>
              </w:rPr>
              <w:t xml:space="preserve"> 47</w:t>
            </w:r>
          </w:p>
        </w:tc>
      </w:tr>
      <w:tr w:rsidR="00FC5564" w:rsidRPr="00A04E56" w14:paraId="1C69EC73" w14:textId="77777777" w:rsidTr="00BB081C">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6DFE5E3D" w14:textId="77777777" w:rsidR="00FC5564" w:rsidRPr="00A04E56" w:rsidRDefault="00FC5564" w:rsidP="003417EA">
            <w:pPr>
              <w:pStyle w:val="BodyText"/>
              <w:keepNext/>
            </w:pPr>
            <w:r w:rsidRPr="00A04E56">
              <w:t>External Policies</w:t>
            </w:r>
          </w:p>
        </w:tc>
        <w:tc>
          <w:tcPr>
            <w:tcW w:w="1559" w:type="dxa"/>
          </w:tcPr>
          <w:p w14:paraId="527248DD"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rFonts w:cs="Arial"/>
                <w:b/>
                <w:szCs w:val="20"/>
              </w:rPr>
              <w:t xml:space="preserve"> 25</w:t>
            </w:r>
          </w:p>
        </w:tc>
        <w:tc>
          <w:tcPr>
            <w:tcW w:w="567" w:type="dxa"/>
            <w:tcBorders>
              <w:top w:val="single" w:sz="4" w:space="0" w:color="FFFFFF" w:themeColor="background1"/>
              <w:bottom w:val="single" w:sz="4" w:space="0" w:color="FFFFFF" w:themeColor="background1"/>
            </w:tcBorders>
            <w:shd w:val="clear" w:color="auto" w:fill="FFFFFF" w:themeFill="background1"/>
          </w:tcPr>
          <w:p w14:paraId="0562261F"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p>
        </w:tc>
        <w:tc>
          <w:tcPr>
            <w:tcW w:w="2551" w:type="dxa"/>
          </w:tcPr>
          <w:p w14:paraId="215D32F4" w14:textId="77777777" w:rsidR="00FC5564" w:rsidRPr="00A04E56" w:rsidRDefault="00FC5564" w:rsidP="003417EA">
            <w:pPr>
              <w:pStyle w:val="BodyText"/>
              <w:keepNext/>
              <w:cnfStyle w:val="000000100000" w:firstRow="0" w:lastRow="0" w:firstColumn="0" w:lastColumn="0" w:oddVBand="0" w:evenVBand="0" w:oddHBand="1" w:evenHBand="0" w:firstRowFirstColumn="0" w:firstRowLastColumn="0" w:lastRowFirstColumn="0" w:lastRowLastColumn="0"/>
              <w:rPr>
                <w:b/>
              </w:rPr>
            </w:pPr>
            <w:r w:rsidRPr="00A04E56">
              <w:rPr>
                <w:b/>
              </w:rPr>
              <w:t>External Policies</w:t>
            </w:r>
          </w:p>
        </w:tc>
        <w:tc>
          <w:tcPr>
            <w:tcW w:w="1722" w:type="dxa"/>
          </w:tcPr>
          <w:p w14:paraId="0F787D41"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rFonts w:cs="Arial"/>
                <w:b/>
                <w:szCs w:val="20"/>
              </w:rPr>
              <w:t xml:space="preserve"> 18</w:t>
            </w:r>
          </w:p>
        </w:tc>
      </w:tr>
      <w:tr w:rsidR="00FC5564" w:rsidRPr="00A04E56" w14:paraId="4E715439" w14:textId="77777777" w:rsidTr="00BB081C">
        <w:trPr>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26A0B658" w14:textId="77777777" w:rsidR="00FC5564" w:rsidRPr="00A04E56" w:rsidRDefault="00FC5564" w:rsidP="003417EA">
            <w:pPr>
              <w:pStyle w:val="BodyText"/>
              <w:keepNext/>
            </w:pPr>
            <w:r w:rsidRPr="00A04E56">
              <w:t>Administration</w:t>
            </w:r>
          </w:p>
        </w:tc>
        <w:tc>
          <w:tcPr>
            <w:tcW w:w="1559" w:type="dxa"/>
          </w:tcPr>
          <w:p w14:paraId="7E801B24"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rFonts w:cs="Arial"/>
                <w:b/>
                <w:szCs w:val="20"/>
              </w:rPr>
              <w:t xml:space="preserve"> 0</w:t>
            </w:r>
          </w:p>
        </w:tc>
        <w:tc>
          <w:tcPr>
            <w:tcW w:w="567" w:type="dxa"/>
            <w:tcBorders>
              <w:top w:val="single" w:sz="4" w:space="0" w:color="FFFFFF" w:themeColor="background1"/>
              <w:bottom w:val="single" w:sz="4" w:space="0" w:color="FFFFFF" w:themeColor="background1"/>
            </w:tcBorders>
            <w:shd w:val="clear" w:color="auto" w:fill="FFFFFF" w:themeFill="background1"/>
          </w:tcPr>
          <w:p w14:paraId="139E37BB"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pPr>
          </w:p>
        </w:tc>
        <w:tc>
          <w:tcPr>
            <w:tcW w:w="2551" w:type="dxa"/>
          </w:tcPr>
          <w:p w14:paraId="37CCB9F4" w14:textId="77777777" w:rsidR="00FC5564" w:rsidRPr="00A04E56" w:rsidRDefault="00FC5564" w:rsidP="003417EA">
            <w:pPr>
              <w:pStyle w:val="BodyText"/>
              <w:keepNext/>
              <w:cnfStyle w:val="000000000000" w:firstRow="0" w:lastRow="0" w:firstColumn="0" w:lastColumn="0" w:oddVBand="0" w:evenVBand="0" w:oddHBand="0" w:evenHBand="0" w:firstRowFirstColumn="0" w:firstRowLastColumn="0" w:lastRowFirstColumn="0" w:lastRowLastColumn="0"/>
              <w:rPr>
                <w:b/>
              </w:rPr>
            </w:pPr>
            <w:r w:rsidRPr="00A04E56">
              <w:rPr>
                <w:b/>
              </w:rPr>
              <w:t>Administration</w:t>
            </w:r>
          </w:p>
        </w:tc>
        <w:tc>
          <w:tcPr>
            <w:tcW w:w="1722" w:type="dxa"/>
          </w:tcPr>
          <w:p w14:paraId="4406A83F" w14:textId="77777777" w:rsidR="00FC5564" w:rsidRPr="00A04E56" w:rsidRDefault="00FC5564" w:rsidP="003417EA">
            <w:pPr>
              <w:pStyle w:val="BodyText"/>
              <w:keepNext/>
              <w:jc w:val="right"/>
              <w:cnfStyle w:val="000000000000" w:firstRow="0" w:lastRow="0" w:firstColumn="0" w:lastColumn="0" w:oddVBand="0" w:evenVBand="0" w:oddHBand="0" w:evenHBand="0" w:firstRowFirstColumn="0" w:firstRowLastColumn="0" w:lastRowFirstColumn="0" w:lastRowLastColumn="0"/>
              <w:rPr>
                <w:b/>
              </w:rPr>
            </w:pPr>
            <w:r w:rsidRPr="00A04E56">
              <w:rPr>
                <w:rFonts w:cs="Arial"/>
                <w:b/>
                <w:szCs w:val="20"/>
              </w:rPr>
              <w:t xml:space="preserve"> 0</w:t>
            </w:r>
          </w:p>
        </w:tc>
      </w:tr>
      <w:tr w:rsidR="00FC5564" w:rsidRPr="00A04E56" w14:paraId="3BA88FC7" w14:textId="77777777" w:rsidTr="00BB081C">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694" w:type="dxa"/>
          </w:tcPr>
          <w:p w14:paraId="6CB8F8A7" w14:textId="77777777" w:rsidR="00FC5564" w:rsidRPr="00A04E56" w:rsidRDefault="00FC5564" w:rsidP="003417EA">
            <w:pPr>
              <w:pStyle w:val="BodyText"/>
              <w:keepNext/>
            </w:pPr>
            <w:r w:rsidRPr="00A04E56">
              <w:t>Total</w:t>
            </w:r>
          </w:p>
        </w:tc>
        <w:tc>
          <w:tcPr>
            <w:tcW w:w="1559" w:type="dxa"/>
          </w:tcPr>
          <w:p w14:paraId="0F2818BB" w14:textId="1EE08BB3"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rFonts w:cs="Arial"/>
                <w:b/>
                <w:bCs/>
                <w:szCs w:val="20"/>
              </w:rPr>
              <w:t>1 2</w:t>
            </w:r>
            <w:r w:rsidR="007C58FE" w:rsidRPr="00A04E56">
              <w:rPr>
                <w:rFonts w:cs="Arial"/>
                <w:b/>
                <w:bCs/>
                <w:szCs w:val="20"/>
              </w:rPr>
              <w:t>22</w:t>
            </w:r>
          </w:p>
        </w:tc>
        <w:tc>
          <w:tcPr>
            <w:tcW w:w="567" w:type="dxa"/>
            <w:tcBorders>
              <w:top w:val="single" w:sz="4" w:space="0" w:color="FFFFFF" w:themeColor="background1"/>
              <w:bottom w:val="single" w:sz="4" w:space="0" w:color="FFFFFF" w:themeColor="background1"/>
            </w:tcBorders>
            <w:shd w:val="clear" w:color="auto" w:fill="FFFFFF" w:themeFill="background1"/>
          </w:tcPr>
          <w:p w14:paraId="10496D5E" w14:textId="77777777"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p>
        </w:tc>
        <w:tc>
          <w:tcPr>
            <w:tcW w:w="2551" w:type="dxa"/>
          </w:tcPr>
          <w:p w14:paraId="6BF561CC" w14:textId="77777777" w:rsidR="00FC5564" w:rsidRPr="00A04E56" w:rsidRDefault="00FC5564" w:rsidP="003417EA">
            <w:pPr>
              <w:pStyle w:val="BodyText"/>
              <w:keepNext/>
              <w:cnfStyle w:val="000000100000" w:firstRow="0" w:lastRow="0" w:firstColumn="0" w:lastColumn="0" w:oddVBand="0" w:evenVBand="0" w:oddHBand="1" w:evenHBand="0" w:firstRowFirstColumn="0" w:firstRowLastColumn="0" w:lastRowFirstColumn="0" w:lastRowLastColumn="0"/>
              <w:rPr>
                <w:b/>
              </w:rPr>
            </w:pPr>
            <w:r w:rsidRPr="00A04E56">
              <w:rPr>
                <w:b/>
              </w:rPr>
              <w:t>Total</w:t>
            </w:r>
          </w:p>
        </w:tc>
        <w:tc>
          <w:tcPr>
            <w:tcW w:w="1722" w:type="dxa"/>
          </w:tcPr>
          <w:p w14:paraId="3FB5C738" w14:textId="275C0D26" w:rsidR="00FC5564" w:rsidRPr="00A04E56" w:rsidRDefault="00FC5564" w:rsidP="003417EA">
            <w:pPr>
              <w:pStyle w:val="BodyText"/>
              <w:keepNext/>
              <w:jc w:val="right"/>
              <w:cnfStyle w:val="000000100000" w:firstRow="0" w:lastRow="0" w:firstColumn="0" w:lastColumn="0" w:oddVBand="0" w:evenVBand="0" w:oddHBand="1" w:evenHBand="0" w:firstRowFirstColumn="0" w:firstRowLastColumn="0" w:lastRowFirstColumn="0" w:lastRowLastColumn="0"/>
              <w:rPr>
                <w:b/>
              </w:rPr>
            </w:pPr>
            <w:r w:rsidRPr="00A04E56">
              <w:rPr>
                <w:rFonts w:cs="Arial"/>
                <w:b/>
                <w:bCs/>
                <w:szCs w:val="20"/>
              </w:rPr>
              <w:t>2 60</w:t>
            </w:r>
            <w:r w:rsidR="007C58FE" w:rsidRPr="00A04E56">
              <w:rPr>
                <w:rFonts w:cs="Arial"/>
                <w:b/>
                <w:bCs/>
                <w:szCs w:val="20"/>
              </w:rPr>
              <w:t>9</w:t>
            </w:r>
          </w:p>
        </w:tc>
      </w:tr>
    </w:tbl>
    <w:p w14:paraId="4CA0965D" w14:textId="11712A59" w:rsidR="00FC5564" w:rsidRPr="00A04E56" w:rsidRDefault="00FC5564" w:rsidP="00107DA0">
      <w:pPr>
        <w:pStyle w:val="Source-Table-Chart-PhotoCaption"/>
      </w:pPr>
      <w:r w:rsidRPr="00107DA0">
        <w:rPr>
          <w:rStyle w:val="italics"/>
        </w:rPr>
        <w:t>Tables:</w:t>
      </w:r>
      <w:r w:rsidRPr="00A04E56">
        <w:t xml:space="preserve"> Corrective measures overview for 2018 (EUR million)</w:t>
      </w:r>
    </w:p>
    <w:p w14:paraId="06DB9F8B" w14:textId="77777777" w:rsidR="009632DD" w:rsidRPr="00277538" w:rsidRDefault="009632DD" w:rsidP="00107DA0">
      <w:pPr>
        <w:pStyle w:val="Source-Table-Chart-PhotoCaption"/>
        <w:rPr>
          <w:spacing w:val="-2"/>
        </w:rPr>
      </w:pPr>
      <w:r w:rsidRPr="00277538">
        <w:rPr>
          <w:spacing w:val="-2"/>
        </w:rPr>
        <w:t>It should be noted that due to the rounding of figures into EUR millions, some financial data in the tables above may appear not to add up.</w:t>
      </w:r>
    </w:p>
    <w:p w14:paraId="12492D8F" w14:textId="77777777" w:rsidR="00747341" w:rsidRPr="00A04E56" w:rsidRDefault="00747341" w:rsidP="00107DA0">
      <w:pPr>
        <w:pStyle w:val="Source-Table-Chart-PhotoCaption"/>
      </w:pPr>
      <w:r w:rsidRPr="00107DA0">
        <w:rPr>
          <w:rStyle w:val="italics"/>
        </w:rPr>
        <w:t>Source:</w:t>
      </w:r>
      <w:r w:rsidRPr="00A04E56">
        <w:t xml:space="preserve"> European Commission.</w:t>
      </w:r>
    </w:p>
    <w:p w14:paraId="6D3A7948" w14:textId="6A12230B" w:rsidR="00FC5564" w:rsidRPr="00A04E56" w:rsidRDefault="00967E7E" w:rsidP="001E680A">
      <w:pPr>
        <w:pStyle w:val="Title3Report-Numbered"/>
        <w:rPr>
          <w:b w:val="0"/>
        </w:rPr>
      </w:pPr>
      <w:r w:rsidRPr="00A04E56">
        <w:t>3.2. P</w:t>
      </w:r>
      <w:r w:rsidRPr="00A04E56">
        <w:rPr>
          <w:iCs/>
        </w:rPr>
        <w:t>reventive and corrective mechanisms</w:t>
      </w:r>
      <w:r w:rsidR="00D24C7D" w:rsidRPr="00A04E56">
        <w:t xml:space="preserve"> - </w:t>
      </w:r>
      <w:r w:rsidRPr="00A04E56">
        <w:t>f</w:t>
      </w:r>
      <w:r w:rsidR="00FC5564" w:rsidRPr="00A04E56">
        <w:t>rom confirmation to implementation</w:t>
      </w:r>
    </w:p>
    <w:p w14:paraId="5A966600" w14:textId="06902747" w:rsidR="00163998" w:rsidRPr="00A1289A" w:rsidRDefault="00FC5564" w:rsidP="00C257BF">
      <w:pPr>
        <w:pStyle w:val="BodyText1"/>
        <w:spacing w:after="240"/>
        <w:rPr>
          <w:spacing w:val="-2"/>
          <w:lang w:val="en-GB"/>
        </w:rPr>
      </w:pPr>
      <w:r w:rsidRPr="00A1289A">
        <w:rPr>
          <w:rStyle w:val="Emphasis"/>
          <w:i w:val="0"/>
          <w:spacing w:val="-2"/>
        </w:rPr>
        <w:t xml:space="preserve">The workflow of preventive and corrective mechanisms applied by the Commission entails two significant steps, the </w:t>
      </w:r>
      <w:r w:rsidRPr="00A1289A">
        <w:rPr>
          <w:rStyle w:val="BOLDLIGHTBLUEReport"/>
          <w:rFonts w:eastAsiaTheme="minorHAnsi"/>
          <w:spacing w:val="-2"/>
        </w:rPr>
        <w:t>confirmation</w:t>
      </w:r>
      <w:r w:rsidRPr="00A1289A">
        <w:rPr>
          <w:rStyle w:val="Emphasis"/>
          <w:i w:val="0"/>
          <w:spacing w:val="-2"/>
        </w:rPr>
        <w:t xml:space="preserve"> and the </w:t>
      </w:r>
      <w:r w:rsidRPr="00A1289A">
        <w:rPr>
          <w:rStyle w:val="BOLDLIGHTBLUEReport"/>
          <w:rFonts w:eastAsiaTheme="minorHAnsi"/>
          <w:spacing w:val="-2"/>
        </w:rPr>
        <w:t>implementation</w:t>
      </w:r>
      <w:r w:rsidRPr="00A1289A">
        <w:rPr>
          <w:rStyle w:val="Emphasis"/>
          <w:i w:val="0"/>
          <w:spacing w:val="-2"/>
        </w:rPr>
        <w:t xml:space="preserve"> phase</w:t>
      </w:r>
      <w:r w:rsidR="007C71C8" w:rsidRPr="00A1289A">
        <w:rPr>
          <w:rStyle w:val="Emphasis"/>
          <w:i w:val="0"/>
          <w:spacing w:val="-2"/>
        </w:rPr>
        <w:t>s</w:t>
      </w:r>
      <w:r w:rsidRPr="00A1289A">
        <w:rPr>
          <w:rStyle w:val="Emphasis"/>
          <w:i w:val="0"/>
          <w:spacing w:val="-2"/>
        </w:rPr>
        <w:t xml:space="preserve">. </w:t>
      </w:r>
      <w:r w:rsidR="00127C19" w:rsidRPr="00A1289A">
        <w:rPr>
          <w:spacing w:val="-2"/>
          <w:lang w:val="en-GB"/>
        </w:rPr>
        <w:t>F</w:t>
      </w:r>
      <w:r w:rsidR="00163998" w:rsidRPr="00A1289A">
        <w:rPr>
          <w:spacing w:val="-2"/>
          <w:szCs w:val="20"/>
          <w:lang w:val="en-GB"/>
        </w:rPr>
        <w:t xml:space="preserve">or example, a deduction before </w:t>
      </w:r>
      <w:r w:rsidR="00705788" w:rsidRPr="00A1289A">
        <w:rPr>
          <w:spacing w:val="-2"/>
          <w:szCs w:val="20"/>
          <w:lang w:val="en-GB"/>
        </w:rPr>
        <w:t xml:space="preserve">the acceptance of </w:t>
      </w:r>
      <w:r w:rsidR="00163998" w:rsidRPr="00A1289A">
        <w:rPr>
          <w:spacing w:val="-2"/>
          <w:szCs w:val="20"/>
          <w:lang w:val="en-GB"/>
        </w:rPr>
        <w:t>ex</w:t>
      </w:r>
      <w:r w:rsidR="00705788" w:rsidRPr="00A1289A">
        <w:rPr>
          <w:spacing w:val="-2"/>
          <w:szCs w:val="20"/>
          <w:lang w:val="en-GB"/>
        </w:rPr>
        <w:t>penditure is</w:t>
      </w:r>
      <w:r w:rsidR="00163998" w:rsidRPr="00A1289A">
        <w:rPr>
          <w:spacing w:val="-2"/>
          <w:szCs w:val="20"/>
          <w:lang w:val="en-GB"/>
        </w:rPr>
        <w:t xml:space="preserve"> </w:t>
      </w:r>
      <w:r w:rsidR="00163998" w:rsidRPr="00A1289A">
        <w:rPr>
          <w:rStyle w:val="BOLDLIGHTBLUEReport"/>
          <w:rFonts w:eastAsiaTheme="minorHAnsi"/>
          <w:spacing w:val="-2"/>
        </w:rPr>
        <w:t>confirmed</w:t>
      </w:r>
      <w:r w:rsidR="00163998" w:rsidRPr="00A1289A">
        <w:rPr>
          <w:spacing w:val="-2"/>
          <w:szCs w:val="20"/>
          <w:lang w:val="en-GB"/>
        </w:rPr>
        <w:t xml:space="preserve"> as soon as decided by the relevant Commission services, while a financial correction is confirmed once it is accepted by the Member State or decided by an official Commission decision. </w:t>
      </w:r>
    </w:p>
    <w:p w14:paraId="61F9CC39" w14:textId="1CE9B970" w:rsidR="00FC5564" w:rsidRPr="00A04E56" w:rsidRDefault="00FC5564" w:rsidP="00FC5564">
      <w:pPr>
        <w:pStyle w:val="BodyText1spaceafter"/>
        <w:rPr>
          <w:rStyle w:val="Emphasis"/>
          <w:rFonts w:eastAsiaTheme="minorHAnsi"/>
          <w:i w:val="0"/>
          <w:noProof w:val="0"/>
          <w:color w:val="auto"/>
          <w:lang w:eastAsia="en-US"/>
        </w:rPr>
      </w:pPr>
      <w:r w:rsidRPr="00A04E56">
        <w:rPr>
          <w:rStyle w:val="Emphasis"/>
          <w:i w:val="0"/>
        </w:rPr>
        <w:t xml:space="preserve">Some preventive and corrective mechanisms are implemented in the year in which they were confirmed but in most cases the beneficiary of the spending programme has, based on </w:t>
      </w:r>
      <w:r w:rsidR="00835302" w:rsidRPr="00A04E56">
        <w:rPr>
          <w:rStyle w:val="Emphasis"/>
          <w:i w:val="0"/>
        </w:rPr>
        <w:t>E</w:t>
      </w:r>
      <w:r w:rsidRPr="00A04E56">
        <w:rPr>
          <w:rStyle w:val="Emphasis"/>
          <w:i w:val="0"/>
        </w:rPr>
        <w:t xml:space="preserve">U legislation, time to comment or provide additional material on proposed corrections/deductions/rejections. Once such an adversarial process is finalised the Commission needs to recover the amount corresponding to the correction proposed and thus the implementation takes place in one or often in several years after confirmation. </w:t>
      </w:r>
    </w:p>
    <w:p w14:paraId="2B374FA3" w14:textId="61C06752" w:rsidR="00FC5564" w:rsidRPr="00BB081C" w:rsidRDefault="00FC5564" w:rsidP="00BB081C">
      <w:pPr>
        <w:pStyle w:val="BodyText1spaceafter"/>
        <w:spacing w:after="200"/>
        <w:rPr>
          <w:rStyle w:val="fnRef"/>
          <w:spacing w:val="-2"/>
        </w:rPr>
      </w:pPr>
      <w:r w:rsidRPr="00BB081C">
        <w:rPr>
          <w:rStyle w:val="Emphasis"/>
          <w:i w:val="0"/>
          <w:spacing w:val="-2"/>
        </w:rPr>
        <w:t xml:space="preserve">A financial correction is considered </w:t>
      </w:r>
      <w:r w:rsidRPr="00BB081C">
        <w:rPr>
          <w:rStyle w:val="BOLDLIGHTBLUEReport"/>
          <w:rFonts w:eastAsiaTheme="minorHAnsi"/>
          <w:iCs/>
          <w:spacing w:val="-2"/>
        </w:rPr>
        <w:t>implemented</w:t>
      </w:r>
      <w:r w:rsidRPr="00BB081C">
        <w:rPr>
          <w:rStyle w:val="Emphasis"/>
          <w:i w:val="0"/>
          <w:spacing w:val="-2"/>
        </w:rPr>
        <w:t xml:space="preserve"> when the correction has been applied and recorded in the Commission accounts, which means the financial transaction was validated by the responsible authorising officer in the following cases: deduction of the financial correction from the amounts declared by the Member State in </w:t>
      </w:r>
      <w:r w:rsidR="00BC0F91" w:rsidRPr="00BB081C">
        <w:rPr>
          <w:rStyle w:val="Emphasis"/>
          <w:i w:val="0"/>
          <w:spacing w:val="-2"/>
        </w:rPr>
        <w:t>an</w:t>
      </w:r>
      <w:r w:rsidRPr="00BB081C">
        <w:rPr>
          <w:rStyle w:val="Emphasis"/>
          <w:i w:val="0"/>
          <w:spacing w:val="-2"/>
        </w:rPr>
        <w:t xml:space="preserve"> interim or final payment claim, a recovery order and/or </w:t>
      </w:r>
      <w:r w:rsidR="00003829" w:rsidRPr="00BB081C">
        <w:rPr>
          <w:rStyle w:val="Emphasis"/>
          <w:i w:val="0"/>
          <w:spacing w:val="-2"/>
        </w:rPr>
        <w:t>the cancelling (‘</w:t>
      </w:r>
      <w:r w:rsidRPr="00BB081C">
        <w:rPr>
          <w:rStyle w:val="Emphasis"/>
          <w:i w:val="0"/>
          <w:spacing w:val="-2"/>
        </w:rPr>
        <w:t>decommitment</w:t>
      </w:r>
      <w:r w:rsidR="00003829" w:rsidRPr="00BB081C">
        <w:rPr>
          <w:rStyle w:val="Emphasis"/>
          <w:i w:val="0"/>
          <w:spacing w:val="-2"/>
        </w:rPr>
        <w:t>’)</w:t>
      </w:r>
      <w:r w:rsidRPr="00BB081C">
        <w:rPr>
          <w:rStyle w:val="Emphasis"/>
          <w:i w:val="0"/>
          <w:spacing w:val="-2"/>
        </w:rPr>
        <w:t xml:space="preserve"> </w:t>
      </w:r>
      <w:r w:rsidRPr="00BB081C">
        <w:rPr>
          <w:rStyle w:val="Emphasis"/>
          <w:i w:val="0"/>
          <w:iCs w:val="0"/>
          <w:spacing w:val="-2"/>
        </w:rPr>
        <w:t>of the commitment appropriation</w:t>
      </w:r>
      <w:r w:rsidR="00BC0F91" w:rsidRPr="00BB081C">
        <w:rPr>
          <w:rStyle w:val="Emphasis"/>
          <w:i w:val="0"/>
          <w:iCs w:val="0"/>
          <w:spacing w:val="-2"/>
        </w:rPr>
        <w:t>(</w:t>
      </w:r>
      <w:r w:rsidRPr="00BB081C">
        <w:rPr>
          <w:rStyle w:val="Emphasis"/>
          <w:i w:val="0"/>
          <w:iCs w:val="0"/>
          <w:spacing w:val="-2"/>
        </w:rPr>
        <w:t>s</w:t>
      </w:r>
      <w:r w:rsidR="00BC0F91" w:rsidRPr="00BB081C">
        <w:rPr>
          <w:rStyle w:val="Emphasis"/>
          <w:i w:val="0"/>
          <w:iCs w:val="0"/>
          <w:spacing w:val="-2"/>
        </w:rPr>
        <w:t>)</w:t>
      </w:r>
      <w:r w:rsidRPr="00BB081C">
        <w:rPr>
          <w:rStyle w:val="Emphasis"/>
          <w:i w:val="0"/>
          <w:spacing w:val="-2"/>
        </w:rPr>
        <w:t xml:space="preserve"> corresponding to the financial correction amount</w:t>
      </w:r>
      <w:r w:rsidRPr="00BB081C">
        <w:rPr>
          <w:rStyle w:val="fnRef"/>
          <w:rFonts w:ascii="Calibri" w:hAnsi="Calibri" w:cs="Calibri"/>
          <w:spacing w:val="-2"/>
        </w:rPr>
        <w:t> </w:t>
      </w:r>
      <w:r w:rsidRPr="00BB081C">
        <w:rPr>
          <w:rStyle w:val="fnRef"/>
          <w:spacing w:val="-2"/>
        </w:rPr>
        <w:t>(</w:t>
      </w:r>
      <w:r w:rsidRPr="00BB081C">
        <w:rPr>
          <w:rStyle w:val="fnRefNo"/>
          <w:spacing w:val="-2"/>
        </w:rPr>
        <w:footnoteReference w:id="381"/>
      </w:r>
      <w:r w:rsidRPr="00BB081C">
        <w:rPr>
          <w:rStyle w:val="fnRef"/>
          <w:spacing w:val="-2"/>
        </w:rPr>
        <w:t>).</w:t>
      </w:r>
    </w:p>
    <w:p w14:paraId="4C447043" w14:textId="77777777" w:rsidR="00D24C7D" w:rsidRPr="00A04E56" w:rsidRDefault="00D24C7D" w:rsidP="00BB081C">
      <w:pPr>
        <w:pStyle w:val="BodyText1spaceafter"/>
        <w:keepNext/>
        <w:spacing w:after="200"/>
        <w:rPr>
          <w:i/>
        </w:rPr>
      </w:pPr>
      <w:r w:rsidRPr="00A04E56">
        <w:rPr>
          <w:rStyle w:val="Emphasis"/>
          <w:i w:val="0"/>
        </w:rPr>
        <w:t>Example: The workflow of corrective mechanisms.</w:t>
      </w:r>
    </w:p>
    <w:p w14:paraId="789397B3" w14:textId="77777777" w:rsidR="00D24C7D" w:rsidRPr="00A04E56" w:rsidRDefault="00D24C7D" w:rsidP="00D24C7D">
      <w:pPr>
        <w:pStyle w:val="BodyText"/>
        <w:rPr>
          <w:noProof/>
          <w:lang w:eastAsia="fr-BE"/>
        </w:rPr>
      </w:pPr>
      <w:r w:rsidRPr="00A04E56">
        <w:rPr>
          <w:noProof/>
          <w:lang w:val="fr-BE" w:eastAsia="fr-BE"/>
        </w:rPr>
        <w:drawing>
          <wp:inline distT="0" distB="0" distL="0" distR="0" wp14:anchorId="512F944E" wp14:editId="29594BEE">
            <wp:extent cx="5759450" cy="618490"/>
            <wp:effectExtent l="19050" t="0" r="31750" b="0"/>
            <wp:docPr id="14515" name="Diagram 14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p w14:paraId="03F6E96C" w14:textId="5D29F5B2" w:rsidR="00FC5564" w:rsidRPr="00A04E56" w:rsidRDefault="00A37477" w:rsidP="00BB081C">
      <w:pPr>
        <w:pStyle w:val="Title3Report-Numbered"/>
        <w:spacing w:before="320" w:after="220"/>
        <w:ind w:left="782" w:hanging="357"/>
        <w:rPr>
          <w:b w:val="0"/>
          <w:sz w:val="28"/>
          <w:szCs w:val="28"/>
        </w:rPr>
      </w:pPr>
      <w:r w:rsidRPr="00A04E56">
        <w:t xml:space="preserve">3.3. </w:t>
      </w:r>
      <w:r w:rsidR="00FC5564" w:rsidRPr="00A04E56">
        <w:t xml:space="preserve">Preventive and corrective measures applied </w:t>
      </w:r>
      <w:r w:rsidR="008C1D39" w:rsidRPr="00A04E56">
        <w:rPr>
          <w:i/>
          <w:u w:val="single"/>
        </w:rPr>
        <w:t>in 2018</w:t>
      </w:r>
    </w:p>
    <w:p w14:paraId="4A940C40" w14:textId="351D5FBE" w:rsidR="002E47FF" w:rsidRPr="00A04E56" w:rsidRDefault="00FC5564" w:rsidP="00CB33E3">
      <w:pPr>
        <w:pStyle w:val="BodyText1spaceafter"/>
        <w:rPr>
          <w:rStyle w:val="Emphasis"/>
          <w:i w:val="0"/>
        </w:rPr>
      </w:pPr>
      <w:r w:rsidRPr="00A04E56">
        <w:rPr>
          <w:rStyle w:val="Emphasis"/>
          <w:i w:val="0"/>
        </w:rPr>
        <w:t xml:space="preserve">The table below provides a complete picture (including one-off measures) of all preventive and corrective measures applied </w:t>
      </w:r>
      <w:r w:rsidR="00BC0F91" w:rsidRPr="00A04E56">
        <w:rPr>
          <w:rStyle w:val="Emphasis"/>
          <w:i w:val="0"/>
        </w:rPr>
        <w:t>dur</w:t>
      </w:r>
      <w:r w:rsidRPr="00A04E56">
        <w:rPr>
          <w:rStyle w:val="Emphasis"/>
          <w:i w:val="0"/>
        </w:rPr>
        <w:t>in</w:t>
      </w:r>
      <w:r w:rsidR="00BC0F91" w:rsidRPr="00A04E56">
        <w:rPr>
          <w:rStyle w:val="Emphasis"/>
          <w:i w:val="0"/>
        </w:rPr>
        <w:t>g</w:t>
      </w:r>
      <w:r w:rsidRPr="00A04E56">
        <w:rPr>
          <w:rStyle w:val="Emphasis"/>
          <w:i w:val="0"/>
        </w:rPr>
        <w:t xml:space="preserve"> 2018 to protect the EU budget </w:t>
      </w:r>
      <w:r w:rsidR="006262F5" w:rsidRPr="00A04E56">
        <w:rPr>
          <w:rStyle w:val="Emphasis"/>
          <w:i w:val="0"/>
        </w:rPr>
        <w:t>—</w:t>
      </w:r>
      <w:r w:rsidRPr="00A04E56">
        <w:rPr>
          <w:rStyle w:val="Emphasis"/>
          <w:i w:val="0"/>
        </w:rPr>
        <w:t xml:space="preserve"> EUR</w:t>
      </w:r>
      <w:r w:rsidR="004D440F" w:rsidRPr="00A04E56">
        <w:rPr>
          <w:rStyle w:val="Emphasis"/>
          <w:rFonts w:ascii="Calibri" w:hAnsi="Calibri" w:cs="Calibri"/>
          <w:i w:val="0"/>
        </w:rPr>
        <w:t> </w:t>
      </w:r>
      <w:r w:rsidRPr="00A04E56">
        <w:rPr>
          <w:rStyle w:val="Emphasis"/>
          <w:i w:val="0"/>
        </w:rPr>
        <w:t>1.7</w:t>
      </w:r>
      <w:r w:rsidRPr="00A04E56">
        <w:rPr>
          <w:rStyle w:val="Emphasis"/>
          <w:rFonts w:ascii="Calibri" w:hAnsi="Calibri" w:cs="Calibri"/>
          <w:i w:val="0"/>
        </w:rPr>
        <w:t> </w:t>
      </w:r>
      <w:r w:rsidRPr="00A04E56">
        <w:rPr>
          <w:rStyle w:val="Emphasis"/>
          <w:i w:val="0"/>
        </w:rPr>
        <w:t>billion confirmed and EUR</w:t>
      </w:r>
      <w:r w:rsidR="004D440F" w:rsidRPr="00A04E56">
        <w:rPr>
          <w:rStyle w:val="Emphasis"/>
          <w:rFonts w:ascii="Calibri" w:hAnsi="Calibri" w:cs="Calibri"/>
          <w:i w:val="0"/>
        </w:rPr>
        <w:t> </w:t>
      </w:r>
      <w:r w:rsidRPr="00A04E56">
        <w:rPr>
          <w:rStyle w:val="Emphasis"/>
          <w:i w:val="0"/>
        </w:rPr>
        <w:t>3.2</w:t>
      </w:r>
      <w:r w:rsidRPr="00A04E56">
        <w:rPr>
          <w:rStyle w:val="Emphasis"/>
          <w:rFonts w:ascii="Calibri" w:hAnsi="Calibri" w:cs="Calibri"/>
          <w:i w:val="0"/>
        </w:rPr>
        <w:t> </w:t>
      </w:r>
      <w:r w:rsidRPr="00A04E56">
        <w:rPr>
          <w:rStyle w:val="Emphasis"/>
          <w:i w:val="0"/>
        </w:rPr>
        <w:t xml:space="preserve">billion implemented. These amounts cover preventive actions and corrective actions made during 2018 irrespective of the year in which the initial expenditure </w:t>
      </w:r>
      <w:r w:rsidR="00BC0F91" w:rsidRPr="00A04E56">
        <w:rPr>
          <w:rStyle w:val="Emphasis"/>
          <w:i w:val="0"/>
        </w:rPr>
        <w:t>was</w:t>
      </w:r>
      <w:r w:rsidRPr="00A04E56">
        <w:rPr>
          <w:rStyle w:val="Emphasis"/>
          <w:i w:val="0"/>
        </w:rPr>
        <w:t xml:space="preserve"> made. More details can be found in Annex</w:t>
      </w:r>
      <w:r w:rsidRPr="00A04E56">
        <w:rPr>
          <w:rStyle w:val="Emphasis"/>
          <w:rFonts w:ascii="Calibri" w:hAnsi="Calibri" w:cs="Calibri"/>
          <w:i w:val="0"/>
        </w:rPr>
        <w:t> </w:t>
      </w:r>
      <w:r w:rsidRPr="00A04E56">
        <w:rPr>
          <w:rStyle w:val="Emphasis"/>
          <w:i w:val="0"/>
        </w:rPr>
        <w:t>4.</w:t>
      </w:r>
    </w:p>
    <w:tbl>
      <w:tblPr>
        <w:tblStyle w:val="GridTable4-Accent11"/>
        <w:tblW w:w="9415" w:type="dxa"/>
        <w:tblLayout w:type="fixed"/>
        <w:tblCellMar>
          <w:top w:w="57" w:type="dxa"/>
          <w:left w:w="57" w:type="dxa"/>
          <w:bottom w:w="57" w:type="dxa"/>
          <w:right w:w="57" w:type="dxa"/>
        </w:tblCellMar>
        <w:tblLook w:val="04A0" w:firstRow="1" w:lastRow="0" w:firstColumn="1" w:lastColumn="0" w:noHBand="0" w:noVBand="1"/>
      </w:tblPr>
      <w:tblGrid>
        <w:gridCol w:w="2892"/>
        <w:gridCol w:w="1304"/>
        <w:gridCol w:w="1305"/>
        <w:gridCol w:w="1304"/>
        <w:gridCol w:w="1305"/>
        <w:gridCol w:w="1305"/>
      </w:tblGrid>
      <w:tr w:rsidR="00FC5564" w:rsidRPr="00A04E56" w14:paraId="1036CF93" w14:textId="77777777" w:rsidTr="004D4F6A">
        <w:trPr>
          <w:cnfStyle w:val="100000000000" w:firstRow="1" w:lastRow="0" w:firstColumn="0" w:lastColumn="0" w:oddVBand="0" w:evenVBand="0" w:oddHBand="0"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892" w:type="dxa"/>
            <w:tcBorders>
              <w:right w:val="single" w:sz="4" w:space="0" w:color="FFFFFF" w:themeColor="background1"/>
            </w:tcBorders>
            <w:noWrap/>
            <w:vAlign w:val="center"/>
            <w:hideMark/>
          </w:tcPr>
          <w:p w14:paraId="1BB301E0" w14:textId="177C3DF3" w:rsidR="00FC5564" w:rsidRPr="00A04E56" w:rsidRDefault="00FC5564" w:rsidP="00CB33E3">
            <w:pPr>
              <w:keepNext/>
              <w:ind w:hanging="142"/>
              <w:jc w:val="center"/>
              <w:rPr>
                <w:rFonts w:eastAsia="Times New Roman" w:cs="Calibri"/>
                <w:szCs w:val="20"/>
                <w:lang w:eastAsia="fr-BE"/>
              </w:rPr>
            </w:pPr>
            <w:r w:rsidRPr="00A04E56" w:rsidDel="002754EA">
              <w:rPr>
                <w:rStyle w:val="Emphasis"/>
                <w:i w:val="0"/>
              </w:rPr>
              <w:t xml:space="preserve"> </w:t>
            </w:r>
            <w:r w:rsidRPr="00A04E56">
              <w:rPr>
                <w:rFonts w:eastAsia="Times New Roman" w:cs="Calibri"/>
                <w:szCs w:val="20"/>
                <w:lang w:eastAsia="fr-BE"/>
              </w:rPr>
              <w:t>Fund</w:t>
            </w:r>
          </w:p>
        </w:tc>
        <w:tc>
          <w:tcPr>
            <w:tcW w:w="1304" w:type="dxa"/>
            <w:tcBorders>
              <w:left w:val="single" w:sz="4" w:space="0" w:color="FFFFFF" w:themeColor="background1"/>
              <w:right w:val="single" w:sz="4" w:space="0" w:color="FFFFFF" w:themeColor="background1"/>
            </w:tcBorders>
            <w:vAlign w:val="center"/>
            <w:hideMark/>
          </w:tcPr>
          <w:p w14:paraId="3D5BA2FA" w14:textId="2F5D539D" w:rsidR="00FC5564" w:rsidRPr="00A04E56" w:rsidRDefault="00FC5564" w:rsidP="00CB33E3">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fr-BE"/>
              </w:rPr>
            </w:pPr>
            <w:r w:rsidRPr="00A04E56">
              <w:rPr>
                <w:rFonts w:eastAsia="Times New Roman" w:cs="Calibri"/>
                <w:szCs w:val="20"/>
                <w:lang w:eastAsia="fr-BE"/>
              </w:rPr>
              <w:t xml:space="preserve">Total EU budget payments </w:t>
            </w:r>
            <w:r w:rsidR="008C1D39" w:rsidRPr="00A04E56">
              <w:rPr>
                <w:rFonts w:eastAsia="Times New Roman" w:cs="Calibri"/>
                <w:i/>
                <w:szCs w:val="20"/>
                <w:u w:val="single"/>
                <w:lang w:eastAsia="fr-BE"/>
              </w:rPr>
              <w:t>in 2018</w:t>
            </w:r>
          </w:p>
        </w:tc>
        <w:tc>
          <w:tcPr>
            <w:tcW w:w="1305" w:type="dxa"/>
            <w:tcBorders>
              <w:left w:val="single" w:sz="4" w:space="0" w:color="FFFFFF" w:themeColor="background1"/>
              <w:right w:val="single" w:sz="4" w:space="0" w:color="FFFFFF" w:themeColor="background1"/>
            </w:tcBorders>
            <w:vAlign w:val="center"/>
            <w:hideMark/>
          </w:tcPr>
          <w:p w14:paraId="7F8817EC" w14:textId="2A5D7538" w:rsidR="00FC5564" w:rsidRPr="00A04E56" w:rsidRDefault="00FC5564" w:rsidP="00CB33E3">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fr-BE"/>
              </w:rPr>
            </w:pPr>
            <w:r w:rsidRPr="00A04E56">
              <w:rPr>
                <w:rFonts w:eastAsia="Times New Roman" w:cs="Calibri"/>
                <w:szCs w:val="20"/>
                <w:lang w:eastAsia="fr-BE"/>
              </w:rPr>
              <w:t xml:space="preserve">Total amounts confirmed </w:t>
            </w:r>
            <w:r w:rsidR="008C1D39" w:rsidRPr="00A04E56">
              <w:rPr>
                <w:rFonts w:eastAsia="Times New Roman" w:cs="Calibri"/>
                <w:i/>
                <w:szCs w:val="20"/>
                <w:u w:val="single"/>
                <w:lang w:eastAsia="fr-BE"/>
              </w:rPr>
              <w:t>in 2018</w:t>
            </w:r>
          </w:p>
        </w:tc>
        <w:tc>
          <w:tcPr>
            <w:tcW w:w="1304" w:type="dxa"/>
            <w:tcBorders>
              <w:left w:val="single" w:sz="4" w:space="0" w:color="FFFFFF" w:themeColor="background1"/>
              <w:right w:val="single" w:sz="4" w:space="0" w:color="FFFFFF" w:themeColor="background1"/>
            </w:tcBorders>
            <w:vAlign w:val="center"/>
            <w:hideMark/>
          </w:tcPr>
          <w:p w14:paraId="230AC766" w14:textId="77777777" w:rsidR="00FC5564" w:rsidRPr="00A04E56" w:rsidRDefault="00FC5564" w:rsidP="00CB33E3">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fr-BE"/>
              </w:rPr>
            </w:pPr>
            <w:r w:rsidRPr="00A04E56">
              <w:rPr>
                <w:rFonts w:eastAsia="Times New Roman" w:cs="Calibri"/>
                <w:szCs w:val="20"/>
                <w:lang w:eastAsia="fr-BE"/>
              </w:rPr>
              <w:t>% of payments of the EU budget</w:t>
            </w:r>
          </w:p>
        </w:tc>
        <w:tc>
          <w:tcPr>
            <w:tcW w:w="1305" w:type="dxa"/>
            <w:tcBorders>
              <w:left w:val="single" w:sz="4" w:space="0" w:color="FFFFFF" w:themeColor="background1"/>
              <w:right w:val="single" w:sz="4" w:space="0" w:color="FFFFFF" w:themeColor="background1"/>
            </w:tcBorders>
            <w:vAlign w:val="center"/>
            <w:hideMark/>
          </w:tcPr>
          <w:p w14:paraId="6F9067E6" w14:textId="5E66AE3F" w:rsidR="00FC5564" w:rsidRPr="00A04E56" w:rsidRDefault="00FC5564" w:rsidP="00CB33E3">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fr-BE"/>
              </w:rPr>
            </w:pPr>
            <w:r w:rsidRPr="00A04E56">
              <w:rPr>
                <w:rFonts w:eastAsia="Times New Roman" w:cs="Calibri"/>
                <w:szCs w:val="20"/>
                <w:lang w:eastAsia="fr-BE"/>
              </w:rPr>
              <w:t xml:space="preserve">Total amounts implemented </w:t>
            </w:r>
            <w:r w:rsidR="008C1D39" w:rsidRPr="00A04E56">
              <w:rPr>
                <w:rFonts w:eastAsia="Times New Roman" w:cs="Calibri"/>
                <w:i/>
                <w:szCs w:val="20"/>
                <w:u w:val="single"/>
                <w:lang w:eastAsia="fr-BE"/>
              </w:rPr>
              <w:t>in 2018</w:t>
            </w:r>
          </w:p>
        </w:tc>
        <w:tc>
          <w:tcPr>
            <w:tcW w:w="1305" w:type="dxa"/>
            <w:tcBorders>
              <w:left w:val="single" w:sz="4" w:space="0" w:color="FFFFFF" w:themeColor="background1"/>
            </w:tcBorders>
            <w:vAlign w:val="center"/>
            <w:hideMark/>
          </w:tcPr>
          <w:p w14:paraId="11EEC636" w14:textId="77777777" w:rsidR="00FC5564" w:rsidRPr="00A04E56" w:rsidRDefault="00FC5564" w:rsidP="00CB33E3">
            <w:pPr>
              <w:keepNext/>
              <w:jc w:val="center"/>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fr-BE"/>
              </w:rPr>
            </w:pPr>
            <w:r w:rsidRPr="00A04E56">
              <w:rPr>
                <w:rFonts w:eastAsia="Times New Roman" w:cs="Calibri"/>
                <w:szCs w:val="20"/>
                <w:lang w:eastAsia="fr-BE"/>
              </w:rPr>
              <w:t>% of payments of the EU budget</w:t>
            </w:r>
          </w:p>
        </w:tc>
      </w:tr>
      <w:tr w:rsidR="00FC5564" w:rsidRPr="00A04E56" w14:paraId="5A30D332" w14:textId="77777777" w:rsidTr="004D4F6A">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2892" w:type="dxa"/>
            <w:hideMark/>
          </w:tcPr>
          <w:p w14:paraId="21C5F898" w14:textId="77777777" w:rsidR="00FC5564" w:rsidRPr="00A04E56" w:rsidRDefault="00FC5564" w:rsidP="00CB33E3">
            <w:pPr>
              <w:keepNext/>
              <w:rPr>
                <w:rFonts w:eastAsia="Times New Roman" w:cs="Calibri"/>
                <w:i/>
                <w:iCs/>
                <w:color w:val="000000"/>
                <w:szCs w:val="20"/>
                <w:lang w:eastAsia="fr-BE"/>
              </w:rPr>
            </w:pPr>
            <w:r w:rsidRPr="00A04E56">
              <w:rPr>
                <w:rFonts w:eastAsia="Times New Roman" w:cs="Calibri"/>
                <w:i/>
                <w:iCs/>
                <w:color w:val="000000"/>
                <w:szCs w:val="20"/>
                <w:lang w:eastAsia="fr-BE"/>
              </w:rPr>
              <w:t>Agricultural policy:</w:t>
            </w:r>
          </w:p>
        </w:tc>
        <w:tc>
          <w:tcPr>
            <w:tcW w:w="1304" w:type="dxa"/>
            <w:hideMark/>
          </w:tcPr>
          <w:p w14:paraId="42DEAFEB"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56 777</w:t>
            </w:r>
          </w:p>
        </w:tc>
        <w:tc>
          <w:tcPr>
            <w:tcW w:w="1305" w:type="dxa"/>
            <w:hideMark/>
          </w:tcPr>
          <w:p w14:paraId="740F95E5"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 xml:space="preserve"> 817</w:t>
            </w:r>
          </w:p>
        </w:tc>
        <w:tc>
          <w:tcPr>
            <w:tcW w:w="1304" w:type="dxa"/>
            <w:hideMark/>
          </w:tcPr>
          <w:p w14:paraId="14F675FE" w14:textId="24379CFA"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1.4</w:t>
            </w:r>
          </w:p>
        </w:tc>
        <w:tc>
          <w:tcPr>
            <w:tcW w:w="1305" w:type="dxa"/>
            <w:hideMark/>
          </w:tcPr>
          <w:p w14:paraId="4E19583B"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1 666</w:t>
            </w:r>
          </w:p>
        </w:tc>
        <w:tc>
          <w:tcPr>
            <w:tcW w:w="1305" w:type="dxa"/>
            <w:hideMark/>
          </w:tcPr>
          <w:p w14:paraId="3D5AA9CC" w14:textId="048DE07E"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2.9</w:t>
            </w:r>
          </w:p>
        </w:tc>
      </w:tr>
      <w:tr w:rsidR="00FC5564" w:rsidRPr="00A04E56" w14:paraId="00C29209" w14:textId="77777777" w:rsidTr="004D4F6A">
        <w:trPr>
          <w:cantSplit/>
          <w:trHeight w:val="255"/>
        </w:trPr>
        <w:tc>
          <w:tcPr>
            <w:cnfStyle w:val="001000000000" w:firstRow="0" w:lastRow="0" w:firstColumn="1" w:lastColumn="0" w:oddVBand="0" w:evenVBand="0" w:oddHBand="0" w:evenHBand="0" w:firstRowFirstColumn="0" w:firstRowLastColumn="0" w:lastRowFirstColumn="0" w:lastRowLastColumn="0"/>
            <w:tcW w:w="2892" w:type="dxa"/>
            <w:hideMark/>
          </w:tcPr>
          <w:p w14:paraId="1E230812" w14:textId="37924451" w:rsidR="00FC5564" w:rsidRPr="00A04E56" w:rsidRDefault="00491FBD" w:rsidP="00491FBD">
            <w:pPr>
              <w:keepNext/>
              <w:ind w:left="284"/>
              <w:rPr>
                <w:rFonts w:eastAsia="Times New Roman" w:cs="Calibri"/>
                <w:b w:val="0"/>
                <w:i/>
                <w:iCs/>
                <w:color w:val="000000"/>
                <w:szCs w:val="20"/>
                <w:lang w:eastAsia="fr-BE"/>
              </w:rPr>
            </w:pPr>
            <w:r w:rsidRPr="00491FBD">
              <w:rPr>
                <w:rFonts w:eastAsia="Times New Roman" w:cs="Calibri"/>
                <w:i/>
                <w:iCs/>
                <w:color w:val="000000"/>
                <w:szCs w:val="20"/>
                <w:lang w:eastAsia="fr-BE"/>
              </w:rPr>
              <w:t>European Agricultural Guarantee Fund</w:t>
            </w:r>
          </w:p>
        </w:tc>
        <w:tc>
          <w:tcPr>
            <w:tcW w:w="1304" w:type="dxa"/>
            <w:hideMark/>
          </w:tcPr>
          <w:p w14:paraId="40F96B63"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44 310</w:t>
            </w:r>
          </w:p>
        </w:tc>
        <w:tc>
          <w:tcPr>
            <w:tcW w:w="1305" w:type="dxa"/>
            <w:hideMark/>
          </w:tcPr>
          <w:p w14:paraId="3B998E6E"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BE"/>
              </w:rPr>
            </w:pPr>
            <w:r w:rsidRPr="00A04E56">
              <w:rPr>
                <w:rFonts w:eastAsia="Times New Roman"/>
                <w:color w:val="000000"/>
                <w:lang w:eastAsia="fr-BE"/>
              </w:rPr>
              <w:t xml:space="preserve"> 445</w:t>
            </w:r>
          </w:p>
        </w:tc>
        <w:tc>
          <w:tcPr>
            <w:tcW w:w="1304" w:type="dxa"/>
            <w:hideMark/>
          </w:tcPr>
          <w:p w14:paraId="0CF9E728" w14:textId="51E9E1B1"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Cs w:val="20"/>
                <w:lang w:eastAsia="fr-BE"/>
              </w:rPr>
            </w:pPr>
            <w:r w:rsidRPr="00A04E56">
              <w:rPr>
                <w:rFonts w:eastAsia="Times New Roman" w:cs="Calibri"/>
                <w:i/>
                <w:iCs/>
                <w:color w:val="000000"/>
                <w:szCs w:val="20"/>
                <w:lang w:eastAsia="fr-BE"/>
              </w:rPr>
              <w:t>1.0</w:t>
            </w:r>
          </w:p>
        </w:tc>
        <w:tc>
          <w:tcPr>
            <w:tcW w:w="1305" w:type="dxa"/>
            <w:hideMark/>
          </w:tcPr>
          <w:p w14:paraId="6A25B129"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olor w:val="000000"/>
                <w:lang w:eastAsia="fr-BE"/>
              </w:rPr>
            </w:pPr>
            <w:r w:rsidRPr="00A04E56">
              <w:rPr>
                <w:rFonts w:eastAsia="Times New Roman"/>
                <w:color w:val="000000"/>
                <w:lang w:eastAsia="fr-BE"/>
              </w:rPr>
              <w:t xml:space="preserve"> 964</w:t>
            </w:r>
          </w:p>
        </w:tc>
        <w:tc>
          <w:tcPr>
            <w:tcW w:w="1305" w:type="dxa"/>
            <w:hideMark/>
          </w:tcPr>
          <w:p w14:paraId="430A649C" w14:textId="14842BAE"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color w:val="000000"/>
                <w:szCs w:val="20"/>
                <w:lang w:eastAsia="fr-BE"/>
              </w:rPr>
            </w:pPr>
            <w:r w:rsidRPr="00A04E56">
              <w:rPr>
                <w:rFonts w:eastAsia="Times New Roman" w:cs="Calibri"/>
                <w:i/>
                <w:iCs/>
                <w:color w:val="000000"/>
                <w:szCs w:val="20"/>
                <w:lang w:eastAsia="fr-BE"/>
              </w:rPr>
              <w:t>2.2</w:t>
            </w:r>
          </w:p>
        </w:tc>
      </w:tr>
      <w:tr w:rsidR="00FC5564" w:rsidRPr="00A04E56" w14:paraId="6E61C1FE" w14:textId="77777777" w:rsidTr="004D4F6A">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4369232F" w14:textId="58931950" w:rsidR="00FC5564" w:rsidRPr="00A04E56" w:rsidRDefault="00FC5564" w:rsidP="004D4F6A">
            <w:pPr>
              <w:keepNext/>
              <w:ind w:left="284"/>
              <w:rPr>
                <w:rFonts w:eastAsia="Times New Roman" w:cs="Calibri"/>
                <w:b w:val="0"/>
                <w:i/>
                <w:iCs/>
                <w:color w:val="000000"/>
                <w:szCs w:val="20"/>
                <w:lang w:eastAsia="fr-BE"/>
              </w:rPr>
            </w:pPr>
            <w:r w:rsidRPr="00A04E56">
              <w:rPr>
                <w:rFonts w:eastAsia="Times New Roman" w:cs="Calibri"/>
                <w:i/>
                <w:iCs/>
                <w:color w:val="000000"/>
                <w:szCs w:val="20"/>
                <w:lang w:eastAsia="fr-BE"/>
              </w:rPr>
              <w:t xml:space="preserve">Rural </w:t>
            </w:r>
            <w:r w:rsidR="005367CC" w:rsidRPr="00A04E56">
              <w:rPr>
                <w:rFonts w:eastAsia="Times New Roman" w:cs="Calibri"/>
                <w:i/>
                <w:iCs/>
                <w:color w:val="000000"/>
                <w:szCs w:val="20"/>
                <w:lang w:eastAsia="fr-BE"/>
              </w:rPr>
              <w:t>de</w:t>
            </w:r>
            <w:r w:rsidRPr="00A04E56">
              <w:rPr>
                <w:rFonts w:eastAsia="Times New Roman" w:cs="Calibri"/>
                <w:i/>
                <w:iCs/>
                <w:color w:val="000000"/>
                <w:szCs w:val="20"/>
                <w:lang w:eastAsia="fr-BE"/>
              </w:rPr>
              <w:t>velopment</w:t>
            </w:r>
          </w:p>
        </w:tc>
        <w:tc>
          <w:tcPr>
            <w:tcW w:w="1304" w:type="dxa"/>
            <w:noWrap/>
            <w:hideMark/>
          </w:tcPr>
          <w:p w14:paraId="33779998"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12 467</w:t>
            </w:r>
          </w:p>
        </w:tc>
        <w:tc>
          <w:tcPr>
            <w:tcW w:w="1305" w:type="dxa"/>
            <w:hideMark/>
          </w:tcPr>
          <w:p w14:paraId="0E4C2128"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BE"/>
              </w:rPr>
            </w:pPr>
            <w:r w:rsidRPr="00A04E56">
              <w:rPr>
                <w:rFonts w:eastAsia="Times New Roman"/>
                <w:color w:val="000000"/>
                <w:lang w:eastAsia="fr-BE"/>
              </w:rPr>
              <w:t xml:space="preserve"> 372</w:t>
            </w:r>
          </w:p>
        </w:tc>
        <w:tc>
          <w:tcPr>
            <w:tcW w:w="1304" w:type="dxa"/>
            <w:hideMark/>
          </w:tcPr>
          <w:p w14:paraId="19A0B335" w14:textId="2D8C66AA"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Cs w:val="20"/>
                <w:lang w:eastAsia="fr-BE"/>
              </w:rPr>
            </w:pPr>
            <w:r w:rsidRPr="00A04E56">
              <w:rPr>
                <w:rFonts w:eastAsia="Times New Roman" w:cs="Calibri"/>
                <w:i/>
                <w:iCs/>
                <w:color w:val="000000"/>
                <w:szCs w:val="20"/>
                <w:lang w:eastAsia="fr-BE"/>
              </w:rPr>
              <w:t>3.0</w:t>
            </w:r>
          </w:p>
        </w:tc>
        <w:tc>
          <w:tcPr>
            <w:tcW w:w="1305" w:type="dxa"/>
            <w:hideMark/>
          </w:tcPr>
          <w:p w14:paraId="4507AA28"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olor w:val="000000"/>
                <w:lang w:eastAsia="fr-BE"/>
              </w:rPr>
            </w:pPr>
            <w:r w:rsidRPr="00A04E56">
              <w:rPr>
                <w:rFonts w:eastAsia="Times New Roman"/>
                <w:color w:val="000000"/>
                <w:lang w:eastAsia="fr-BE"/>
              </w:rPr>
              <w:t xml:space="preserve"> 702</w:t>
            </w:r>
          </w:p>
        </w:tc>
        <w:tc>
          <w:tcPr>
            <w:tcW w:w="1305" w:type="dxa"/>
            <w:hideMark/>
          </w:tcPr>
          <w:p w14:paraId="52179952" w14:textId="7E4B40ED"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color w:val="000000"/>
                <w:szCs w:val="20"/>
                <w:lang w:eastAsia="fr-BE"/>
              </w:rPr>
            </w:pPr>
            <w:r w:rsidRPr="00A04E56">
              <w:rPr>
                <w:rFonts w:eastAsia="Times New Roman" w:cs="Calibri"/>
                <w:i/>
                <w:iCs/>
                <w:color w:val="000000"/>
                <w:szCs w:val="20"/>
                <w:lang w:eastAsia="fr-BE"/>
              </w:rPr>
              <w:t>5.6</w:t>
            </w:r>
          </w:p>
        </w:tc>
      </w:tr>
      <w:tr w:rsidR="00FC5564" w:rsidRPr="00A04E56" w14:paraId="187BB3E9" w14:textId="77777777" w:rsidTr="004D4F6A">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375C19FF" w14:textId="77777777" w:rsidR="00FC5564" w:rsidRPr="00A04E56" w:rsidRDefault="00FC5564" w:rsidP="00CB33E3">
            <w:pPr>
              <w:keepNext/>
              <w:rPr>
                <w:rFonts w:eastAsia="Times New Roman" w:cs="Calibri"/>
                <w:i/>
                <w:iCs/>
                <w:color w:val="000000"/>
                <w:szCs w:val="20"/>
                <w:lang w:eastAsia="fr-BE"/>
              </w:rPr>
            </w:pPr>
            <w:r w:rsidRPr="00A04E56">
              <w:rPr>
                <w:rFonts w:eastAsia="Times New Roman" w:cs="Calibri"/>
                <w:i/>
                <w:iCs/>
                <w:color w:val="000000"/>
                <w:szCs w:val="20"/>
                <w:lang w:eastAsia="fr-BE"/>
              </w:rPr>
              <w:t>Cohesion policy:</w:t>
            </w:r>
          </w:p>
        </w:tc>
        <w:tc>
          <w:tcPr>
            <w:tcW w:w="1304" w:type="dxa"/>
            <w:hideMark/>
          </w:tcPr>
          <w:p w14:paraId="635E14B1"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54 040</w:t>
            </w:r>
          </w:p>
        </w:tc>
        <w:tc>
          <w:tcPr>
            <w:tcW w:w="1305" w:type="dxa"/>
            <w:hideMark/>
          </w:tcPr>
          <w:p w14:paraId="2B4CA7F6"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 xml:space="preserve"> 414</w:t>
            </w:r>
          </w:p>
        </w:tc>
        <w:tc>
          <w:tcPr>
            <w:tcW w:w="1304" w:type="dxa"/>
            <w:hideMark/>
          </w:tcPr>
          <w:p w14:paraId="36D46428" w14:textId="2806B4A4"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0.8</w:t>
            </w:r>
          </w:p>
        </w:tc>
        <w:tc>
          <w:tcPr>
            <w:tcW w:w="1305" w:type="dxa"/>
            <w:hideMark/>
          </w:tcPr>
          <w:p w14:paraId="0D131991"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1 070</w:t>
            </w:r>
          </w:p>
        </w:tc>
        <w:tc>
          <w:tcPr>
            <w:tcW w:w="1305" w:type="dxa"/>
            <w:hideMark/>
          </w:tcPr>
          <w:p w14:paraId="30C88AA5" w14:textId="244CCAD3"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2.0</w:t>
            </w:r>
          </w:p>
        </w:tc>
      </w:tr>
      <w:tr w:rsidR="00FC5564" w:rsidRPr="00A04E56" w14:paraId="20A6EBBD" w14:textId="77777777" w:rsidTr="004D4F6A">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5CB1AE8F" w14:textId="63FD588F" w:rsidR="00FC5564" w:rsidRPr="00A04E56" w:rsidRDefault="004D4F6A" w:rsidP="004D4F6A">
            <w:pPr>
              <w:keepNext/>
              <w:ind w:leftChars="129" w:left="284" w:hangingChars="13" w:hanging="26"/>
              <w:rPr>
                <w:rFonts w:eastAsia="Times New Roman" w:cs="Calibri"/>
                <w:b w:val="0"/>
                <w:i/>
                <w:iCs/>
                <w:color w:val="000000"/>
                <w:szCs w:val="20"/>
                <w:lang w:eastAsia="fr-BE"/>
              </w:rPr>
            </w:pPr>
            <w:r w:rsidRPr="004D4F6A">
              <w:rPr>
                <w:rFonts w:eastAsia="Times New Roman" w:cs="Calibri"/>
                <w:i/>
                <w:iCs/>
                <w:color w:val="000000"/>
                <w:szCs w:val="20"/>
                <w:lang w:eastAsia="fr-BE"/>
              </w:rPr>
              <w:t>European Regional Development Fund</w:t>
            </w:r>
          </w:p>
        </w:tc>
        <w:tc>
          <w:tcPr>
            <w:tcW w:w="1304" w:type="dxa"/>
            <w:hideMark/>
          </w:tcPr>
          <w:p w14:paraId="278297A4"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30 070</w:t>
            </w:r>
          </w:p>
        </w:tc>
        <w:tc>
          <w:tcPr>
            <w:tcW w:w="1305" w:type="dxa"/>
            <w:hideMark/>
          </w:tcPr>
          <w:p w14:paraId="58003370"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lang w:eastAsia="fr-BE"/>
              </w:rPr>
            </w:pPr>
            <w:r w:rsidRPr="00A04E56">
              <w:rPr>
                <w:rFonts w:eastAsia="Times New Roman"/>
                <w:lang w:eastAsia="fr-BE"/>
              </w:rPr>
              <w:t xml:space="preserve"> 286</w:t>
            </w:r>
          </w:p>
        </w:tc>
        <w:tc>
          <w:tcPr>
            <w:tcW w:w="1304" w:type="dxa"/>
            <w:hideMark/>
          </w:tcPr>
          <w:p w14:paraId="1AC226C2" w14:textId="310DD2ED"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1.0</w:t>
            </w:r>
          </w:p>
        </w:tc>
        <w:tc>
          <w:tcPr>
            <w:tcW w:w="1305" w:type="dxa"/>
            <w:hideMark/>
          </w:tcPr>
          <w:p w14:paraId="25559680"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lang w:eastAsia="fr-BE"/>
              </w:rPr>
            </w:pPr>
            <w:r w:rsidRPr="00A04E56">
              <w:rPr>
                <w:rFonts w:eastAsia="Times New Roman"/>
                <w:lang w:eastAsia="fr-BE"/>
              </w:rPr>
              <w:t>1 007</w:t>
            </w:r>
          </w:p>
        </w:tc>
        <w:tc>
          <w:tcPr>
            <w:tcW w:w="1305" w:type="dxa"/>
            <w:hideMark/>
          </w:tcPr>
          <w:p w14:paraId="5F7B84EA" w14:textId="7A619281"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3.3</w:t>
            </w:r>
          </w:p>
        </w:tc>
      </w:tr>
      <w:tr w:rsidR="00FC5564" w:rsidRPr="00A04E56" w14:paraId="22735AB9" w14:textId="77777777" w:rsidTr="004D4F6A">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3EAE6643" w14:textId="77777777" w:rsidR="00FC5564" w:rsidRPr="00A04E56" w:rsidRDefault="00FC5564" w:rsidP="00E57141">
            <w:pPr>
              <w:keepNext/>
              <w:ind w:left="-142" w:firstLineChars="200" w:firstLine="400"/>
              <w:rPr>
                <w:rFonts w:eastAsia="Times New Roman" w:cs="Calibri"/>
                <w:b w:val="0"/>
                <w:i/>
                <w:iCs/>
                <w:color w:val="000000"/>
                <w:szCs w:val="20"/>
                <w:lang w:eastAsia="fr-BE"/>
              </w:rPr>
            </w:pPr>
            <w:r w:rsidRPr="00A04E56">
              <w:rPr>
                <w:rFonts w:eastAsia="Times New Roman" w:cs="Calibri"/>
                <w:i/>
                <w:iCs/>
                <w:color w:val="000000"/>
                <w:szCs w:val="20"/>
                <w:lang w:eastAsia="fr-BE"/>
              </w:rPr>
              <w:t>Cohesion Fund</w:t>
            </w:r>
          </w:p>
        </w:tc>
        <w:tc>
          <w:tcPr>
            <w:tcW w:w="1304" w:type="dxa"/>
            <w:hideMark/>
          </w:tcPr>
          <w:p w14:paraId="4395DF72"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9 252</w:t>
            </w:r>
          </w:p>
        </w:tc>
        <w:tc>
          <w:tcPr>
            <w:tcW w:w="1305" w:type="dxa"/>
            <w:hideMark/>
          </w:tcPr>
          <w:p w14:paraId="67AA00B6"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lang w:eastAsia="fr-BE"/>
              </w:rPr>
            </w:pPr>
            <w:r w:rsidRPr="00A04E56">
              <w:rPr>
                <w:rFonts w:eastAsia="Times New Roman"/>
                <w:lang w:eastAsia="fr-BE"/>
              </w:rPr>
              <w:t xml:space="preserve"> 90</w:t>
            </w:r>
          </w:p>
        </w:tc>
        <w:tc>
          <w:tcPr>
            <w:tcW w:w="1304" w:type="dxa"/>
            <w:hideMark/>
          </w:tcPr>
          <w:p w14:paraId="7FEA4052" w14:textId="0C3E58DA"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1.0</w:t>
            </w:r>
          </w:p>
        </w:tc>
        <w:tc>
          <w:tcPr>
            <w:tcW w:w="1305" w:type="dxa"/>
            <w:hideMark/>
          </w:tcPr>
          <w:p w14:paraId="58B293CE"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lang w:eastAsia="fr-BE"/>
              </w:rPr>
            </w:pPr>
            <w:r w:rsidRPr="00A04E56">
              <w:rPr>
                <w:rFonts w:eastAsia="Times New Roman"/>
                <w:lang w:eastAsia="fr-BE"/>
              </w:rPr>
              <w:t xml:space="preserve"> 48</w:t>
            </w:r>
          </w:p>
        </w:tc>
        <w:tc>
          <w:tcPr>
            <w:tcW w:w="1305" w:type="dxa"/>
            <w:hideMark/>
          </w:tcPr>
          <w:p w14:paraId="55DD3627" w14:textId="4EE34B95"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0.5</w:t>
            </w:r>
          </w:p>
        </w:tc>
      </w:tr>
      <w:tr w:rsidR="00FC5564" w:rsidRPr="00A04E56" w14:paraId="6064C75A" w14:textId="77777777" w:rsidTr="004D4F6A">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3E6C3BE8" w14:textId="42F6DE2B" w:rsidR="00FC5564" w:rsidRPr="00A04E56" w:rsidRDefault="004D4F6A" w:rsidP="004D4F6A">
            <w:pPr>
              <w:keepNext/>
              <w:ind w:left="567" w:hanging="283"/>
              <w:rPr>
                <w:rFonts w:eastAsia="Times New Roman" w:cs="Calibri"/>
                <w:b w:val="0"/>
                <w:i/>
                <w:iCs/>
                <w:color w:val="000000"/>
                <w:szCs w:val="20"/>
                <w:lang w:eastAsia="fr-BE"/>
              </w:rPr>
            </w:pPr>
            <w:r w:rsidRPr="004D4F6A">
              <w:rPr>
                <w:rFonts w:eastAsia="Times New Roman" w:cs="Calibri"/>
                <w:i/>
                <w:iCs/>
                <w:color w:val="000000"/>
                <w:szCs w:val="20"/>
                <w:lang w:eastAsia="fr-BE"/>
              </w:rPr>
              <w:t>European Social Fund</w:t>
            </w:r>
          </w:p>
        </w:tc>
        <w:tc>
          <w:tcPr>
            <w:tcW w:w="1304" w:type="dxa"/>
            <w:hideMark/>
          </w:tcPr>
          <w:p w14:paraId="5942FECF"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13 932</w:t>
            </w:r>
          </w:p>
        </w:tc>
        <w:tc>
          <w:tcPr>
            <w:tcW w:w="1305" w:type="dxa"/>
            <w:hideMark/>
          </w:tcPr>
          <w:p w14:paraId="7A3628A2"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lang w:eastAsia="fr-BE"/>
              </w:rPr>
            </w:pPr>
            <w:r w:rsidRPr="00A04E56">
              <w:rPr>
                <w:rFonts w:eastAsia="Times New Roman"/>
                <w:lang w:eastAsia="fr-BE"/>
              </w:rPr>
              <w:t xml:space="preserve"> 34</w:t>
            </w:r>
          </w:p>
        </w:tc>
        <w:tc>
          <w:tcPr>
            <w:tcW w:w="1304" w:type="dxa"/>
            <w:hideMark/>
          </w:tcPr>
          <w:p w14:paraId="0AC1BC1A" w14:textId="00D7694D"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0.2</w:t>
            </w:r>
          </w:p>
        </w:tc>
        <w:tc>
          <w:tcPr>
            <w:tcW w:w="1305" w:type="dxa"/>
            <w:hideMark/>
          </w:tcPr>
          <w:p w14:paraId="4559DEA1"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lang w:eastAsia="fr-BE"/>
              </w:rPr>
            </w:pPr>
            <w:r w:rsidRPr="00A04E56">
              <w:rPr>
                <w:rFonts w:eastAsia="Times New Roman"/>
                <w:lang w:eastAsia="fr-BE"/>
              </w:rPr>
              <w:t xml:space="preserve"> 12</w:t>
            </w:r>
          </w:p>
        </w:tc>
        <w:tc>
          <w:tcPr>
            <w:tcW w:w="1305" w:type="dxa"/>
            <w:hideMark/>
          </w:tcPr>
          <w:p w14:paraId="23BE8E46" w14:textId="62EF5E1A"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0.1</w:t>
            </w:r>
          </w:p>
        </w:tc>
      </w:tr>
      <w:tr w:rsidR="00FC5564" w:rsidRPr="00A04E56" w14:paraId="408CC462" w14:textId="77777777" w:rsidTr="004D4F6A">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1540C32E" w14:textId="34FB4B03" w:rsidR="00FC5564" w:rsidRPr="00A04E56" w:rsidRDefault="004D4F6A" w:rsidP="004D4F6A">
            <w:pPr>
              <w:keepNext/>
              <w:ind w:left="284"/>
              <w:rPr>
                <w:rFonts w:eastAsia="Times New Roman" w:cs="Calibri"/>
                <w:b w:val="0"/>
                <w:i/>
                <w:iCs/>
                <w:color w:val="000000"/>
                <w:szCs w:val="20"/>
                <w:lang w:eastAsia="fr-BE"/>
              </w:rPr>
            </w:pPr>
            <w:r w:rsidRPr="004D4F6A">
              <w:rPr>
                <w:rFonts w:eastAsia="Times New Roman" w:cs="Calibri"/>
                <w:i/>
                <w:iCs/>
                <w:color w:val="000000"/>
                <w:szCs w:val="20"/>
                <w:lang w:eastAsia="fr-BE"/>
              </w:rPr>
              <w:t xml:space="preserve">Financial Instrument for Fisheries Guidance </w:t>
            </w:r>
            <w:r w:rsidR="00FC5564" w:rsidRPr="00A04E56">
              <w:rPr>
                <w:rFonts w:eastAsia="Times New Roman" w:cs="Calibri"/>
                <w:i/>
                <w:iCs/>
                <w:color w:val="000000"/>
                <w:szCs w:val="20"/>
                <w:lang w:eastAsia="fr-BE"/>
              </w:rPr>
              <w:t>/</w:t>
            </w:r>
            <w:r>
              <w:t xml:space="preserve"> </w:t>
            </w:r>
            <w:r w:rsidRPr="004D4F6A">
              <w:rPr>
                <w:rFonts w:eastAsia="Times New Roman" w:cs="Calibri"/>
                <w:i/>
                <w:iCs/>
                <w:color w:val="000000"/>
                <w:szCs w:val="20"/>
                <w:lang w:eastAsia="fr-BE"/>
              </w:rPr>
              <w:t>European Fisheries Fund</w:t>
            </w:r>
          </w:p>
        </w:tc>
        <w:tc>
          <w:tcPr>
            <w:tcW w:w="1304" w:type="dxa"/>
            <w:hideMark/>
          </w:tcPr>
          <w:p w14:paraId="708C7C5F"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 xml:space="preserve"> 786</w:t>
            </w:r>
          </w:p>
        </w:tc>
        <w:tc>
          <w:tcPr>
            <w:tcW w:w="1305" w:type="dxa"/>
            <w:hideMark/>
          </w:tcPr>
          <w:p w14:paraId="588C3F59"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lang w:eastAsia="fr-BE"/>
              </w:rPr>
            </w:pPr>
            <w:r w:rsidRPr="00A04E56">
              <w:rPr>
                <w:rFonts w:eastAsia="Times New Roman"/>
                <w:lang w:eastAsia="fr-BE"/>
              </w:rPr>
              <w:t xml:space="preserve"> 0</w:t>
            </w:r>
          </w:p>
        </w:tc>
        <w:tc>
          <w:tcPr>
            <w:tcW w:w="1304" w:type="dxa"/>
            <w:hideMark/>
          </w:tcPr>
          <w:p w14:paraId="17671678" w14:textId="13F9EEF4"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0.0</w:t>
            </w:r>
          </w:p>
        </w:tc>
        <w:tc>
          <w:tcPr>
            <w:tcW w:w="1305" w:type="dxa"/>
            <w:hideMark/>
          </w:tcPr>
          <w:p w14:paraId="68D5CAF7"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lang w:eastAsia="fr-BE"/>
              </w:rPr>
            </w:pPr>
            <w:r w:rsidRPr="00A04E56">
              <w:rPr>
                <w:rFonts w:eastAsia="Times New Roman"/>
                <w:lang w:eastAsia="fr-BE"/>
              </w:rPr>
              <w:t xml:space="preserve"> 0</w:t>
            </w:r>
          </w:p>
        </w:tc>
        <w:tc>
          <w:tcPr>
            <w:tcW w:w="1305" w:type="dxa"/>
            <w:hideMark/>
          </w:tcPr>
          <w:p w14:paraId="6CD8499C" w14:textId="7650CDF8"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0.0</w:t>
            </w:r>
          </w:p>
        </w:tc>
      </w:tr>
      <w:tr w:rsidR="00FC5564" w:rsidRPr="00A04E56" w14:paraId="6D51E6E4" w14:textId="77777777" w:rsidTr="004D4F6A">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7356ADDA" w14:textId="414E6402" w:rsidR="00FC5564" w:rsidRPr="00A04E56" w:rsidRDefault="004D4F6A" w:rsidP="004D4F6A">
            <w:pPr>
              <w:keepNext/>
              <w:ind w:leftChars="129" w:left="284" w:hangingChars="13" w:hanging="26"/>
              <w:rPr>
                <w:rFonts w:eastAsia="Times New Roman" w:cs="Calibri"/>
                <w:b w:val="0"/>
                <w:i/>
                <w:iCs/>
                <w:color w:val="000000"/>
                <w:szCs w:val="20"/>
                <w:lang w:eastAsia="fr-BE"/>
              </w:rPr>
            </w:pPr>
            <w:r w:rsidRPr="004D4F6A">
              <w:rPr>
                <w:rFonts w:eastAsia="Times New Roman" w:cs="Calibri"/>
                <w:i/>
                <w:iCs/>
                <w:color w:val="000000"/>
                <w:szCs w:val="20"/>
                <w:lang w:eastAsia="fr-BE"/>
              </w:rPr>
              <w:t xml:space="preserve">European Agricultural Guidance and Guarantee Fund </w:t>
            </w:r>
          </w:p>
        </w:tc>
        <w:tc>
          <w:tcPr>
            <w:tcW w:w="1304" w:type="dxa"/>
            <w:hideMark/>
          </w:tcPr>
          <w:p w14:paraId="5F58849F"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fr-BE"/>
              </w:rPr>
            </w:pPr>
            <w:r w:rsidRPr="00A04E56">
              <w:rPr>
                <w:rFonts w:eastAsia="Times New Roman" w:cs="Calibri"/>
                <w:color w:val="000000"/>
                <w:szCs w:val="20"/>
                <w:lang w:eastAsia="fr-BE"/>
              </w:rPr>
              <w:t xml:space="preserve"> 0</w:t>
            </w:r>
          </w:p>
        </w:tc>
        <w:tc>
          <w:tcPr>
            <w:tcW w:w="1305" w:type="dxa"/>
            <w:hideMark/>
          </w:tcPr>
          <w:p w14:paraId="61E4AE7D"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lang w:eastAsia="fr-BE"/>
              </w:rPr>
            </w:pPr>
            <w:r w:rsidRPr="00A04E56">
              <w:rPr>
                <w:rFonts w:eastAsia="Times New Roman"/>
                <w:lang w:eastAsia="fr-BE"/>
              </w:rPr>
              <w:t xml:space="preserve"> 3</w:t>
            </w:r>
          </w:p>
        </w:tc>
        <w:tc>
          <w:tcPr>
            <w:tcW w:w="1304" w:type="dxa"/>
            <w:hideMark/>
          </w:tcPr>
          <w:p w14:paraId="1D06CC60"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n/a</w:t>
            </w:r>
          </w:p>
        </w:tc>
        <w:tc>
          <w:tcPr>
            <w:tcW w:w="1305" w:type="dxa"/>
            <w:hideMark/>
          </w:tcPr>
          <w:p w14:paraId="28DB45FC"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lang w:eastAsia="fr-BE"/>
              </w:rPr>
            </w:pPr>
            <w:r w:rsidRPr="00A04E56">
              <w:rPr>
                <w:rFonts w:eastAsia="Times New Roman"/>
                <w:lang w:eastAsia="fr-BE"/>
              </w:rPr>
              <w:t xml:space="preserve"> 3</w:t>
            </w:r>
          </w:p>
        </w:tc>
        <w:tc>
          <w:tcPr>
            <w:tcW w:w="1305" w:type="dxa"/>
            <w:hideMark/>
          </w:tcPr>
          <w:p w14:paraId="7F18967B"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i/>
                <w:iCs/>
                <w:szCs w:val="20"/>
                <w:lang w:eastAsia="fr-BE"/>
              </w:rPr>
            </w:pPr>
            <w:r w:rsidRPr="00A04E56">
              <w:rPr>
                <w:rFonts w:eastAsia="Times New Roman" w:cs="Calibri"/>
                <w:i/>
                <w:iCs/>
                <w:szCs w:val="20"/>
                <w:lang w:eastAsia="fr-BE"/>
              </w:rPr>
              <w:t>n/a</w:t>
            </w:r>
          </w:p>
        </w:tc>
      </w:tr>
      <w:tr w:rsidR="00FC5564" w:rsidRPr="00A04E56" w14:paraId="3B78799C" w14:textId="77777777" w:rsidTr="004D4F6A">
        <w:trPr>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7A139C8E" w14:textId="77777777" w:rsidR="00FC5564" w:rsidRPr="00A04E56" w:rsidRDefault="00FC5564" w:rsidP="00CB33E3">
            <w:pPr>
              <w:keepNext/>
              <w:rPr>
                <w:rFonts w:eastAsia="Times New Roman" w:cs="Calibri"/>
                <w:i/>
                <w:iCs/>
                <w:color w:val="000000"/>
                <w:szCs w:val="20"/>
                <w:lang w:eastAsia="fr-BE"/>
              </w:rPr>
            </w:pPr>
            <w:r w:rsidRPr="00A04E56">
              <w:rPr>
                <w:rFonts w:eastAsia="Times New Roman" w:cs="Calibri"/>
                <w:i/>
                <w:iCs/>
                <w:color w:val="000000"/>
                <w:szCs w:val="20"/>
                <w:lang w:eastAsia="fr-BE"/>
              </w:rPr>
              <w:t>Internal policies</w:t>
            </w:r>
          </w:p>
        </w:tc>
        <w:tc>
          <w:tcPr>
            <w:tcW w:w="1304" w:type="dxa"/>
            <w:hideMark/>
          </w:tcPr>
          <w:p w14:paraId="5D69EACC"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26 213</w:t>
            </w:r>
          </w:p>
        </w:tc>
        <w:tc>
          <w:tcPr>
            <w:tcW w:w="1305" w:type="dxa"/>
            <w:hideMark/>
          </w:tcPr>
          <w:p w14:paraId="43616DA6"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 xml:space="preserve"> 249</w:t>
            </w:r>
          </w:p>
        </w:tc>
        <w:tc>
          <w:tcPr>
            <w:tcW w:w="1304" w:type="dxa"/>
            <w:hideMark/>
          </w:tcPr>
          <w:p w14:paraId="0BB85578" w14:textId="14FAA04D"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0.9</w:t>
            </w:r>
          </w:p>
        </w:tc>
        <w:tc>
          <w:tcPr>
            <w:tcW w:w="1305" w:type="dxa"/>
            <w:hideMark/>
          </w:tcPr>
          <w:p w14:paraId="39B3A01B"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 xml:space="preserve"> 243</w:t>
            </w:r>
          </w:p>
        </w:tc>
        <w:tc>
          <w:tcPr>
            <w:tcW w:w="1305" w:type="dxa"/>
            <w:hideMark/>
          </w:tcPr>
          <w:p w14:paraId="3B11F889" w14:textId="6DE47187"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0.9</w:t>
            </w:r>
          </w:p>
        </w:tc>
      </w:tr>
      <w:tr w:rsidR="00FC5564" w:rsidRPr="00A04E56" w14:paraId="32594B34" w14:textId="77777777" w:rsidTr="004D4F6A">
        <w:trPr>
          <w:cnfStyle w:val="000000100000" w:firstRow="0" w:lastRow="0" w:firstColumn="0" w:lastColumn="0" w:oddVBand="0" w:evenVBand="0" w:oddHBand="1" w:evenHBand="0" w:firstRowFirstColumn="0" w:firstRowLastColumn="0" w:lastRowFirstColumn="0" w:lastRowLastColumn="0"/>
          <w:cantSplit/>
          <w:trHeight w:val="285"/>
        </w:trPr>
        <w:tc>
          <w:tcPr>
            <w:cnfStyle w:val="001000000000" w:firstRow="0" w:lastRow="0" w:firstColumn="1" w:lastColumn="0" w:oddVBand="0" w:evenVBand="0" w:oddHBand="0" w:evenHBand="0" w:firstRowFirstColumn="0" w:firstRowLastColumn="0" w:lastRowFirstColumn="0" w:lastRowLastColumn="0"/>
            <w:tcW w:w="2892" w:type="dxa"/>
            <w:hideMark/>
          </w:tcPr>
          <w:p w14:paraId="17DE2759" w14:textId="77777777" w:rsidR="00FC5564" w:rsidRPr="00A04E56" w:rsidRDefault="00FC5564" w:rsidP="00CB33E3">
            <w:pPr>
              <w:keepNext/>
              <w:rPr>
                <w:rFonts w:eastAsia="Times New Roman" w:cs="Calibri"/>
                <w:i/>
                <w:iCs/>
                <w:color w:val="000000"/>
                <w:szCs w:val="20"/>
                <w:lang w:eastAsia="fr-BE"/>
              </w:rPr>
            </w:pPr>
            <w:r w:rsidRPr="00A04E56">
              <w:rPr>
                <w:rFonts w:eastAsia="Times New Roman" w:cs="Calibri"/>
                <w:i/>
                <w:iCs/>
                <w:color w:val="000000"/>
                <w:szCs w:val="20"/>
                <w:lang w:eastAsia="fr-BE"/>
              </w:rPr>
              <w:t>External policies</w:t>
            </w:r>
          </w:p>
        </w:tc>
        <w:tc>
          <w:tcPr>
            <w:tcW w:w="1304" w:type="dxa"/>
            <w:hideMark/>
          </w:tcPr>
          <w:p w14:paraId="4098345C"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color w:val="000000"/>
                <w:szCs w:val="20"/>
                <w:lang w:eastAsia="fr-BE"/>
              </w:rPr>
            </w:pPr>
            <w:r w:rsidRPr="00A04E56">
              <w:rPr>
                <w:rFonts w:eastAsia="Times New Roman" w:cs="Calibri"/>
                <w:b/>
                <w:bCs/>
                <w:i/>
                <w:iCs/>
                <w:color w:val="000000"/>
                <w:szCs w:val="20"/>
                <w:lang w:eastAsia="fr-BE"/>
              </w:rPr>
              <w:t>9 519</w:t>
            </w:r>
          </w:p>
        </w:tc>
        <w:tc>
          <w:tcPr>
            <w:tcW w:w="1305" w:type="dxa"/>
            <w:hideMark/>
          </w:tcPr>
          <w:p w14:paraId="2A1D7BA6"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 xml:space="preserve"> 188</w:t>
            </w:r>
          </w:p>
        </w:tc>
        <w:tc>
          <w:tcPr>
            <w:tcW w:w="1304" w:type="dxa"/>
            <w:hideMark/>
          </w:tcPr>
          <w:p w14:paraId="481D5B0F" w14:textId="6FE433CA"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2.0</w:t>
            </w:r>
          </w:p>
        </w:tc>
        <w:tc>
          <w:tcPr>
            <w:tcW w:w="1305" w:type="dxa"/>
            <w:hideMark/>
          </w:tcPr>
          <w:p w14:paraId="293B1A6E"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 xml:space="preserve"> 179</w:t>
            </w:r>
          </w:p>
        </w:tc>
        <w:tc>
          <w:tcPr>
            <w:tcW w:w="1305" w:type="dxa"/>
            <w:hideMark/>
          </w:tcPr>
          <w:p w14:paraId="5B71A87B" w14:textId="20A3AE04"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1.9</w:t>
            </w:r>
          </w:p>
        </w:tc>
      </w:tr>
      <w:tr w:rsidR="00FC5564" w:rsidRPr="00A04E56" w14:paraId="76107D0F" w14:textId="77777777" w:rsidTr="004D4F6A">
        <w:trPr>
          <w:cantSplit/>
          <w:trHeight w:val="300"/>
        </w:trPr>
        <w:tc>
          <w:tcPr>
            <w:cnfStyle w:val="001000000000" w:firstRow="0" w:lastRow="0" w:firstColumn="1" w:lastColumn="0" w:oddVBand="0" w:evenVBand="0" w:oddHBand="0" w:evenHBand="0" w:firstRowFirstColumn="0" w:firstRowLastColumn="0" w:lastRowFirstColumn="0" w:lastRowLastColumn="0"/>
            <w:tcW w:w="2892" w:type="dxa"/>
            <w:noWrap/>
            <w:hideMark/>
          </w:tcPr>
          <w:p w14:paraId="26A6DF89" w14:textId="77777777" w:rsidR="00FC5564" w:rsidRPr="00A04E56" w:rsidRDefault="00FC5564" w:rsidP="00CB33E3">
            <w:pPr>
              <w:keepNext/>
              <w:rPr>
                <w:rFonts w:eastAsia="Times New Roman"/>
                <w:i/>
                <w:color w:val="000000"/>
                <w:lang w:eastAsia="fr-BE"/>
              </w:rPr>
            </w:pPr>
            <w:r w:rsidRPr="00A04E56">
              <w:rPr>
                <w:rFonts w:eastAsia="Times New Roman"/>
                <w:i/>
                <w:color w:val="000000"/>
                <w:lang w:eastAsia="fr-BE"/>
              </w:rPr>
              <w:t>Administration</w:t>
            </w:r>
          </w:p>
        </w:tc>
        <w:tc>
          <w:tcPr>
            <w:tcW w:w="1304" w:type="dxa"/>
            <w:hideMark/>
          </w:tcPr>
          <w:p w14:paraId="6ADA55D8"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color w:val="000000"/>
                <w:lang w:eastAsia="fr-BE"/>
              </w:rPr>
            </w:pPr>
            <w:r w:rsidRPr="00A04E56">
              <w:rPr>
                <w:rFonts w:eastAsia="Times New Roman"/>
                <w:b/>
                <w:i/>
                <w:color w:val="000000"/>
                <w:lang w:eastAsia="fr-BE"/>
              </w:rPr>
              <w:t>9 944</w:t>
            </w:r>
          </w:p>
        </w:tc>
        <w:tc>
          <w:tcPr>
            <w:tcW w:w="1305" w:type="dxa"/>
            <w:hideMark/>
          </w:tcPr>
          <w:p w14:paraId="551C3FD2"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lang w:eastAsia="fr-BE"/>
              </w:rPr>
            </w:pPr>
            <w:r w:rsidRPr="00A04E56">
              <w:rPr>
                <w:rFonts w:eastAsia="Times New Roman"/>
                <w:b/>
                <w:i/>
                <w:lang w:eastAsia="fr-BE"/>
              </w:rPr>
              <w:t xml:space="preserve"> 3</w:t>
            </w:r>
          </w:p>
        </w:tc>
        <w:tc>
          <w:tcPr>
            <w:tcW w:w="1304" w:type="dxa"/>
            <w:hideMark/>
          </w:tcPr>
          <w:p w14:paraId="37C93AF9" w14:textId="42579D01"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lang w:eastAsia="fr-BE"/>
              </w:rPr>
            </w:pPr>
            <w:r w:rsidRPr="00A04E56">
              <w:rPr>
                <w:rFonts w:eastAsia="Times New Roman"/>
                <w:b/>
                <w:i/>
                <w:lang w:eastAsia="fr-BE"/>
              </w:rPr>
              <w:t>0.0</w:t>
            </w:r>
          </w:p>
        </w:tc>
        <w:tc>
          <w:tcPr>
            <w:tcW w:w="1305" w:type="dxa"/>
            <w:hideMark/>
          </w:tcPr>
          <w:p w14:paraId="3DE83A93" w14:textId="77777777" w:rsidR="00FC5564" w:rsidRPr="00A04E56" w:rsidRDefault="00FC5564" w:rsidP="00CB33E3">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lang w:eastAsia="fr-BE"/>
              </w:rPr>
            </w:pPr>
            <w:r w:rsidRPr="00A04E56">
              <w:rPr>
                <w:rFonts w:eastAsia="Times New Roman"/>
                <w:b/>
                <w:i/>
                <w:lang w:eastAsia="fr-BE"/>
              </w:rPr>
              <w:t xml:space="preserve"> 3</w:t>
            </w:r>
          </w:p>
        </w:tc>
        <w:tc>
          <w:tcPr>
            <w:tcW w:w="1305" w:type="dxa"/>
            <w:hideMark/>
          </w:tcPr>
          <w:p w14:paraId="111BE442" w14:textId="362F0921" w:rsidR="00FC5564" w:rsidRPr="00A04E56" w:rsidRDefault="00FC5564" w:rsidP="00D0554C">
            <w:pPr>
              <w:keepNext/>
              <w:jc w:val="right"/>
              <w:cnfStyle w:val="000000000000" w:firstRow="0" w:lastRow="0" w:firstColumn="0" w:lastColumn="0" w:oddVBand="0" w:evenVBand="0" w:oddHBand="0" w:evenHBand="0" w:firstRowFirstColumn="0" w:firstRowLastColumn="0" w:lastRowFirstColumn="0" w:lastRowLastColumn="0"/>
              <w:rPr>
                <w:rFonts w:eastAsia="Times New Roman"/>
                <w:b/>
                <w:i/>
                <w:lang w:eastAsia="fr-BE"/>
              </w:rPr>
            </w:pPr>
            <w:r w:rsidRPr="00A04E56">
              <w:rPr>
                <w:rFonts w:eastAsia="Times New Roman"/>
                <w:b/>
                <w:i/>
                <w:lang w:eastAsia="fr-BE"/>
              </w:rPr>
              <w:t>0.0</w:t>
            </w:r>
          </w:p>
        </w:tc>
      </w:tr>
      <w:tr w:rsidR="00FC5564" w:rsidRPr="00A04E56" w14:paraId="2104884C" w14:textId="77777777" w:rsidTr="004D4F6A">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2892" w:type="dxa"/>
            <w:noWrap/>
            <w:hideMark/>
          </w:tcPr>
          <w:p w14:paraId="719A946B" w14:textId="27FF6893" w:rsidR="00FC5564" w:rsidRPr="00A04E56" w:rsidRDefault="00FC5564" w:rsidP="00CB33E3">
            <w:pPr>
              <w:keepNext/>
              <w:rPr>
                <w:rFonts w:eastAsia="Times New Roman" w:cs="Calibri"/>
                <w:color w:val="000000"/>
                <w:szCs w:val="20"/>
                <w:lang w:eastAsia="fr-BE"/>
              </w:rPr>
            </w:pPr>
            <w:r w:rsidRPr="00A04E56">
              <w:rPr>
                <w:rFonts w:eastAsia="Times New Roman" w:cs="Calibri"/>
                <w:color w:val="000000"/>
                <w:szCs w:val="20"/>
                <w:lang w:eastAsia="fr-BE"/>
              </w:rPr>
              <w:t>T</w:t>
            </w:r>
            <w:r w:rsidR="00376274" w:rsidRPr="00A04E56">
              <w:rPr>
                <w:rFonts w:eastAsia="Times New Roman" w:cs="Calibri"/>
                <w:color w:val="000000"/>
                <w:szCs w:val="20"/>
                <w:lang w:eastAsia="fr-BE"/>
              </w:rPr>
              <w:t>otal</w:t>
            </w:r>
          </w:p>
        </w:tc>
        <w:tc>
          <w:tcPr>
            <w:tcW w:w="1304" w:type="dxa"/>
            <w:noWrap/>
            <w:hideMark/>
          </w:tcPr>
          <w:p w14:paraId="523CC355"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Cs w:val="20"/>
                <w:lang w:eastAsia="fr-BE"/>
              </w:rPr>
            </w:pPr>
            <w:r w:rsidRPr="00A04E56">
              <w:rPr>
                <w:rFonts w:eastAsia="Times New Roman" w:cs="Calibri"/>
                <w:b/>
                <w:bCs/>
                <w:color w:val="000000"/>
                <w:szCs w:val="20"/>
                <w:lang w:eastAsia="fr-BE"/>
              </w:rPr>
              <w:t>156 493*</w:t>
            </w:r>
          </w:p>
        </w:tc>
        <w:tc>
          <w:tcPr>
            <w:tcW w:w="1305" w:type="dxa"/>
            <w:noWrap/>
            <w:hideMark/>
          </w:tcPr>
          <w:p w14:paraId="001E7477"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Cs w:val="20"/>
                <w:lang w:eastAsia="fr-BE"/>
              </w:rPr>
            </w:pPr>
            <w:r w:rsidRPr="00A04E56">
              <w:rPr>
                <w:rFonts w:eastAsia="Times New Roman" w:cs="Calibri"/>
                <w:b/>
                <w:bCs/>
                <w:szCs w:val="20"/>
                <w:lang w:eastAsia="fr-BE"/>
              </w:rPr>
              <w:t>1 671</w:t>
            </w:r>
          </w:p>
        </w:tc>
        <w:tc>
          <w:tcPr>
            <w:tcW w:w="1304" w:type="dxa"/>
            <w:noWrap/>
            <w:hideMark/>
          </w:tcPr>
          <w:p w14:paraId="2B66B1E1" w14:textId="457E01B1"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1.1</w:t>
            </w:r>
          </w:p>
        </w:tc>
        <w:tc>
          <w:tcPr>
            <w:tcW w:w="1305" w:type="dxa"/>
            <w:noWrap/>
            <w:hideMark/>
          </w:tcPr>
          <w:p w14:paraId="1DC2C482" w14:textId="77777777" w:rsidR="00FC5564" w:rsidRPr="00A04E56" w:rsidRDefault="00FC5564" w:rsidP="00CB33E3">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szCs w:val="20"/>
                <w:lang w:eastAsia="fr-BE"/>
              </w:rPr>
            </w:pPr>
            <w:r w:rsidRPr="00A04E56">
              <w:rPr>
                <w:rFonts w:eastAsia="Times New Roman" w:cs="Calibri"/>
                <w:b/>
                <w:bCs/>
                <w:szCs w:val="20"/>
                <w:lang w:eastAsia="fr-BE"/>
              </w:rPr>
              <w:t>3 161</w:t>
            </w:r>
          </w:p>
        </w:tc>
        <w:tc>
          <w:tcPr>
            <w:tcW w:w="1305" w:type="dxa"/>
            <w:noWrap/>
            <w:hideMark/>
          </w:tcPr>
          <w:p w14:paraId="53F960D4" w14:textId="0E13C0D1" w:rsidR="00FC5564" w:rsidRPr="00A04E56" w:rsidRDefault="00FC5564" w:rsidP="00D0554C">
            <w:pPr>
              <w:keepNext/>
              <w:jc w:val="right"/>
              <w:cnfStyle w:val="000000100000" w:firstRow="0" w:lastRow="0" w:firstColumn="0" w:lastColumn="0" w:oddVBand="0" w:evenVBand="0" w:oddHBand="1" w:evenHBand="0" w:firstRowFirstColumn="0" w:firstRowLastColumn="0" w:lastRowFirstColumn="0" w:lastRowLastColumn="0"/>
              <w:rPr>
                <w:rFonts w:eastAsia="Times New Roman" w:cs="Calibri"/>
                <w:b/>
                <w:bCs/>
                <w:i/>
                <w:iCs/>
                <w:szCs w:val="20"/>
                <w:lang w:eastAsia="fr-BE"/>
              </w:rPr>
            </w:pPr>
            <w:r w:rsidRPr="00A04E56">
              <w:rPr>
                <w:rFonts w:eastAsia="Times New Roman" w:cs="Calibri"/>
                <w:b/>
                <w:bCs/>
                <w:i/>
                <w:iCs/>
                <w:szCs w:val="20"/>
                <w:lang w:eastAsia="fr-BE"/>
              </w:rPr>
              <w:t>2.0</w:t>
            </w:r>
          </w:p>
        </w:tc>
      </w:tr>
    </w:tbl>
    <w:p w14:paraId="7897B920" w14:textId="26D8B96A" w:rsidR="00B04562" w:rsidRPr="00A04E56" w:rsidRDefault="00FC5564" w:rsidP="00107DA0">
      <w:pPr>
        <w:pStyle w:val="Source-Table-Chart-PhotoCaption"/>
      </w:pPr>
      <w:r w:rsidRPr="00107DA0">
        <w:rPr>
          <w:rStyle w:val="italics"/>
        </w:rPr>
        <w:t>Table:</w:t>
      </w:r>
      <w:r w:rsidRPr="00A04E56">
        <w:t xml:space="preserve"> Financial corrections and recoveries overview for 2018</w:t>
      </w:r>
      <w:r w:rsidRPr="00A04E56">
        <w:rPr>
          <w:rFonts w:ascii="Calibri" w:hAnsi="Calibri" w:cs="Calibri"/>
        </w:rPr>
        <w:t> </w:t>
      </w:r>
      <w:r w:rsidRPr="00A04E56">
        <w:t>(</w:t>
      </w:r>
      <w:r w:rsidRPr="00C97845">
        <w:rPr>
          <w:rStyle w:val="fnRefNo"/>
        </w:rPr>
        <w:footnoteReference w:id="382"/>
      </w:r>
      <w:r w:rsidRPr="00A04E56">
        <w:t>) (EUR</w:t>
      </w:r>
      <w:r w:rsidRPr="00A04E56">
        <w:rPr>
          <w:rFonts w:ascii="Calibri" w:hAnsi="Calibri" w:cs="Calibri"/>
        </w:rPr>
        <w:t> </w:t>
      </w:r>
      <w:r w:rsidRPr="00A04E56">
        <w:t>million).</w:t>
      </w:r>
      <w:r w:rsidR="00B04562" w:rsidRPr="00A04E56">
        <w:t xml:space="preserve"> </w:t>
      </w:r>
    </w:p>
    <w:p w14:paraId="4710F40C" w14:textId="5A30371B" w:rsidR="00E932F7" w:rsidRPr="00A04E56" w:rsidRDefault="00FC5564" w:rsidP="00107DA0">
      <w:pPr>
        <w:pStyle w:val="Source-Table-Chart-PhotoCaption"/>
      </w:pPr>
      <w:r w:rsidRPr="00A04E56">
        <w:t>It should be noted that due to the rounding of figures into EUR million, some financial data in the table above may appear not to add up. * Excludes EUR</w:t>
      </w:r>
      <w:r w:rsidRPr="00A04E56">
        <w:rPr>
          <w:rFonts w:ascii="Calibri" w:hAnsi="Calibri" w:cs="Calibri"/>
        </w:rPr>
        <w:t> </w:t>
      </w:r>
      <w:r w:rsidRPr="00A04E56">
        <w:t>180</w:t>
      </w:r>
      <w:r w:rsidRPr="00A04E56">
        <w:rPr>
          <w:rFonts w:ascii="Calibri" w:hAnsi="Calibri" w:cs="Calibri"/>
        </w:rPr>
        <w:t> </w:t>
      </w:r>
      <w:r w:rsidRPr="00A04E56">
        <w:t xml:space="preserve">million paid out under the ‘Special instruments’ heading. </w:t>
      </w:r>
    </w:p>
    <w:p w14:paraId="06BEE8BE" w14:textId="7073CFCE" w:rsidR="008509C7" w:rsidRPr="00A04E56" w:rsidRDefault="008509C7" w:rsidP="00107DA0">
      <w:pPr>
        <w:pStyle w:val="Source-Table-Chart-PhotoCaption"/>
      </w:pPr>
      <w:r w:rsidRPr="00107DA0">
        <w:rPr>
          <w:rStyle w:val="italics"/>
        </w:rPr>
        <w:t>Source:</w:t>
      </w:r>
      <w:r w:rsidRPr="00A04E56">
        <w:t xml:space="preserve"> European Commission</w:t>
      </w:r>
    </w:p>
    <w:p w14:paraId="706F476C" w14:textId="23EAB534" w:rsidR="00FC5564" w:rsidRPr="00A04E56" w:rsidRDefault="00EC0528" w:rsidP="00C257BF">
      <w:pPr>
        <w:pStyle w:val="BodyText"/>
        <w:keepNext/>
        <w:spacing w:before="240" w:after="240"/>
        <w:rPr>
          <w:rStyle w:val="Bodytext2"/>
          <w:color w:val="000000" w:themeColor="text1"/>
          <w:sz w:val="20"/>
        </w:rPr>
      </w:pPr>
      <w:r w:rsidRPr="00A04E56">
        <w:rPr>
          <w:rStyle w:val="BOLDLIGHTBLUEReport"/>
          <w:rFonts w:eastAsiaTheme="minorHAnsi"/>
        </w:rPr>
        <w:t xml:space="preserve">3.3.1. </w:t>
      </w:r>
      <w:r w:rsidR="00FC5564" w:rsidRPr="00A04E56">
        <w:rPr>
          <w:rStyle w:val="BOLDLIGHTBLUEReport"/>
          <w:rFonts w:eastAsiaTheme="minorHAnsi"/>
        </w:rPr>
        <w:t xml:space="preserve">Types of </w:t>
      </w:r>
      <w:r w:rsidR="00FC5564" w:rsidRPr="00A04E56">
        <w:rPr>
          <w:rStyle w:val="BOLDLIGHTBLUEReport"/>
          <w:rFonts w:eastAsiaTheme="minorHAnsi"/>
          <w:i/>
        </w:rPr>
        <w:t>ex</w:t>
      </w:r>
      <w:r w:rsidR="00C9214E" w:rsidRPr="00A04E56">
        <w:rPr>
          <w:rStyle w:val="BOLDLIGHTBLUEReport"/>
          <w:rFonts w:eastAsiaTheme="minorHAnsi"/>
          <w:i/>
        </w:rPr>
        <w:t xml:space="preserve"> </w:t>
      </w:r>
      <w:r w:rsidR="00FC5564" w:rsidRPr="00A04E56">
        <w:rPr>
          <w:rStyle w:val="BOLDLIGHTBLUEReport"/>
          <w:rFonts w:eastAsiaTheme="minorHAnsi"/>
          <w:i/>
        </w:rPr>
        <w:t>ante</w:t>
      </w:r>
      <w:r w:rsidR="00FC5564" w:rsidRPr="00A04E56">
        <w:rPr>
          <w:rStyle w:val="BOLDLIGHTBLUEReport"/>
          <w:rFonts w:eastAsiaTheme="minorHAnsi"/>
        </w:rPr>
        <w:t xml:space="preserve"> and </w:t>
      </w:r>
      <w:r w:rsidR="00FC5564" w:rsidRPr="00A04E56">
        <w:rPr>
          <w:rStyle w:val="BOLDLIGHTBLUEReport"/>
          <w:rFonts w:eastAsiaTheme="minorHAnsi"/>
          <w:i/>
        </w:rPr>
        <w:t>ex</w:t>
      </w:r>
      <w:r w:rsidR="00C9214E" w:rsidRPr="00A04E56">
        <w:rPr>
          <w:rStyle w:val="BOLDLIGHTBLUEReport"/>
          <w:rFonts w:eastAsiaTheme="minorHAnsi"/>
          <w:i/>
        </w:rPr>
        <w:t xml:space="preserve"> </w:t>
      </w:r>
      <w:r w:rsidR="00FC5564" w:rsidRPr="00A04E56">
        <w:rPr>
          <w:rStyle w:val="BOLDLIGHTBLUEReport"/>
          <w:rFonts w:eastAsiaTheme="minorHAnsi"/>
          <w:i/>
        </w:rPr>
        <w:t>post</w:t>
      </w:r>
      <w:r w:rsidR="00FC5564" w:rsidRPr="00A04E56">
        <w:rPr>
          <w:rStyle w:val="BOLDLIGHTBLUEReport"/>
          <w:rFonts w:eastAsiaTheme="minorHAnsi"/>
        </w:rPr>
        <w:t xml:space="preserve"> mechanisms </w:t>
      </w:r>
      <w:r w:rsidR="008C1D39" w:rsidRPr="00A04E56">
        <w:rPr>
          <w:rStyle w:val="BOLDLIGHTBLUEReport"/>
          <w:rFonts w:eastAsiaTheme="minorHAnsi"/>
          <w:i/>
          <w:u w:val="single"/>
        </w:rPr>
        <w:t>in 2018</w:t>
      </w:r>
      <w:r w:rsidR="00FC5564" w:rsidRPr="00A04E56">
        <w:rPr>
          <w:rStyle w:val="Bodytext2"/>
          <w:color w:val="000000" w:themeColor="text1"/>
          <w:sz w:val="20"/>
        </w:rPr>
        <w:t xml:space="preserve"> </w:t>
      </w:r>
    </w:p>
    <w:p w14:paraId="67CD63C0" w14:textId="77777777" w:rsidR="00787DFB" w:rsidRDefault="00BF34FE" w:rsidP="00F269CE">
      <w:pPr>
        <w:pStyle w:val="Source-Table-Chart-PhotoCaption"/>
        <w:spacing w:after="40"/>
        <w:rPr>
          <w:rStyle w:val="italics"/>
        </w:rPr>
      </w:pPr>
      <w:r w:rsidRPr="00A04E56">
        <w:rPr>
          <w:noProof/>
          <w:lang w:val="fr-BE"/>
        </w:rPr>
        <w:drawing>
          <wp:inline distT="0" distB="0" distL="0" distR="0" wp14:anchorId="28DD32E4" wp14:editId="6920F276">
            <wp:extent cx="5654040" cy="3009900"/>
            <wp:effectExtent l="0" t="0" r="3810" b="0"/>
            <wp:docPr id="14614" name="Chart 14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14:paraId="52F49071" w14:textId="18D96A3D" w:rsidR="00FC5564" w:rsidRPr="00A04E56" w:rsidRDefault="00FC5564" w:rsidP="00F269CE">
      <w:pPr>
        <w:pStyle w:val="Source-Table-Chart-PhotoCaption"/>
        <w:spacing w:after="40"/>
        <w:rPr>
          <w:rStyle w:val="Emphasis"/>
          <w:rFonts w:eastAsiaTheme="minorHAnsi"/>
          <w:iCs/>
          <w:color w:val="808080" w:themeColor="background1" w:themeShade="80"/>
          <w:sz w:val="20"/>
          <w:szCs w:val="20"/>
          <w:lang w:eastAsia="en-US"/>
        </w:rPr>
      </w:pPr>
      <w:r w:rsidRPr="00277538">
        <w:rPr>
          <w:rStyle w:val="italics"/>
        </w:rPr>
        <w:t xml:space="preserve">Chart: </w:t>
      </w:r>
      <w:r w:rsidRPr="00A04E56">
        <w:t xml:space="preserve">Types of financial corrections and recoveries implemented </w:t>
      </w:r>
      <w:r w:rsidR="008C1D39" w:rsidRPr="00A04E56">
        <w:rPr>
          <w:i/>
          <w:u w:val="single"/>
        </w:rPr>
        <w:t>in 2018</w:t>
      </w:r>
      <w:r w:rsidRPr="00A04E56">
        <w:t xml:space="preserve"> (EUR million)</w:t>
      </w:r>
    </w:p>
    <w:p w14:paraId="1391B336" w14:textId="395B07E0" w:rsidR="008F5E28" w:rsidRPr="00A04E56" w:rsidRDefault="008F5E28" w:rsidP="00107DA0">
      <w:pPr>
        <w:pStyle w:val="Source-Table-Chart-PhotoCaption"/>
      </w:pPr>
      <w:r w:rsidRPr="00107DA0">
        <w:rPr>
          <w:rStyle w:val="italics"/>
        </w:rPr>
        <w:t>Source:</w:t>
      </w:r>
      <w:r w:rsidR="008E3450" w:rsidRPr="00A04E56">
        <w:rPr>
          <w:i/>
        </w:rPr>
        <w:t xml:space="preserve"> </w:t>
      </w:r>
      <w:r w:rsidR="008E3450" w:rsidRPr="00277538">
        <w:t>European Commission</w:t>
      </w:r>
    </w:p>
    <w:p w14:paraId="253A1CB6" w14:textId="497EACD4" w:rsidR="00FC5564" w:rsidRPr="00A04E56" w:rsidRDefault="00FC5564" w:rsidP="00FC5564">
      <w:pPr>
        <w:pStyle w:val="BodyText1spacebeforeandafter"/>
        <w:rPr>
          <w:rStyle w:val="Emphasis"/>
          <w:rFonts w:eastAsiaTheme="minorHAnsi"/>
          <w:i w:val="0"/>
          <w:noProof w:val="0"/>
          <w:color w:val="auto"/>
          <w:szCs w:val="20"/>
          <w:lang w:eastAsia="en-US"/>
        </w:rPr>
      </w:pPr>
      <w:r w:rsidRPr="00A04E56">
        <w:rPr>
          <w:rStyle w:val="Emphasis"/>
          <w:i w:val="0"/>
          <w:szCs w:val="20"/>
        </w:rPr>
        <w:t xml:space="preserve">Net corrections leading to a reimbursement </w:t>
      </w:r>
      <w:r w:rsidR="00BC0F91" w:rsidRPr="00A04E56">
        <w:rPr>
          <w:rStyle w:val="Emphasis"/>
          <w:i w:val="0"/>
          <w:szCs w:val="20"/>
        </w:rPr>
        <w:t>of</w:t>
      </w:r>
      <w:r w:rsidRPr="00A04E56">
        <w:rPr>
          <w:rStyle w:val="Emphasis"/>
          <w:i w:val="0"/>
          <w:szCs w:val="20"/>
        </w:rPr>
        <w:t xml:space="preserve"> the EU budget </w:t>
      </w:r>
      <w:r w:rsidR="00307246" w:rsidRPr="00A04E56">
        <w:rPr>
          <w:rStyle w:val="Emphasis"/>
          <w:i w:val="0"/>
          <w:szCs w:val="20"/>
        </w:rPr>
        <w:t>amounts previously paid</w:t>
      </w:r>
      <w:r w:rsidR="00307246" w:rsidRPr="00A04E56">
        <w:rPr>
          <w:rFonts w:ascii="Bahnschrift" w:hAnsi="Bahnschrift"/>
          <w:i/>
          <w:iCs/>
          <w:color w:val="1F497D"/>
          <w:szCs w:val="20"/>
        </w:rPr>
        <w:t xml:space="preserve"> </w:t>
      </w:r>
      <w:r w:rsidRPr="00A04E56">
        <w:rPr>
          <w:rStyle w:val="Emphasis"/>
          <w:i w:val="0"/>
          <w:szCs w:val="20"/>
        </w:rPr>
        <w:t xml:space="preserve">are characteristic of agriculture and rural development and for direct and indirect management. </w:t>
      </w:r>
      <w:r w:rsidRPr="00A04E56">
        <w:rPr>
          <w:rStyle w:val="Emphasis"/>
          <w:i w:val="0"/>
          <w:iCs w:val="0"/>
          <w:szCs w:val="20"/>
        </w:rPr>
        <w:t xml:space="preserve">For </w:t>
      </w:r>
      <w:r w:rsidRPr="00A04E56">
        <w:rPr>
          <w:rStyle w:val="BOLDLIGHTBLUEReport"/>
          <w:rFonts w:eastAsiaTheme="minorHAnsi"/>
        </w:rPr>
        <w:t>agriculture</w:t>
      </w:r>
      <w:r w:rsidRPr="00A04E56">
        <w:rPr>
          <w:rStyle w:val="Emphasis"/>
          <w:i w:val="0"/>
          <w:iCs w:val="0"/>
          <w:szCs w:val="20"/>
        </w:rPr>
        <w:t xml:space="preserve">, </w:t>
      </w:r>
      <w:r w:rsidR="008C1D39" w:rsidRPr="00A04E56">
        <w:rPr>
          <w:rStyle w:val="Emphasis"/>
          <w:iCs w:val="0"/>
          <w:szCs w:val="20"/>
          <w:u w:val="single"/>
        </w:rPr>
        <w:t>in 2018</w:t>
      </w:r>
      <w:r w:rsidRPr="00A04E56">
        <w:rPr>
          <w:rStyle w:val="Emphasis"/>
          <w:i w:val="0"/>
          <w:iCs w:val="0"/>
          <w:szCs w:val="20"/>
        </w:rPr>
        <w:t xml:space="preserve"> the Commission continued to apply the net financial corrections in the same way as in previous years. </w:t>
      </w:r>
    </w:p>
    <w:p w14:paraId="416C430A" w14:textId="07DA40DC" w:rsidR="00FC5564" w:rsidRPr="00A04E56" w:rsidRDefault="00FC5564" w:rsidP="00FC5564">
      <w:pPr>
        <w:pStyle w:val="BodyText1spaceafter"/>
        <w:rPr>
          <w:rStyle w:val="Emphasis"/>
          <w:i w:val="0"/>
          <w:szCs w:val="20"/>
        </w:rPr>
      </w:pPr>
      <w:r w:rsidRPr="00A04E56">
        <w:rPr>
          <w:rStyle w:val="Emphasis"/>
          <w:i w:val="0"/>
          <w:szCs w:val="20"/>
        </w:rPr>
        <w:t xml:space="preserve">For </w:t>
      </w:r>
      <w:r w:rsidRPr="00A04E56">
        <w:rPr>
          <w:rStyle w:val="BOLDLIGHTBLUEReport"/>
          <w:rFonts w:eastAsiaTheme="minorHAnsi"/>
          <w:iCs/>
        </w:rPr>
        <w:t>cohesion</w:t>
      </w:r>
      <w:r w:rsidRPr="00A04E56">
        <w:rPr>
          <w:rStyle w:val="Emphasis"/>
          <w:i w:val="0"/>
          <w:szCs w:val="20"/>
        </w:rPr>
        <w:t xml:space="preserve"> policy, net corrections were, </w:t>
      </w:r>
      <w:r w:rsidR="00BC0F91" w:rsidRPr="00A04E56">
        <w:rPr>
          <w:rStyle w:val="Emphasis"/>
          <w:i w:val="0"/>
          <w:szCs w:val="20"/>
        </w:rPr>
        <w:t>prior</w:t>
      </w:r>
      <w:r w:rsidRPr="00A04E56">
        <w:rPr>
          <w:rStyle w:val="Emphasis"/>
          <w:i w:val="0"/>
          <w:szCs w:val="20"/>
        </w:rPr>
        <w:t xml:space="preserve"> to the 2007-2013 programming period, the exception. They were only applied in cases where Member States were not able to replace irregular expenditure with new expenditure or, after the corresponding contradictory procedure, they </w:t>
      </w:r>
      <w:r w:rsidR="00BC0F91" w:rsidRPr="00A04E56">
        <w:rPr>
          <w:rStyle w:val="Emphasis"/>
          <w:i w:val="0"/>
          <w:szCs w:val="20"/>
        </w:rPr>
        <w:t>did</w:t>
      </w:r>
      <w:r w:rsidRPr="00A04E56">
        <w:rPr>
          <w:rStyle w:val="Emphasis"/>
          <w:i w:val="0"/>
          <w:szCs w:val="20"/>
        </w:rPr>
        <w:t xml:space="preserve"> not agree to implement the financial corrections proposed by the Commission. Under the legal framework for 2014-2020, the Commission </w:t>
      </w:r>
      <w:r w:rsidR="008B2FBD" w:rsidRPr="00A04E56">
        <w:rPr>
          <w:rStyle w:val="Emphasis"/>
          <w:i w:val="0"/>
          <w:szCs w:val="20"/>
        </w:rPr>
        <w:t>is to</w:t>
      </w:r>
      <w:r w:rsidR="004279AA" w:rsidRPr="00A04E56">
        <w:rPr>
          <w:rStyle w:val="Emphasis"/>
          <w:i w:val="0"/>
          <w:szCs w:val="20"/>
        </w:rPr>
        <w:t xml:space="preserve"> </w:t>
      </w:r>
      <w:r w:rsidRPr="00A04E56">
        <w:rPr>
          <w:rStyle w:val="Emphasis"/>
          <w:i w:val="0"/>
          <w:szCs w:val="20"/>
        </w:rPr>
        <w:t xml:space="preserve">apply net financial corrections — </w:t>
      </w:r>
      <w:r w:rsidR="00BC0F91" w:rsidRPr="00A04E56">
        <w:rPr>
          <w:rStyle w:val="Emphasis"/>
          <w:i w:val="0"/>
          <w:szCs w:val="20"/>
        </w:rPr>
        <w:t>despite</w:t>
      </w:r>
      <w:r w:rsidRPr="00A04E56">
        <w:rPr>
          <w:rStyle w:val="Emphasis"/>
          <w:i w:val="0"/>
          <w:szCs w:val="20"/>
        </w:rPr>
        <w:t xml:space="preserve"> the Member State agree</w:t>
      </w:r>
      <w:r w:rsidR="00BC0F91" w:rsidRPr="00A04E56">
        <w:rPr>
          <w:rStyle w:val="Emphasis"/>
          <w:i w:val="0"/>
          <w:szCs w:val="20"/>
        </w:rPr>
        <w:t>ing</w:t>
      </w:r>
      <w:r w:rsidRPr="00A04E56">
        <w:rPr>
          <w:rStyle w:val="Emphasis"/>
          <w:i w:val="0"/>
          <w:szCs w:val="20"/>
        </w:rPr>
        <w:t xml:space="preserve"> to the proposed corrections — where EU</w:t>
      </w:r>
      <w:r w:rsidR="004279AA" w:rsidRPr="00A04E56">
        <w:rPr>
          <w:rStyle w:val="Emphasis"/>
          <w:i w:val="0"/>
          <w:szCs w:val="20"/>
        </w:rPr>
        <w:t>/ECA</w:t>
      </w:r>
      <w:r w:rsidRPr="00A04E56">
        <w:rPr>
          <w:rStyle w:val="Emphasis"/>
          <w:i w:val="0"/>
          <w:szCs w:val="20"/>
        </w:rPr>
        <w:t xml:space="preserve"> audits detect a serious deficiency leading to a material level of risk in reimbursed expenditure remained undetected, uncorrected and unreported by the Member State. </w:t>
      </w:r>
      <w:r w:rsidR="00BC0F91" w:rsidRPr="00A04E56">
        <w:rPr>
          <w:rStyle w:val="Emphasis"/>
          <w:i w:val="0"/>
          <w:szCs w:val="20"/>
        </w:rPr>
        <w:t>In all other circumstances</w:t>
      </w:r>
      <w:r w:rsidRPr="00A04E56">
        <w:rPr>
          <w:rStyle w:val="Emphasis"/>
          <w:i w:val="0"/>
          <w:szCs w:val="20"/>
        </w:rPr>
        <w:t xml:space="preserve">, the Commission will </w:t>
      </w:r>
      <w:r w:rsidR="004279AA" w:rsidRPr="00A04E56">
        <w:rPr>
          <w:rStyle w:val="Emphasis"/>
          <w:i w:val="0"/>
          <w:szCs w:val="20"/>
        </w:rPr>
        <w:t xml:space="preserve">continue to </w:t>
      </w:r>
      <w:r w:rsidRPr="00A04E56">
        <w:rPr>
          <w:rStyle w:val="Emphasis"/>
          <w:i w:val="0"/>
          <w:szCs w:val="20"/>
        </w:rPr>
        <w:t xml:space="preserve">apply financial corrections as before, meaning that the Member State can still reuse the funds if it accepts the corrections and has </w:t>
      </w:r>
      <w:r w:rsidR="00BC0F91" w:rsidRPr="00A04E56">
        <w:rPr>
          <w:rStyle w:val="Emphasis"/>
          <w:i w:val="0"/>
          <w:szCs w:val="20"/>
        </w:rPr>
        <w:t>sufficient</w:t>
      </w:r>
      <w:r w:rsidRPr="00A04E56">
        <w:rPr>
          <w:rStyle w:val="Emphasis"/>
          <w:i w:val="0"/>
          <w:szCs w:val="20"/>
        </w:rPr>
        <w:t xml:space="preserve"> additional new expenditure to replace the amounts</w:t>
      </w:r>
      <w:r w:rsidR="00BC0F91" w:rsidRPr="00A04E56">
        <w:rPr>
          <w:rStyle w:val="Emphasis"/>
          <w:i w:val="0"/>
          <w:szCs w:val="20"/>
        </w:rPr>
        <w:t xml:space="preserve"> withdrawn as irregular</w:t>
      </w:r>
      <w:r w:rsidRPr="00A04E56">
        <w:rPr>
          <w:rStyle w:val="Emphasis"/>
          <w:i w:val="0"/>
          <w:szCs w:val="20"/>
        </w:rPr>
        <w:t>.</w:t>
      </w:r>
    </w:p>
    <w:p w14:paraId="7154B710" w14:textId="77777777" w:rsidR="00FC5564" w:rsidRPr="00A04E56" w:rsidRDefault="00FC5564" w:rsidP="00CC1FC1">
      <w:pPr>
        <w:pStyle w:val="BodyText1spaceafter"/>
      </w:pPr>
      <w:r w:rsidRPr="00A04E56">
        <w:t>The Commission applies a number of available preventive instruments such as the interruption, suspension and reduction of EU financing with a view to better protecting the EU budget and giving incentives to Member States to reduce irregular payments.</w:t>
      </w:r>
    </w:p>
    <w:p w14:paraId="62E3E7B1" w14:textId="77777777" w:rsidR="00FB1852" w:rsidRPr="00A04E56" w:rsidRDefault="00FB1852" w:rsidP="00FB1852">
      <w:pPr>
        <w:pStyle w:val="BodyText1"/>
        <w:rPr>
          <w:rFonts w:eastAsia="Calibri"/>
          <w:lang w:val="en-GB"/>
        </w:rPr>
      </w:pPr>
      <w:r w:rsidRPr="00A04E56">
        <w:rPr>
          <w:lang w:val="en-GB"/>
        </w:rPr>
        <w:br w:type="page"/>
      </w:r>
    </w:p>
    <w:p w14:paraId="4717D768" w14:textId="31F96AA7" w:rsidR="00FC5564" w:rsidRPr="00A04E56" w:rsidRDefault="00FB1852" w:rsidP="00FB1852">
      <w:pPr>
        <w:pStyle w:val="Title3Report-Numbered"/>
        <w:rPr>
          <w:rStyle w:val="BOLDLIGHTBLUEReport"/>
          <w:rFonts w:eastAsiaTheme="minorHAnsi"/>
          <w:b/>
        </w:rPr>
      </w:pPr>
      <w:r w:rsidRPr="00A04E56">
        <w:rPr>
          <w:rStyle w:val="BOLDLIGHTBLUEReport"/>
          <w:rFonts w:eastAsiaTheme="minorHAnsi"/>
          <w:b/>
        </w:rPr>
        <w:t xml:space="preserve">3.4. </w:t>
      </w:r>
      <w:r w:rsidR="00FC5564" w:rsidRPr="00A04E56">
        <w:rPr>
          <w:rStyle w:val="BOLDLIGHTBLUEReport"/>
          <w:rFonts w:eastAsiaTheme="minorHAnsi"/>
          <w:b/>
        </w:rPr>
        <w:t>Multiannual character of EU spending programmes</w:t>
      </w:r>
    </w:p>
    <w:p w14:paraId="79D7FC21" w14:textId="5669293E" w:rsidR="00F20162" w:rsidRPr="00A04E56" w:rsidRDefault="00F20162" w:rsidP="00107DA0">
      <w:pPr>
        <w:pStyle w:val="BodyText1spacebeforeandafter"/>
        <w:keepNext/>
        <w:spacing w:before="0" w:after="40"/>
        <w:rPr>
          <w:rStyle w:val="Emphasis"/>
          <w:rFonts w:eastAsiaTheme="minorHAnsi"/>
          <w:b/>
          <w:noProof w:val="0"/>
          <w:color w:val="808080" w:themeColor="background1" w:themeShade="80"/>
          <w:sz w:val="16"/>
          <w:szCs w:val="20"/>
          <w:lang w:eastAsia="en-US"/>
        </w:rPr>
      </w:pPr>
      <w:r w:rsidRPr="00A04E56">
        <w:rPr>
          <w:lang w:val="fr-BE"/>
        </w:rPr>
        <w:drawing>
          <wp:inline distT="0" distB="0" distL="0" distR="0" wp14:anchorId="5672D1EF" wp14:editId="117A21E3">
            <wp:extent cx="5760720" cy="4128770"/>
            <wp:effectExtent l="0" t="0" r="11430" b="5080"/>
            <wp:docPr id="14240" name="Chart 14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14:paraId="6DF077AB" w14:textId="5FC3161B" w:rsidR="00F20162" w:rsidRPr="00A04E56" w:rsidRDefault="00F20162" w:rsidP="00107DA0">
      <w:pPr>
        <w:pStyle w:val="Source-Table-Chart-PhotoCaption"/>
      </w:pPr>
      <w:r w:rsidRPr="00107DA0">
        <w:rPr>
          <w:rStyle w:val="italics"/>
        </w:rPr>
        <w:t>Chart:</w:t>
      </w:r>
      <w:r w:rsidRPr="00A04E56">
        <w:t xml:space="preserve"> Financial corrections and recoveries confirmed 2012-2018 cumulative (EUR million)</w:t>
      </w:r>
    </w:p>
    <w:p w14:paraId="3C1FDA0A" w14:textId="16F7FB2B" w:rsidR="002E47FF" w:rsidRPr="00A04E56" w:rsidRDefault="002E47FF" w:rsidP="00107DA0">
      <w:pPr>
        <w:pStyle w:val="Source-Table-Chart-PhotoCaption"/>
      </w:pPr>
      <w:r w:rsidRPr="00B9549D">
        <w:rPr>
          <w:rStyle w:val="italics"/>
        </w:rPr>
        <w:t>Source:</w:t>
      </w:r>
      <w:r w:rsidRPr="00B9549D">
        <w:t xml:space="preserve"> European Commission</w:t>
      </w:r>
    </w:p>
    <w:p w14:paraId="78AF878C" w14:textId="77777777" w:rsidR="00FC5564" w:rsidRPr="00A04E56" w:rsidRDefault="00FC5564" w:rsidP="00107DA0">
      <w:pPr>
        <w:pStyle w:val="BodyText1spacebeforeandafter"/>
        <w:rPr>
          <w:rStyle w:val="Emphasis"/>
          <w:i w:val="0"/>
          <w:iCs w:val="0"/>
          <w:noProof w:val="0"/>
          <w:color w:val="auto"/>
          <w:sz w:val="16"/>
          <w:szCs w:val="16"/>
        </w:rPr>
      </w:pPr>
      <w:r w:rsidRPr="00A04E56">
        <w:rPr>
          <w:rStyle w:val="Emphasis"/>
          <w:i w:val="0"/>
        </w:rPr>
        <w:t>Cumulative figures provide more useful information on the significance of corrective mechanisms used by the Commission because they take into account the multiannual character of most EU spending and neutralise the impact of one-off events — see Annex</w:t>
      </w:r>
      <w:r w:rsidRPr="00A04E56">
        <w:rPr>
          <w:rStyle w:val="Emphasis"/>
          <w:rFonts w:ascii="Calibri" w:hAnsi="Calibri" w:cs="Calibri"/>
          <w:i w:val="0"/>
        </w:rPr>
        <w:t> </w:t>
      </w:r>
      <w:r w:rsidRPr="00A04E56">
        <w:rPr>
          <w:rStyle w:val="Emphasis"/>
          <w:i w:val="0"/>
        </w:rPr>
        <w:t>4.</w:t>
      </w:r>
    </w:p>
    <w:p w14:paraId="00EFECBD" w14:textId="058D62F1" w:rsidR="00FC5564" w:rsidRPr="00A04E56" w:rsidRDefault="00FC5564" w:rsidP="00FC5564">
      <w:pPr>
        <w:pStyle w:val="BodyText1spaceafter"/>
        <w:rPr>
          <w:rStyle w:val="Emphasis"/>
          <w:i w:val="0"/>
        </w:rPr>
      </w:pPr>
      <w:r w:rsidRPr="00A04E56">
        <w:rPr>
          <w:rStyle w:val="Emphasis"/>
          <w:i w:val="0"/>
        </w:rPr>
        <w:t xml:space="preserve">For the </w:t>
      </w:r>
      <w:r w:rsidRPr="00A04E56">
        <w:rPr>
          <w:rStyle w:val="BOLDLIGHTBLUEReport"/>
          <w:rFonts w:eastAsiaTheme="minorHAnsi"/>
          <w:iCs/>
        </w:rPr>
        <w:t>European Agricultural Guarantee Fund</w:t>
      </w:r>
      <w:r w:rsidRPr="00A04E56">
        <w:rPr>
          <w:rStyle w:val="Emphasis"/>
          <w:i w:val="0"/>
        </w:rPr>
        <w:t>, the average correction rate for Commission financial corrections under conformity clearance of accounts for the period 1999 to end 2018 was 1.7% of expenditure (all of which are net financial corrections) — see Annex</w:t>
      </w:r>
      <w:r w:rsidRPr="00A04E56">
        <w:rPr>
          <w:rStyle w:val="Emphasis"/>
          <w:rFonts w:ascii="Calibri" w:hAnsi="Calibri" w:cs="Calibri"/>
          <w:i w:val="0"/>
        </w:rPr>
        <w:t> </w:t>
      </w:r>
      <w:r w:rsidRPr="00A04E56">
        <w:rPr>
          <w:rStyle w:val="Emphasis"/>
          <w:i w:val="0"/>
        </w:rPr>
        <w:t>4, Section</w:t>
      </w:r>
      <w:r w:rsidRPr="00A04E56">
        <w:rPr>
          <w:rStyle w:val="Emphasis"/>
          <w:rFonts w:ascii="Calibri" w:hAnsi="Calibri" w:cs="Calibri"/>
          <w:i w:val="0"/>
        </w:rPr>
        <w:t> </w:t>
      </w:r>
      <w:r w:rsidRPr="00A04E56">
        <w:rPr>
          <w:rStyle w:val="Emphasis"/>
          <w:i w:val="0"/>
        </w:rPr>
        <w:t>2.4.</w:t>
      </w:r>
      <w:r w:rsidR="009314E4" w:rsidRPr="00A04E56">
        <w:rPr>
          <w:rStyle w:val="Emphasis"/>
          <w:i w:val="0"/>
        </w:rPr>
        <w:t xml:space="preserve"> </w:t>
      </w:r>
    </w:p>
    <w:p w14:paraId="0F59D146" w14:textId="77777777" w:rsidR="00FC5564" w:rsidRPr="00A04E56" w:rsidRDefault="00FC5564" w:rsidP="00FC5564">
      <w:pPr>
        <w:pStyle w:val="BodyText1spaceafter"/>
        <w:rPr>
          <w:rStyle w:val="Emphasis"/>
          <w:i w:val="0"/>
        </w:rPr>
      </w:pPr>
      <w:r w:rsidRPr="00A04E56">
        <w:rPr>
          <w:rStyle w:val="Emphasis"/>
          <w:i w:val="0"/>
        </w:rPr>
        <w:t xml:space="preserve">For the 2007-2013 </w:t>
      </w:r>
      <w:r w:rsidRPr="00A04E56">
        <w:rPr>
          <w:rStyle w:val="BOLDLIGHTBLUEReport"/>
          <w:rFonts w:eastAsiaTheme="minorHAnsi"/>
        </w:rPr>
        <w:t>European Regional Development Fund, Cohesion Fund</w:t>
      </w:r>
      <w:r w:rsidRPr="00A04E56">
        <w:rPr>
          <w:rStyle w:val="Emphasis"/>
          <w:i w:val="0"/>
        </w:rPr>
        <w:t xml:space="preserve"> and </w:t>
      </w:r>
      <w:r w:rsidRPr="00A04E56">
        <w:rPr>
          <w:rStyle w:val="BOLDLIGHTBLUEReport"/>
          <w:rFonts w:eastAsiaTheme="minorHAnsi"/>
          <w:iCs/>
        </w:rPr>
        <w:t>European Social Fund</w:t>
      </w:r>
      <w:r w:rsidRPr="00A04E56">
        <w:rPr>
          <w:rStyle w:val="Emphasis"/>
          <w:i w:val="0"/>
        </w:rPr>
        <w:t>, at the end of 2018 the combined rate of financial corrections, based on Commission supervision work only, was 2.0% of the allocations made — see Annex</w:t>
      </w:r>
      <w:r w:rsidRPr="00A04E56">
        <w:rPr>
          <w:rStyle w:val="Emphasis"/>
          <w:rFonts w:ascii="Calibri" w:hAnsi="Calibri" w:cs="Calibri"/>
          <w:i w:val="0"/>
        </w:rPr>
        <w:t> </w:t>
      </w:r>
      <w:r w:rsidRPr="00A04E56">
        <w:rPr>
          <w:rStyle w:val="Emphasis"/>
          <w:i w:val="0"/>
        </w:rPr>
        <w:t>4, Section</w:t>
      </w:r>
      <w:r w:rsidRPr="00A04E56">
        <w:rPr>
          <w:rStyle w:val="Emphasis"/>
          <w:rFonts w:ascii="Calibri" w:hAnsi="Calibri" w:cs="Calibri"/>
          <w:i w:val="0"/>
        </w:rPr>
        <w:t> </w:t>
      </w:r>
      <w:r w:rsidRPr="00A04E56">
        <w:rPr>
          <w:rStyle w:val="Emphasis"/>
          <w:i w:val="0"/>
        </w:rPr>
        <w:t>3.4.1.</w:t>
      </w:r>
    </w:p>
    <w:p w14:paraId="03BE3045" w14:textId="137CBC20" w:rsidR="00FC5564" w:rsidRPr="00A04E56" w:rsidRDefault="00FC5564" w:rsidP="00FC5564">
      <w:pPr>
        <w:pStyle w:val="BodyText1spaceafter"/>
        <w:rPr>
          <w:rStyle w:val="BOLDLIGHTBLUEReport"/>
          <w:rFonts w:eastAsia="Calibri"/>
        </w:rPr>
      </w:pPr>
      <w:r w:rsidRPr="00A04E56">
        <w:rPr>
          <w:rStyle w:val="BOLDLIGHTBLUEReport"/>
          <w:rFonts w:eastAsia="Calibri"/>
        </w:rPr>
        <w:t xml:space="preserve">During the period 2012-2018 the </w:t>
      </w:r>
      <w:r w:rsidR="00BC0F91" w:rsidRPr="00A04E56">
        <w:rPr>
          <w:rStyle w:val="BOLDLIGHTBLUEReport"/>
          <w:rFonts w:eastAsia="Calibri"/>
        </w:rPr>
        <w:t>average</w:t>
      </w:r>
      <w:r w:rsidRPr="00A04E56">
        <w:rPr>
          <w:rStyle w:val="BOLDLIGHTBLUEReport"/>
          <w:rFonts w:eastAsia="Calibri"/>
        </w:rPr>
        <w:t xml:space="preserve"> amount </w:t>
      </w:r>
      <w:r w:rsidR="00BC0F91" w:rsidRPr="00A04E56">
        <w:rPr>
          <w:rStyle w:val="BOLDLIGHTBLUEReport"/>
          <w:rFonts w:eastAsia="Calibri"/>
        </w:rPr>
        <w:t>of confirmed</w:t>
      </w:r>
      <w:r w:rsidRPr="00A04E56">
        <w:rPr>
          <w:rStyle w:val="BOLDLIGHTBLUEReport"/>
          <w:rFonts w:eastAsia="Calibri"/>
        </w:rPr>
        <w:t xml:space="preserve"> financial corrections and recoveries was EUR</w:t>
      </w:r>
      <w:r w:rsidRPr="00A04E56">
        <w:rPr>
          <w:rStyle w:val="BOLDLIGHTBLUEReport"/>
          <w:rFonts w:ascii="Calibri" w:eastAsia="Calibri" w:hAnsi="Calibri" w:cs="Calibri"/>
        </w:rPr>
        <w:t> </w:t>
      </w:r>
      <w:r w:rsidRPr="00A04E56">
        <w:rPr>
          <w:rStyle w:val="BOLDLIGHTBLUEReport"/>
          <w:rFonts w:eastAsia="Calibri"/>
        </w:rPr>
        <w:t>3.2</w:t>
      </w:r>
      <w:r w:rsidRPr="00A04E56">
        <w:rPr>
          <w:rStyle w:val="BOLDLIGHTBLUEReport"/>
          <w:rFonts w:ascii="Calibri" w:eastAsia="Calibri" w:hAnsi="Calibri"/>
        </w:rPr>
        <w:t> </w:t>
      </w:r>
      <w:r w:rsidRPr="00A04E56">
        <w:rPr>
          <w:rStyle w:val="BOLDLIGHTBLUEReport"/>
          <w:rFonts w:eastAsia="Calibri"/>
        </w:rPr>
        <w:t>billion or 2.3% of the average amount of payments made from the EU budget, while the average amount implemented in this period was EUR</w:t>
      </w:r>
      <w:r w:rsidRPr="00A04E56">
        <w:rPr>
          <w:rStyle w:val="BOLDLIGHTBLUEReport"/>
          <w:rFonts w:ascii="Calibri" w:eastAsia="Calibri" w:hAnsi="Calibri" w:cs="Calibri"/>
        </w:rPr>
        <w:t> </w:t>
      </w:r>
      <w:r w:rsidRPr="00A04E56">
        <w:rPr>
          <w:rStyle w:val="BOLDLIGHTBLUEReport"/>
          <w:rFonts w:eastAsia="Calibri"/>
        </w:rPr>
        <w:t>3.5</w:t>
      </w:r>
      <w:r w:rsidRPr="00A04E56">
        <w:rPr>
          <w:rStyle w:val="BOLDLIGHTBLUEReport"/>
          <w:rFonts w:ascii="Calibri" w:eastAsia="Calibri" w:hAnsi="Calibri"/>
        </w:rPr>
        <w:t> </w:t>
      </w:r>
      <w:r w:rsidRPr="00A04E56">
        <w:rPr>
          <w:rStyle w:val="BOLDLIGHTBLUEReport"/>
          <w:rFonts w:eastAsia="Calibri"/>
        </w:rPr>
        <w:t>billion or 2.4% of the payments.</w:t>
      </w:r>
    </w:p>
    <w:p w14:paraId="0562E365" w14:textId="3F8BC4AA" w:rsidR="00FC5564" w:rsidRPr="00A04E56" w:rsidRDefault="00FC5564" w:rsidP="0030336E">
      <w:pPr>
        <w:pStyle w:val="Title2Report"/>
        <w:pageBreakBefore/>
        <w:spacing w:before="0"/>
        <w:rPr>
          <w:iCs/>
        </w:rPr>
      </w:pPr>
      <w:bookmarkStart w:id="261" w:name="_Toc9534256"/>
      <w:bookmarkStart w:id="262" w:name="_Toc9879910"/>
      <w:bookmarkStart w:id="263" w:name="_Toc10549881"/>
      <w:bookmarkStart w:id="264" w:name="_Toc12021053"/>
      <w:r w:rsidRPr="00A04E56">
        <w:rPr>
          <w:iCs/>
        </w:rPr>
        <w:t xml:space="preserve">4. </w:t>
      </w:r>
      <w:bookmarkStart w:id="265" w:name="TheCommissionsantifraudstrategy"/>
      <w:r w:rsidR="00D04988" w:rsidRPr="00A04E56">
        <w:rPr>
          <w:iCs/>
        </w:rPr>
        <w:t xml:space="preserve">The Commission's </w:t>
      </w:r>
      <w:r w:rsidR="00FF7FF6">
        <w:rPr>
          <w:iCs/>
        </w:rPr>
        <w:t>anti-</w:t>
      </w:r>
      <w:r w:rsidR="00D04988" w:rsidRPr="00A04E56">
        <w:rPr>
          <w:iCs/>
        </w:rPr>
        <w:t>fraud strategy</w:t>
      </w:r>
      <w:bookmarkEnd w:id="265"/>
      <w:r w:rsidR="00D04988" w:rsidRPr="00A04E56">
        <w:rPr>
          <w:iCs/>
        </w:rPr>
        <w:t xml:space="preserve"> has been revised</w:t>
      </w:r>
      <w:bookmarkEnd w:id="261"/>
      <w:bookmarkEnd w:id="262"/>
      <w:bookmarkEnd w:id="263"/>
      <w:bookmarkEnd w:id="264"/>
    </w:p>
    <w:p w14:paraId="3DBA5107" w14:textId="781D6EC0" w:rsidR="00FC5564" w:rsidRPr="008E035A" w:rsidRDefault="00FC5564" w:rsidP="008E035A">
      <w:pPr>
        <w:pStyle w:val="SubtitleLightBlueReport11pt"/>
      </w:pPr>
      <w:r w:rsidRPr="008E035A">
        <w:t xml:space="preserve">The Commission’s </w:t>
      </w:r>
      <w:r w:rsidR="008C77D2" w:rsidRPr="008E035A">
        <w:t>anti-</w:t>
      </w:r>
      <w:r w:rsidRPr="008E035A">
        <w:t xml:space="preserve">fraud strategy and the departments’ </w:t>
      </w:r>
      <w:r w:rsidR="00FF7FF6" w:rsidRPr="008E035A">
        <w:t>anti-</w:t>
      </w:r>
      <w:r w:rsidRPr="008E035A">
        <w:t>fraud strategies</w:t>
      </w:r>
    </w:p>
    <w:p w14:paraId="2FC345A2" w14:textId="4DF9AD40" w:rsidR="00FC5564" w:rsidRPr="00A04E56" w:rsidRDefault="00FC5564" w:rsidP="00FC5564">
      <w:pPr>
        <w:pStyle w:val="BodyText1spaceafter"/>
      </w:pPr>
      <w:r w:rsidRPr="00A04E56">
        <w:rPr>
          <w:rFonts w:eastAsiaTheme="minorHAnsi"/>
          <w:noProof w:val="0"/>
          <w:color w:val="auto"/>
          <w:lang w:eastAsia="en-US"/>
        </w:rPr>
        <w:t>As part of the sound financial management of the EU budget, the Commission</w:t>
      </w:r>
      <w:r w:rsidR="00CB6A77" w:rsidRPr="00A04E56">
        <w:rPr>
          <w:rFonts w:eastAsiaTheme="minorHAnsi"/>
          <w:noProof w:val="0"/>
          <w:color w:val="auto"/>
          <w:lang w:eastAsia="en-US"/>
        </w:rPr>
        <w:t xml:space="preserve"> — </w:t>
      </w:r>
      <w:r w:rsidR="00680E81" w:rsidRPr="00A04E56">
        <w:rPr>
          <w:rFonts w:eastAsiaTheme="minorHAnsi"/>
          <w:noProof w:val="0"/>
          <w:color w:val="auto"/>
          <w:lang w:eastAsia="en-US"/>
        </w:rPr>
        <w:t xml:space="preserve">under shared management </w:t>
      </w:r>
      <w:r w:rsidRPr="00A04E56">
        <w:rPr>
          <w:rFonts w:eastAsiaTheme="minorHAnsi"/>
          <w:noProof w:val="0"/>
          <w:color w:val="auto"/>
          <w:lang w:eastAsia="en-US"/>
        </w:rPr>
        <w:t xml:space="preserve">together with the Member States </w:t>
      </w:r>
      <w:r w:rsidR="00680E81" w:rsidRPr="00A04E56">
        <w:rPr>
          <w:rFonts w:eastAsiaTheme="minorHAnsi"/>
          <w:noProof w:val="0"/>
          <w:color w:val="auto"/>
          <w:lang w:eastAsia="en-US"/>
        </w:rPr>
        <w:t>in first instance</w:t>
      </w:r>
      <w:r w:rsidR="00CB6A77" w:rsidRPr="00A04E56">
        <w:rPr>
          <w:rFonts w:eastAsiaTheme="minorHAnsi"/>
          <w:noProof w:val="0"/>
          <w:color w:val="auto"/>
          <w:lang w:eastAsia="en-US"/>
        </w:rPr>
        <w:t xml:space="preserve"> — </w:t>
      </w:r>
      <w:r w:rsidR="00680E81" w:rsidRPr="00A04E56">
        <w:rPr>
          <w:rFonts w:eastAsiaTheme="minorHAnsi"/>
          <w:noProof w:val="0"/>
          <w:color w:val="auto"/>
          <w:lang w:eastAsia="en-US"/>
        </w:rPr>
        <w:t>i</w:t>
      </w:r>
      <w:r w:rsidRPr="00A04E56">
        <w:rPr>
          <w:rFonts w:eastAsiaTheme="minorHAnsi"/>
          <w:noProof w:val="0"/>
          <w:color w:val="auto"/>
          <w:lang w:eastAsia="en-US"/>
        </w:rPr>
        <w:t>s responsible for the fight against fraud</w:t>
      </w:r>
      <w:r w:rsidRPr="00A04E56">
        <w:rPr>
          <w:rStyle w:val="fnRef"/>
          <w:rFonts w:ascii="Calibri" w:hAnsi="Calibri"/>
        </w:rPr>
        <w:t> </w:t>
      </w:r>
      <w:r w:rsidRPr="00A04E56">
        <w:rPr>
          <w:rStyle w:val="fnRef"/>
        </w:rPr>
        <w:t>(</w:t>
      </w:r>
      <w:r w:rsidRPr="00A04E56">
        <w:rPr>
          <w:rStyle w:val="fnRefNo"/>
        </w:rPr>
        <w:footnoteReference w:id="383"/>
      </w:r>
      <w:r w:rsidRPr="00A04E56">
        <w:rPr>
          <w:rStyle w:val="fnRef"/>
        </w:rPr>
        <w:t>)</w:t>
      </w:r>
      <w:r w:rsidRPr="00A04E56">
        <w:t>. Moreover the Commission has</w:t>
      </w:r>
      <w:r w:rsidRPr="00A04E56">
        <w:rPr>
          <w:rFonts w:eastAsiaTheme="minorHAnsi"/>
          <w:noProof w:val="0"/>
          <w:color w:val="auto"/>
          <w:lang w:eastAsia="en-US"/>
        </w:rPr>
        <w:t xml:space="preserve"> </w:t>
      </w:r>
      <w:r w:rsidRPr="00A04E56">
        <w:t>a</w:t>
      </w:r>
      <w:r w:rsidRPr="00A04E56">
        <w:rPr>
          <w:rFonts w:eastAsiaTheme="minorHAnsi"/>
          <w:noProof w:val="0"/>
          <w:color w:val="auto"/>
          <w:lang w:eastAsia="en-US"/>
        </w:rPr>
        <w:t xml:space="preserve"> specific</w:t>
      </w:r>
      <w:r w:rsidRPr="00A04E56">
        <w:t xml:space="preserve"> </w:t>
      </w:r>
      <w:r w:rsidRPr="00A04E56">
        <w:rPr>
          <w:rFonts w:eastAsiaTheme="minorHAnsi"/>
          <w:noProof w:val="0"/>
          <w:color w:val="auto"/>
          <w:lang w:eastAsia="en-US"/>
        </w:rPr>
        <w:t xml:space="preserve">objective </w:t>
      </w:r>
      <w:r w:rsidRPr="00A04E56">
        <w:t>to</w:t>
      </w:r>
      <w:r w:rsidRPr="00A04E56">
        <w:rPr>
          <w:rFonts w:eastAsiaTheme="minorHAnsi"/>
          <w:noProof w:val="0"/>
          <w:color w:val="auto"/>
          <w:lang w:eastAsia="en-US"/>
        </w:rPr>
        <w:t xml:space="preserve"> preven</w:t>
      </w:r>
      <w:r w:rsidRPr="00A04E56">
        <w:t>t</w:t>
      </w:r>
      <w:r w:rsidRPr="00A04E56">
        <w:rPr>
          <w:rFonts w:eastAsiaTheme="minorHAnsi"/>
          <w:noProof w:val="0"/>
          <w:color w:val="auto"/>
          <w:lang w:eastAsia="en-US"/>
        </w:rPr>
        <w:t>, detect, correct and follow</w:t>
      </w:r>
      <w:r w:rsidRPr="00A04E56">
        <w:t xml:space="preserve"> </w:t>
      </w:r>
      <w:r w:rsidRPr="00A04E56">
        <w:rPr>
          <w:rFonts w:eastAsiaTheme="minorHAnsi"/>
          <w:noProof w:val="0"/>
          <w:color w:val="auto"/>
          <w:lang w:eastAsia="en-US"/>
        </w:rPr>
        <w:t>up fraud and irregularities</w:t>
      </w:r>
      <w:r w:rsidRPr="00A04E56">
        <w:rPr>
          <w:rStyle w:val="fnRef"/>
          <w:rFonts w:ascii="Calibri" w:hAnsi="Calibri"/>
        </w:rPr>
        <w:t> </w:t>
      </w:r>
      <w:r w:rsidRPr="00A04E56">
        <w:rPr>
          <w:rStyle w:val="fnRef"/>
        </w:rPr>
        <w:t>(</w:t>
      </w:r>
      <w:r w:rsidRPr="00A04E56">
        <w:rPr>
          <w:rStyle w:val="fnRefNo"/>
        </w:rPr>
        <w:footnoteReference w:id="384"/>
      </w:r>
      <w:r w:rsidRPr="00A04E56">
        <w:rPr>
          <w:rStyle w:val="fnRef"/>
        </w:rPr>
        <w:t>)</w:t>
      </w:r>
      <w:r w:rsidRPr="00A04E56">
        <w:rPr>
          <w:rFonts w:eastAsiaTheme="minorHAnsi"/>
          <w:noProof w:val="0"/>
          <w:color w:val="auto"/>
          <w:lang w:eastAsia="en-US"/>
        </w:rPr>
        <w:t>.</w:t>
      </w:r>
    </w:p>
    <w:p w14:paraId="71532FF7" w14:textId="5DED5E37" w:rsidR="00FC5564" w:rsidRPr="00A04E56" w:rsidRDefault="00FC5564" w:rsidP="00FC5564">
      <w:pPr>
        <w:pStyle w:val="BodyText1spaceafter"/>
      </w:pPr>
      <w:r w:rsidRPr="00A04E56">
        <w:t xml:space="preserve">As an essential tool in this endeavour, the </w:t>
      </w:r>
      <w:r w:rsidRPr="00A04E56">
        <w:rPr>
          <w:rStyle w:val="BOLDLIGHTBLUEReport"/>
          <w:rFonts w:eastAsiaTheme="minorHAnsi"/>
        </w:rPr>
        <w:t xml:space="preserve">Commission </w:t>
      </w:r>
      <w:r w:rsidR="00FF7FF6">
        <w:rPr>
          <w:rStyle w:val="BOLDLIGHTBLUEReport"/>
          <w:rFonts w:eastAsiaTheme="minorHAnsi"/>
        </w:rPr>
        <w:t>anti-</w:t>
      </w:r>
      <w:r w:rsidRPr="00A04E56">
        <w:rPr>
          <w:rStyle w:val="BOLDLIGHTBLUEReport"/>
          <w:rFonts w:eastAsiaTheme="minorHAnsi"/>
        </w:rPr>
        <w:t>fraud strategy</w:t>
      </w:r>
      <w:r w:rsidRPr="00A04E56">
        <w:rPr>
          <w:rStyle w:val="fnRef"/>
          <w:rFonts w:ascii="Calibri" w:hAnsi="Calibri" w:cs="Calibri"/>
        </w:rPr>
        <w:t> </w:t>
      </w:r>
      <w:r w:rsidRPr="00A04E56">
        <w:rPr>
          <w:rStyle w:val="fnRef"/>
        </w:rPr>
        <w:t>(</w:t>
      </w:r>
      <w:r w:rsidRPr="00A04E56">
        <w:rPr>
          <w:rStyle w:val="fnRefNo"/>
        </w:rPr>
        <w:footnoteReference w:id="385"/>
      </w:r>
      <w:r w:rsidRPr="00A04E56">
        <w:rPr>
          <w:rStyle w:val="fnRef"/>
        </w:rPr>
        <w:t>)</w:t>
      </w:r>
      <w:r w:rsidRPr="00A04E56">
        <w:t xml:space="preserve"> provides a policy framework for the prevention, detection, investigation and reparation of fraud at the level of the Commission and for the good functioning of the Commission departments in their management responsibilities for the protection of the financial interests of the EU. </w:t>
      </w:r>
      <w:r w:rsidR="003522E9" w:rsidRPr="00A04E56">
        <w:t xml:space="preserve">The Commission </w:t>
      </w:r>
      <w:r w:rsidR="008C77D2">
        <w:t>anti-</w:t>
      </w:r>
      <w:r w:rsidR="003522E9" w:rsidRPr="00A04E56">
        <w:t>fraud strategy was first adopted in 2011</w:t>
      </w:r>
      <w:r w:rsidR="00E34790" w:rsidRPr="00A04E56">
        <w:rPr>
          <w:rStyle w:val="fnRef"/>
          <w:rFonts w:ascii="Calibri" w:hAnsi="Calibri"/>
        </w:rPr>
        <w:t> </w:t>
      </w:r>
      <w:r w:rsidR="003522E9" w:rsidRPr="00A04E56">
        <w:rPr>
          <w:rStyle w:val="fnRef"/>
        </w:rPr>
        <w:t>(</w:t>
      </w:r>
      <w:r w:rsidR="003522E9" w:rsidRPr="00A04E56">
        <w:rPr>
          <w:rStyle w:val="fnRefNo"/>
        </w:rPr>
        <w:footnoteReference w:id="386"/>
      </w:r>
      <w:r w:rsidR="003522E9" w:rsidRPr="00A04E56">
        <w:rPr>
          <w:rStyle w:val="fnRef"/>
        </w:rPr>
        <w:t>)</w:t>
      </w:r>
      <w:r w:rsidR="003522E9" w:rsidRPr="00A04E56">
        <w:t xml:space="preserve"> and recently revised</w:t>
      </w:r>
      <w:r w:rsidR="00E34790" w:rsidRPr="00A04E56">
        <w:rPr>
          <w:rStyle w:val="fnRef"/>
          <w:rFonts w:ascii="Calibri" w:hAnsi="Calibri"/>
        </w:rPr>
        <w:t> </w:t>
      </w:r>
      <w:r w:rsidR="003522E9" w:rsidRPr="00A04E56">
        <w:rPr>
          <w:rStyle w:val="fnRef"/>
        </w:rPr>
        <w:t>(</w:t>
      </w:r>
      <w:r w:rsidR="003522E9" w:rsidRPr="00A04E56">
        <w:rPr>
          <w:rStyle w:val="fnRefNo"/>
        </w:rPr>
        <w:footnoteReference w:id="387"/>
      </w:r>
      <w:r w:rsidR="003522E9" w:rsidRPr="00A04E56">
        <w:rPr>
          <w:rStyle w:val="fnRef"/>
        </w:rPr>
        <w:t>)</w:t>
      </w:r>
      <w:r w:rsidR="003522E9" w:rsidRPr="00A04E56">
        <w:t xml:space="preserve"> under the lead of the European Anti-Fraud Office.</w:t>
      </w:r>
    </w:p>
    <w:p w14:paraId="1F6407F3" w14:textId="3FC23444" w:rsidR="00FC5564" w:rsidRPr="00A04E56" w:rsidRDefault="003522E9" w:rsidP="00FC5564">
      <w:pPr>
        <w:pStyle w:val="BodyText1spaceafter"/>
      </w:pPr>
      <w:r w:rsidRPr="00A04E56">
        <w:t>A key achievement of the 2011 strategy was for</w:t>
      </w:r>
      <w:r w:rsidR="00FC5564" w:rsidRPr="00A04E56">
        <w:t xml:space="preserve"> </w:t>
      </w:r>
      <w:r w:rsidR="00FC5564" w:rsidRPr="00A04E56">
        <w:rPr>
          <w:rStyle w:val="BOLDLIGHTBLUEReport"/>
          <w:rFonts w:eastAsiaTheme="minorHAnsi"/>
        </w:rPr>
        <w:t xml:space="preserve">every Commission department </w:t>
      </w:r>
      <w:r w:rsidR="00FC5564" w:rsidRPr="00A04E56">
        <w:rPr>
          <w:color w:val="auto"/>
        </w:rPr>
        <w:t xml:space="preserve">to </w:t>
      </w:r>
      <w:r w:rsidR="00FC5564" w:rsidRPr="00A04E56">
        <w:t xml:space="preserve">develop, implement and regularly update </w:t>
      </w:r>
      <w:r w:rsidR="00FC5564" w:rsidRPr="00A04E56">
        <w:rPr>
          <w:rStyle w:val="BOLDLIGHTBLUEReport"/>
          <w:rFonts w:eastAsiaTheme="minorHAnsi"/>
        </w:rPr>
        <w:t xml:space="preserve">its own </w:t>
      </w:r>
      <w:r w:rsidR="00FF7FF6">
        <w:rPr>
          <w:rStyle w:val="BOLDLIGHTBLUEReport"/>
          <w:rFonts w:eastAsiaTheme="minorHAnsi"/>
        </w:rPr>
        <w:t>anti-</w:t>
      </w:r>
      <w:r w:rsidR="00FC5564" w:rsidRPr="00A04E56">
        <w:rPr>
          <w:rStyle w:val="BOLDLIGHTBLUEReport"/>
          <w:rFonts w:eastAsiaTheme="minorHAnsi"/>
        </w:rPr>
        <w:t>fraud strategy</w:t>
      </w:r>
      <w:r w:rsidR="00FC5564" w:rsidRPr="00A04E56">
        <w:t xml:space="preserve"> for the policy area that they are responsible for. </w:t>
      </w:r>
      <w:r w:rsidRPr="00A04E56">
        <w:t>Until 2018, t</w:t>
      </w:r>
      <w:r w:rsidR="00FC5564" w:rsidRPr="00A04E56">
        <w:t>hey have fulfilled this task as presented in the table below.</w:t>
      </w:r>
    </w:p>
    <w:tbl>
      <w:tblPr>
        <w:tblW w:w="9072" w:type="dxa"/>
        <w:tblInd w:w="113" w:type="dxa"/>
        <w:tblBorders>
          <w:top w:val="single" w:sz="4" w:space="0" w:color="65BBC8"/>
          <w:left w:val="single" w:sz="4" w:space="0" w:color="65BBC8"/>
          <w:bottom w:val="single" w:sz="4" w:space="0" w:color="65BBC8"/>
          <w:right w:val="single" w:sz="4" w:space="0" w:color="65BBC8"/>
        </w:tblBorders>
        <w:tblLayout w:type="fixed"/>
        <w:tblCellMar>
          <w:left w:w="113" w:type="dxa"/>
          <w:right w:w="113" w:type="dxa"/>
        </w:tblCellMar>
        <w:tblLook w:val="04A0" w:firstRow="1" w:lastRow="0" w:firstColumn="1" w:lastColumn="0" w:noHBand="0" w:noVBand="1"/>
      </w:tblPr>
      <w:tblGrid>
        <w:gridCol w:w="2277"/>
        <w:gridCol w:w="1359"/>
        <w:gridCol w:w="1359"/>
        <w:gridCol w:w="1359"/>
        <w:gridCol w:w="1359"/>
        <w:gridCol w:w="1359"/>
      </w:tblGrid>
      <w:tr w:rsidR="00FC5564" w:rsidRPr="00A04E56" w14:paraId="04C7F5C4" w14:textId="77777777" w:rsidTr="008E035A">
        <w:trPr>
          <w:cantSplit/>
          <w:trHeight w:hRule="exact" w:val="1255"/>
        </w:trPr>
        <w:tc>
          <w:tcPr>
            <w:tcW w:w="2277" w:type="dxa"/>
            <w:tcBorders>
              <w:top w:val="single" w:sz="4" w:space="0" w:color="65BBC8"/>
              <w:bottom w:val="single" w:sz="4" w:space="0" w:color="FFFFFF" w:themeColor="background1"/>
            </w:tcBorders>
            <w:shd w:val="clear" w:color="auto" w:fill="65BBC8"/>
            <w:vAlign w:val="center"/>
          </w:tcPr>
          <w:p w14:paraId="5B91BA6F" w14:textId="77777777" w:rsidR="00FC5564" w:rsidRPr="00A04E56" w:rsidRDefault="00FC5564" w:rsidP="00B979B5">
            <w:pPr>
              <w:keepNext/>
              <w:rPr>
                <w:color w:val="FFFFFF" w:themeColor="background1"/>
              </w:rPr>
            </w:pPr>
            <w:r w:rsidRPr="00A04E56">
              <w:rPr>
                <w:b/>
                <w:color w:val="FFFFFF" w:themeColor="background1"/>
              </w:rPr>
              <w:t>Year of update of department-level anti-fraud strategies</w:t>
            </w:r>
          </w:p>
        </w:tc>
        <w:tc>
          <w:tcPr>
            <w:tcW w:w="1359" w:type="dxa"/>
            <w:tcBorders>
              <w:top w:val="single" w:sz="4" w:space="0" w:color="65BBC8"/>
              <w:bottom w:val="single" w:sz="4" w:space="0" w:color="65BBC8"/>
              <w:right w:val="single" w:sz="4" w:space="0" w:color="65BBC8"/>
            </w:tcBorders>
            <w:shd w:val="clear" w:color="auto" w:fill="FFFFFF"/>
            <w:vAlign w:val="center"/>
          </w:tcPr>
          <w:p w14:paraId="00AA2745" w14:textId="77777777" w:rsidR="00FC5564" w:rsidRPr="00A04E56" w:rsidRDefault="00FC5564" w:rsidP="00B979B5">
            <w:pPr>
              <w:keepNext/>
              <w:jc w:val="center"/>
            </w:pPr>
            <w:r w:rsidRPr="00A04E56">
              <w:rPr>
                <w:b/>
              </w:rPr>
              <w:t>2018</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14:paraId="1AB1279C" w14:textId="77777777" w:rsidR="00FC5564" w:rsidRPr="00A04E56" w:rsidRDefault="00FC5564" w:rsidP="00B979B5">
            <w:pPr>
              <w:keepNext/>
              <w:jc w:val="center"/>
            </w:pPr>
            <w:r w:rsidRPr="00A04E56">
              <w:rPr>
                <w:b/>
              </w:rPr>
              <w:t>2017</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14:paraId="19493F3A" w14:textId="77777777" w:rsidR="00FC5564" w:rsidRPr="00A04E56" w:rsidRDefault="00FC5564" w:rsidP="00B979B5">
            <w:pPr>
              <w:keepNext/>
              <w:jc w:val="center"/>
            </w:pPr>
            <w:r w:rsidRPr="00A04E56">
              <w:rPr>
                <w:b/>
              </w:rPr>
              <w:t>2016</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14:paraId="2A0B51DA" w14:textId="77777777" w:rsidR="00FC5564" w:rsidRPr="00A04E56" w:rsidRDefault="00FC5564" w:rsidP="00B979B5">
            <w:pPr>
              <w:keepNext/>
              <w:jc w:val="center"/>
            </w:pPr>
            <w:r w:rsidRPr="00A04E56">
              <w:rPr>
                <w:b/>
              </w:rPr>
              <w:t>2015 or before</w:t>
            </w:r>
          </w:p>
        </w:tc>
        <w:tc>
          <w:tcPr>
            <w:tcW w:w="1359" w:type="dxa"/>
            <w:tcBorders>
              <w:top w:val="single" w:sz="4" w:space="0" w:color="65BBC8"/>
              <w:left w:val="single" w:sz="4" w:space="0" w:color="65BBC8"/>
              <w:bottom w:val="single" w:sz="4" w:space="0" w:color="65BBC8"/>
            </w:tcBorders>
            <w:shd w:val="clear" w:color="auto" w:fill="FFFFFF"/>
            <w:vAlign w:val="center"/>
          </w:tcPr>
          <w:p w14:paraId="0F4FD5C1" w14:textId="77777777" w:rsidR="00FC5564" w:rsidRPr="00A04E56" w:rsidRDefault="00FC5564" w:rsidP="00B979B5">
            <w:pPr>
              <w:keepNext/>
              <w:jc w:val="center"/>
            </w:pPr>
            <w:r w:rsidRPr="00A04E56">
              <w:rPr>
                <w:b/>
              </w:rPr>
              <w:t>Total</w:t>
            </w:r>
          </w:p>
        </w:tc>
      </w:tr>
      <w:tr w:rsidR="00FC5564" w:rsidRPr="00A04E56" w14:paraId="6A1169EB" w14:textId="77777777" w:rsidTr="008E035A">
        <w:trPr>
          <w:cantSplit/>
          <w:trHeight w:hRule="exact" w:val="1572"/>
        </w:trPr>
        <w:tc>
          <w:tcPr>
            <w:tcW w:w="2277" w:type="dxa"/>
            <w:tcBorders>
              <w:top w:val="single" w:sz="4" w:space="0" w:color="FFFFFF" w:themeColor="background1"/>
              <w:bottom w:val="single" w:sz="4" w:space="0" w:color="65BBC8"/>
            </w:tcBorders>
            <w:shd w:val="clear" w:color="auto" w:fill="65BBC8"/>
            <w:vAlign w:val="center"/>
          </w:tcPr>
          <w:p w14:paraId="062C1538" w14:textId="77777777" w:rsidR="00FC5564" w:rsidRPr="00A04E56" w:rsidRDefault="00FC5564" w:rsidP="00B979B5">
            <w:pPr>
              <w:keepNext/>
              <w:rPr>
                <w:color w:val="FFFFFF" w:themeColor="background1"/>
              </w:rPr>
            </w:pPr>
            <w:r w:rsidRPr="00A04E56">
              <w:rPr>
                <w:b/>
                <w:color w:val="FFFFFF" w:themeColor="background1"/>
              </w:rPr>
              <w:t>Number of</w:t>
            </w:r>
          </w:p>
          <w:p w14:paraId="6436B93B" w14:textId="77777777" w:rsidR="00FC5564" w:rsidRPr="00A04E56" w:rsidRDefault="00FC5564" w:rsidP="00B979B5">
            <w:pPr>
              <w:keepNext/>
              <w:rPr>
                <w:color w:val="FFFFFF" w:themeColor="background1"/>
              </w:rPr>
            </w:pPr>
            <w:r w:rsidRPr="00A04E56">
              <w:rPr>
                <w:b/>
                <w:color w:val="FFFFFF" w:themeColor="background1"/>
              </w:rPr>
              <w:t>Commission departments</w:t>
            </w:r>
          </w:p>
        </w:tc>
        <w:tc>
          <w:tcPr>
            <w:tcW w:w="1359" w:type="dxa"/>
            <w:tcBorders>
              <w:top w:val="single" w:sz="4" w:space="0" w:color="65BBC8"/>
              <w:bottom w:val="single" w:sz="4" w:space="0" w:color="65BBC8"/>
              <w:right w:val="single" w:sz="4" w:space="0" w:color="65BBC8"/>
            </w:tcBorders>
            <w:shd w:val="clear" w:color="auto" w:fill="FFFFFF"/>
            <w:vAlign w:val="center"/>
          </w:tcPr>
          <w:p w14:paraId="226CF140" w14:textId="77777777" w:rsidR="00FC5564" w:rsidRPr="00A04E56" w:rsidRDefault="00FC5564" w:rsidP="00B979B5">
            <w:pPr>
              <w:keepNext/>
              <w:jc w:val="center"/>
            </w:pPr>
            <w:r w:rsidRPr="00A04E56">
              <w:rPr>
                <w:b/>
              </w:rPr>
              <w:t>13</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14:paraId="486FFA1E" w14:textId="77777777" w:rsidR="00FC5564" w:rsidRPr="00A04E56" w:rsidRDefault="00FC5564" w:rsidP="00B979B5">
            <w:pPr>
              <w:keepNext/>
              <w:jc w:val="center"/>
            </w:pPr>
            <w:r w:rsidRPr="00A04E56">
              <w:rPr>
                <w:b/>
              </w:rPr>
              <w:t>18</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14:paraId="0ADB30E3" w14:textId="77777777" w:rsidR="00FC5564" w:rsidRPr="00A04E56" w:rsidRDefault="00FC5564" w:rsidP="00B979B5">
            <w:pPr>
              <w:keepNext/>
              <w:jc w:val="center"/>
            </w:pPr>
            <w:r w:rsidRPr="00A04E56">
              <w:rPr>
                <w:b/>
              </w:rPr>
              <w:t>9</w:t>
            </w:r>
          </w:p>
        </w:tc>
        <w:tc>
          <w:tcPr>
            <w:tcW w:w="1359" w:type="dxa"/>
            <w:tcBorders>
              <w:top w:val="single" w:sz="4" w:space="0" w:color="65BBC8"/>
              <w:left w:val="single" w:sz="4" w:space="0" w:color="65BBC8"/>
              <w:bottom w:val="single" w:sz="4" w:space="0" w:color="65BBC8"/>
              <w:right w:val="single" w:sz="4" w:space="0" w:color="65BBC8"/>
            </w:tcBorders>
            <w:shd w:val="clear" w:color="auto" w:fill="FFFFFF"/>
            <w:vAlign w:val="center"/>
          </w:tcPr>
          <w:p w14:paraId="15EF1BBB" w14:textId="77777777" w:rsidR="00FC5564" w:rsidRPr="00A04E56" w:rsidRDefault="00FC5564" w:rsidP="00B979B5">
            <w:pPr>
              <w:keepNext/>
              <w:jc w:val="center"/>
            </w:pPr>
            <w:r w:rsidRPr="00A04E56">
              <w:rPr>
                <w:b/>
              </w:rPr>
              <w:t>10</w:t>
            </w:r>
          </w:p>
        </w:tc>
        <w:tc>
          <w:tcPr>
            <w:tcW w:w="1359" w:type="dxa"/>
            <w:tcBorders>
              <w:top w:val="single" w:sz="4" w:space="0" w:color="65BBC8"/>
              <w:left w:val="single" w:sz="4" w:space="0" w:color="65BBC8"/>
              <w:bottom w:val="single" w:sz="4" w:space="0" w:color="65BBC8"/>
            </w:tcBorders>
            <w:shd w:val="clear" w:color="auto" w:fill="FFFFFF"/>
            <w:vAlign w:val="center"/>
          </w:tcPr>
          <w:p w14:paraId="11078F4E" w14:textId="77777777" w:rsidR="00FC5564" w:rsidRPr="00A04E56" w:rsidRDefault="00FC5564" w:rsidP="00B979B5">
            <w:pPr>
              <w:keepNext/>
              <w:jc w:val="center"/>
            </w:pPr>
            <w:r w:rsidRPr="00A04E56">
              <w:rPr>
                <w:b/>
              </w:rPr>
              <w:t>50</w:t>
            </w:r>
          </w:p>
        </w:tc>
      </w:tr>
    </w:tbl>
    <w:p w14:paraId="1725D525" w14:textId="77777777" w:rsidR="00B979B5" w:rsidRPr="00A04E56" w:rsidRDefault="00FC5564" w:rsidP="00107DA0">
      <w:pPr>
        <w:pStyle w:val="Source-Table-Chart-PhotoCaption"/>
      </w:pPr>
      <w:r w:rsidRPr="00107DA0">
        <w:rPr>
          <w:rStyle w:val="italics"/>
        </w:rPr>
        <w:t>Table:</w:t>
      </w:r>
      <w:r w:rsidRPr="00A04E56">
        <w:t xml:space="preserve"> Anti-fraud strategies updated by Commission departments. </w:t>
      </w:r>
    </w:p>
    <w:p w14:paraId="39193A42" w14:textId="2037C8FA" w:rsidR="00FC5564" w:rsidRPr="00A04E56" w:rsidRDefault="00FC5564" w:rsidP="00107DA0">
      <w:pPr>
        <w:pStyle w:val="Source-Table-Chart-PhotoCaption"/>
      </w:pPr>
      <w:r w:rsidRPr="00107DA0">
        <w:rPr>
          <w:rStyle w:val="italics"/>
        </w:rPr>
        <w:t>Source:</w:t>
      </w:r>
      <w:r w:rsidRPr="00A04E56">
        <w:t xml:space="preserve"> </w:t>
      </w:r>
      <w:r w:rsidR="00B04562" w:rsidRPr="00A04E56">
        <w:t xml:space="preserve">European Commission </w:t>
      </w:r>
      <w:r w:rsidRPr="00A04E56">
        <w:rPr>
          <w:i/>
        </w:rPr>
        <w:t>Annual activity reports.</w:t>
      </w:r>
    </w:p>
    <w:p w14:paraId="5DF73F29" w14:textId="0F65B7E2" w:rsidR="003522E9" w:rsidRPr="00A04E56" w:rsidRDefault="003522E9" w:rsidP="00107DA0">
      <w:pPr>
        <w:pStyle w:val="BodyText1spacebeforeandafter"/>
      </w:pPr>
      <w:r w:rsidRPr="00A04E56">
        <w:t xml:space="preserve">Moreover, an evaluation of the 2011 Commission </w:t>
      </w:r>
      <w:r w:rsidR="00FF7FF6">
        <w:t>anti-</w:t>
      </w:r>
      <w:r w:rsidRPr="00A04E56">
        <w:t>fraud strategy identified an increase in the efficiency of the European Anti-Fraud Office's selection and investigation procedures, as well as a more effective exchange of fraud-related information between the Commission departments and the European Anti-Fraud Office. Further improvement was nonetheless called for</w:t>
      </w:r>
      <w:r w:rsidR="00EB1918" w:rsidRPr="00A04E56">
        <w:rPr>
          <w:rStyle w:val="fnRef"/>
          <w:rFonts w:ascii="Calibri" w:hAnsi="Calibri"/>
        </w:rPr>
        <w:t> </w:t>
      </w:r>
      <w:r w:rsidRPr="00A04E56">
        <w:rPr>
          <w:rStyle w:val="fnRef"/>
        </w:rPr>
        <w:t>(</w:t>
      </w:r>
      <w:r w:rsidRPr="00A04E56">
        <w:rPr>
          <w:rStyle w:val="fnRefNo"/>
        </w:rPr>
        <w:footnoteReference w:id="388"/>
      </w:r>
      <w:r w:rsidRPr="00A04E56">
        <w:rPr>
          <w:rStyle w:val="fnRef"/>
        </w:rPr>
        <w:t>)</w:t>
      </w:r>
      <w:r w:rsidRPr="00A04E56">
        <w:t>.</w:t>
      </w:r>
    </w:p>
    <w:p w14:paraId="17DCC04F" w14:textId="488197B2" w:rsidR="00FC5564" w:rsidRPr="00A04E56" w:rsidRDefault="003522E9" w:rsidP="00FC5564">
      <w:pPr>
        <w:pStyle w:val="BodyText1spaceafter"/>
      </w:pPr>
      <w:r w:rsidRPr="00A04E56">
        <w:rPr>
          <w:szCs w:val="20"/>
        </w:rPr>
        <w:t xml:space="preserve">The revision </w:t>
      </w:r>
      <w:r w:rsidR="00FC5564" w:rsidRPr="00A04E56">
        <w:rPr>
          <w:szCs w:val="20"/>
        </w:rPr>
        <w:t xml:space="preserve">of the </w:t>
      </w:r>
      <w:r w:rsidR="00FC5564" w:rsidRPr="00A04E56">
        <w:rPr>
          <w:rStyle w:val="BOLDLIGHTBLUEReport"/>
          <w:rFonts w:eastAsia="Calibri"/>
        </w:rPr>
        <w:t>Commission</w:t>
      </w:r>
      <w:r w:rsidRPr="00A04E56">
        <w:rPr>
          <w:rStyle w:val="BOLDLIGHTBLUEReport"/>
          <w:rFonts w:eastAsia="Calibri"/>
        </w:rPr>
        <w:t>'s</w:t>
      </w:r>
      <w:r w:rsidR="00FC5564" w:rsidRPr="00A04E56">
        <w:rPr>
          <w:rStyle w:val="BOLDLIGHTBLUEReport"/>
          <w:rFonts w:eastAsia="Calibri"/>
        </w:rPr>
        <w:t xml:space="preserve"> </w:t>
      </w:r>
      <w:r w:rsidR="00FF7FF6">
        <w:rPr>
          <w:rStyle w:val="BOLDLIGHTBLUEReport"/>
          <w:rFonts w:eastAsia="Calibri"/>
        </w:rPr>
        <w:t>anti-</w:t>
      </w:r>
      <w:r w:rsidR="00FC5564" w:rsidRPr="00A04E56">
        <w:rPr>
          <w:rStyle w:val="BOLDLIGHTBLUEReport"/>
          <w:rFonts w:eastAsia="Calibri"/>
        </w:rPr>
        <w:t>fraud strategy</w:t>
      </w:r>
      <w:r w:rsidR="00FC5564" w:rsidRPr="00A04E56">
        <w:rPr>
          <w:szCs w:val="20"/>
        </w:rPr>
        <w:t xml:space="preserve"> prepare</w:t>
      </w:r>
      <w:r w:rsidRPr="00A04E56">
        <w:rPr>
          <w:szCs w:val="20"/>
        </w:rPr>
        <w:t>s</w:t>
      </w:r>
      <w:r w:rsidR="00FC5564" w:rsidRPr="00A04E56">
        <w:rPr>
          <w:szCs w:val="20"/>
        </w:rPr>
        <w:t xml:space="preserve"> the Commission’s departments for the challenges of the multiannual financial framework 2021-2027 and </w:t>
      </w:r>
      <w:r w:rsidR="00FC5564" w:rsidRPr="00A04E56">
        <w:t>take</w:t>
      </w:r>
      <w:r w:rsidRPr="00A04E56">
        <w:t>s</w:t>
      </w:r>
      <w:r w:rsidR="00FC5564" w:rsidRPr="00A04E56">
        <w:t xml:space="preserve"> into account: (i) important developments in EU fraud legislation (adoption of the ‘protection of the financial interests directive’</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89"/>
      </w:r>
      <w:r w:rsidR="00FC5564" w:rsidRPr="00A04E56">
        <w:rPr>
          <w:rStyle w:val="fnRef"/>
        </w:rPr>
        <w:t>)</w:t>
      </w:r>
      <w:r w:rsidR="00FC5564" w:rsidRPr="00A04E56">
        <w:t xml:space="preserve"> and establishment of the European Public Prosecutor’s Office</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90"/>
      </w:r>
      <w:r w:rsidR="00FC5564" w:rsidRPr="00A04E56">
        <w:rPr>
          <w:rStyle w:val="fnRef"/>
        </w:rPr>
        <w:t>)</w:t>
      </w:r>
      <w:r w:rsidR="00FC5564" w:rsidRPr="00A04E56">
        <w:t>); (ii) a special report by the European Court of Auditors on fraud risk management in EU spending</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91"/>
      </w:r>
      <w:r w:rsidR="00FC5564" w:rsidRPr="00A04E56">
        <w:rPr>
          <w:rStyle w:val="fnRef"/>
        </w:rPr>
        <w:t>)</w:t>
      </w:r>
      <w:r w:rsidR="00FC5564" w:rsidRPr="00A04E56">
        <w:t>; (iii) an audit by the Commission’s Internal Audit Service on anti-fraud activities in the revenue area</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92"/>
      </w:r>
      <w:r w:rsidR="00FC5564" w:rsidRPr="00A04E56">
        <w:rPr>
          <w:rStyle w:val="fnRef"/>
        </w:rPr>
        <w:t>)</w:t>
      </w:r>
      <w:r w:rsidR="00FC5564" w:rsidRPr="00A04E56">
        <w:t xml:space="preserve">; and (iv) the </w:t>
      </w:r>
      <w:r w:rsidR="00F504A4" w:rsidRPr="00A04E56">
        <w:t xml:space="preserve">communication on governance </w:t>
      </w:r>
      <w:r w:rsidR="00FC5564" w:rsidRPr="00A04E56">
        <w:t>in the European Commission adopted on 21</w:t>
      </w:r>
      <w:r w:rsidR="00FC5564" w:rsidRPr="00A04E56">
        <w:rPr>
          <w:rFonts w:ascii="Calibri" w:hAnsi="Calibri" w:cs="Calibri"/>
        </w:rPr>
        <w:t> </w:t>
      </w:r>
      <w:r w:rsidR="00FC5564" w:rsidRPr="00A04E56">
        <w:t>November 2018</w:t>
      </w:r>
      <w:r w:rsidR="00FC5564" w:rsidRPr="00A04E56">
        <w:rPr>
          <w:rStyle w:val="fnRef"/>
          <w:rFonts w:ascii="Calibri" w:hAnsi="Calibri" w:cs="Calibri"/>
        </w:rPr>
        <w:t> </w:t>
      </w:r>
      <w:r w:rsidR="00FC5564" w:rsidRPr="00A04E56">
        <w:rPr>
          <w:rStyle w:val="fnRef"/>
        </w:rPr>
        <w:t>(</w:t>
      </w:r>
      <w:r w:rsidR="00FC5564" w:rsidRPr="00A04E56">
        <w:rPr>
          <w:rStyle w:val="fnRefNo"/>
        </w:rPr>
        <w:footnoteReference w:id="393"/>
      </w:r>
      <w:r w:rsidR="00FC5564" w:rsidRPr="00A04E56">
        <w:rPr>
          <w:rStyle w:val="fnRef"/>
        </w:rPr>
        <w:t>)</w:t>
      </w:r>
      <w:r w:rsidR="00FC5564" w:rsidRPr="00A04E56">
        <w:t>.</w:t>
      </w:r>
    </w:p>
    <w:p w14:paraId="0ACA515F" w14:textId="77777777" w:rsidR="00FC5564" w:rsidRPr="00A04E56" w:rsidRDefault="00FC5564" w:rsidP="00FC5564">
      <w:pPr>
        <w:pStyle w:val="BodyText1spaceafter"/>
      </w:pPr>
      <w:r w:rsidRPr="00A04E56">
        <w:t xml:space="preserve">The new strategy aims for more consistency and coordination in the fight against fraud and is based on knowledge-based, data-driven anti-fraud measures. All Commission departments will contribute to its implementation, coordinated by the European Anti-Fraud Office. </w:t>
      </w:r>
    </w:p>
    <w:p w14:paraId="0EA0659C" w14:textId="77777777" w:rsidR="00FC5564" w:rsidRPr="00A04E56" w:rsidRDefault="00FC5564" w:rsidP="00FC5564">
      <w:pPr>
        <w:pStyle w:val="BodyText1spaceafter"/>
      </w:pPr>
      <w:r w:rsidRPr="00A04E56">
        <w:t xml:space="preserve">In parallel, the European Anti-Fraud Office will further develop into a </w:t>
      </w:r>
      <w:r w:rsidRPr="00A04E56">
        <w:rPr>
          <w:rStyle w:val="BOLDLIGHTBLUEReport"/>
          <w:rFonts w:eastAsiaTheme="minorHAnsi"/>
        </w:rPr>
        <w:t>knowledge and advisory centre for the fight against fraud.</w:t>
      </w:r>
      <w:r w:rsidRPr="00A04E56">
        <w:t xml:space="preserve"> It will intensify its work with Commission services and Member States to identify, collect, enhance and analyse relevant fraud-related data more comprehensively and accurately. </w:t>
      </w:r>
    </w:p>
    <w:p w14:paraId="63C3BBDC" w14:textId="29A8E899" w:rsidR="00FC5564" w:rsidRPr="00A04E56" w:rsidRDefault="00FC5564" w:rsidP="00CB33E3">
      <w:pPr>
        <w:pStyle w:val="BodyText1spaceafter"/>
      </w:pPr>
      <w:r w:rsidRPr="00A04E56">
        <w:t xml:space="preserve">The European Anti-Fraud Office will implement or coordinate most of these measures to broaden and </w:t>
      </w:r>
      <w:r w:rsidR="00980487" w:rsidRPr="00A04E56">
        <w:t xml:space="preserve">improve </w:t>
      </w:r>
      <w:r w:rsidRPr="00A04E56">
        <w:t xml:space="preserve">the detection, understanding and assessment of fraud risks. A more comprehensive analysis of fraud risks will serve financial actors, auditors and investigators and contribute to a more cost-effective deployment of fraud controls. </w:t>
      </w:r>
    </w:p>
    <w:p w14:paraId="6AB77C09" w14:textId="67A0D723" w:rsidR="00CE29AF" w:rsidRPr="008E035A" w:rsidRDefault="00CE29AF" w:rsidP="008E035A">
      <w:pPr>
        <w:pStyle w:val="SubtitleLightBlueReport11pt"/>
      </w:pPr>
      <w:r w:rsidRPr="008E035A">
        <w:t xml:space="preserve">New </w:t>
      </w:r>
      <w:r w:rsidR="00AE4B2D" w:rsidRPr="008E035A">
        <w:t>financial regulation</w:t>
      </w:r>
    </w:p>
    <w:p w14:paraId="2301E578" w14:textId="7CA16EB5" w:rsidR="00FC5564" w:rsidRPr="00A04E56" w:rsidRDefault="00FC5564" w:rsidP="00CB33E3">
      <w:pPr>
        <w:pStyle w:val="BodyText1spaceafter"/>
      </w:pPr>
      <w:r w:rsidRPr="00A04E56">
        <w:t xml:space="preserve">The adoption of the Commission proposal </w:t>
      </w:r>
      <w:r w:rsidRPr="00A04E56">
        <w:rPr>
          <w:rStyle w:val="BOLDLIGHTBLUEReport"/>
          <w:rFonts w:eastAsia="Calibri"/>
        </w:rPr>
        <w:t xml:space="preserve">to simplify the </w:t>
      </w:r>
      <w:r w:rsidR="00AE4B2D" w:rsidRPr="00A04E56">
        <w:rPr>
          <w:rStyle w:val="BOLDLIGHTBLUEReport"/>
          <w:rFonts w:eastAsia="Calibri"/>
        </w:rPr>
        <w:t>financial regulation</w:t>
      </w:r>
      <w:r w:rsidRPr="00A04E56">
        <w:rPr>
          <w:rStyle w:val="BOLDLIGHTBLUEReport"/>
          <w:rFonts w:eastAsia="Calibri"/>
        </w:rPr>
        <w:t xml:space="preserve"> and 15 sectoral legal acts</w:t>
      </w:r>
      <w:r w:rsidRPr="00A04E56">
        <w:t xml:space="preserve"> provided the departments with a simplified basis for the preparation of the post-2020 generation of funding programmes. The new </w:t>
      </w:r>
      <w:r w:rsidR="00AE4B2D" w:rsidRPr="00A04E56">
        <w:t>f</w:t>
      </w:r>
      <w:r w:rsidRPr="00A04E56">
        <w:t xml:space="preserve">inancial </w:t>
      </w:r>
      <w:r w:rsidR="00AE4B2D" w:rsidRPr="00A04E56">
        <w:t>r</w:t>
      </w:r>
      <w:r w:rsidRPr="00A04E56">
        <w:t>egulation entered into force on 2</w:t>
      </w:r>
      <w:r w:rsidR="00DA20EC" w:rsidRPr="00A04E56">
        <w:rPr>
          <w:rFonts w:ascii="Calibri" w:hAnsi="Calibri" w:cs="Calibri"/>
        </w:rPr>
        <w:t> </w:t>
      </w:r>
      <w:r w:rsidRPr="00A04E56">
        <w:t>August</w:t>
      </w:r>
      <w:r w:rsidR="00DA20EC" w:rsidRPr="00A04E56">
        <w:rPr>
          <w:rFonts w:ascii="Calibri" w:hAnsi="Calibri" w:cs="Calibri"/>
        </w:rPr>
        <w:t> </w:t>
      </w:r>
      <w:r w:rsidRPr="00A04E56">
        <w:t xml:space="preserve">2018. Other secondary acts had to be aligned to the new </w:t>
      </w:r>
      <w:r w:rsidR="00AE4B2D" w:rsidRPr="00A04E56">
        <w:t>f</w:t>
      </w:r>
      <w:r w:rsidRPr="00A04E56">
        <w:t xml:space="preserve">inancial </w:t>
      </w:r>
      <w:r w:rsidR="00AE4B2D" w:rsidRPr="00A04E56">
        <w:t>r</w:t>
      </w:r>
      <w:r w:rsidRPr="00A04E56">
        <w:t xml:space="preserve">egulation, such as the financial framework regulation for </w:t>
      </w:r>
      <w:r w:rsidR="00835302" w:rsidRPr="00A04E56">
        <w:t>E</w:t>
      </w:r>
      <w:r w:rsidRPr="00A04E56">
        <w:t xml:space="preserve">U bodies. </w:t>
      </w:r>
    </w:p>
    <w:p w14:paraId="1ACCFEB8" w14:textId="008D5E36" w:rsidR="00FC5564" w:rsidRPr="00A04E56" w:rsidRDefault="00FC5564" w:rsidP="00CB33E3">
      <w:pPr>
        <w:pStyle w:val="BodyText1spaceafter"/>
      </w:pPr>
      <w:r w:rsidRPr="00A04E56">
        <w:t xml:space="preserve">A high priority was given to the implementation of the reinforced rules on </w:t>
      </w:r>
      <w:r w:rsidRPr="00A04E56">
        <w:rPr>
          <w:rStyle w:val="BOLDLIGHTBLUEReport"/>
          <w:rFonts w:eastAsia="Calibri"/>
        </w:rPr>
        <w:t>conflict of interest</w:t>
      </w:r>
      <w:r w:rsidRPr="00A04E56">
        <w:t xml:space="preserve"> in the new </w:t>
      </w:r>
      <w:r w:rsidR="00AE4B2D" w:rsidRPr="00A04E56">
        <w:t>f</w:t>
      </w:r>
      <w:r w:rsidRPr="00A04E56">
        <w:t xml:space="preserve">inancial </w:t>
      </w:r>
      <w:r w:rsidR="00AE4B2D" w:rsidRPr="00A04E56">
        <w:t>r</w:t>
      </w:r>
      <w:r w:rsidRPr="00A04E56">
        <w:t xml:space="preserve">egulation in the area of shared management in close coordination with shared management departments. A survey of national legislation in this area was launched to help develop guidance to Member States’ authorities on how to apply the new rules. Negotiations started on the proposal for the protection of the </w:t>
      </w:r>
      <w:r w:rsidR="008F273D" w:rsidRPr="00A04E56">
        <w:t>E</w:t>
      </w:r>
      <w:r w:rsidRPr="00A04E56">
        <w:t xml:space="preserve">U's budget in </w:t>
      </w:r>
      <w:r w:rsidR="008F273D" w:rsidRPr="00A04E56">
        <w:t xml:space="preserve">the </w:t>
      </w:r>
      <w:r w:rsidRPr="00A04E56">
        <w:t xml:space="preserve">case of generalised deficiencies as regards the </w:t>
      </w:r>
      <w:r w:rsidRPr="00A04E56">
        <w:rPr>
          <w:rStyle w:val="BOLDLIGHTBLUEReport"/>
          <w:rFonts w:eastAsia="Calibri"/>
        </w:rPr>
        <w:t>rule of law</w:t>
      </w:r>
      <w:r w:rsidRPr="00A04E56">
        <w:t>.</w:t>
      </w:r>
    </w:p>
    <w:p w14:paraId="36FDCEE2" w14:textId="72854550" w:rsidR="00FC5564" w:rsidRPr="00A04E56" w:rsidRDefault="00FC5564" w:rsidP="00C257BF">
      <w:pPr>
        <w:pStyle w:val="BodyText1spaceafter"/>
        <w:rPr>
          <w:b/>
          <w:u w:val="single"/>
        </w:rPr>
      </w:pPr>
      <w:r w:rsidRPr="00A04E56">
        <w:t>The Commission also focused its efforts on a substantial simplification of the proposals for the post-2020 funding programmes and increased flexibility and interoperability of those programmes.</w:t>
      </w:r>
      <w:r w:rsidR="003522E9" w:rsidRPr="00A04E56">
        <w:t xml:space="preserve"> Well implemented and monitored, such simplification offers the chance to make spending programmes even more fraud-resilient. </w:t>
      </w:r>
      <w:r w:rsidRPr="00A04E56">
        <w:t xml:space="preserve">Work in this context also </w:t>
      </w:r>
      <w:r w:rsidR="003522E9" w:rsidRPr="00A04E56">
        <w:t>included</w:t>
      </w:r>
      <w:r w:rsidRPr="00A04E56">
        <w:t xml:space="preserve"> fraud</w:t>
      </w:r>
      <w:r w:rsidR="00AA4707">
        <w:t xml:space="preserve"> </w:t>
      </w:r>
      <w:r w:rsidRPr="00A04E56">
        <w:t xml:space="preserve">proofing of future spending programmes. </w:t>
      </w:r>
    </w:p>
    <w:p w14:paraId="41F69150" w14:textId="53B4B39C" w:rsidR="00FC5564" w:rsidRPr="008E035A" w:rsidRDefault="00FC5564" w:rsidP="008E035A">
      <w:pPr>
        <w:pStyle w:val="SubtitleLightBlueReport11pt"/>
      </w:pPr>
      <w:r w:rsidRPr="008E035A">
        <w:t xml:space="preserve">Early </w:t>
      </w:r>
      <w:r w:rsidR="003A0BD6" w:rsidRPr="008E035A">
        <w:t>detection and exclusion system</w:t>
      </w:r>
    </w:p>
    <w:p w14:paraId="2B318268" w14:textId="793DD2FA" w:rsidR="00FC5564" w:rsidRPr="00A04E56" w:rsidRDefault="00CE29AF" w:rsidP="00FC5564">
      <w:pPr>
        <w:pStyle w:val="BodyText1spaceafter"/>
        <w:spacing w:after="120"/>
        <w:rPr>
          <w:rFonts w:eastAsiaTheme="minorHAnsi"/>
        </w:rPr>
      </w:pPr>
      <w:r w:rsidRPr="00A04E56">
        <w:rPr>
          <w:rFonts w:eastAsiaTheme="minorHAnsi"/>
        </w:rPr>
        <w:t>In parallel, f</w:t>
      </w:r>
      <w:r w:rsidR="00FC5564" w:rsidRPr="00A04E56">
        <w:rPr>
          <w:rFonts w:eastAsiaTheme="minorHAnsi"/>
        </w:rPr>
        <w:t>raud</w:t>
      </w:r>
      <w:r w:rsidR="003A0BD6" w:rsidRPr="00A04E56">
        <w:rPr>
          <w:rFonts w:eastAsiaTheme="minorHAnsi"/>
        </w:rPr>
        <w:t>-</w:t>
      </w:r>
      <w:r w:rsidR="00FC5564" w:rsidRPr="00A04E56">
        <w:rPr>
          <w:rFonts w:eastAsiaTheme="minorHAnsi"/>
        </w:rPr>
        <w:t xml:space="preserve">prevention action also continued through the </w:t>
      </w:r>
      <w:r w:rsidR="003A0BD6" w:rsidRPr="00A04E56">
        <w:rPr>
          <w:rFonts w:eastAsiaTheme="minorHAnsi"/>
        </w:rPr>
        <w:t xml:space="preserve">early detection and exclusion system </w:t>
      </w:r>
      <w:r w:rsidR="00FC5564" w:rsidRPr="00A04E56">
        <w:rPr>
          <w:rFonts w:eastAsiaTheme="minorHAnsi"/>
        </w:rPr>
        <w:t xml:space="preserve">which allows for the early detection and exclusion of unreliable economic operators from EU funds. </w:t>
      </w:r>
    </w:p>
    <w:p w14:paraId="2564892E" w14:textId="24A0F079" w:rsidR="00FC5564" w:rsidRPr="00A04E56" w:rsidRDefault="00FC5564" w:rsidP="00B979B5">
      <w:pPr>
        <w:pStyle w:val="BodyText1spaceafter"/>
        <w:spacing w:after="120"/>
      </w:pPr>
      <w:r w:rsidRPr="00A04E56">
        <w:t xml:space="preserve">The </w:t>
      </w:r>
      <w:r w:rsidR="003A0BD6" w:rsidRPr="00A04E56">
        <w:t xml:space="preserve">early detection and exclusion system </w:t>
      </w:r>
      <w:r w:rsidRPr="00A04E56">
        <w:t xml:space="preserve">panel for the assessment of cases of intended sanctions on unreliable economic operators has become fully operational. Its recommendations have led, where appropriate, to decisions by the authorising officers to exclude operators from EU funding. This has represented an important step forward in the fight against fraud. </w:t>
      </w:r>
    </w:p>
    <w:p w14:paraId="26A0030F" w14:textId="77777777" w:rsidR="00FC5564" w:rsidRPr="00A04E56" w:rsidRDefault="00FC5564" w:rsidP="00B979B5">
      <w:pPr>
        <w:pStyle w:val="BodyText1spaceafter"/>
        <w:spacing w:after="120"/>
      </w:pPr>
      <w:r w:rsidRPr="00A04E56">
        <w:t>An internal audit has assessed positively the role of the panel since its creation in 2016. The budget department is implementing the recommendation to increase awareness among Commission departments and other institutions to make sure that all possible cases are referred to the panel.</w:t>
      </w:r>
    </w:p>
    <w:p w14:paraId="5D157BBB" w14:textId="201E4980" w:rsidR="00FC5564" w:rsidRPr="00A04E56" w:rsidRDefault="00FC5564" w:rsidP="00CB33E3">
      <w:pPr>
        <w:pStyle w:val="BodyText1spaceafter"/>
      </w:pPr>
      <w:r w:rsidRPr="00A04E56">
        <w:t xml:space="preserve">The entry into force of the 2018 </w:t>
      </w:r>
      <w:r w:rsidR="00AE4B2D" w:rsidRPr="00A04E56">
        <w:t>f</w:t>
      </w:r>
      <w:r w:rsidRPr="00A04E56">
        <w:t xml:space="preserve">inancial </w:t>
      </w:r>
      <w:r w:rsidR="00AE4B2D" w:rsidRPr="00A04E56">
        <w:t>r</w:t>
      </w:r>
      <w:r w:rsidRPr="00A04E56">
        <w:t xml:space="preserve">egulation has reinforced the </w:t>
      </w:r>
      <w:r w:rsidR="00011FFD" w:rsidRPr="00A04E56">
        <w:t xml:space="preserve">early detection and exclusion system </w:t>
      </w:r>
      <w:r w:rsidRPr="00A04E56">
        <w:t xml:space="preserve">by integrating the </w:t>
      </w:r>
      <w:r w:rsidR="00011FFD" w:rsidRPr="00A04E56">
        <w:t xml:space="preserve">financial irregularities </w:t>
      </w:r>
      <w:r w:rsidRPr="00A04E56">
        <w:t>panel, which allows for harmonised decision</w:t>
      </w:r>
      <w:r w:rsidR="00C6111C" w:rsidRPr="00A04E56">
        <w:t>-</w:t>
      </w:r>
      <w:r w:rsidRPr="00A04E56">
        <w:t xml:space="preserve">making. </w:t>
      </w:r>
    </w:p>
    <w:p w14:paraId="41FAC5E5" w14:textId="2DD33967" w:rsidR="00FC5564" w:rsidRPr="00A04E56" w:rsidRDefault="00FC5564" w:rsidP="00CB33E3">
      <w:pPr>
        <w:pStyle w:val="BodyText1spaceafter"/>
        <w:keepNext/>
      </w:pPr>
      <w:r w:rsidRPr="00A04E56">
        <w:t xml:space="preserve">In terms of outputs, since 2016 the </w:t>
      </w:r>
      <w:r w:rsidR="00011FFD" w:rsidRPr="00A04E56">
        <w:t xml:space="preserve">early detection and exclusion system </w:t>
      </w:r>
      <w:r w:rsidRPr="00A04E56">
        <w:t>panel</w:t>
      </w:r>
      <w:r w:rsidR="00011FFD" w:rsidRPr="00A04E56">
        <w:t>:</w:t>
      </w:r>
    </w:p>
    <w:p w14:paraId="4C86ACBF" w14:textId="77777777" w:rsidR="00FC5564" w:rsidRPr="00A04E56" w:rsidRDefault="00FC5564" w:rsidP="00277538">
      <w:pPr>
        <w:pStyle w:val="BulletsblueNew"/>
      </w:pPr>
      <w:r w:rsidRPr="00A04E56">
        <w:t>has adopted 27 recommendations (included three where the panel recommended not to exclude because the economic operator had taken remedial measures);</w:t>
      </w:r>
    </w:p>
    <w:p w14:paraId="659DEAF5" w14:textId="77777777" w:rsidR="00FC5564" w:rsidRPr="00A04E56" w:rsidRDefault="00FC5564" w:rsidP="00277538">
      <w:pPr>
        <w:pStyle w:val="BulletsblueNew"/>
      </w:pPr>
      <w:r w:rsidRPr="00A04E56">
        <w:t>has addressed a formal reply to the competent authorising officer in seven cases (e.g. inadmissible case due to the non-establishment of facts, case of dissolved company or case not falling within the scope of the panel’s competence); and</w:t>
      </w:r>
    </w:p>
    <w:p w14:paraId="764BB575" w14:textId="77777777" w:rsidR="00FC5564" w:rsidRPr="00A04E56" w:rsidRDefault="00FC5564" w:rsidP="00277538">
      <w:pPr>
        <w:pStyle w:val="BulletsblueNew-Spaceafter"/>
      </w:pPr>
      <w:r w:rsidRPr="00A04E56">
        <w:t>has requested authorising officers to withdraw their request in four cases (e.g. absence of legal basis for the imposition of an administrative sanction).</w:t>
      </w:r>
    </w:p>
    <w:p w14:paraId="517D3E64" w14:textId="3D04490B" w:rsidR="00FC5564" w:rsidRPr="00A04E56" w:rsidRDefault="00FC5564" w:rsidP="00250385">
      <w:pPr>
        <w:pStyle w:val="BodyText1spaceafter"/>
        <w:spacing w:after="360"/>
      </w:pPr>
      <w:r w:rsidRPr="00A04E56">
        <w:t xml:space="preserve">Given that the ultimate responsibility remains with the individual </w:t>
      </w:r>
      <w:r w:rsidR="00F504A4" w:rsidRPr="00A04E56">
        <w:t>a</w:t>
      </w:r>
      <w:r w:rsidRPr="00A04E56">
        <w:t xml:space="preserve">uthorising </w:t>
      </w:r>
      <w:r w:rsidR="00F504A4" w:rsidRPr="00A04E56">
        <w:t>o</w:t>
      </w:r>
      <w:r w:rsidRPr="00A04E56">
        <w:t xml:space="preserve">fficers, it is important to note that all the panel's recommendations were followed in full </w:t>
      </w:r>
      <w:r w:rsidRPr="00A04E56">
        <w:rPr>
          <w:rFonts w:eastAsiaTheme="minorHAnsi"/>
        </w:rPr>
        <w:t>by</w:t>
      </w:r>
      <w:r w:rsidRPr="00A04E56">
        <w:t xml:space="preserve"> the competent requesting officers. </w:t>
      </w:r>
    </w:p>
    <w:p w14:paraId="4C20977F" w14:textId="249F6C85" w:rsidR="00FC5564" w:rsidRPr="00A04E56" w:rsidRDefault="00FC5564" w:rsidP="00C257BF">
      <w:pPr>
        <w:pStyle w:val="BOX3BluedashedborderBluetext"/>
      </w:pPr>
      <w:r w:rsidRPr="00A04E56">
        <w:t xml:space="preserve">The </w:t>
      </w:r>
      <w:r w:rsidR="00A77C76" w:rsidRPr="00A04E56">
        <w:t xml:space="preserve">early detection and exclusion system </w:t>
      </w:r>
      <w:r w:rsidRPr="00A04E56">
        <w:t xml:space="preserve">aims at reinforcing the protection of the EU’s financial interests by ensuring (i) the early detection of economic operators representing risks to the EU’s financial interests; (ii) the exclusion of unreliable economic operators from obtaining EU funds and/or the imposition of a financial penalty; and (iii) in the most severe cases, the publication on the Commission’s website of information relating to the exclusion and/or the financial penalty, in order to reinforce the deterrent effect. </w:t>
      </w:r>
    </w:p>
    <w:p w14:paraId="1960C585" w14:textId="6872FDCA" w:rsidR="00FC5564" w:rsidRPr="00A04E56" w:rsidRDefault="00FC5564" w:rsidP="00C257BF">
      <w:pPr>
        <w:pStyle w:val="BOX3BluedashedborderBluetext"/>
      </w:pPr>
      <w:r w:rsidRPr="00A04E56">
        <w:t>This system, which was set up in 2016, represents a significant improvement in the application of rules on administrative sanctions with respect to fundamental rights, independence and transparency. In the absence of a final national judgment or, where applicable, a final administrative decision, EU institutions, agencies, offices and bodies can decide to impose sanctions on unreliable economic operators only after obtaining a recommendation from the centralised inter</w:t>
      </w:r>
      <w:r w:rsidR="003B6127" w:rsidRPr="00A04E56">
        <w:t>institutional</w:t>
      </w:r>
      <w:r w:rsidRPr="00A04E56">
        <w:t xml:space="preserve"> panel. </w:t>
      </w:r>
    </w:p>
    <w:p w14:paraId="308645C0" w14:textId="1E7F2393" w:rsidR="00FC5564" w:rsidRPr="00A04E56" w:rsidRDefault="00FC5564" w:rsidP="00C257BF">
      <w:pPr>
        <w:pStyle w:val="BOX3BluedashedborderBluetext"/>
      </w:pPr>
      <w:r w:rsidRPr="00A04E56">
        <w:t xml:space="preserve">The panel has no investigative powers. In principle, it bases its assessment on facts and findings established in the context of audits or investigations carried out by the European Court of Auditors, the European Anti-Fraud Office or the Internal Audit Service, or any other check, audit or control performed under the responsibility of the competent authorising officer. It is composed of a standing high-level independent chair, two permanent members representing the Commission (as owner of the system) and one </w:t>
      </w:r>
      <w:r w:rsidRPr="00A04E56">
        <w:rPr>
          <w:iCs/>
        </w:rPr>
        <w:t>ad hoc</w:t>
      </w:r>
      <w:r w:rsidRPr="00A04E56">
        <w:rPr>
          <w:i/>
          <w:iCs/>
        </w:rPr>
        <w:t xml:space="preserve"> </w:t>
      </w:r>
      <w:r w:rsidRPr="00A04E56">
        <w:t xml:space="preserve">member representing the authorising officer of the service requesting the recommendation. It respects the right of defence of the economic operator concerned and applies the principle </w:t>
      </w:r>
      <w:r w:rsidR="001B0662" w:rsidRPr="00A04E56">
        <w:t>that a level of government must not take any action that exceeds that necessary to carry out its assigned task (‘</w:t>
      </w:r>
      <w:r w:rsidRPr="00A04E56">
        <w:t>proportionality</w:t>
      </w:r>
      <w:r w:rsidR="001B0662" w:rsidRPr="00A04E56">
        <w:t>’)</w:t>
      </w:r>
      <w:r w:rsidRPr="00A04E56">
        <w:t>.</w:t>
      </w:r>
    </w:p>
    <w:p w14:paraId="2A2EA6B3" w14:textId="0B1C1E31" w:rsidR="00FC5564" w:rsidRPr="00A04E56" w:rsidRDefault="008C1D39" w:rsidP="00C257BF">
      <w:pPr>
        <w:pStyle w:val="BOX3BluedashedborderBluetext"/>
      </w:pPr>
      <w:r w:rsidRPr="00A04E56">
        <w:rPr>
          <w:i/>
          <w:u w:val="single"/>
        </w:rPr>
        <w:t>In 2018</w:t>
      </w:r>
      <w:r w:rsidR="0086509D" w:rsidRPr="00A04E56">
        <w:t>, various authorising services submitted 23 cases, including 16 on early detection, of which seven have already been referred to the panel through its permanent secretariat.</w:t>
      </w:r>
      <w:r w:rsidR="00FC5564" w:rsidRPr="00A04E56">
        <w:t xml:space="preserve"> As far as exclusion is concerned, the panel issued four recommendations including the publication of the exclusion for all of them. Recommended exclusions were based on grave professional misconduct, significant breaches of main obligations in the implementation of a contract, and fraud. Regarding the other three cases </w:t>
      </w:r>
      <w:r w:rsidR="00C6157D" w:rsidRPr="00A04E56">
        <w:t xml:space="preserve">sent </w:t>
      </w:r>
      <w:r w:rsidR="00FC5564" w:rsidRPr="00A04E56">
        <w:t>to the panel, in one case the panel did not issue a recommendation but addressed a formal reply to the competent authorising officer (since the situation of exclusion had not been legally established) and the other two cases are currently ongoing.</w:t>
      </w:r>
    </w:p>
    <w:p w14:paraId="5ABDF399" w14:textId="50BEFE03" w:rsidR="00FC5564" w:rsidRPr="00A04E56" w:rsidRDefault="00FC5564" w:rsidP="00C257BF">
      <w:pPr>
        <w:pStyle w:val="BOX3BluedashedborderBluetext"/>
      </w:pPr>
      <w:r w:rsidRPr="00A04E56">
        <w:t xml:space="preserve">The Commission must also report on decisions taken by authorising officers (i) not to exclude economic operators, so as to ensure continuity of service for a limited period pending the adoption of remedial measures by the operators concerned; and (ii) not to publish information on administrative sanctions on the Commission website, either to protect the confidentiality of investigations or to </w:t>
      </w:r>
      <w:r w:rsidR="00C6157D" w:rsidRPr="00A04E56">
        <w:t>comply with</w:t>
      </w:r>
      <w:r w:rsidRPr="00A04E56">
        <w:t xml:space="preserve"> the principle of proportionality where a natural person is concerned. Authorising officers took no such decisions.</w:t>
      </w:r>
    </w:p>
    <w:p w14:paraId="3D2BD526" w14:textId="709CA45D" w:rsidR="00FC5564" w:rsidRPr="00A04E56" w:rsidRDefault="00FC5564" w:rsidP="0030336E">
      <w:pPr>
        <w:pStyle w:val="Title2Report"/>
        <w:pageBreakBefore/>
        <w:spacing w:before="0"/>
      </w:pPr>
      <w:bookmarkStart w:id="266" w:name="_Toc6403750"/>
      <w:bookmarkStart w:id="267" w:name="_Toc9534257"/>
      <w:bookmarkStart w:id="268" w:name="_Toc9879911"/>
      <w:bookmarkStart w:id="269" w:name="_Toc10549882"/>
      <w:bookmarkStart w:id="270" w:name="_Toc12021054"/>
      <w:r w:rsidRPr="00A04E56">
        <w:t xml:space="preserve">5. </w:t>
      </w:r>
      <w:bookmarkStart w:id="271" w:name="Managementprovidesreasonableassurance"/>
      <w:r w:rsidR="00D04988" w:rsidRPr="00A04E56">
        <w:t>Management provides reasonable assurance</w:t>
      </w:r>
      <w:bookmarkEnd w:id="271"/>
      <w:r w:rsidR="00D04988" w:rsidRPr="00A04E56">
        <w:t xml:space="preserve"> and the financial impact of reservations is limited</w:t>
      </w:r>
      <w:bookmarkEnd w:id="266"/>
      <w:bookmarkEnd w:id="267"/>
      <w:bookmarkEnd w:id="268"/>
      <w:bookmarkEnd w:id="269"/>
      <w:bookmarkEnd w:id="270"/>
    </w:p>
    <w:p w14:paraId="559CE2C1" w14:textId="77777777" w:rsidR="00FC5564" w:rsidRPr="00A04E56" w:rsidRDefault="00FC5564" w:rsidP="00FC5564">
      <w:pPr>
        <w:pStyle w:val="BodyText1spaceafter"/>
      </w:pPr>
      <w:r w:rsidRPr="00A04E56">
        <w:t>In their 2018 declarations of assurance</w:t>
      </w:r>
      <w:r w:rsidRPr="00A04E56">
        <w:rPr>
          <w:rStyle w:val="fnRef"/>
          <w:rFonts w:ascii="Calibri" w:hAnsi="Calibri" w:cs="Calibri"/>
        </w:rPr>
        <w:t> </w:t>
      </w:r>
      <w:r w:rsidRPr="00A04E56">
        <w:rPr>
          <w:rStyle w:val="fnRef"/>
        </w:rPr>
        <w:t>(</w:t>
      </w:r>
      <w:r w:rsidRPr="00A04E56">
        <w:rPr>
          <w:rStyle w:val="fnRefNo"/>
        </w:rPr>
        <w:footnoteReference w:id="394"/>
      </w:r>
      <w:r w:rsidRPr="00A04E56">
        <w:rPr>
          <w:rStyle w:val="fnRef"/>
        </w:rPr>
        <w:t>)</w:t>
      </w:r>
      <w:r w:rsidRPr="00A04E56">
        <w:rPr>
          <w:color w:val="auto"/>
        </w:rPr>
        <w:t>,</w:t>
      </w:r>
      <w:r w:rsidRPr="00A04E56">
        <w:t xml:space="preserve"> </w:t>
      </w:r>
      <w:r w:rsidRPr="00A04E56">
        <w:rPr>
          <w:rStyle w:val="BOLDLIGHTBLUEReport"/>
          <w:rFonts w:eastAsiaTheme="minorHAnsi"/>
        </w:rPr>
        <w:t>all 50 authorising officers by delegation declared they had reasonable assurance</w:t>
      </w:r>
      <w:r w:rsidRPr="00A04E56">
        <w:t xml:space="preserve"> that: (i) the information contained in their report presents a ‘true and fair view’ (i.e. reliable, complete and correct) on the state of affairs in their department; (ii) the resources assigned to their activities have been used for their intended purpose and in accordance with the principle of sound financial management; (iii) the control procedures put in place give the necessary guarantees concerning the legality and regularity of the underlying transactions.</w:t>
      </w:r>
    </w:p>
    <w:p w14:paraId="7EB3D8AE" w14:textId="218321FA" w:rsidR="00FC5564" w:rsidRPr="00A04E56" w:rsidRDefault="00FC5564" w:rsidP="00FC5564">
      <w:pPr>
        <w:pStyle w:val="BodyText1spaceafter"/>
        <w:rPr>
          <w:strike/>
        </w:rPr>
      </w:pPr>
      <w:r w:rsidRPr="00A04E56">
        <w:t>Within the context of their overall assurance</w:t>
      </w:r>
      <w:r w:rsidR="009246CA" w:rsidRPr="00A04E56">
        <w:t>-</w:t>
      </w:r>
      <w:r w:rsidRPr="00A04E56">
        <w:t xml:space="preserve">building process and from their management perspective, authorising officers by delegation also perform a more detailed analysis for each programme or segment of their portfolio. They use all available information, especially the results of the </w:t>
      </w:r>
      <w:r w:rsidRPr="00A04E56">
        <w:rPr>
          <w:i/>
        </w:rPr>
        <w:t>ex ante</w:t>
      </w:r>
      <w:r w:rsidRPr="00A04E56">
        <w:t xml:space="preserve"> and </w:t>
      </w:r>
      <w:r w:rsidRPr="00A04E56">
        <w:rPr>
          <w:i/>
        </w:rPr>
        <w:t>ex post</w:t>
      </w:r>
      <w:r w:rsidRPr="00A04E56">
        <w:t xml:space="preserve"> controls, to spot any potential significant weakness in quantitative or qualitative terms. At the end of each financial year, they determine whether the financial and/or reputational impact from such a weakness </w:t>
      </w:r>
      <w:r w:rsidR="000F3514" w:rsidRPr="00A04E56">
        <w:t>is likely to</w:t>
      </w:r>
      <w:r w:rsidRPr="00A04E56">
        <w:t xml:space="preserve"> be above the materialty threshold. If so, </w:t>
      </w:r>
      <w:r w:rsidRPr="00A04E56">
        <w:rPr>
          <w:rStyle w:val="BOLDLIGHTBLUEReport"/>
          <w:rFonts w:eastAsiaTheme="minorHAnsi"/>
        </w:rPr>
        <w:t>they qualify their declaration of assurance with a reservation</w:t>
      </w:r>
      <w:r w:rsidRPr="00A04E56">
        <w:rPr>
          <w:rFonts w:ascii="Calibri" w:hAnsi="Calibri" w:cs="Calibri"/>
        </w:rPr>
        <w:t xml:space="preserve"> for the specific area inside the programme affected</w:t>
      </w:r>
      <w:r w:rsidR="005D7F88">
        <w:rPr>
          <w:rFonts w:ascii="Calibri" w:hAnsi="Calibri" w:cs="Calibri"/>
        </w:rPr>
        <w:t> </w:t>
      </w:r>
      <w:r w:rsidRPr="00A04E56">
        <w:rPr>
          <w:rStyle w:val="fnRef"/>
        </w:rPr>
        <w:t>(</w:t>
      </w:r>
      <w:r w:rsidRPr="00A04E56">
        <w:rPr>
          <w:rStyle w:val="fnRefNo"/>
        </w:rPr>
        <w:footnoteReference w:id="395"/>
      </w:r>
      <w:r w:rsidRPr="00A04E56">
        <w:rPr>
          <w:rStyle w:val="fnRef"/>
        </w:rPr>
        <w:t>)</w:t>
      </w:r>
      <w:r w:rsidR="005D7F88">
        <w:t>.</w:t>
      </w:r>
    </w:p>
    <w:p w14:paraId="548C91DB" w14:textId="140C16F4" w:rsidR="00FC5564" w:rsidRPr="00A04E56" w:rsidRDefault="00FC5564" w:rsidP="00FC5564">
      <w:pPr>
        <w:pStyle w:val="BodyText1spaceafter"/>
      </w:pPr>
      <w:r w:rsidRPr="00A04E56">
        <w:rPr>
          <w:rStyle w:val="BOLDLIGHTBLUEReport"/>
          <w:rFonts w:eastAsiaTheme="minorHAnsi"/>
        </w:rPr>
        <w:t>Reservations are keystones in the accountability construction</w:t>
      </w:r>
      <w:r w:rsidRPr="00A04E56">
        <w:t xml:space="preserve">. They are an indicator of the Commission’s </w:t>
      </w:r>
      <w:r w:rsidRPr="00A04E56">
        <w:rPr>
          <w:rStyle w:val="BOLDLIGHTBLUEReport"/>
          <w:rFonts w:eastAsiaTheme="minorHAnsi"/>
        </w:rPr>
        <w:t>transparency</w:t>
      </w:r>
      <w:r w:rsidRPr="00A04E56">
        <w:t xml:space="preserve"> concerning challenges or weaknesses encountered and their </w:t>
      </w:r>
      <w:r w:rsidR="000F3514" w:rsidRPr="00A04E56">
        <w:t>potential</w:t>
      </w:r>
      <w:r w:rsidRPr="00A04E56">
        <w:t xml:space="preserve"> financial impact. That they may lead to the qualification of a declaration of assurance in an annual activity report is part of sound financial management. They are also a tool to address weaknesses that remain. Although most reservations are prompted by findings regarding management and control of past payments, they also have a positive preventive effect, with </w:t>
      </w:r>
      <w:r w:rsidRPr="00A04E56">
        <w:rPr>
          <w:rStyle w:val="BOLDLIGHTBLUEReport"/>
          <w:rFonts w:eastAsiaTheme="minorHAnsi"/>
        </w:rPr>
        <w:t>action plans</w:t>
      </w:r>
      <w:r w:rsidRPr="00A04E56">
        <w:t xml:space="preserve"> </w:t>
      </w:r>
      <w:r w:rsidR="000F3514" w:rsidRPr="00A04E56">
        <w:t xml:space="preserve">being </w:t>
      </w:r>
      <w:r w:rsidRPr="00A04E56">
        <w:t xml:space="preserve">developed to mitigate future risks and to strengthen control systems. </w:t>
      </w:r>
    </w:p>
    <w:p w14:paraId="2FC46822" w14:textId="15F6BCD8" w:rsidR="00FC5564" w:rsidRPr="00A04E56" w:rsidRDefault="00FC5564" w:rsidP="00FC5564">
      <w:pPr>
        <w:pStyle w:val="BodyText1spaceafter"/>
      </w:pPr>
      <w:r w:rsidRPr="00A04E56">
        <w:t xml:space="preserve">Furthermore, </w:t>
      </w:r>
      <w:r w:rsidRPr="00A04E56">
        <w:rPr>
          <w:rStyle w:val="BOLDLIGHTBLUEReport"/>
          <w:rFonts w:eastAsiaTheme="minorHAnsi"/>
        </w:rPr>
        <w:t>the number of reservations is not an indicator of the quality of financial management</w:t>
      </w:r>
      <w:r w:rsidRPr="00A04E56">
        <w:t xml:space="preserve">. This is partly because there is no direct link between the number of reservations and their financial impact, and also because some weaknesses trigger multiple reservations. For example, multiple reservations may arise from programme segments implemented by more than one department; or because the weakness resulting in a ‘new’ reservation for the current programming period is a continuation of one from a previous programming period (e.g. the 2018 reservation for the </w:t>
      </w:r>
      <w:r w:rsidR="00F504A4" w:rsidRPr="00A04E56">
        <w:t>c</w:t>
      </w:r>
      <w:r w:rsidRPr="00A04E56">
        <w:t xml:space="preserve">ompetitiveness of </w:t>
      </w:r>
      <w:r w:rsidR="00F504A4" w:rsidRPr="00A04E56">
        <w:t>s</w:t>
      </w:r>
      <w:r w:rsidRPr="00A04E56">
        <w:t xml:space="preserve">mall and </w:t>
      </w:r>
      <w:r w:rsidR="00F504A4" w:rsidRPr="00A04E56">
        <w:t>m</w:t>
      </w:r>
      <w:r w:rsidRPr="00A04E56">
        <w:t xml:space="preserve">edium-sized </w:t>
      </w:r>
      <w:r w:rsidR="00F504A4" w:rsidRPr="00A04E56">
        <w:t>e</w:t>
      </w:r>
      <w:r w:rsidRPr="00A04E56">
        <w:t>nterprises programme, which is the successor to the competitiveness and innovation programme). However,</w:t>
      </w:r>
      <w:r w:rsidR="000F3514" w:rsidRPr="00A04E56">
        <w:t xml:space="preserve"> this reporting method</w:t>
      </w:r>
      <w:r w:rsidRPr="00A04E56">
        <w:rPr>
          <w:rStyle w:val="BOLDLIGHTBLUEReport"/>
          <w:rFonts w:eastAsiaTheme="minorHAnsi"/>
        </w:rPr>
        <w:t xml:space="preserve"> provides more precision and transparency</w:t>
      </w:r>
      <w:r w:rsidRPr="00A04E56">
        <w:t>.</w:t>
      </w:r>
    </w:p>
    <w:p w14:paraId="1CDBB792" w14:textId="38230592" w:rsidR="00FC5564" w:rsidRPr="00A04E56" w:rsidRDefault="00FC5564" w:rsidP="00FC5564">
      <w:pPr>
        <w:pStyle w:val="BodyText1spaceafter"/>
      </w:pPr>
      <w:r w:rsidRPr="00277538">
        <w:rPr>
          <w:i/>
          <w:u w:val="single"/>
        </w:rPr>
        <w:t>For the 2018 reporting year</w:t>
      </w:r>
      <w:r w:rsidRPr="00A04E56">
        <w:t xml:space="preserve">, </w:t>
      </w:r>
      <w:r w:rsidRPr="00A04E56">
        <w:rPr>
          <w:rStyle w:val="BOLDLIGHTBLUEReport"/>
          <w:rFonts w:eastAsiaTheme="minorHAnsi"/>
        </w:rPr>
        <w:t xml:space="preserve">30 authorising officers by delegation issued unqualified declarations of assurance, while 20 issued qualified declarations with a total of 40 reservations </w:t>
      </w:r>
      <w:r w:rsidRPr="00A04E56">
        <w:t xml:space="preserve">(see </w:t>
      </w:r>
      <w:r w:rsidR="00CD1AF5" w:rsidRPr="00A04E56">
        <w:rPr>
          <w:rStyle w:val="BOLDLIGHTBLUEReport"/>
          <w:rFonts w:eastAsia="Calibri"/>
        </w:rPr>
        <w:t>chart</w:t>
      </w:r>
      <w:r w:rsidRPr="00A04E56">
        <w:t xml:space="preserve"> below). These reservations affect revenue as well as expenditure. In all cases, the authorising officers by delegation concerned adopted action plans to address the underlying weaknesses and mitigate the resulting risks. The complete list of reservations </w:t>
      </w:r>
      <w:r w:rsidR="000F3514" w:rsidRPr="00A04E56">
        <w:t>for 2018</w:t>
      </w:r>
      <w:r w:rsidRPr="00A04E56">
        <w:t xml:space="preserve"> is provided in Annex</w:t>
      </w:r>
      <w:r w:rsidRPr="00A04E56">
        <w:rPr>
          <w:rFonts w:ascii="Calibri" w:hAnsi="Calibri" w:cs="Calibri"/>
        </w:rPr>
        <w:t> </w:t>
      </w:r>
      <w:r w:rsidRPr="00A04E56">
        <w:t>3.</w:t>
      </w:r>
    </w:p>
    <w:p w14:paraId="4303E403" w14:textId="77777777" w:rsidR="00EC4AC8" w:rsidRDefault="00EC4AC8">
      <w:pPr>
        <w:rPr>
          <w:rFonts w:eastAsia="Calibri"/>
          <w:noProof/>
          <w:color w:val="000000" w:themeColor="text1"/>
          <w:lang w:eastAsia="fr-BE"/>
        </w:rPr>
      </w:pPr>
      <w:r>
        <w:br w:type="page"/>
      </w:r>
    </w:p>
    <w:p w14:paraId="341E2000" w14:textId="68F61155" w:rsidR="00FC5564" w:rsidRPr="00A04E56" w:rsidRDefault="00FC5564" w:rsidP="00EC4AC8">
      <w:pPr>
        <w:pStyle w:val="BodyText1spacebeforeandafter"/>
        <w:spacing w:after="360"/>
      </w:pPr>
      <w:r w:rsidRPr="00A04E56">
        <w:t xml:space="preserve">Of the 40 reservations, 38 are recurrent and </w:t>
      </w:r>
      <w:r w:rsidRPr="00A04E56">
        <w:rPr>
          <w:rStyle w:val="BOLDLIGHTBLUEReport"/>
          <w:rFonts w:eastAsiaTheme="minorHAnsi"/>
        </w:rPr>
        <w:t xml:space="preserve">two are new </w:t>
      </w:r>
      <w:r w:rsidRPr="00A04E56">
        <w:t xml:space="preserve">(one by the Executive Agency for Small and Medium-sized Enterprises; and one by the home affairs department). Five recurrent reservations have been updated, from quantified to unquantified (or vice versa) or for a change of scope (see details in </w:t>
      </w:r>
      <w:r w:rsidR="0042307F" w:rsidRPr="00A04E56">
        <w:rPr>
          <w:rStyle w:val="BOLDLIGHTBLUEReport"/>
          <w:rFonts w:eastAsia="Calibri"/>
        </w:rPr>
        <w:t>b</w:t>
      </w:r>
      <w:r w:rsidRPr="00A04E56">
        <w:rPr>
          <w:rStyle w:val="BOLDLIGHTBLUEReport"/>
          <w:rFonts w:eastAsia="Calibri"/>
        </w:rPr>
        <w:t>ox</w:t>
      </w:r>
      <w:r w:rsidRPr="00A04E56">
        <w:rPr>
          <w:rFonts w:ascii="Calibri" w:hAnsi="Calibri" w:cs="Calibri"/>
          <w:b/>
          <w:i/>
        </w:rPr>
        <w:t> </w:t>
      </w:r>
      <w:r w:rsidRPr="00A04E56">
        <w:t xml:space="preserve">below). For all reservations, the impact on 2018 expenditure has been (re)calculated. </w:t>
      </w:r>
    </w:p>
    <w:p w14:paraId="56597F49" w14:textId="0D4E1C1F" w:rsidR="00FE7AA8" w:rsidRPr="00A04E56" w:rsidRDefault="00A92FD6" w:rsidP="0072057A">
      <w:pPr>
        <w:pStyle w:val="BodyText1spacebeforeandafter"/>
        <w:spacing w:before="0" w:after="0"/>
      </w:pPr>
      <w:r w:rsidRPr="00A04E56">
        <w:rPr>
          <w:lang w:val="fr-BE"/>
        </w:rPr>
        <w:drawing>
          <wp:inline distT="0" distB="0" distL="0" distR="0" wp14:anchorId="314834C6" wp14:editId="1071008B">
            <wp:extent cx="5760720" cy="4408170"/>
            <wp:effectExtent l="0" t="0" r="11430" b="11430"/>
            <wp:docPr id="367" name="Chart 3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14:paraId="09D641A6" w14:textId="1AF119BB" w:rsidR="00FC5564" w:rsidRPr="00A04E56" w:rsidRDefault="0026177A" w:rsidP="00107DA0">
      <w:pPr>
        <w:pStyle w:val="Source-Table-Chart-PhotoCaption"/>
      </w:pPr>
      <w:r w:rsidRPr="00107DA0">
        <w:rPr>
          <w:rStyle w:val="italics"/>
        </w:rPr>
        <w:t>Chart</w:t>
      </w:r>
      <w:r w:rsidR="00FC5564" w:rsidRPr="00A04E56">
        <w:t>: Reservations per policy area</w:t>
      </w:r>
    </w:p>
    <w:p w14:paraId="7BA139EB" w14:textId="75885F6C" w:rsidR="00FC5564" w:rsidRPr="00A04E56" w:rsidRDefault="00FC5564" w:rsidP="00107DA0">
      <w:pPr>
        <w:pStyle w:val="Source-Table-Chart-PhotoCaption"/>
      </w:pPr>
      <w:r w:rsidRPr="00107DA0">
        <w:rPr>
          <w:rStyle w:val="italics"/>
        </w:rPr>
        <w:t>Source:</w:t>
      </w:r>
      <w:r w:rsidRPr="00A04E56">
        <w:t xml:space="preserve"> </w:t>
      </w:r>
      <w:r w:rsidR="00B04562" w:rsidRPr="00A04E56">
        <w:t xml:space="preserve">European </w:t>
      </w:r>
      <w:r w:rsidRPr="00A04E56">
        <w:t>Commission annual activity reports.</w:t>
      </w:r>
    </w:p>
    <w:p w14:paraId="7337EA8C" w14:textId="77777777" w:rsidR="00FC5564" w:rsidRPr="00A04E56" w:rsidRDefault="00FC5564" w:rsidP="00EC4AC8">
      <w:pPr>
        <w:pStyle w:val="BodyText1spacebeforeandafter"/>
        <w:spacing w:before="360"/>
      </w:pPr>
      <w:r w:rsidRPr="00A04E56">
        <w:t>Ten reservations are entirely or partially non-quantified for 2018. It is not possible to quantify a reservation when the financial impact is zero, when it is not possible to assess the impact accurately, or when the effect will be only reputational.</w:t>
      </w:r>
    </w:p>
    <w:p w14:paraId="432DF891" w14:textId="58E16FB5" w:rsidR="00FC5564" w:rsidRPr="00A04E56" w:rsidRDefault="00FC5564" w:rsidP="00FC5564">
      <w:pPr>
        <w:pStyle w:val="BodyText1spaceafter"/>
      </w:pPr>
      <w:r w:rsidRPr="00A04E56">
        <w:t xml:space="preserve">Half the reservations concern </w:t>
      </w:r>
      <w:r w:rsidRPr="00A04E56">
        <w:rPr>
          <w:rStyle w:val="BOLDLIGHTBLUEReport"/>
          <w:rFonts w:eastAsia="Calibri"/>
        </w:rPr>
        <w:t>legacy programmes</w:t>
      </w:r>
      <w:r w:rsidR="00950EB2" w:rsidRPr="00A04E56">
        <w:t xml:space="preserve"> for the period 2007-2013. </w:t>
      </w:r>
      <w:r w:rsidR="00E22A7F" w:rsidRPr="00A04E56">
        <w:t xml:space="preserve">For these </w:t>
      </w:r>
      <w:r w:rsidR="00950EB2" w:rsidRPr="00A04E56">
        <w:t>legacy programmes</w:t>
      </w:r>
      <w:r w:rsidR="00E22A7F" w:rsidRPr="00A04E56">
        <w:t xml:space="preserve">, there is </w:t>
      </w:r>
      <w:r w:rsidR="00950EB2" w:rsidRPr="00A04E56">
        <w:t xml:space="preserve">only a very limited number of transactions remaining. </w:t>
      </w:r>
      <w:r w:rsidRPr="00A04E56">
        <w:t>The</w:t>
      </w:r>
      <w:r w:rsidR="000F3514" w:rsidRPr="00A04E56">
        <w:t>se</w:t>
      </w:r>
      <w:r w:rsidRPr="00A04E56">
        <w:t xml:space="preserve"> reservations are maintained, despite </w:t>
      </w:r>
      <w:r w:rsidR="000F3514" w:rsidRPr="00A04E56">
        <w:t>all</w:t>
      </w:r>
      <w:r w:rsidRPr="00A04E56">
        <w:t xml:space="preserve"> having low financial impacts, as the related error levels remain above the 2% materiality threshold. (See also </w:t>
      </w:r>
      <w:r w:rsidR="00950EB2" w:rsidRPr="00A04E56">
        <w:t xml:space="preserve">consideration below (page </w:t>
      </w:r>
      <w:r w:rsidR="00950EB2" w:rsidRPr="00A04E56">
        <w:fldChar w:fldCharType="begin"/>
      </w:r>
      <w:r w:rsidR="00950EB2" w:rsidRPr="00A04E56">
        <w:instrText xml:space="preserve"> PAGEREF deminimisruleforreservations </w:instrText>
      </w:r>
      <w:r w:rsidR="00950EB2" w:rsidRPr="00A04E56">
        <w:fldChar w:fldCharType="separate"/>
      </w:r>
      <w:r w:rsidR="0083737D">
        <w:t>173</w:t>
      </w:r>
      <w:r w:rsidR="00950EB2" w:rsidRPr="00A04E56">
        <w:fldChar w:fldCharType="end"/>
      </w:r>
      <w:r w:rsidR="00950EB2" w:rsidRPr="00A04E56">
        <w:t>)</w:t>
      </w:r>
      <w:r w:rsidRPr="00A04E56">
        <w:t xml:space="preserve"> on the possible introduction of a </w:t>
      </w:r>
      <w:r w:rsidRPr="00A04E56">
        <w:rPr>
          <w:i/>
        </w:rPr>
        <w:t>de minimis</w:t>
      </w:r>
      <w:r w:rsidRPr="00A04E56">
        <w:t xml:space="preserve"> rule for reservations, which would be applicable to most of the legacy programmes.)</w:t>
      </w:r>
    </w:p>
    <w:p w14:paraId="441BA0DB" w14:textId="77777777" w:rsidR="00EC4AC8" w:rsidRDefault="00EC4AC8">
      <w:pPr>
        <w:rPr>
          <w:b/>
          <w:noProof/>
          <w:color w:val="000000" w:themeColor="text1"/>
          <w:lang w:eastAsia="fr-BE"/>
        </w:rPr>
      </w:pPr>
      <w:r>
        <w:rPr>
          <w:b/>
        </w:rPr>
        <w:br w:type="page"/>
      </w:r>
    </w:p>
    <w:p w14:paraId="4F371CDE" w14:textId="3D962524" w:rsidR="00FC5564" w:rsidRPr="00A04E56" w:rsidRDefault="00FC5564" w:rsidP="00CB33E3">
      <w:pPr>
        <w:pStyle w:val="BOX2Blue"/>
        <w:keepNext/>
        <w:spacing w:after="240"/>
        <w:rPr>
          <w:b/>
        </w:rPr>
      </w:pPr>
      <w:r w:rsidRPr="00A04E56">
        <w:rPr>
          <w:b/>
        </w:rPr>
        <w:t xml:space="preserve">New and updated reservations </w:t>
      </w:r>
      <w:r w:rsidR="008C1D39" w:rsidRPr="00A04E56">
        <w:rPr>
          <w:b/>
          <w:i/>
          <w:u w:val="single"/>
        </w:rPr>
        <w:t>in 2018</w:t>
      </w:r>
    </w:p>
    <w:p w14:paraId="105B4AA4" w14:textId="77777777" w:rsidR="00FC5564" w:rsidRPr="00A04E56" w:rsidRDefault="00FC5564" w:rsidP="00A96F65">
      <w:pPr>
        <w:pStyle w:val="BOX2Blue"/>
        <w:keepNext/>
        <w:spacing w:after="120"/>
        <w:rPr>
          <w:b/>
        </w:rPr>
      </w:pPr>
      <w:r w:rsidRPr="00A04E56">
        <w:rPr>
          <w:b/>
        </w:rPr>
        <w:t>Two reservations have been newly introduced.</w:t>
      </w:r>
    </w:p>
    <w:p w14:paraId="194B2ED3" w14:textId="5118E921" w:rsidR="00FC5564" w:rsidRPr="00A04E56" w:rsidRDefault="00FC5564" w:rsidP="00A96F65">
      <w:pPr>
        <w:pStyle w:val="BOX2Blue"/>
        <w:keepLines/>
        <w:spacing w:after="120"/>
      </w:pPr>
      <w:r w:rsidRPr="00A04E56">
        <w:t xml:space="preserve">The Executive Agency for Small and Medium-sized Enterprises has issued an additional reservation for their </w:t>
      </w:r>
      <w:r w:rsidR="00F504A4" w:rsidRPr="00A04E56">
        <w:t>c</w:t>
      </w:r>
      <w:r w:rsidRPr="00A04E56">
        <w:t xml:space="preserve">ompetitiveness of </w:t>
      </w:r>
      <w:r w:rsidR="00F504A4" w:rsidRPr="00A04E56">
        <w:t>s</w:t>
      </w:r>
      <w:r w:rsidRPr="00A04E56">
        <w:t xml:space="preserve">mall and </w:t>
      </w:r>
      <w:r w:rsidR="00F504A4" w:rsidRPr="00A04E56">
        <w:t>m</w:t>
      </w:r>
      <w:r w:rsidRPr="00A04E56">
        <w:t xml:space="preserve">edium-sized </w:t>
      </w:r>
      <w:r w:rsidR="00F504A4" w:rsidRPr="00A04E56">
        <w:t>e</w:t>
      </w:r>
      <w:r w:rsidRPr="00A04E56">
        <w:t>nterprises grants because of a residual error rate above 2%. This programme is the successor of the competitiveness and innovation programme, which ha</w:t>
      </w:r>
      <w:r w:rsidR="00247932" w:rsidRPr="00A04E56">
        <w:t>d</w:t>
      </w:r>
      <w:r w:rsidRPr="00A04E56">
        <w:t xml:space="preserve"> also been under reservation. The results of the initial audits performed suggest that the programme’s complexity (payment modalities based on reimbursement of eligible costs) may not yet have been sufficiently simplified to reduce the error level. This hypothesis will be re-examined in 2019, when results from a larger number of audits will have become available.</w:t>
      </w:r>
    </w:p>
    <w:p w14:paraId="745025CC" w14:textId="43B4801D" w:rsidR="00FC5564" w:rsidRPr="00A04E56" w:rsidRDefault="00FC5564" w:rsidP="00A96F65">
      <w:pPr>
        <w:pStyle w:val="BOX2Blue"/>
        <w:keepLines/>
        <w:spacing w:after="120"/>
      </w:pPr>
      <w:r w:rsidRPr="00A04E56">
        <w:t xml:space="preserve">The home affairs department has issued an additional (reputational) reservation related to the European Border and Coast Guard Agency. The European Court of Auditors found an irregular procurement procedure (ferry transport services in Greece) for which payments had been made </w:t>
      </w:r>
      <w:r w:rsidR="008C1D39" w:rsidRPr="00A04E56">
        <w:rPr>
          <w:i/>
          <w:u w:val="single"/>
        </w:rPr>
        <w:t>in 2018</w:t>
      </w:r>
      <w:r w:rsidRPr="00A04E56">
        <w:t>, and the European Parliament has mentioned several control weaknesses in the agency’s most recent discharge report.</w:t>
      </w:r>
    </w:p>
    <w:p w14:paraId="41C6F873" w14:textId="77777777" w:rsidR="00FC5564" w:rsidRPr="00A04E56" w:rsidRDefault="00FC5564" w:rsidP="00A96F65">
      <w:pPr>
        <w:pStyle w:val="BOX2Blue"/>
        <w:keepNext/>
        <w:keepLines/>
        <w:spacing w:after="120"/>
        <w:rPr>
          <w:b/>
        </w:rPr>
      </w:pPr>
      <w:r w:rsidRPr="00A04E56">
        <w:rPr>
          <w:b/>
        </w:rPr>
        <w:t xml:space="preserve">Five recurrent reservations have been updated. </w:t>
      </w:r>
    </w:p>
    <w:p w14:paraId="093618A4" w14:textId="68160905" w:rsidR="00FC5564" w:rsidRPr="00A04E56" w:rsidRDefault="00FC5564" w:rsidP="00A96F65">
      <w:pPr>
        <w:pStyle w:val="BOX2Blue"/>
        <w:keepLines/>
        <w:spacing w:after="120"/>
      </w:pPr>
      <w:r w:rsidRPr="00A04E56">
        <w:t xml:space="preserve">The regional and employment departments have modified their 2017 quantified reservations for the 2007-2013 programmes to non-quantified ones for 2018. This is because no new payments were made to the affected operational programmes </w:t>
      </w:r>
      <w:r w:rsidR="008C1D39" w:rsidRPr="00A04E56">
        <w:rPr>
          <w:i/>
          <w:u w:val="single"/>
        </w:rPr>
        <w:t>in 2018</w:t>
      </w:r>
      <w:r w:rsidRPr="00A04E56">
        <w:t xml:space="preserve">, </w:t>
      </w:r>
      <w:r w:rsidR="00247932" w:rsidRPr="00A04E56">
        <w:t>although</w:t>
      </w:r>
      <w:r w:rsidRPr="00A04E56">
        <w:t xml:space="preserve"> related final payments are pending for the coming years.</w:t>
      </w:r>
    </w:p>
    <w:p w14:paraId="7B5BFC47" w14:textId="440E8E7E" w:rsidR="00FC5564" w:rsidRPr="00A04E56" w:rsidRDefault="00FC5564" w:rsidP="00A96F65">
      <w:pPr>
        <w:pStyle w:val="BOX2Blue"/>
        <w:keepLines/>
        <w:spacing w:after="120"/>
      </w:pPr>
      <w:r w:rsidRPr="00A04E56">
        <w:t xml:space="preserve">The </w:t>
      </w:r>
      <w:r w:rsidR="00413A87">
        <w:t>Structural Reform S</w:t>
      </w:r>
      <w:r w:rsidR="008C62E5" w:rsidRPr="00A04E56">
        <w:t xml:space="preserve">upport </w:t>
      </w:r>
      <w:r w:rsidR="00413A87">
        <w:t>S</w:t>
      </w:r>
      <w:r w:rsidR="008C62E5" w:rsidRPr="00A04E56">
        <w:t xml:space="preserve">ervice </w:t>
      </w:r>
      <w:r w:rsidRPr="00A04E56">
        <w:t>has modified its 2017 non-quantified reservation into a quantified one</w:t>
      </w:r>
      <w:r w:rsidR="00247932" w:rsidRPr="00A04E56">
        <w:t xml:space="preserve"> as the restricted scope has become clear</w:t>
      </w:r>
      <w:r w:rsidRPr="00A04E56">
        <w:t xml:space="preserve">. The residual error rate for direct management grants has been evaluated as being above 2% on the basis of the first results from the </w:t>
      </w:r>
      <w:r w:rsidRPr="00A04E56">
        <w:rPr>
          <w:i/>
        </w:rPr>
        <w:t>ex post</w:t>
      </w:r>
      <w:r w:rsidRPr="00A04E56">
        <w:t xml:space="preserve"> controls, now in operation. However, this reservation is limited to grants from technical</w:t>
      </w:r>
      <w:r w:rsidR="008C62E5" w:rsidRPr="00A04E56">
        <w:t>-</w:t>
      </w:r>
      <w:r w:rsidRPr="00A04E56">
        <w:t>support programmes agreed with organisations not subjected to a pillar assessment beforehand. They represent only a minority of all organisations with which such grants have been agreed.</w:t>
      </w:r>
    </w:p>
    <w:p w14:paraId="12EA328C" w14:textId="77777777" w:rsidR="00FC5564" w:rsidRPr="00A04E56" w:rsidRDefault="00FC5564" w:rsidP="00A96F65">
      <w:pPr>
        <w:pStyle w:val="BOX2Blue"/>
        <w:spacing w:after="120"/>
      </w:pPr>
      <w:r w:rsidRPr="00A04E56">
        <w:t>The budget department has modified its 2017 quantified reservation for traditional own resources into a non-quantified one. This is explained by the absence of new material exposure from the United Kingdom for 2018 and by the impossibility of quantifying, as yet, the extent of potential undervaluation fraud in other Member States. Recovery of the traditional own resources lost between 2011 and 2017 is being pursued via infringement proceedings.</w:t>
      </w:r>
    </w:p>
    <w:p w14:paraId="3DA1D6FD" w14:textId="77777777" w:rsidR="00FC5564" w:rsidRPr="00A04E56" w:rsidRDefault="00FC5564" w:rsidP="00A96F65">
      <w:pPr>
        <w:pStyle w:val="BOX2Blue"/>
        <w:keepLines/>
        <w:spacing w:after="120"/>
      </w:pPr>
      <w:r w:rsidRPr="00A04E56">
        <w:t>The Education, Audiovisual and Culture Executive Agency has modified the scope of its 2017 (non-quantified) reservation (related to internal control weaknesses identified by Internal Audit Service) to take into account progress made so far (none of the pending recommendations are now rated as critical). However, the reservation was maintained for 2018 as full follow-up of the audit will take place in 2019.</w:t>
      </w:r>
    </w:p>
    <w:p w14:paraId="23187E19" w14:textId="7FFF47D5" w:rsidR="00A96F65" w:rsidRDefault="00A96F65" w:rsidP="00A96F65">
      <w:pPr>
        <w:pStyle w:val="BodyText1spaceafter"/>
        <w:keepNext/>
      </w:pPr>
      <w:r>
        <w:br w:type="page"/>
      </w:r>
    </w:p>
    <w:p w14:paraId="37715D2A" w14:textId="58A73E93" w:rsidR="00FC5564" w:rsidRPr="00A04E56" w:rsidRDefault="00247932" w:rsidP="00133290">
      <w:pPr>
        <w:pStyle w:val="BodyText1spaceafter"/>
        <w:keepNext/>
      </w:pPr>
      <w:r w:rsidRPr="00A04E56">
        <w:t>In cases where the residual error rate is above the materiality threshold, t</w:t>
      </w:r>
      <w:r w:rsidR="00FC5564" w:rsidRPr="00A04E56">
        <w:t xml:space="preserve">he </w:t>
      </w:r>
      <w:r w:rsidR="00FC5564" w:rsidRPr="00A04E56">
        <w:rPr>
          <w:rStyle w:val="BOLDLIGHTBLUEReport"/>
          <w:rFonts w:eastAsiaTheme="minorHAnsi"/>
        </w:rPr>
        <w:t>financial impact resulting from a reservation</w:t>
      </w:r>
      <w:r w:rsidR="00FC5564" w:rsidRPr="00A04E56">
        <w:t xml:space="preserve"> is obtained by multiplying the relevant programme or segment expenditure by the residual error rate. The total amount </w:t>
      </w:r>
      <w:r w:rsidR="00FC5564" w:rsidRPr="00277538">
        <w:rPr>
          <w:i/>
          <w:u w:val="single"/>
        </w:rPr>
        <w:t>for 2018</w:t>
      </w:r>
      <w:r w:rsidR="00FC5564" w:rsidRPr="00A04E56">
        <w:t xml:space="preserve"> (EUR</w:t>
      </w:r>
      <w:r w:rsidR="00FC5564" w:rsidRPr="00A04E56">
        <w:rPr>
          <w:rFonts w:ascii="Calibri" w:hAnsi="Calibri" w:cs="Calibri"/>
        </w:rPr>
        <w:t> </w:t>
      </w:r>
      <w:r w:rsidR="00FC5564" w:rsidRPr="00A04E56">
        <w:t>1</w:t>
      </w:r>
      <w:r w:rsidR="00FC5564" w:rsidRPr="00A04E56">
        <w:rPr>
          <w:rFonts w:ascii="Calibri" w:hAnsi="Calibri" w:cs="Calibri"/>
        </w:rPr>
        <w:t> </w:t>
      </w:r>
      <w:r w:rsidR="00FC5564" w:rsidRPr="00A04E56">
        <w:t xml:space="preserve">078 million) and the evolution compared to the previous years is presented in the </w:t>
      </w:r>
      <w:r w:rsidR="00FC5564" w:rsidRPr="00A04E56">
        <w:rPr>
          <w:rStyle w:val="BOLDLIGHTBLUEReport"/>
          <w:rFonts w:eastAsia="Calibri"/>
        </w:rPr>
        <w:t xml:space="preserve">table and </w:t>
      </w:r>
      <w:r w:rsidR="0026177A" w:rsidRPr="00A04E56">
        <w:rPr>
          <w:rStyle w:val="BOLDLIGHTBLUEReport"/>
          <w:rFonts w:eastAsia="Calibri"/>
        </w:rPr>
        <w:t>chart</w:t>
      </w:r>
      <w:r w:rsidR="0026177A" w:rsidRPr="00A04E56">
        <w:t xml:space="preserve"> </w:t>
      </w:r>
      <w:r w:rsidR="00FC5564" w:rsidRPr="00A04E56">
        <w:t>below:</w:t>
      </w:r>
    </w:p>
    <w:p w14:paraId="1053B04F" w14:textId="4B62CFF2" w:rsidR="00FC5564" w:rsidRPr="00A04E56" w:rsidRDefault="00FC5564" w:rsidP="00133290">
      <w:pPr>
        <w:spacing w:after="240"/>
        <w:jc w:val="both"/>
      </w:pPr>
      <w:r w:rsidRPr="00A04E56">
        <w:rPr>
          <w:noProof/>
          <w:lang w:val="fr-BE" w:eastAsia="fr-BE"/>
        </w:rPr>
        <w:drawing>
          <wp:inline distT="0" distB="0" distL="0" distR="0" wp14:anchorId="6B639E11" wp14:editId="1572B026">
            <wp:extent cx="5759450" cy="2660482"/>
            <wp:effectExtent l="0" t="0" r="12700" b="6985"/>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tbl>
      <w:tblPr>
        <w:tblW w:w="9059" w:type="dxa"/>
        <w:tblInd w:w="70" w:type="dxa"/>
        <w:tblCellMar>
          <w:top w:w="57" w:type="dxa"/>
          <w:left w:w="57" w:type="dxa"/>
          <w:bottom w:w="57" w:type="dxa"/>
          <w:right w:w="57" w:type="dxa"/>
        </w:tblCellMar>
        <w:tblLook w:val="04A0" w:firstRow="1" w:lastRow="0" w:firstColumn="1" w:lastColumn="0" w:noHBand="0" w:noVBand="1"/>
      </w:tblPr>
      <w:tblGrid>
        <w:gridCol w:w="3389"/>
        <w:gridCol w:w="2552"/>
        <w:gridCol w:w="3118"/>
      </w:tblGrid>
      <w:tr w:rsidR="00FC5564" w:rsidRPr="00A04E56" w14:paraId="0B5B65DB" w14:textId="77777777" w:rsidTr="00C53476">
        <w:trPr>
          <w:cantSplit/>
          <w:trHeight w:val="600"/>
        </w:trPr>
        <w:tc>
          <w:tcPr>
            <w:tcW w:w="3389" w:type="dxa"/>
            <w:tcBorders>
              <w:top w:val="nil"/>
              <w:left w:val="nil"/>
              <w:right w:val="nil"/>
            </w:tcBorders>
            <w:shd w:val="clear" w:color="auto" w:fill="65BBC8"/>
            <w:noWrap/>
            <w:vAlign w:val="center"/>
            <w:hideMark/>
          </w:tcPr>
          <w:p w14:paraId="759F85DC" w14:textId="762009C9" w:rsidR="00FC5564" w:rsidRPr="00A04E56" w:rsidRDefault="00FC5564" w:rsidP="00133290">
            <w:pPr>
              <w:keepNext/>
              <w:rPr>
                <w:rFonts w:eastAsia="Times New Roman"/>
                <w:b/>
                <w:color w:val="FFFFFF"/>
                <w:sz w:val="18"/>
                <w:szCs w:val="18"/>
                <w:lang w:eastAsia="fr-BE"/>
              </w:rPr>
            </w:pPr>
            <w:r w:rsidRPr="00A04E56">
              <w:rPr>
                <w:rFonts w:eastAsia="Times New Roman"/>
                <w:b/>
                <w:color w:val="FFFFFF"/>
                <w:sz w:val="18"/>
                <w:szCs w:val="18"/>
                <w:lang w:eastAsia="fr-BE"/>
              </w:rPr>
              <w:t xml:space="preserve">Policy </w:t>
            </w:r>
            <w:r w:rsidR="00A2656B" w:rsidRPr="00A04E56">
              <w:rPr>
                <w:rFonts w:eastAsia="Times New Roman"/>
                <w:b/>
                <w:color w:val="FFFFFF"/>
                <w:sz w:val="18"/>
                <w:szCs w:val="18"/>
                <w:lang w:eastAsia="fr-BE"/>
              </w:rPr>
              <w:t>a</w:t>
            </w:r>
            <w:r w:rsidRPr="00A04E56">
              <w:rPr>
                <w:rFonts w:eastAsia="Times New Roman"/>
                <w:b/>
                <w:color w:val="FFFFFF"/>
                <w:sz w:val="18"/>
                <w:szCs w:val="18"/>
                <w:lang w:eastAsia="fr-BE"/>
              </w:rPr>
              <w:t>rea</w:t>
            </w:r>
          </w:p>
        </w:tc>
        <w:tc>
          <w:tcPr>
            <w:tcW w:w="2552" w:type="dxa"/>
            <w:tcBorders>
              <w:top w:val="nil"/>
              <w:left w:val="nil"/>
              <w:right w:val="nil"/>
            </w:tcBorders>
            <w:shd w:val="clear" w:color="auto" w:fill="65BBC8"/>
            <w:noWrap/>
            <w:vAlign w:val="center"/>
            <w:hideMark/>
          </w:tcPr>
          <w:p w14:paraId="03DF4DD9" w14:textId="462455D6" w:rsidR="00FC5564" w:rsidRPr="00A04E56" w:rsidRDefault="00FC5564" w:rsidP="00133290">
            <w:pPr>
              <w:keepNext/>
              <w:jc w:val="right"/>
              <w:rPr>
                <w:rFonts w:eastAsia="Times New Roman"/>
                <w:b/>
                <w:color w:val="FFFFFF"/>
                <w:sz w:val="18"/>
                <w:szCs w:val="18"/>
                <w:lang w:eastAsia="fr-BE"/>
              </w:rPr>
            </w:pPr>
            <w:r w:rsidRPr="00A04E56">
              <w:rPr>
                <w:rFonts w:eastAsia="Times New Roman"/>
                <w:b/>
                <w:color w:val="FFFFFF"/>
                <w:sz w:val="18"/>
                <w:szCs w:val="18"/>
                <w:lang w:eastAsia="fr-BE"/>
              </w:rPr>
              <w:t xml:space="preserve">Total 2018 </w:t>
            </w:r>
            <w:r w:rsidR="001876BB" w:rsidRPr="00A04E56">
              <w:rPr>
                <w:rFonts w:eastAsia="Times New Roman"/>
                <w:b/>
                <w:color w:val="FFFFFF"/>
                <w:sz w:val="18"/>
                <w:szCs w:val="18"/>
                <w:lang w:eastAsia="fr-BE"/>
              </w:rPr>
              <w:t>p</w:t>
            </w:r>
            <w:r w:rsidRPr="00A04E56">
              <w:rPr>
                <w:rFonts w:eastAsia="Times New Roman"/>
                <w:b/>
                <w:color w:val="FFFFFF"/>
                <w:sz w:val="18"/>
                <w:szCs w:val="18"/>
                <w:lang w:eastAsia="fr-BE"/>
              </w:rPr>
              <w:t>ayments</w:t>
            </w:r>
          </w:p>
        </w:tc>
        <w:tc>
          <w:tcPr>
            <w:tcW w:w="3118" w:type="dxa"/>
            <w:tcBorders>
              <w:top w:val="nil"/>
              <w:left w:val="nil"/>
              <w:right w:val="nil"/>
            </w:tcBorders>
            <w:shd w:val="clear" w:color="auto" w:fill="65BBC8"/>
            <w:vAlign w:val="center"/>
            <w:hideMark/>
          </w:tcPr>
          <w:p w14:paraId="28BA3A4D" w14:textId="77777777" w:rsidR="00FC5564" w:rsidRPr="00A04E56" w:rsidRDefault="00FC5564" w:rsidP="00133290">
            <w:pPr>
              <w:keepNext/>
              <w:jc w:val="right"/>
              <w:rPr>
                <w:rFonts w:eastAsia="Times New Roman"/>
                <w:b/>
                <w:color w:val="FFFFFF"/>
                <w:sz w:val="18"/>
                <w:szCs w:val="18"/>
                <w:lang w:eastAsia="fr-BE"/>
              </w:rPr>
            </w:pPr>
            <w:r w:rsidRPr="00A04E56">
              <w:rPr>
                <w:rFonts w:eastAsia="Times New Roman"/>
                <w:b/>
                <w:color w:val="FFFFFF"/>
                <w:sz w:val="18"/>
                <w:szCs w:val="18"/>
                <w:lang w:eastAsia="fr-BE"/>
              </w:rPr>
              <w:t>Financial impact from the reservations</w:t>
            </w:r>
          </w:p>
        </w:tc>
      </w:tr>
      <w:tr w:rsidR="00FC5564" w:rsidRPr="00A04E56" w14:paraId="5092FBFD" w14:textId="77777777" w:rsidTr="00C53476">
        <w:trPr>
          <w:cantSplit/>
          <w:trHeight w:val="300"/>
        </w:trPr>
        <w:tc>
          <w:tcPr>
            <w:tcW w:w="3389" w:type="dxa"/>
            <w:tcBorders>
              <w:right w:val="single" w:sz="8" w:space="0" w:color="FFFFFF" w:themeColor="background1"/>
            </w:tcBorders>
            <w:shd w:val="clear" w:color="auto" w:fill="E9F5F7"/>
            <w:noWrap/>
            <w:vAlign w:val="center"/>
            <w:hideMark/>
          </w:tcPr>
          <w:p w14:paraId="4C5F39C8" w14:textId="7777777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Agriculture</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14:paraId="7C388279"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56 830</w:t>
            </w:r>
          </w:p>
        </w:tc>
        <w:tc>
          <w:tcPr>
            <w:tcW w:w="3118" w:type="dxa"/>
            <w:tcBorders>
              <w:left w:val="single" w:sz="8" w:space="0" w:color="FFFFFF" w:themeColor="background1"/>
            </w:tcBorders>
            <w:shd w:val="clear" w:color="auto" w:fill="E9F5F7"/>
            <w:noWrap/>
            <w:vAlign w:val="center"/>
            <w:hideMark/>
          </w:tcPr>
          <w:p w14:paraId="1EF24D7A"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725</w:t>
            </w:r>
          </w:p>
        </w:tc>
      </w:tr>
      <w:tr w:rsidR="00FC5564" w:rsidRPr="00A04E56" w14:paraId="249D00AC" w14:textId="77777777" w:rsidTr="00C53476">
        <w:trPr>
          <w:cantSplit/>
          <w:trHeight w:val="300"/>
        </w:trPr>
        <w:tc>
          <w:tcPr>
            <w:tcW w:w="3389" w:type="dxa"/>
            <w:tcBorders>
              <w:right w:val="single" w:sz="8" w:space="0" w:color="FFFFFF" w:themeColor="background1"/>
            </w:tcBorders>
            <w:shd w:val="clear" w:color="auto" w:fill="D7EDF1"/>
            <w:noWrap/>
            <w:vAlign w:val="center"/>
            <w:hideMark/>
          </w:tcPr>
          <w:p w14:paraId="31D9FB5E" w14:textId="7777777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Cohesion, Migration &amp; Fisheries</w:t>
            </w:r>
          </w:p>
        </w:tc>
        <w:tc>
          <w:tcPr>
            <w:tcW w:w="2552" w:type="dxa"/>
            <w:tcBorders>
              <w:left w:val="single" w:sz="8" w:space="0" w:color="FFFFFF" w:themeColor="background1"/>
              <w:right w:val="single" w:sz="8" w:space="0" w:color="FFFFFF" w:themeColor="background1"/>
            </w:tcBorders>
            <w:shd w:val="clear" w:color="auto" w:fill="D7EDF1"/>
            <w:noWrap/>
            <w:vAlign w:val="center"/>
            <w:hideMark/>
          </w:tcPr>
          <w:p w14:paraId="128D128D"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56 802</w:t>
            </w:r>
          </w:p>
        </w:tc>
        <w:tc>
          <w:tcPr>
            <w:tcW w:w="3118" w:type="dxa"/>
            <w:tcBorders>
              <w:left w:val="single" w:sz="8" w:space="0" w:color="FFFFFF" w:themeColor="background1"/>
            </w:tcBorders>
            <w:shd w:val="clear" w:color="auto" w:fill="D7EDF1"/>
            <w:noWrap/>
            <w:vAlign w:val="center"/>
            <w:hideMark/>
          </w:tcPr>
          <w:p w14:paraId="490D770D"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284</w:t>
            </w:r>
          </w:p>
        </w:tc>
      </w:tr>
      <w:tr w:rsidR="00FC5564" w:rsidRPr="00A04E56" w14:paraId="0AC50551" w14:textId="77777777" w:rsidTr="00C53476">
        <w:trPr>
          <w:cantSplit/>
          <w:trHeight w:val="300"/>
        </w:trPr>
        <w:tc>
          <w:tcPr>
            <w:tcW w:w="3389" w:type="dxa"/>
            <w:tcBorders>
              <w:right w:val="single" w:sz="8" w:space="0" w:color="FFFFFF" w:themeColor="background1"/>
            </w:tcBorders>
            <w:shd w:val="clear" w:color="auto" w:fill="E9F5F7"/>
            <w:noWrap/>
            <w:vAlign w:val="center"/>
            <w:hideMark/>
          </w:tcPr>
          <w:p w14:paraId="362F7CE2" w14:textId="7777777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External Relations</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14:paraId="56D6BEFF"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13 281</w:t>
            </w:r>
          </w:p>
        </w:tc>
        <w:tc>
          <w:tcPr>
            <w:tcW w:w="3118" w:type="dxa"/>
            <w:tcBorders>
              <w:left w:val="single" w:sz="8" w:space="0" w:color="FFFFFF" w:themeColor="background1"/>
            </w:tcBorders>
            <w:shd w:val="clear" w:color="auto" w:fill="E9F5F7"/>
            <w:noWrap/>
            <w:vAlign w:val="center"/>
            <w:hideMark/>
          </w:tcPr>
          <w:p w14:paraId="076A0EC3"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16</w:t>
            </w:r>
          </w:p>
        </w:tc>
      </w:tr>
      <w:tr w:rsidR="00FC5564" w:rsidRPr="00A04E56" w14:paraId="42DB7096" w14:textId="77777777" w:rsidTr="00C53476">
        <w:trPr>
          <w:cantSplit/>
          <w:trHeight w:val="300"/>
        </w:trPr>
        <w:tc>
          <w:tcPr>
            <w:tcW w:w="3389" w:type="dxa"/>
            <w:tcBorders>
              <w:right w:val="single" w:sz="8" w:space="0" w:color="FFFFFF" w:themeColor="background1"/>
            </w:tcBorders>
            <w:shd w:val="clear" w:color="auto" w:fill="D7EDF1"/>
            <w:noWrap/>
            <w:vAlign w:val="center"/>
            <w:hideMark/>
          </w:tcPr>
          <w:p w14:paraId="4369A9ED" w14:textId="1C5F0B6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Research,</w:t>
            </w:r>
            <w:r w:rsidR="00AE4B2D" w:rsidRPr="00A04E56">
              <w:rPr>
                <w:rFonts w:eastAsia="Times New Roman"/>
                <w:color w:val="000000"/>
                <w:sz w:val="18"/>
                <w:szCs w:val="18"/>
                <w:lang w:eastAsia="fr-BE"/>
              </w:rPr>
              <w:t xml:space="preserve"> industry, space, energy &amp; transport</w:t>
            </w:r>
          </w:p>
        </w:tc>
        <w:tc>
          <w:tcPr>
            <w:tcW w:w="2552" w:type="dxa"/>
            <w:tcBorders>
              <w:left w:val="single" w:sz="8" w:space="0" w:color="FFFFFF" w:themeColor="background1"/>
              <w:right w:val="single" w:sz="8" w:space="0" w:color="FFFFFF" w:themeColor="background1"/>
            </w:tcBorders>
            <w:shd w:val="clear" w:color="auto" w:fill="D7EDF1"/>
            <w:noWrap/>
            <w:vAlign w:val="center"/>
            <w:hideMark/>
          </w:tcPr>
          <w:p w14:paraId="47A8B719"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16 242</w:t>
            </w:r>
          </w:p>
        </w:tc>
        <w:tc>
          <w:tcPr>
            <w:tcW w:w="3118" w:type="dxa"/>
            <w:tcBorders>
              <w:left w:val="single" w:sz="8" w:space="0" w:color="FFFFFF" w:themeColor="background1"/>
            </w:tcBorders>
            <w:shd w:val="clear" w:color="auto" w:fill="D7EDF1"/>
            <w:noWrap/>
            <w:vAlign w:val="center"/>
            <w:hideMark/>
          </w:tcPr>
          <w:p w14:paraId="2E85174B"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42</w:t>
            </w:r>
          </w:p>
        </w:tc>
      </w:tr>
      <w:tr w:rsidR="00FC5564" w:rsidRPr="00A04E56" w14:paraId="59955926" w14:textId="77777777" w:rsidTr="00C53476">
        <w:trPr>
          <w:cantSplit/>
          <w:trHeight w:val="300"/>
        </w:trPr>
        <w:tc>
          <w:tcPr>
            <w:tcW w:w="3389" w:type="dxa"/>
            <w:tcBorders>
              <w:right w:val="single" w:sz="8" w:space="0" w:color="FFFFFF" w:themeColor="background1"/>
            </w:tcBorders>
            <w:shd w:val="clear" w:color="auto" w:fill="E9F5F7"/>
            <w:noWrap/>
            <w:vAlign w:val="center"/>
            <w:hideMark/>
          </w:tcPr>
          <w:p w14:paraId="777B0A3F" w14:textId="7777777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Other Internal Policies</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14:paraId="46451855"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6 712</w:t>
            </w:r>
          </w:p>
        </w:tc>
        <w:tc>
          <w:tcPr>
            <w:tcW w:w="3118" w:type="dxa"/>
            <w:tcBorders>
              <w:left w:val="single" w:sz="8" w:space="0" w:color="FFFFFF" w:themeColor="background1"/>
            </w:tcBorders>
            <w:shd w:val="clear" w:color="auto" w:fill="E9F5F7"/>
            <w:noWrap/>
            <w:vAlign w:val="center"/>
            <w:hideMark/>
          </w:tcPr>
          <w:p w14:paraId="63C3620C"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9</w:t>
            </w:r>
          </w:p>
        </w:tc>
      </w:tr>
      <w:tr w:rsidR="00FC5564" w:rsidRPr="00A04E56" w14:paraId="571A6336" w14:textId="77777777" w:rsidTr="00C53476">
        <w:trPr>
          <w:cantSplit/>
          <w:trHeight w:val="300"/>
        </w:trPr>
        <w:tc>
          <w:tcPr>
            <w:tcW w:w="3389" w:type="dxa"/>
            <w:tcBorders>
              <w:right w:val="single" w:sz="8" w:space="0" w:color="FFFFFF" w:themeColor="background1"/>
            </w:tcBorders>
            <w:shd w:val="clear" w:color="auto" w:fill="D7EDF1"/>
            <w:noWrap/>
            <w:vAlign w:val="center"/>
            <w:hideMark/>
          </w:tcPr>
          <w:p w14:paraId="5189EB22" w14:textId="7777777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Other Services &amp; Administration</w:t>
            </w:r>
          </w:p>
        </w:tc>
        <w:tc>
          <w:tcPr>
            <w:tcW w:w="2552" w:type="dxa"/>
            <w:tcBorders>
              <w:left w:val="single" w:sz="8" w:space="0" w:color="FFFFFF" w:themeColor="background1"/>
              <w:right w:val="single" w:sz="8" w:space="0" w:color="FFFFFF" w:themeColor="background1"/>
            </w:tcBorders>
            <w:shd w:val="clear" w:color="auto" w:fill="D7EDF1"/>
            <w:noWrap/>
            <w:vAlign w:val="center"/>
            <w:hideMark/>
          </w:tcPr>
          <w:p w14:paraId="330E5982"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6 881</w:t>
            </w:r>
          </w:p>
        </w:tc>
        <w:tc>
          <w:tcPr>
            <w:tcW w:w="3118" w:type="dxa"/>
            <w:tcBorders>
              <w:left w:val="single" w:sz="8" w:space="0" w:color="FFFFFF" w:themeColor="background1"/>
            </w:tcBorders>
            <w:shd w:val="clear" w:color="auto" w:fill="D7EDF1"/>
            <w:noWrap/>
            <w:vAlign w:val="center"/>
            <w:hideMark/>
          </w:tcPr>
          <w:p w14:paraId="488CA81E"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0</w:t>
            </w:r>
          </w:p>
        </w:tc>
      </w:tr>
      <w:tr w:rsidR="00FC5564" w:rsidRPr="00A04E56" w14:paraId="62A5172C" w14:textId="77777777" w:rsidTr="00C53476">
        <w:trPr>
          <w:cantSplit/>
          <w:trHeight w:val="300"/>
        </w:trPr>
        <w:tc>
          <w:tcPr>
            <w:tcW w:w="3389" w:type="dxa"/>
            <w:tcBorders>
              <w:right w:val="single" w:sz="8" w:space="0" w:color="FFFFFF" w:themeColor="background1"/>
            </w:tcBorders>
            <w:shd w:val="clear" w:color="auto" w:fill="EFC465"/>
            <w:noWrap/>
            <w:vAlign w:val="center"/>
            <w:hideMark/>
          </w:tcPr>
          <w:p w14:paraId="2A5CE011" w14:textId="77777777" w:rsidR="00FC5564" w:rsidRPr="00A04E56" w:rsidRDefault="00FC5564" w:rsidP="00133290">
            <w:pPr>
              <w:keepNext/>
              <w:rPr>
                <w:rFonts w:eastAsia="Times New Roman"/>
                <w:b/>
                <w:bCs/>
                <w:color w:val="000000"/>
                <w:sz w:val="18"/>
                <w:szCs w:val="18"/>
                <w:lang w:eastAsia="fr-BE"/>
              </w:rPr>
            </w:pPr>
            <w:r w:rsidRPr="00A04E56">
              <w:rPr>
                <w:rFonts w:eastAsia="Times New Roman"/>
                <w:b/>
                <w:bCs/>
                <w:color w:val="000000"/>
                <w:sz w:val="18"/>
                <w:szCs w:val="18"/>
                <w:lang w:eastAsia="fr-BE"/>
              </w:rPr>
              <w:t>Total</w:t>
            </w:r>
          </w:p>
        </w:tc>
        <w:tc>
          <w:tcPr>
            <w:tcW w:w="2552" w:type="dxa"/>
            <w:tcBorders>
              <w:left w:val="single" w:sz="8" w:space="0" w:color="FFFFFF" w:themeColor="background1"/>
              <w:right w:val="single" w:sz="8" w:space="0" w:color="FFFFFF" w:themeColor="background1"/>
            </w:tcBorders>
            <w:shd w:val="clear" w:color="auto" w:fill="EFC465"/>
            <w:noWrap/>
            <w:vAlign w:val="center"/>
            <w:hideMark/>
          </w:tcPr>
          <w:p w14:paraId="480CB0A9" w14:textId="77777777" w:rsidR="00FC5564" w:rsidRPr="00A04E56" w:rsidRDefault="00FC5564" w:rsidP="00133290">
            <w:pPr>
              <w:keepNext/>
              <w:jc w:val="right"/>
              <w:rPr>
                <w:rFonts w:eastAsia="Times New Roman"/>
                <w:b/>
                <w:bCs/>
                <w:color w:val="000000"/>
                <w:sz w:val="18"/>
                <w:szCs w:val="18"/>
                <w:lang w:eastAsia="fr-BE"/>
              </w:rPr>
            </w:pPr>
            <w:r w:rsidRPr="00A04E56">
              <w:rPr>
                <w:rFonts w:eastAsia="Times New Roman"/>
                <w:b/>
                <w:bCs/>
                <w:color w:val="000000"/>
                <w:sz w:val="18"/>
                <w:szCs w:val="18"/>
                <w:lang w:eastAsia="fr-BE"/>
              </w:rPr>
              <w:t>156 749</w:t>
            </w:r>
          </w:p>
        </w:tc>
        <w:tc>
          <w:tcPr>
            <w:tcW w:w="3118" w:type="dxa"/>
            <w:tcBorders>
              <w:left w:val="single" w:sz="8" w:space="0" w:color="FFFFFF" w:themeColor="background1"/>
            </w:tcBorders>
            <w:shd w:val="clear" w:color="auto" w:fill="EFC465"/>
            <w:noWrap/>
            <w:vAlign w:val="center"/>
            <w:hideMark/>
          </w:tcPr>
          <w:p w14:paraId="29E21DFC" w14:textId="77777777" w:rsidR="00FC5564" w:rsidRPr="00A04E56" w:rsidRDefault="00FC5564" w:rsidP="00133290">
            <w:pPr>
              <w:keepNext/>
              <w:jc w:val="right"/>
              <w:rPr>
                <w:rFonts w:eastAsia="Times New Roman"/>
                <w:b/>
                <w:bCs/>
                <w:color w:val="000000"/>
                <w:sz w:val="18"/>
                <w:szCs w:val="18"/>
                <w:lang w:eastAsia="fr-BE"/>
              </w:rPr>
            </w:pPr>
            <w:r w:rsidRPr="00A04E56">
              <w:rPr>
                <w:rFonts w:eastAsia="Times New Roman"/>
                <w:b/>
                <w:bCs/>
                <w:color w:val="000000"/>
                <w:sz w:val="18"/>
                <w:szCs w:val="18"/>
                <w:lang w:eastAsia="fr-BE"/>
              </w:rPr>
              <w:t>1 078</w:t>
            </w:r>
          </w:p>
        </w:tc>
      </w:tr>
      <w:tr w:rsidR="00FC5564" w:rsidRPr="00A04E56" w14:paraId="7379BA85" w14:textId="77777777" w:rsidTr="00C53476">
        <w:trPr>
          <w:cantSplit/>
          <w:trHeight w:val="300"/>
        </w:trPr>
        <w:tc>
          <w:tcPr>
            <w:tcW w:w="5941" w:type="dxa"/>
            <w:gridSpan w:val="2"/>
            <w:shd w:val="clear" w:color="auto" w:fill="auto"/>
            <w:noWrap/>
            <w:vAlign w:val="center"/>
            <w:hideMark/>
          </w:tcPr>
          <w:p w14:paraId="7276EFE3" w14:textId="77777777" w:rsidR="00FC5564" w:rsidRPr="00A04E56" w:rsidRDefault="00FC5564" w:rsidP="00133290">
            <w:pPr>
              <w:keepNext/>
              <w:jc w:val="right"/>
              <w:rPr>
                <w:rFonts w:eastAsia="Times New Roman"/>
                <w:i/>
                <w:iCs/>
                <w:color w:val="000000"/>
                <w:sz w:val="18"/>
                <w:szCs w:val="18"/>
                <w:lang w:eastAsia="fr-BE"/>
              </w:rPr>
            </w:pPr>
            <w:r w:rsidRPr="00A04E56">
              <w:rPr>
                <w:rFonts w:eastAsia="Times New Roman"/>
                <w:i/>
                <w:iCs/>
                <w:color w:val="000000"/>
                <w:sz w:val="18"/>
                <w:szCs w:val="18"/>
                <w:lang w:eastAsia="fr-BE"/>
              </w:rPr>
              <w:t>of which 'current' programmes</w:t>
            </w:r>
          </w:p>
        </w:tc>
        <w:tc>
          <w:tcPr>
            <w:tcW w:w="3118" w:type="dxa"/>
            <w:shd w:val="clear" w:color="auto" w:fill="auto"/>
            <w:noWrap/>
            <w:vAlign w:val="center"/>
            <w:hideMark/>
          </w:tcPr>
          <w:p w14:paraId="57DDCFCC" w14:textId="77777777" w:rsidR="00FC5564" w:rsidRPr="00A04E56" w:rsidRDefault="00FC5564" w:rsidP="00133290">
            <w:pPr>
              <w:keepNext/>
              <w:jc w:val="right"/>
              <w:rPr>
                <w:rFonts w:eastAsia="Times New Roman"/>
                <w:b/>
                <w:i/>
                <w:iCs/>
                <w:color w:val="000000"/>
                <w:sz w:val="18"/>
                <w:szCs w:val="18"/>
                <w:lang w:eastAsia="fr-BE"/>
              </w:rPr>
            </w:pPr>
            <w:r w:rsidRPr="00A04E56">
              <w:rPr>
                <w:rFonts w:eastAsia="Times New Roman"/>
                <w:b/>
                <w:i/>
                <w:iCs/>
                <w:color w:val="000000"/>
                <w:sz w:val="18"/>
                <w:szCs w:val="18"/>
                <w:lang w:eastAsia="fr-BE"/>
              </w:rPr>
              <w:t>1 037</w:t>
            </w:r>
          </w:p>
        </w:tc>
      </w:tr>
      <w:tr w:rsidR="00FC5564" w:rsidRPr="00A04E56" w14:paraId="3FBD38B5" w14:textId="77777777" w:rsidTr="00C53476">
        <w:trPr>
          <w:cantSplit/>
          <w:trHeight w:val="300"/>
        </w:trPr>
        <w:tc>
          <w:tcPr>
            <w:tcW w:w="5941" w:type="dxa"/>
            <w:gridSpan w:val="2"/>
            <w:shd w:val="clear" w:color="auto" w:fill="auto"/>
            <w:noWrap/>
            <w:vAlign w:val="center"/>
            <w:hideMark/>
          </w:tcPr>
          <w:p w14:paraId="1FF5725C" w14:textId="77777777" w:rsidR="00FC5564" w:rsidRPr="00A04E56" w:rsidRDefault="00FC5564" w:rsidP="00133290">
            <w:pPr>
              <w:keepNext/>
              <w:jc w:val="right"/>
              <w:rPr>
                <w:rFonts w:eastAsia="Times New Roman"/>
                <w:i/>
                <w:iCs/>
                <w:color w:val="000000"/>
                <w:sz w:val="18"/>
                <w:szCs w:val="18"/>
                <w:lang w:eastAsia="fr-BE"/>
              </w:rPr>
            </w:pPr>
            <w:r w:rsidRPr="00A04E56">
              <w:rPr>
                <w:rFonts w:eastAsia="Times New Roman"/>
                <w:i/>
                <w:iCs/>
                <w:color w:val="000000"/>
                <w:sz w:val="18"/>
                <w:szCs w:val="18"/>
                <w:lang w:eastAsia="fr-BE"/>
              </w:rPr>
              <w:t>of which 'legacy' programmes</w:t>
            </w:r>
          </w:p>
        </w:tc>
        <w:tc>
          <w:tcPr>
            <w:tcW w:w="3118" w:type="dxa"/>
            <w:shd w:val="clear" w:color="auto" w:fill="auto"/>
            <w:noWrap/>
            <w:vAlign w:val="center"/>
            <w:hideMark/>
          </w:tcPr>
          <w:p w14:paraId="2630F895" w14:textId="77777777" w:rsidR="00FC5564" w:rsidRPr="00A04E56" w:rsidRDefault="00FC5564" w:rsidP="00133290">
            <w:pPr>
              <w:keepNext/>
              <w:jc w:val="right"/>
              <w:rPr>
                <w:rFonts w:eastAsia="Times New Roman"/>
                <w:b/>
                <w:i/>
                <w:iCs/>
                <w:color w:val="000000"/>
                <w:sz w:val="18"/>
                <w:szCs w:val="18"/>
                <w:lang w:eastAsia="fr-BE"/>
              </w:rPr>
            </w:pPr>
            <w:r w:rsidRPr="00A04E56">
              <w:rPr>
                <w:rFonts w:eastAsia="Times New Roman"/>
                <w:b/>
                <w:i/>
                <w:iCs/>
                <w:color w:val="000000"/>
                <w:sz w:val="18"/>
                <w:szCs w:val="18"/>
                <w:lang w:eastAsia="fr-BE"/>
              </w:rPr>
              <w:t xml:space="preserve"> 41</w:t>
            </w:r>
          </w:p>
        </w:tc>
      </w:tr>
      <w:tr w:rsidR="00FC5564" w:rsidRPr="00A04E56" w14:paraId="36CC4DEE" w14:textId="77777777" w:rsidTr="00C53476">
        <w:trPr>
          <w:cantSplit/>
          <w:trHeight w:val="600"/>
        </w:trPr>
        <w:tc>
          <w:tcPr>
            <w:tcW w:w="3389" w:type="dxa"/>
            <w:shd w:val="clear" w:color="auto" w:fill="65BBC8"/>
            <w:noWrap/>
            <w:vAlign w:val="center"/>
            <w:hideMark/>
          </w:tcPr>
          <w:p w14:paraId="593543A8" w14:textId="0A5B60B1" w:rsidR="00FC5564" w:rsidRPr="00A04E56" w:rsidRDefault="00FC5564" w:rsidP="00133290">
            <w:pPr>
              <w:keepNext/>
              <w:rPr>
                <w:rFonts w:eastAsia="Times New Roman"/>
                <w:b/>
                <w:color w:val="FFFFFF"/>
                <w:sz w:val="18"/>
                <w:szCs w:val="18"/>
                <w:lang w:eastAsia="fr-BE"/>
              </w:rPr>
            </w:pPr>
            <w:r w:rsidRPr="00A04E56">
              <w:rPr>
                <w:rFonts w:eastAsia="Times New Roman"/>
                <w:b/>
                <w:color w:val="FFFFFF"/>
                <w:sz w:val="18"/>
                <w:szCs w:val="18"/>
                <w:lang w:eastAsia="fr-BE"/>
              </w:rPr>
              <w:t xml:space="preserve">Policy </w:t>
            </w:r>
            <w:r w:rsidR="00A2656B" w:rsidRPr="00A04E56">
              <w:rPr>
                <w:rFonts w:eastAsia="Times New Roman"/>
                <w:b/>
                <w:color w:val="FFFFFF"/>
                <w:sz w:val="18"/>
                <w:szCs w:val="18"/>
                <w:lang w:eastAsia="fr-BE"/>
              </w:rPr>
              <w:t>are</w:t>
            </w:r>
            <w:r w:rsidRPr="00A04E56">
              <w:rPr>
                <w:rFonts w:eastAsia="Times New Roman"/>
                <w:b/>
                <w:color w:val="FFFFFF"/>
                <w:sz w:val="18"/>
                <w:szCs w:val="18"/>
                <w:lang w:eastAsia="fr-BE"/>
              </w:rPr>
              <w:t>a</w:t>
            </w:r>
          </w:p>
        </w:tc>
        <w:tc>
          <w:tcPr>
            <w:tcW w:w="2552" w:type="dxa"/>
            <w:shd w:val="clear" w:color="auto" w:fill="65BBC8"/>
            <w:noWrap/>
            <w:vAlign w:val="center"/>
            <w:hideMark/>
          </w:tcPr>
          <w:p w14:paraId="6B715DF1" w14:textId="77777777" w:rsidR="00FC5564" w:rsidRPr="00A04E56" w:rsidRDefault="00FC5564" w:rsidP="00133290">
            <w:pPr>
              <w:keepNext/>
              <w:jc w:val="right"/>
              <w:rPr>
                <w:rFonts w:eastAsia="Times New Roman"/>
                <w:b/>
                <w:color w:val="FFFFFF"/>
                <w:sz w:val="18"/>
                <w:szCs w:val="18"/>
                <w:lang w:eastAsia="fr-BE"/>
              </w:rPr>
            </w:pPr>
            <w:r w:rsidRPr="00A04E56">
              <w:rPr>
                <w:rFonts w:eastAsia="Times New Roman"/>
                <w:b/>
                <w:color w:val="FFFFFF"/>
                <w:sz w:val="18"/>
                <w:szCs w:val="18"/>
                <w:lang w:eastAsia="fr-BE"/>
              </w:rPr>
              <w:t>Total 2018 own resources</w:t>
            </w:r>
          </w:p>
        </w:tc>
        <w:tc>
          <w:tcPr>
            <w:tcW w:w="3118" w:type="dxa"/>
            <w:shd w:val="clear" w:color="auto" w:fill="65BBC8"/>
            <w:vAlign w:val="center"/>
            <w:hideMark/>
          </w:tcPr>
          <w:p w14:paraId="772DE58D" w14:textId="77777777" w:rsidR="00FC5564" w:rsidRPr="00A04E56" w:rsidRDefault="00FC5564" w:rsidP="00133290">
            <w:pPr>
              <w:keepNext/>
              <w:jc w:val="right"/>
              <w:rPr>
                <w:rFonts w:eastAsia="Times New Roman"/>
                <w:b/>
                <w:color w:val="FFFFFF"/>
                <w:sz w:val="18"/>
                <w:szCs w:val="18"/>
                <w:lang w:eastAsia="fr-BE"/>
              </w:rPr>
            </w:pPr>
            <w:r w:rsidRPr="00A04E56">
              <w:rPr>
                <w:rFonts w:eastAsia="Times New Roman"/>
                <w:b/>
                <w:color w:val="FFFFFF"/>
                <w:sz w:val="18"/>
                <w:szCs w:val="18"/>
                <w:lang w:eastAsia="fr-BE"/>
              </w:rPr>
              <w:t>Financial impact from the reservations</w:t>
            </w:r>
          </w:p>
        </w:tc>
      </w:tr>
      <w:tr w:rsidR="00FC5564" w:rsidRPr="00A04E56" w14:paraId="44074AD3" w14:textId="77777777" w:rsidTr="00C53476">
        <w:trPr>
          <w:cantSplit/>
          <w:trHeight w:val="300"/>
        </w:trPr>
        <w:tc>
          <w:tcPr>
            <w:tcW w:w="3389" w:type="dxa"/>
            <w:tcBorders>
              <w:right w:val="single" w:sz="8" w:space="0" w:color="FFFFFF" w:themeColor="background1"/>
            </w:tcBorders>
            <w:shd w:val="clear" w:color="auto" w:fill="E9F5F7"/>
            <w:noWrap/>
            <w:vAlign w:val="center"/>
            <w:hideMark/>
          </w:tcPr>
          <w:p w14:paraId="56D6791A" w14:textId="77777777" w:rsidR="00FC5564" w:rsidRPr="00A04E56" w:rsidRDefault="00FC5564" w:rsidP="00133290">
            <w:pPr>
              <w:keepNext/>
              <w:rPr>
                <w:rFonts w:eastAsia="Times New Roman"/>
                <w:color w:val="000000"/>
                <w:sz w:val="18"/>
                <w:szCs w:val="18"/>
                <w:lang w:eastAsia="fr-BE"/>
              </w:rPr>
            </w:pPr>
            <w:r w:rsidRPr="00A04E56">
              <w:rPr>
                <w:rFonts w:eastAsia="Times New Roman"/>
                <w:color w:val="000000"/>
                <w:sz w:val="18"/>
                <w:szCs w:val="18"/>
                <w:lang w:eastAsia="fr-BE"/>
              </w:rPr>
              <w:t>Own Resources</w:t>
            </w:r>
          </w:p>
        </w:tc>
        <w:tc>
          <w:tcPr>
            <w:tcW w:w="2552" w:type="dxa"/>
            <w:tcBorders>
              <w:left w:val="single" w:sz="8" w:space="0" w:color="FFFFFF" w:themeColor="background1"/>
              <w:right w:val="single" w:sz="8" w:space="0" w:color="FFFFFF" w:themeColor="background1"/>
            </w:tcBorders>
            <w:shd w:val="clear" w:color="auto" w:fill="E9F5F7"/>
            <w:noWrap/>
            <w:vAlign w:val="center"/>
            <w:hideMark/>
          </w:tcPr>
          <w:p w14:paraId="7CF0CBE2"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142 355</w:t>
            </w:r>
          </w:p>
        </w:tc>
        <w:tc>
          <w:tcPr>
            <w:tcW w:w="3118" w:type="dxa"/>
            <w:tcBorders>
              <w:left w:val="single" w:sz="8" w:space="0" w:color="FFFFFF" w:themeColor="background1"/>
            </w:tcBorders>
            <w:shd w:val="clear" w:color="auto" w:fill="E9F5F7"/>
            <w:noWrap/>
            <w:vAlign w:val="center"/>
            <w:hideMark/>
          </w:tcPr>
          <w:p w14:paraId="3CCA9D74" w14:textId="77777777" w:rsidR="00FC5564" w:rsidRPr="00A04E56" w:rsidRDefault="00FC5564" w:rsidP="00133290">
            <w:pPr>
              <w:keepNext/>
              <w:jc w:val="right"/>
              <w:rPr>
                <w:rFonts w:eastAsia="Times New Roman"/>
                <w:color w:val="000000"/>
                <w:sz w:val="18"/>
                <w:szCs w:val="18"/>
                <w:lang w:eastAsia="fr-BE"/>
              </w:rPr>
            </w:pPr>
            <w:r w:rsidRPr="00A04E56">
              <w:rPr>
                <w:rFonts w:eastAsia="Times New Roman"/>
                <w:color w:val="000000"/>
                <w:sz w:val="18"/>
                <w:szCs w:val="18"/>
                <w:lang w:eastAsia="fr-BE"/>
              </w:rPr>
              <w:t xml:space="preserve"> 0</w:t>
            </w:r>
          </w:p>
        </w:tc>
      </w:tr>
    </w:tbl>
    <w:p w14:paraId="66CE58C4" w14:textId="5F34FBD2" w:rsidR="00FC5564" w:rsidRPr="00A04E56" w:rsidRDefault="0026177A" w:rsidP="00107DA0">
      <w:pPr>
        <w:pStyle w:val="Source-Table-Chart-PhotoCaption"/>
      </w:pPr>
      <w:r w:rsidRPr="00107DA0">
        <w:rPr>
          <w:rStyle w:val="italics"/>
        </w:rPr>
        <w:t xml:space="preserve">Chart and </w:t>
      </w:r>
      <w:r w:rsidR="00FC5564" w:rsidRPr="00277538">
        <w:rPr>
          <w:rStyle w:val="italics"/>
        </w:rPr>
        <w:t>Table:</w:t>
      </w:r>
      <w:r w:rsidR="00FC5564" w:rsidRPr="00A04E56">
        <w:t xml:space="preserve"> Financial impact </w:t>
      </w:r>
      <w:r w:rsidR="00FC5564" w:rsidRPr="00A04E56">
        <w:rPr>
          <w:i/>
        </w:rPr>
        <w:t>(‘exposure’)</w:t>
      </w:r>
      <w:r w:rsidR="00FC5564" w:rsidRPr="00A04E56">
        <w:t xml:space="preserve"> of the 2016, 2017 and 2018 quantified reservations (EUR million) </w:t>
      </w:r>
    </w:p>
    <w:p w14:paraId="1530486C" w14:textId="5CF06B30" w:rsidR="00FC5564" w:rsidRPr="00A04E56" w:rsidRDefault="00FC5564" w:rsidP="00107DA0">
      <w:pPr>
        <w:pStyle w:val="Source-Table-Chart-PhotoCaption"/>
      </w:pPr>
      <w:r w:rsidRPr="00107DA0">
        <w:rPr>
          <w:rStyle w:val="italics"/>
        </w:rPr>
        <w:t>Source:</w:t>
      </w:r>
      <w:r w:rsidRPr="00A04E56">
        <w:t xml:space="preserve"> </w:t>
      </w:r>
      <w:r w:rsidR="00B04562" w:rsidRPr="00277538">
        <w:t xml:space="preserve">European </w:t>
      </w:r>
      <w:r w:rsidRPr="00A04E56">
        <w:t>Commission annual activity reports.</w:t>
      </w:r>
    </w:p>
    <w:p w14:paraId="427419EE" w14:textId="77777777" w:rsidR="009B4814" w:rsidRDefault="009B4814">
      <w:pPr>
        <w:rPr>
          <w:rFonts w:eastAsia="Calibri"/>
          <w:noProof/>
          <w:color w:val="000000" w:themeColor="text1"/>
          <w:lang w:eastAsia="fr-BE"/>
        </w:rPr>
      </w:pPr>
      <w:r>
        <w:br w:type="page"/>
      </w:r>
    </w:p>
    <w:p w14:paraId="40E63B66" w14:textId="45B16B74" w:rsidR="00FC5564" w:rsidRPr="00A04E56" w:rsidRDefault="00FC5564" w:rsidP="00107DA0">
      <w:pPr>
        <w:pStyle w:val="BodyText1spacebeforeandafter"/>
      </w:pPr>
      <w:r w:rsidRPr="00A04E56">
        <w:t xml:space="preserve">The </w:t>
      </w:r>
      <w:r w:rsidRPr="00A04E56">
        <w:rPr>
          <w:rStyle w:val="BOLDLIGHTBLUEReport"/>
          <w:rFonts w:eastAsiaTheme="minorHAnsi"/>
        </w:rPr>
        <w:t>st</w:t>
      </w:r>
      <w:r w:rsidR="00247932" w:rsidRPr="00A04E56">
        <w:rPr>
          <w:rStyle w:val="BOLDLIGHTBLUEReport"/>
          <w:rFonts w:eastAsiaTheme="minorHAnsi"/>
        </w:rPr>
        <w:t>eady resul</w:t>
      </w:r>
      <w:r w:rsidR="006C793E" w:rsidRPr="00A04E56">
        <w:rPr>
          <w:rStyle w:val="BOLDLIGHTBLUEReport"/>
          <w:rFonts w:eastAsiaTheme="minorHAnsi"/>
        </w:rPr>
        <w:t>t</w:t>
      </w:r>
      <w:r w:rsidR="00247932" w:rsidRPr="00A04E56">
        <w:rPr>
          <w:rStyle w:val="BOLDLIGHTBLUEReport"/>
          <w:rFonts w:eastAsiaTheme="minorHAnsi"/>
        </w:rPr>
        <w:t>s across 2017 and 2018</w:t>
      </w:r>
      <w:r w:rsidRPr="00A04E56">
        <w:t xml:space="preserve"> </w:t>
      </w:r>
      <w:r w:rsidR="00247932" w:rsidRPr="00A04E56">
        <w:t>have been delivered by</w:t>
      </w:r>
      <w:r w:rsidR="002107C2" w:rsidRPr="00A04E56">
        <w:t xml:space="preserve"> the following.</w:t>
      </w:r>
      <w:r w:rsidRPr="00A04E56">
        <w:t xml:space="preserve"> </w:t>
      </w:r>
    </w:p>
    <w:p w14:paraId="5B818827" w14:textId="3F8A1ECF" w:rsidR="00FC5564" w:rsidRPr="00A04E56" w:rsidRDefault="00247932" w:rsidP="00277538">
      <w:pPr>
        <w:pStyle w:val="BulletsblueNew"/>
      </w:pPr>
      <w:r w:rsidRPr="00A04E56">
        <w:t>S</w:t>
      </w:r>
      <w:r w:rsidR="00FC5564" w:rsidRPr="00A04E56">
        <w:t xml:space="preserve">tability in </w:t>
      </w:r>
      <w:r w:rsidR="00FC5564" w:rsidRPr="00A04E56">
        <w:rPr>
          <w:i/>
        </w:rPr>
        <w:t>agriculture:</w:t>
      </w:r>
      <w:r w:rsidR="00FC5564" w:rsidRPr="00A04E56">
        <w:t xml:space="preserve"> the financial impact from the reservations remains </w:t>
      </w:r>
      <w:r w:rsidR="00E9687D" w:rsidRPr="00A04E56">
        <w:t xml:space="preserve">fairly </w:t>
      </w:r>
      <w:r w:rsidR="00FC5564" w:rsidRPr="00A04E56">
        <w:t xml:space="preserve">stable </w:t>
      </w:r>
      <w:r w:rsidR="00E9687D" w:rsidRPr="00A04E56">
        <w:t>(slight decrease)</w:t>
      </w:r>
      <w:r w:rsidR="00FC5564" w:rsidRPr="00A04E56">
        <w:t xml:space="preserve"> compared to last year </w:t>
      </w:r>
      <w:r w:rsidR="00CB6A77" w:rsidRPr="00A04E56">
        <w:t>—</w:t>
      </w:r>
      <w:r w:rsidR="00FC5564" w:rsidRPr="00A04E56">
        <w:t xml:space="preserve"> for </w:t>
      </w:r>
      <w:r w:rsidR="002A2A10" w:rsidRPr="00A04E56">
        <w:t>market measures, direct payments and rural development</w:t>
      </w:r>
      <w:r w:rsidR="00FC5564" w:rsidRPr="00A04E56">
        <w:t>.</w:t>
      </w:r>
    </w:p>
    <w:p w14:paraId="135120AE" w14:textId="70BE0A1A" w:rsidR="00FC5564" w:rsidRPr="00A04E56" w:rsidRDefault="00247932" w:rsidP="00277538">
      <w:pPr>
        <w:pStyle w:val="BulletsblueNew"/>
      </w:pPr>
      <w:r w:rsidRPr="00A04E56">
        <w:t>An</w:t>
      </w:r>
      <w:r w:rsidR="00FC5564" w:rsidRPr="00A04E56">
        <w:t xml:space="preserve"> increase in </w:t>
      </w:r>
      <w:r w:rsidR="00FC5564" w:rsidRPr="00A04E56">
        <w:rPr>
          <w:i/>
        </w:rPr>
        <w:t>cohesion, migration and fisheries:</w:t>
      </w:r>
      <w:r w:rsidR="00FC5564" w:rsidRPr="00A04E56">
        <w:t xml:space="preserve"> </w:t>
      </w:r>
      <w:r w:rsidR="00AC7ED6" w:rsidRPr="00A04E56">
        <w:t>here the</w:t>
      </w:r>
      <w:r w:rsidR="00FC5564" w:rsidRPr="00A04E56">
        <w:t xml:space="preserve"> </w:t>
      </w:r>
      <w:r w:rsidR="00D2335E" w:rsidRPr="00A04E56">
        <w:t xml:space="preserve">doubling </w:t>
      </w:r>
      <w:r w:rsidR="00FC5564" w:rsidRPr="00A04E56">
        <w:t>can be explained by the implementation of the current programmes now being fully up to speed and the increase in the relevant expenditure by some EUR 20</w:t>
      </w:r>
      <w:r w:rsidR="00FC5564" w:rsidRPr="00A04E56">
        <w:rPr>
          <w:rFonts w:ascii="Calibri" w:hAnsi="Calibri" w:cs="Calibri"/>
        </w:rPr>
        <w:t> </w:t>
      </w:r>
      <w:r w:rsidR="00FC5564" w:rsidRPr="00A04E56">
        <w:t>billion compared to 2017. There are also more cases detected involving operational programmes in more Member States affected by high levels of error.</w:t>
      </w:r>
    </w:p>
    <w:p w14:paraId="2A5F64E4" w14:textId="459676A4" w:rsidR="00FC5564" w:rsidRPr="00A04E56" w:rsidRDefault="00247932" w:rsidP="00277538">
      <w:pPr>
        <w:pStyle w:val="BulletsblueNew-Spaceafter"/>
      </w:pPr>
      <w:r w:rsidRPr="00A04E56">
        <w:t>A</w:t>
      </w:r>
      <w:r w:rsidR="00FC5564" w:rsidRPr="00A04E56">
        <w:t xml:space="preserve"> decrease in the other policy areas: there the financial impact has more or less halved. This is because the residual error rates have further decreased, fewer segments are affected by reservations than before and/or to smaller volumes of expenditure in the segments affected (e.g. the development department’s direct grants).</w:t>
      </w:r>
    </w:p>
    <w:p w14:paraId="28AE42B7" w14:textId="77EDDE75" w:rsidR="00FC5564" w:rsidRPr="00A04E56" w:rsidRDefault="00FC5564" w:rsidP="00133290">
      <w:pPr>
        <w:pStyle w:val="BodyText1spaceafter"/>
      </w:pPr>
      <w:r w:rsidRPr="00A04E56">
        <w:t>As for reservations on legacy programmes, their financial impact continues, logically, to decrease: down to EUR</w:t>
      </w:r>
      <w:r w:rsidRPr="00A04E56">
        <w:rPr>
          <w:rFonts w:ascii="Calibri" w:hAnsi="Calibri" w:cs="Calibri"/>
        </w:rPr>
        <w:t> </w:t>
      </w:r>
      <w:r w:rsidRPr="00A04E56">
        <w:t>41</w:t>
      </w:r>
      <w:r w:rsidRPr="00A04E56">
        <w:rPr>
          <w:rFonts w:ascii="Calibri" w:hAnsi="Calibri" w:cs="Calibri"/>
        </w:rPr>
        <w:t> </w:t>
      </w:r>
      <w:r w:rsidRPr="00A04E56">
        <w:t xml:space="preserve">million </w:t>
      </w:r>
      <w:r w:rsidR="008C1D39" w:rsidRPr="00A04E56">
        <w:rPr>
          <w:i/>
          <w:u w:val="single"/>
        </w:rPr>
        <w:t>in 2018</w:t>
      </w:r>
      <w:r w:rsidRPr="00A04E56">
        <w:t xml:space="preserve"> (EUR</w:t>
      </w:r>
      <w:r w:rsidRPr="00A04E56">
        <w:rPr>
          <w:rFonts w:ascii="Calibri" w:hAnsi="Calibri" w:cs="Calibri"/>
        </w:rPr>
        <w:t> </w:t>
      </w:r>
      <w:r w:rsidRPr="00A04E56">
        <w:t>129</w:t>
      </w:r>
      <w:r w:rsidRPr="00A04E56">
        <w:rPr>
          <w:rFonts w:ascii="Calibri" w:hAnsi="Calibri" w:cs="Calibri"/>
        </w:rPr>
        <w:t> </w:t>
      </w:r>
      <w:r w:rsidRPr="00A04E56">
        <w:t xml:space="preserve">million </w:t>
      </w:r>
      <w:r w:rsidR="008C1D39" w:rsidRPr="00277538">
        <w:t>in 2017</w:t>
      </w:r>
      <w:r w:rsidRPr="00A04E56">
        <w:t>). As long as the related residual error rates surpass the 2% materiality threshold, the reservations cannot be lifted — even though their financial impact has fallen to very low levels.</w:t>
      </w:r>
    </w:p>
    <w:p w14:paraId="40422FB0" w14:textId="58874B43" w:rsidR="00FC5564" w:rsidRPr="00107DA0" w:rsidRDefault="00FC5564" w:rsidP="00FC5564">
      <w:pPr>
        <w:pStyle w:val="BodyText1spaceafter"/>
      </w:pPr>
      <w:r w:rsidRPr="00A04E56">
        <w:t xml:space="preserve">As in previous years, the </w:t>
      </w:r>
      <w:r w:rsidRPr="00A04E56">
        <w:rPr>
          <w:i/>
        </w:rPr>
        <w:t>research</w:t>
      </w:r>
      <w:r w:rsidRPr="00A04E56">
        <w:t xml:space="preserve"> departments and executive agencies have no reservations and have not qualified their declarations of assurance in relation to the Horizon 2020 programme. This is because they apply a specific 2</w:t>
      </w:r>
      <w:r w:rsidR="00007E73">
        <w:t>%</w:t>
      </w:r>
      <w:r w:rsidR="007F1AF6" w:rsidRPr="00A04E56">
        <w:t>-</w:t>
      </w:r>
      <w:r w:rsidRPr="00A04E56">
        <w:t>5% materiality threshold to the programme to take into account its inherent risks and the control limitations</w:t>
      </w:r>
      <w:r w:rsidRPr="00A04E56">
        <w:rPr>
          <w:rStyle w:val="fnRef"/>
          <w:rFonts w:ascii="Arial" w:eastAsiaTheme="minorHAnsi" w:hAnsi="Arial"/>
          <w:noProof w:val="0"/>
          <w:color w:val="auto"/>
          <w:lang w:eastAsia="en-US"/>
        </w:rPr>
        <w:t> </w:t>
      </w:r>
      <w:r w:rsidRPr="00A04E56">
        <w:rPr>
          <w:rStyle w:val="fnRef"/>
          <w:rFonts w:eastAsiaTheme="minorHAnsi"/>
          <w:noProof w:val="0"/>
          <w:color w:val="auto"/>
          <w:lang w:eastAsia="en-US"/>
        </w:rPr>
        <w:t>(</w:t>
      </w:r>
      <w:r w:rsidRPr="00A04E56">
        <w:rPr>
          <w:rStyle w:val="fnRefNo"/>
          <w:rFonts w:eastAsiaTheme="minorHAnsi"/>
          <w:noProof w:val="0"/>
          <w:color w:val="auto"/>
          <w:lang w:eastAsia="en-US"/>
        </w:rPr>
        <w:footnoteReference w:id="396"/>
      </w:r>
      <w:r w:rsidRPr="00A04E56">
        <w:rPr>
          <w:rStyle w:val="fnRef"/>
          <w:rFonts w:eastAsiaTheme="minorHAnsi"/>
          <w:noProof w:val="0"/>
          <w:color w:val="auto"/>
          <w:lang w:eastAsia="en-US"/>
        </w:rPr>
        <w:t>)</w:t>
      </w:r>
      <w:r w:rsidRPr="00A04E56">
        <w:t>. Their current residual error level appears to be below 5% and close to 2% (see also subsection</w:t>
      </w:r>
      <w:r w:rsidRPr="00A04E56">
        <w:rPr>
          <w:rFonts w:ascii="Calibri" w:hAnsi="Calibri" w:cs="Calibri"/>
        </w:rPr>
        <w:t> </w:t>
      </w:r>
      <w:r w:rsidRPr="00A04E56">
        <w:t>1).</w:t>
      </w:r>
    </w:p>
    <w:p w14:paraId="462C382C" w14:textId="77777777" w:rsidR="00FC5564" w:rsidRPr="00A04E56" w:rsidRDefault="00FC5564" w:rsidP="00C50089">
      <w:pPr>
        <w:pStyle w:val="SubtitleLightBlueReport11pt"/>
      </w:pPr>
      <w:r w:rsidRPr="00A04E56">
        <w:t>Progress made in assurance building during 2018</w:t>
      </w:r>
    </w:p>
    <w:p w14:paraId="2973C388" w14:textId="5D42126C" w:rsidR="00FC5564" w:rsidRPr="00A04E56" w:rsidRDefault="008C1D39" w:rsidP="00133290">
      <w:pPr>
        <w:pStyle w:val="BodyText1spaceafter"/>
      </w:pPr>
      <w:r w:rsidRPr="00A04E56">
        <w:rPr>
          <w:i/>
          <w:u w:val="single"/>
        </w:rPr>
        <w:t>In 2018</w:t>
      </w:r>
      <w:r w:rsidR="00FC5564" w:rsidRPr="00A04E56">
        <w:t xml:space="preserve">, Commission departments continued to strengthen their assurance building through their annual activity reports. For example: </w:t>
      </w:r>
    </w:p>
    <w:p w14:paraId="59210030" w14:textId="3AF1BC2C" w:rsidR="00FC5564" w:rsidRPr="00A04E56" w:rsidRDefault="00FC5564" w:rsidP="00FC5564">
      <w:pPr>
        <w:pStyle w:val="BodyText1spaceafter"/>
      </w:pPr>
      <w:r w:rsidRPr="00A04E56">
        <w:t xml:space="preserve">The </w:t>
      </w:r>
      <w:r w:rsidRPr="00A04E56">
        <w:rPr>
          <w:rStyle w:val="BOLDLIGHTBLUEReport"/>
          <w:rFonts w:eastAsiaTheme="minorHAnsi"/>
        </w:rPr>
        <w:t>cohesion</w:t>
      </w:r>
      <w:r w:rsidRPr="00A04E56">
        <w:t xml:space="preserve"> departments have </w:t>
      </w:r>
      <w:r w:rsidR="000950B6" w:rsidRPr="00A04E56">
        <w:t xml:space="preserve">significantly </w:t>
      </w:r>
      <w:r w:rsidRPr="00A04E56">
        <w:t xml:space="preserve">revised, simplified and harmonised the presentation of their error rates, as </w:t>
      </w:r>
      <w:r w:rsidR="000950B6" w:rsidRPr="00A04E56">
        <w:t xml:space="preserve">recommended by and </w:t>
      </w:r>
      <w:r w:rsidRPr="00A04E56">
        <w:t xml:space="preserve">discussed with the European Court of Auditors and agreed with the Commission’s Central Financial Service. Furthermore, a subtotal for economic, social and territorial cohesion as per </w:t>
      </w:r>
      <w:r w:rsidRPr="00A04E56">
        <w:rPr>
          <w:i/>
        </w:rPr>
        <w:t>budget heading</w:t>
      </w:r>
      <w:r w:rsidRPr="00A04E56">
        <w:rPr>
          <w:rFonts w:ascii="Calibri" w:hAnsi="Calibri" w:cs="Calibri"/>
          <w:i/>
        </w:rPr>
        <w:t> </w:t>
      </w:r>
      <w:r w:rsidRPr="00A04E56">
        <w:rPr>
          <w:i/>
        </w:rPr>
        <w:t>1B</w:t>
      </w:r>
      <w:r w:rsidRPr="00A04E56">
        <w:t xml:space="preserve"> has been added to the presentation of the overall risk at payment/closure tables (see subsection</w:t>
      </w:r>
      <w:r w:rsidRPr="00A04E56">
        <w:rPr>
          <w:rFonts w:ascii="Calibri" w:hAnsi="Calibri" w:cs="Calibri"/>
        </w:rPr>
        <w:t> </w:t>
      </w:r>
      <w:r w:rsidRPr="00A04E56">
        <w:t>1 and Annex</w:t>
      </w:r>
      <w:r w:rsidRPr="00A04E56">
        <w:rPr>
          <w:rFonts w:ascii="Calibri" w:hAnsi="Calibri" w:cs="Calibri"/>
        </w:rPr>
        <w:t> </w:t>
      </w:r>
      <w:r w:rsidRPr="00A04E56">
        <w:t>2).</w:t>
      </w:r>
    </w:p>
    <w:p w14:paraId="62CEE850" w14:textId="3DCE9F99" w:rsidR="00201751" w:rsidRPr="00A04E56" w:rsidRDefault="00201751">
      <w:pPr>
        <w:pStyle w:val="BodyText1spaceafter"/>
      </w:pPr>
      <w:r w:rsidRPr="00A04E56">
        <w:t xml:space="preserve">In </w:t>
      </w:r>
      <w:r w:rsidRPr="00A04E56">
        <w:rPr>
          <w:rStyle w:val="BOLDLIGHTBLUEReport"/>
          <w:rFonts w:eastAsiaTheme="minorHAnsi"/>
        </w:rPr>
        <w:t>shared management</w:t>
      </w:r>
      <w:r w:rsidRPr="00A04E56">
        <w:t xml:space="preserve">, from 2018 Member States' audit authorities report on the main types of weaknesses leading to irregularities under a common typology shared by the Commission and Member States (see details and actions under subsection 2.1). In addition, they report </w:t>
      </w:r>
      <w:r w:rsidR="00247932" w:rsidRPr="00A04E56">
        <w:t>on</w:t>
      </w:r>
      <w:r w:rsidRPr="00A04E56">
        <w:t xml:space="preserve"> possible conflicts of interest in general and the action taken to mitigate such situations in order to protect the EU budget. </w:t>
      </w:r>
    </w:p>
    <w:p w14:paraId="42FBB3B0" w14:textId="77777777" w:rsidR="00FC5564" w:rsidRPr="00A04E56" w:rsidRDefault="00FC5564" w:rsidP="00FC5564">
      <w:pPr>
        <w:pStyle w:val="BodyText1spaceafter"/>
      </w:pPr>
      <w:r w:rsidRPr="00A04E56">
        <w:t xml:space="preserve">The </w:t>
      </w:r>
      <w:r w:rsidRPr="00A04E56">
        <w:rPr>
          <w:rStyle w:val="BOLDLIGHTBLUEReport"/>
          <w:rFonts w:eastAsiaTheme="minorHAnsi"/>
        </w:rPr>
        <w:t>external relations</w:t>
      </w:r>
      <w:r w:rsidRPr="00A04E56">
        <w:t xml:space="preserve"> departments for development and neighbourhood have further improved the segmented assurance building for their portfolios, thereby better focusing their reservation on the relevant higher-risk segment (direct grants). Both departments have also responded to observations by the European Court of Auditors and have provided further details to enhance the transparency of their residual error rate studies. </w:t>
      </w:r>
    </w:p>
    <w:p w14:paraId="4D294DF7" w14:textId="77777777" w:rsidR="00FC5564" w:rsidRPr="00A04E56" w:rsidRDefault="00FC5564" w:rsidP="00FC5564">
      <w:pPr>
        <w:pStyle w:val="BodyText1spaceafter"/>
        <w:rPr>
          <w:color w:val="auto"/>
        </w:rPr>
      </w:pPr>
      <w:r w:rsidRPr="00A04E56">
        <w:t xml:space="preserve">The </w:t>
      </w:r>
      <w:r w:rsidRPr="00A04E56">
        <w:rPr>
          <w:rStyle w:val="BOLDLIGHTBLUEReport"/>
          <w:rFonts w:eastAsiaTheme="minorHAnsi"/>
        </w:rPr>
        <w:t>research</w:t>
      </w:r>
      <w:r w:rsidRPr="00A04E56">
        <w:t xml:space="preserve"> </w:t>
      </w:r>
      <w:r w:rsidRPr="00A04E56">
        <w:rPr>
          <w:color w:val="auto"/>
        </w:rPr>
        <w:t>departments continue to act to obtain a further reduction of the level of error: e.g. further simplification of the model grant agreement, clearer communication on eligibility rules (15 events organised) and further extending lump-sum financing. The Commission’s proposal for the next generation research programme (Horizon Europe) also includes simplified cost options (see also in subsection 2.1).</w:t>
      </w:r>
    </w:p>
    <w:p w14:paraId="44A0CD34" w14:textId="0489176B" w:rsidR="00FC5564" w:rsidRPr="00A04E56" w:rsidRDefault="00FC5564" w:rsidP="00FC5564">
      <w:pPr>
        <w:pStyle w:val="BodyText1spaceafter"/>
      </w:pPr>
      <w:r w:rsidRPr="00A04E56">
        <w:t xml:space="preserve">Since its creation in 2016, the </w:t>
      </w:r>
      <w:r w:rsidR="006D5422" w:rsidRPr="00A04E56">
        <w:rPr>
          <w:rStyle w:val="BOLDLIGHTBLUEReport"/>
          <w:rFonts w:eastAsiaTheme="minorHAnsi"/>
        </w:rPr>
        <w:t>structural reform support service</w:t>
      </w:r>
      <w:r w:rsidR="006D5422" w:rsidRPr="00A04E56">
        <w:t xml:space="preserve"> </w:t>
      </w:r>
      <w:r w:rsidRPr="00A04E56">
        <w:t xml:space="preserve">has made significant progress in setting up a mature system for internal control and management to enable appropriate management of its expanding budget. The </w:t>
      </w:r>
      <w:r w:rsidRPr="00A04E56">
        <w:rPr>
          <w:i/>
        </w:rPr>
        <w:t>ex post</w:t>
      </w:r>
      <w:r w:rsidRPr="00A04E56">
        <w:t xml:space="preserve"> control function became operational during 2018. This has enabled the service to quantify its risk exposure in grant management (see above).</w:t>
      </w:r>
    </w:p>
    <w:p w14:paraId="67ED20E0" w14:textId="39DAD89E" w:rsidR="00FC5564" w:rsidRPr="00A04E56" w:rsidRDefault="00FC5564" w:rsidP="00C50089">
      <w:pPr>
        <w:pStyle w:val="SubtitleLightBlueReport11pt"/>
      </w:pPr>
      <w:r w:rsidRPr="00A04E56">
        <w:t>The Internal Audit Service’s overall opinion and emphasis of matter</w:t>
      </w:r>
      <w:r w:rsidR="00A21764">
        <w:t xml:space="preserve"> paragraph</w:t>
      </w:r>
    </w:p>
    <w:p w14:paraId="0F131B2D" w14:textId="461D2B35" w:rsidR="00FC5564" w:rsidRPr="00A04E56" w:rsidRDefault="00FC5564" w:rsidP="00133290">
      <w:pPr>
        <w:pStyle w:val="BodyText1spaceafter"/>
      </w:pPr>
      <w:r w:rsidRPr="00A04E56">
        <w:t>Accompanying its 2015, 2016 and 2017 overall opinions, the Internal Audit Service reiterated its emphasis of matter</w:t>
      </w:r>
      <w:r w:rsidR="00E22A7F" w:rsidRPr="00A04E56">
        <w:t xml:space="preserve"> paragraph</w:t>
      </w:r>
      <w:r w:rsidR="00C97845" w:rsidRPr="00C97845">
        <w:rPr>
          <w:rStyle w:val="fnRef"/>
          <w:rFonts w:ascii="Calibri" w:hAnsi="Calibri" w:cs="Calibri"/>
        </w:rPr>
        <w:t> </w:t>
      </w:r>
      <w:r w:rsidR="00C97845" w:rsidRPr="00C97845">
        <w:rPr>
          <w:rStyle w:val="fnRef"/>
        </w:rPr>
        <w:t>(</w:t>
      </w:r>
      <w:r w:rsidR="00E22A7F" w:rsidRPr="00C97845">
        <w:rPr>
          <w:rStyle w:val="fnRefNo"/>
        </w:rPr>
        <w:footnoteReference w:id="397"/>
      </w:r>
      <w:r w:rsidR="00C97845" w:rsidRPr="00C97845">
        <w:rPr>
          <w:rStyle w:val="fnRef"/>
        </w:rPr>
        <w:t>)</w:t>
      </w:r>
      <w:r w:rsidRPr="00A04E56">
        <w:t xml:space="preserve"> that departments relying on entrusted entities to implement parts of their policy and/or budget should strengthen their monitoring and supervision strategies and activities, albeit while also duly taking into account the specific (i.e. sometimes limited)</w:t>
      </w:r>
      <w:r w:rsidRPr="00A04E56" w:rsidDel="002B526D">
        <w:t xml:space="preserve"> </w:t>
      </w:r>
      <w:r w:rsidRPr="00A04E56" w:rsidDel="00AF64AD">
        <w:t>mandates</w:t>
      </w:r>
      <w:r w:rsidRPr="00A04E56">
        <w:t xml:space="preserve"> and roles these departments have been assigned in this context. This has been repeated </w:t>
      </w:r>
      <w:r w:rsidRPr="00277538">
        <w:rPr>
          <w:i/>
          <w:u w:val="single"/>
        </w:rPr>
        <w:t>for 2018</w:t>
      </w:r>
      <w:r w:rsidRPr="00A04E56">
        <w:t xml:space="preserve"> as well. See more details in subsection</w:t>
      </w:r>
      <w:r w:rsidRPr="00A04E56">
        <w:rPr>
          <w:rFonts w:ascii="Calibri" w:hAnsi="Calibri" w:cs="Calibri"/>
        </w:rPr>
        <w:t> </w:t>
      </w:r>
      <w:r w:rsidRPr="00A04E56">
        <w:t>6 and/or Annex</w:t>
      </w:r>
      <w:r w:rsidRPr="00A04E56">
        <w:rPr>
          <w:rFonts w:ascii="Calibri" w:hAnsi="Calibri" w:cs="Calibri"/>
        </w:rPr>
        <w:t> </w:t>
      </w:r>
      <w:r w:rsidRPr="00A04E56">
        <w:t>5.</w:t>
      </w:r>
    </w:p>
    <w:p w14:paraId="6B06531B" w14:textId="70AB12F8" w:rsidR="00FC5564" w:rsidRPr="00A04E56" w:rsidRDefault="00FC5564" w:rsidP="00FC5564">
      <w:pPr>
        <w:pStyle w:val="BodyText1spaceafter"/>
      </w:pPr>
      <w:r w:rsidRPr="00A04E56">
        <w:t xml:space="preserve">As four reservations concern issues in agencies and other entrusted entities (the Education, Audiovisual and Culture Executive Agency, the European Asylum Support Office, the European Border and Coast Guard Agency and the African Union Commission), this remains a point of particular attention for the Commission. </w:t>
      </w:r>
      <w:r w:rsidR="008C1D39" w:rsidRPr="00A04E56">
        <w:rPr>
          <w:i/>
          <w:u w:val="single"/>
        </w:rPr>
        <w:t>In 2018</w:t>
      </w:r>
      <w:r w:rsidRPr="00A04E56">
        <w:t xml:space="preserve">, central services and departments set up joint working groups to clarify and delineate the role of the departments supervising such bodies. </w:t>
      </w:r>
    </w:p>
    <w:p w14:paraId="6CAF10C4" w14:textId="11325B49" w:rsidR="00FC5564" w:rsidRPr="00A04E56" w:rsidRDefault="00FC5564" w:rsidP="00133290">
      <w:pPr>
        <w:pStyle w:val="BodyText1spaceafter"/>
      </w:pPr>
      <w:r w:rsidRPr="00A04E56">
        <w:t xml:space="preserve">Actions to improve the situation are undertaken by the </w:t>
      </w:r>
      <w:r w:rsidR="00950FF5" w:rsidRPr="00A04E56">
        <w:t>a</w:t>
      </w:r>
      <w:r w:rsidRPr="00A04E56">
        <w:t xml:space="preserve">gencies, the partner departments and the central services. This includes the enhancement of the governance arrangements (new </w:t>
      </w:r>
      <w:r w:rsidR="006B57F6" w:rsidRPr="00A04E56">
        <w:t>frame</w:t>
      </w:r>
      <w:r w:rsidRPr="00A04E56">
        <w:t xml:space="preserve">work </w:t>
      </w:r>
      <w:r w:rsidR="00AE4B2D" w:rsidRPr="00A04E56">
        <w:t>f</w:t>
      </w:r>
      <w:r w:rsidRPr="00A04E56">
        <w:t xml:space="preserve">inancial </w:t>
      </w:r>
      <w:r w:rsidR="00AE4B2D" w:rsidRPr="00A04E56">
        <w:t>r</w:t>
      </w:r>
      <w:r w:rsidRPr="00A04E56">
        <w:t>egulation has been adopted) and the preparations of a strengthened risk management by the decentralised agencies).</w:t>
      </w:r>
    </w:p>
    <w:p w14:paraId="469C8903" w14:textId="77777777" w:rsidR="00FC5564" w:rsidRPr="00A04E56" w:rsidRDefault="00FC5564" w:rsidP="00C50089">
      <w:pPr>
        <w:pStyle w:val="SubtitleLightBlueReport11pt"/>
      </w:pPr>
      <w:r w:rsidRPr="00A04E56">
        <w:t xml:space="preserve">Possible developments for 2019 </w:t>
      </w:r>
    </w:p>
    <w:p w14:paraId="7E4119A5" w14:textId="2B6504E9" w:rsidR="00FC5564" w:rsidRPr="00A04E56" w:rsidRDefault="00FC5564" w:rsidP="00FC5564">
      <w:pPr>
        <w:pStyle w:val="BodyText1spaceafter"/>
        <w:spacing w:before="240"/>
        <w:rPr>
          <w:color w:val="auto"/>
        </w:rPr>
      </w:pPr>
      <w:r w:rsidRPr="00A04E56">
        <w:rPr>
          <w:color w:val="auto"/>
        </w:rPr>
        <w:t xml:space="preserve">The Commission will consider exploring with the European Court of Auditors the introduction of a </w:t>
      </w:r>
      <w:bookmarkStart w:id="272" w:name="deminimisruleforreservations"/>
      <w:bookmarkEnd w:id="272"/>
      <w:r w:rsidRPr="00A04E56">
        <w:rPr>
          <w:i/>
          <w:color w:val="auto"/>
        </w:rPr>
        <w:t>de minimis</w:t>
      </w:r>
      <w:r w:rsidRPr="00A04E56">
        <w:rPr>
          <w:color w:val="auto"/>
        </w:rPr>
        <w:t xml:space="preserve"> rule for reservations. If agreed, reservations would no longer be considered meaningful for segments below a certain proportion of a department’s portfolio (e.g. less than 5%) and with a financial impact below a certain threshold (e.g. less than EUR 5</w:t>
      </w:r>
      <w:r w:rsidRPr="00A04E56">
        <w:rPr>
          <w:rFonts w:ascii="Calibri" w:hAnsi="Calibri" w:cs="Calibri"/>
          <w:color w:val="auto"/>
        </w:rPr>
        <w:t> </w:t>
      </w:r>
      <w:r w:rsidRPr="00A04E56">
        <w:rPr>
          <w:color w:val="auto"/>
        </w:rPr>
        <w:t>million). This would appl</w:t>
      </w:r>
      <w:r w:rsidR="00247932" w:rsidRPr="00A04E56">
        <w:rPr>
          <w:color w:val="auto"/>
        </w:rPr>
        <w:t>y</w:t>
      </w:r>
      <w:r w:rsidRPr="00A04E56">
        <w:rPr>
          <w:color w:val="auto"/>
        </w:rPr>
        <w:t xml:space="preserve"> </w:t>
      </w:r>
      <w:r w:rsidR="00247932" w:rsidRPr="00A04E56">
        <w:rPr>
          <w:color w:val="auto"/>
        </w:rPr>
        <w:t xml:space="preserve">to </w:t>
      </w:r>
      <w:r w:rsidRPr="00A04E56">
        <w:rPr>
          <w:color w:val="auto"/>
        </w:rPr>
        <w:t>many of the legacy programmes.</w:t>
      </w:r>
    </w:p>
    <w:p w14:paraId="2281BBD0" w14:textId="77777777" w:rsidR="00FC5564" w:rsidRPr="00A04E56" w:rsidRDefault="00FC5564" w:rsidP="00C50089">
      <w:pPr>
        <w:pStyle w:val="SubtitleLightBlueReport11pt"/>
      </w:pPr>
      <w:r w:rsidRPr="00A04E56">
        <w:t>Looking forward beyond 2019 and/or 2020</w:t>
      </w:r>
    </w:p>
    <w:p w14:paraId="660EF18D" w14:textId="593FC40F" w:rsidR="00FC5564" w:rsidRPr="00A04E56" w:rsidRDefault="00FC5564" w:rsidP="00133290">
      <w:pPr>
        <w:pStyle w:val="BodyText1spaceafter"/>
      </w:pPr>
      <w:r w:rsidRPr="00A04E56">
        <w:t xml:space="preserve">The revised </w:t>
      </w:r>
      <w:r w:rsidR="00AE4B2D" w:rsidRPr="00A04E56">
        <w:t>f</w:t>
      </w:r>
      <w:r w:rsidRPr="00A04E56">
        <w:t xml:space="preserve">inancial </w:t>
      </w:r>
      <w:r w:rsidR="00AE4B2D" w:rsidRPr="00A04E56">
        <w:t>r</w:t>
      </w:r>
      <w:r w:rsidRPr="00A04E56">
        <w:t xml:space="preserve">egulation entered into force </w:t>
      </w:r>
      <w:r w:rsidR="008C1D39" w:rsidRPr="00A04E56">
        <w:rPr>
          <w:i/>
          <w:u w:val="single"/>
        </w:rPr>
        <w:t>in 2018</w:t>
      </w:r>
      <w:r w:rsidRPr="00A04E56">
        <w:t xml:space="preserve">. </w:t>
      </w:r>
      <w:r w:rsidR="00247932" w:rsidRPr="00A04E56">
        <w:t>It provides</w:t>
      </w:r>
      <w:r w:rsidRPr="00A04E56">
        <w:t xml:space="preserve"> a simplified basis for post-2020 funding programmes for which the interinstitutional negotiations are ongoing. Special attention is being given to maximising simplifications, synergies and efficiencies, as well as to risk-differentiated and cost-effective control systems. The aim is to achieve</w:t>
      </w:r>
      <w:r w:rsidR="00247932" w:rsidRPr="00A04E56">
        <w:t xml:space="preserve"> both</w:t>
      </w:r>
      <w:r w:rsidRPr="00A04E56">
        <w:t xml:space="preserve"> the policy/programme and the internal control objectives, i.e. fast payments, low errors and economical control costs. Examples which can contribute to these three goals are the increased use of lump-sum grants (which furthermore reduces the need for detailed record-keeping) and the possibility of funding based on outputs or results (which eliminates the need to track working hours through time sheets).</w:t>
      </w:r>
    </w:p>
    <w:p w14:paraId="4AF991E8" w14:textId="4D30D252" w:rsidR="00FC5564" w:rsidRPr="00A04E56" w:rsidRDefault="00FC5564" w:rsidP="0030336E">
      <w:pPr>
        <w:pStyle w:val="Title2Report"/>
        <w:pageBreakBefore/>
        <w:spacing w:before="0"/>
        <w:rPr>
          <w:iCs/>
        </w:rPr>
      </w:pPr>
      <w:bookmarkStart w:id="273" w:name="_Toc6403752"/>
      <w:bookmarkStart w:id="274" w:name="_Toc9534258"/>
      <w:bookmarkStart w:id="275" w:name="_Toc9879912"/>
      <w:bookmarkStart w:id="276" w:name="_Toc10549883"/>
      <w:bookmarkStart w:id="277" w:name="_Toc12021055"/>
      <w:r w:rsidRPr="00A04E56">
        <w:rPr>
          <w:iCs/>
        </w:rPr>
        <w:t>6</w:t>
      </w:r>
      <w:bookmarkStart w:id="278" w:name="Assuranceobtainedthroughthework"/>
      <w:r w:rsidRPr="00A04E56">
        <w:rPr>
          <w:iCs/>
        </w:rPr>
        <w:t xml:space="preserve">. </w:t>
      </w:r>
      <w:r w:rsidR="00D04988" w:rsidRPr="00A04E56">
        <w:rPr>
          <w:iCs/>
        </w:rPr>
        <w:t xml:space="preserve">Assurance obtained through the work </w:t>
      </w:r>
      <w:bookmarkEnd w:id="278"/>
      <w:r w:rsidR="00D04988" w:rsidRPr="00A04E56">
        <w:rPr>
          <w:iCs/>
        </w:rPr>
        <w:t xml:space="preserve">of the </w:t>
      </w:r>
      <w:r w:rsidR="00AE4B2D" w:rsidRPr="00A04E56">
        <w:rPr>
          <w:iCs/>
        </w:rPr>
        <w:t>I</w:t>
      </w:r>
      <w:r w:rsidR="00D04988" w:rsidRPr="00A04E56">
        <w:rPr>
          <w:iCs/>
        </w:rPr>
        <w:t xml:space="preserve">nternal </w:t>
      </w:r>
      <w:r w:rsidR="00AE4B2D" w:rsidRPr="00A04E56">
        <w:rPr>
          <w:iCs/>
        </w:rPr>
        <w:t>A</w:t>
      </w:r>
      <w:r w:rsidR="00D04988" w:rsidRPr="00A04E56">
        <w:rPr>
          <w:iCs/>
        </w:rPr>
        <w:t xml:space="preserve">udit </w:t>
      </w:r>
      <w:r w:rsidR="00AE4B2D" w:rsidRPr="00A04E56">
        <w:rPr>
          <w:iCs/>
        </w:rPr>
        <w:t>S</w:t>
      </w:r>
      <w:r w:rsidR="00D04988" w:rsidRPr="00A04E56">
        <w:rPr>
          <w:iCs/>
        </w:rPr>
        <w:t>ervice</w:t>
      </w:r>
      <w:bookmarkEnd w:id="273"/>
      <w:bookmarkEnd w:id="274"/>
      <w:bookmarkEnd w:id="275"/>
      <w:bookmarkEnd w:id="276"/>
      <w:bookmarkEnd w:id="277"/>
    </w:p>
    <w:p w14:paraId="635F4FEA" w14:textId="1FEBEC5F" w:rsidR="00FC5564" w:rsidRPr="00A04E56" w:rsidRDefault="00FC5564" w:rsidP="00FC5564">
      <w:pPr>
        <w:pStyle w:val="BodyText1spaceafter"/>
        <w:rPr>
          <w:lang w:bidi="en-US"/>
        </w:rPr>
      </w:pPr>
      <w:r w:rsidRPr="00A04E56">
        <w:rPr>
          <w:lang w:bidi="en-US"/>
        </w:rPr>
        <w:t xml:space="preserve">The Commission departments also based their assurance on the work done by the Internal Audit Service. Annex 5 to this </w:t>
      </w:r>
      <w:r w:rsidRPr="004509A3">
        <w:rPr>
          <w:lang w:bidi="en-US"/>
        </w:rPr>
        <w:t>Annual</w:t>
      </w:r>
      <w:r w:rsidR="00E6257F" w:rsidRPr="004509A3">
        <w:rPr>
          <w:lang w:bidi="en-US"/>
        </w:rPr>
        <w:t xml:space="preserve"> Management and Performance R</w:t>
      </w:r>
      <w:r w:rsidR="00034A0B" w:rsidRPr="004509A3">
        <w:rPr>
          <w:lang w:bidi="en-US"/>
        </w:rPr>
        <w:t>eport</w:t>
      </w:r>
      <w:r w:rsidR="00034A0B" w:rsidRPr="00A04E56">
        <w:rPr>
          <w:lang w:bidi="en-US"/>
        </w:rPr>
        <w:t xml:space="preserve"> </w:t>
      </w:r>
      <w:r w:rsidRPr="00A04E56">
        <w:rPr>
          <w:lang w:bidi="en-US"/>
        </w:rPr>
        <w:t>includes more information on the assurance provided by the Internal Audit Service. A summary report of the internal auditor’s work is forwarded by the Commission to the discharge authority in accordance with Article 118(8) of the Financial Regulation.</w:t>
      </w:r>
    </w:p>
    <w:p w14:paraId="5A89ADA8" w14:textId="17ECCD97" w:rsidR="00FC5564" w:rsidRPr="00A04E56" w:rsidRDefault="00FC5564" w:rsidP="00FC5564">
      <w:pPr>
        <w:pStyle w:val="BodyText1spaceafter"/>
        <w:rPr>
          <w:lang w:bidi="en-US"/>
        </w:rPr>
      </w:pPr>
      <w:r w:rsidRPr="00A04E56">
        <w:rPr>
          <w:lang w:bidi="en-US"/>
        </w:rPr>
        <w:t xml:space="preserve">The Internal Audit Service has a strict </w:t>
      </w:r>
      <w:r w:rsidRPr="00A04E56">
        <w:rPr>
          <w:rStyle w:val="BOLDLIGHTBLUEReport"/>
          <w:rFonts w:eastAsia="Calibri"/>
        </w:rPr>
        <w:t>follow-up policy</w:t>
      </w:r>
      <w:r w:rsidRPr="00A04E56">
        <w:rPr>
          <w:lang w:bidi="en-US"/>
        </w:rPr>
        <w:t xml:space="preserve"> in place to assess the implementation of its recommendations. The Internal Audit Service’s work confirmed that 97% of its recommendations followed up during 2014</w:t>
      </w:r>
      <w:r w:rsidR="00CB6A77" w:rsidRPr="00A04E56">
        <w:rPr>
          <w:lang w:bidi="en-US"/>
        </w:rPr>
        <w:t>-</w:t>
      </w:r>
      <w:r w:rsidRPr="00A04E56">
        <w:rPr>
          <w:lang w:bidi="en-US"/>
        </w:rPr>
        <w:t xml:space="preserve">2018 were effectively and timely implemented by the auditees. </w:t>
      </w:r>
    </w:p>
    <w:p w14:paraId="6ED7E437" w14:textId="029D7020" w:rsidR="00FC5564" w:rsidRPr="00A04E56" w:rsidRDefault="00FC5564" w:rsidP="00FC5564">
      <w:pPr>
        <w:pStyle w:val="BodyText1spaceafter"/>
        <w:rPr>
          <w:lang w:bidi="en-US"/>
        </w:rPr>
      </w:pPr>
      <w:r w:rsidRPr="00A04E56">
        <w:rPr>
          <w:lang w:bidi="en-US"/>
        </w:rPr>
        <w:t xml:space="preserve">With a view to contributing to the Commission's performance-based culture and greater focus on value for money, the </w:t>
      </w:r>
      <w:r w:rsidR="0030165A">
        <w:rPr>
          <w:lang w:bidi="en-US"/>
        </w:rPr>
        <w:t>Internal Audit Service</w:t>
      </w:r>
      <w:r w:rsidRPr="00A04E56">
        <w:rPr>
          <w:lang w:bidi="en-US"/>
        </w:rPr>
        <w:t xml:space="preserve"> carried out </w:t>
      </w:r>
      <w:r w:rsidRPr="00A04E56">
        <w:rPr>
          <w:rStyle w:val="BOLDLIGHTBLUEReport"/>
          <w:rFonts w:eastAsia="Calibri"/>
        </w:rPr>
        <w:t>performance audits</w:t>
      </w:r>
      <w:r w:rsidRPr="00A04E56">
        <w:rPr>
          <w:lang w:bidi="en-US"/>
        </w:rPr>
        <w:t xml:space="preserve"> and audits which include important performance elements (comprehensive audits) </w:t>
      </w:r>
      <w:r w:rsidR="008C1D39" w:rsidRPr="005862D7">
        <w:rPr>
          <w:lang w:bidi="en-US"/>
        </w:rPr>
        <w:t>in 2018</w:t>
      </w:r>
      <w:r w:rsidRPr="00A04E56">
        <w:rPr>
          <w:lang w:bidi="en-US"/>
        </w:rPr>
        <w:t xml:space="preserve"> as part of its 2016-2018 strategic audit plan. </w:t>
      </w:r>
    </w:p>
    <w:p w14:paraId="6B5AF82E" w14:textId="2BB2E8FA" w:rsidR="00FC5564" w:rsidRPr="00A04E56" w:rsidRDefault="00FC5564" w:rsidP="00133290">
      <w:pPr>
        <w:pStyle w:val="BodyText1spaceafter"/>
        <w:keepNext/>
        <w:rPr>
          <w:lang w:bidi="en-US"/>
        </w:rPr>
      </w:pPr>
      <w:r w:rsidRPr="00A04E56">
        <w:rPr>
          <w:lang w:bidi="en-US"/>
        </w:rPr>
        <w:t xml:space="preserve">(i) As regards </w:t>
      </w:r>
      <w:r w:rsidRPr="00A04E56">
        <w:rPr>
          <w:rStyle w:val="BOLDLIGHTBLUEReport"/>
          <w:rFonts w:eastAsia="Calibri"/>
        </w:rPr>
        <w:t>horizontal processes</w:t>
      </w:r>
      <w:r w:rsidRPr="00A04E56">
        <w:rPr>
          <w:lang w:bidi="en-US"/>
        </w:rPr>
        <w:t xml:space="preserve">, the Internal Audit Service made recommendations to help improve the overall performance of several key processes in the areas of governance, </w:t>
      </w:r>
      <w:r w:rsidR="00E44698">
        <w:rPr>
          <w:lang w:bidi="en-US"/>
        </w:rPr>
        <w:t>information technology</w:t>
      </w:r>
      <w:r w:rsidRPr="00A04E56">
        <w:rPr>
          <w:lang w:bidi="en-US"/>
        </w:rPr>
        <w:t xml:space="preserve"> security, </w:t>
      </w:r>
      <w:r w:rsidR="007E08A0" w:rsidRPr="00A04E56">
        <w:rPr>
          <w:lang w:bidi="en-US"/>
        </w:rPr>
        <w:t>human resources</w:t>
      </w:r>
      <w:r w:rsidRPr="00A04E56">
        <w:rPr>
          <w:lang w:bidi="en-US"/>
        </w:rPr>
        <w:t>, synergies and use of resources</w:t>
      </w:r>
      <w:r w:rsidR="007E08A0" w:rsidRPr="00A04E56">
        <w:rPr>
          <w:lang w:bidi="en-US"/>
        </w:rPr>
        <w:t>.</w:t>
      </w:r>
    </w:p>
    <w:p w14:paraId="1BEFF3A0" w14:textId="2DC9101E" w:rsidR="00FC5564" w:rsidRPr="00A04E56" w:rsidRDefault="00FC5564" w:rsidP="00107DA0">
      <w:pPr>
        <w:pStyle w:val="BulletsblueNew"/>
      </w:pPr>
      <w:r w:rsidRPr="00A04E56">
        <w:t>In particular, the I</w:t>
      </w:r>
      <w:r w:rsidR="00E44698">
        <w:t xml:space="preserve">nternal </w:t>
      </w:r>
      <w:r w:rsidRPr="00A04E56">
        <w:t>A</w:t>
      </w:r>
      <w:r w:rsidR="00E44698">
        <w:t xml:space="preserve">udit </w:t>
      </w:r>
      <w:r w:rsidRPr="00A04E56">
        <w:t>S</w:t>
      </w:r>
      <w:r w:rsidR="00E44698">
        <w:t>ervice</w:t>
      </w:r>
      <w:r w:rsidRPr="00A04E56">
        <w:t xml:space="preserve"> audited the state of play of the </w:t>
      </w:r>
      <w:r w:rsidR="004F305B" w:rsidRPr="00A04E56">
        <w:t>‘</w:t>
      </w:r>
      <w:r w:rsidR="004951CC" w:rsidRPr="00A04E56">
        <w:t>s</w:t>
      </w:r>
      <w:r w:rsidRPr="00A04E56">
        <w:t xml:space="preserve">ynergies and </w:t>
      </w:r>
      <w:r w:rsidR="004951CC" w:rsidRPr="00A04E56">
        <w:t>e</w:t>
      </w:r>
      <w:r w:rsidRPr="00A04E56">
        <w:t>fficiencies</w:t>
      </w:r>
      <w:r w:rsidR="004F305B" w:rsidRPr="00A04E56">
        <w:t>’</w:t>
      </w:r>
      <w:r w:rsidRPr="00A04E56">
        <w:t xml:space="preserve"> </w:t>
      </w:r>
      <w:r w:rsidR="004F305B" w:rsidRPr="00A04E56">
        <w:t>r</w:t>
      </w:r>
      <w:r w:rsidRPr="00A04E56">
        <w:t>eview launched in 2016 and recommended proportionate improvements aimed at helping to ensure that this initiative is ultimately successful in delivering against its objectives. Following the I</w:t>
      </w:r>
      <w:r w:rsidR="00E44698">
        <w:t xml:space="preserve">nternal </w:t>
      </w:r>
      <w:r w:rsidRPr="00A04E56">
        <w:t>A</w:t>
      </w:r>
      <w:r w:rsidR="00E44698">
        <w:t xml:space="preserve">udit </w:t>
      </w:r>
      <w:r w:rsidRPr="00A04E56">
        <w:t>S</w:t>
      </w:r>
      <w:r w:rsidR="00E44698">
        <w:t>ervice</w:t>
      </w:r>
      <w:r w:rsidRPr="00A04E56">
        <w:t xml:space="preserve"> audit, the Commission issued a new </w:t>
      </w:r>
      <w:r w:rsidR="00F504A4" w:rsidRPr="00A04E56">
        <w:t xml:space="preserve">communication on </w:t>
      </w:r>
      <w:r w:rsidR="00532F02" w:rsidRPr="004509A3">
        <w:rPr>
          <w:rStyle w:val="BOLDLIGHTBLUEReport"/>
          <w:rFonts w:eastAsia="Calibri"/>
        </w:rPr>
        <w:t xml:space="preserve">The synergies </w:t>
      </w:r>
      <w:r w:rsidRPr="004509A3">
        <w:rPr>
          <w:rStyle w:val="BOLDLIGHTBLUEReport"/>
          <w:rFonts w:eastAsia="Calibri"/>
        </w:rPr>
        <w:t>and</w:t>
      </w:r>
      <w:r w:rsidR="004A380C" w:rsidRPr="004509A3">
        <w:rPr>
          <w:rStyle w:val="BOLDLIGHTBLUEReport"/>
          <w:rFonts w:eastAsia="Calibri"/>
        </w:rPr>
        <w:t xml:space="preserve"> efficiencies ini</w:t>
      </w:r>
      <w:r w:rsidRPr="004509A3">
        <w:rPr>
          <w:rStyle w:val="BOLDLIGHTBLUEReport"/>
          <w:rFonts w:eastAsia="Calibri"/>
        </w:rPr>
        <w:t>tiative: stock-taking and way forward</w:t>
      </w:r>
      <w:r w:rsidRPr="00A04E56">
        <w:t xml:space="preserve"> in April 2019. </w:t>
      </w:r>
    </w:p>
    <w:p w14:paraId="5F61FECA" w14:textId="4E43B691" w:rsidR="00FC5564" w:rsidRPr="00A04E56" w:rsidRDefault="00FC5564" w:rsidP="00107DA0">
      <w:pPr>
        <w:pStyle w:val="BulletsblueNew"/>
      </w:pPr>
      <w:r w:rsidRPr="00A04E56">
        <w:t>On governance processes, the Commission issued a set of communications and decisions (‘Governance package’) in November 2018 to address the issues identified by the I</w:t>
      </w:r>
      <w:r w:rsidR="00E44698">
        <w:t xml:space="preserve">nternal </w:t>
      </w:r>
      <w:r w:rsidRPr="00A04E56">
        <w:t>A</w:t>
      </w:r>
      <w:r w:rsidR="00E44698">
        <w:t xml:space="preserve">udit </w:t>
      </w:r>
      <w:r w:rsidRPr="00A04E56">
        <w:t>S</w:t>
      </w:r>
      <w:r w:rsidR="00E44698">
        <w:t>ervice</w:t>
      </w:r>
      <w:r w:rsidRPr="00A04E56">
        <w:t xml:space="preserve"> in its audit </w:t>
      </w:r>
      <w:r w:rsidR="00F61D9B" w:rsidRPr="00A04E56">
        <w:t xml:space="preserve">report </w:t>
      </w:r>
      <w:r w:rsidRPr="00A04E56">
        <w:t xml:space="preserve">issued in January 2018 and update the corporate governance arrangements of the Commission. </w:t>
      </w:r>
      <w:r w:rsidR="008C1D39" w:rsidRPr="005862D7">
        <w:t>In 2018</w:t>
      </w:r>
      <w:r w:rsidRPr="00A04E56">
        <w:t xml:space="preserve">, the </w:t>
      </w:r>
      <w:r w:rsidR="0032451D">
        <w:t>Internal Audit Service</w:t>
      </w:r>
      <w:r w:rsidRPr="00A04E56">
        <w:t xml:space="preserve"> made further recommendations in the governance area</w:t>
      </w:r>
      <w:r w:rsidR="00E44698">
        <w:t>s of Connecting Europe Facility</w:t>
      </w:r>
      <w:r w:rsidRPr="00A04E56">
        <w:t xml:space="preserve"> telecom programme and IT governance in </w:t>
      </w:r>
      <w:r w:rsidR="0032451D">
        <w:t xml:space="preserve">the </w:t>
      </w:r>
      <w:r w:rsidR="0032451D" w:rsidRPr="00A04E56">
        <w:t>D</w:t>
      </w:r>
      <w:r w:rsidR="0032451D">
        <w:t>irectorate-</w:t>
      </w:r>
      <w:r w:rsidR="0032451D" w:rsidRPr="00A04E56">
        <w:t>G</w:t>
      </w:r>
      <w:r w:rsidR="0032451D">
        <w:t>eneral</w:t>
      </w:r>
      <w:r w:rsidRPr="00A04E56">
        <w:t xml:space="preserve"> </w:t>
      </w:r>
      <w:r w:rsidR="00E44698">
        <w:t xml:space="preserve">for </w:t>
      </w:r>
      <w:r w:rsidR="00F11B85" w:rsidRPr="00A04E56">
        <w:t>International Cooperation and Development</w:t>
      </w:r>
      <w:r w:rsidRPr="00A04E56">
        <w:t>.</w:t>
      </w:r>
    </w:p>
    <w:p w14:paraId="4D787807" w14:textId="4C1C914F" w:rsidR="00FC5564" w:rsidRPr="00A04E56" w:rsidRDefault="00FC5564" w:rsidP="00107DA0">
      <w:pPr>
        <w:pStyle w:val="BulletsblueNew"/>
      </w:pPr>
      <w:r w:rsidRPr="00A04E56">
        <w:t xml:space="preserve">On </w:t>
      </w:r>
      <w:r w:rsidR="007E47CA" w:rsidRPr="00A04E56">
        <w:t>human</w:t>
      </w:r>
      <w:r w:rsidR="00DF0116" w:rsidRPr="00A04E56">
        <w:t>-resources</w:t>
      </w:r>
      <w:r w:rsidRPr="00A04E56">
        <w:t xml:space="preserve"> management, several observations were made to </w:t>
      </w:r>
      <w:r w:rsidR="00C522A4" w:rsidRPr="00A04E56">
        <w:t xml:space="preserve">the </w:t>
      </w:r>
      <w:r w:rsidRPr="00A04E56">
        <w:t>J</w:t>
      </w:r>
      <w:r w:rsidR="00C522A4" w:rsidRPr="00A04E56">
        <w:t xml:space="preserve">oint </w:t>
      </w:r>
      <w:r w:rsidRPr="00A04E56">
        <w:t>R</w:t>
      </w:r>
      <w:r w:rsidR="00C522A4" w:rsidRPr="00A04E56">
        <w:t xml:space="preserve">esearch </w:t>
      </w:r>
      <w:r w:rsidRPr="00A04E56">
        <w:t>C</w:t>
      </w:r>
      <w:r w:rsidR="00C522A4" w:rsidRPr="00A04E56">
        <w:t>entre</w:t>
      </w:r>
      <w:r w:rsidRPr="00A04E56">
        <w:t xml:space="preserve"> in I</w:t>
      </w:r>
      <w:r w:rsidR="00E44698">
        <w:t xml:space="preserve">nternal </w:t>
      </w:r>
      <w:r w:rsidRPr="00A04E56">
        <w:t>A</w:t>
      </w:r>
      <w:r w:rsidR="00E44698">
        <w:t xml:space="preserve">udit </w:t>
      </w:r>
      <w:r w:rsidRPr="00A04E56">
        <w:t>S</w:t>
      </w:r>
      <w:r w:rsidR="00E44698">
        <w:t>ervice</w:t>
      </w:r>
      <w:r w:rsidRPr="00A04E56">
        <w:t xml:space="preserve"> audits and, in view of similar issues identified in recent years</w:t>
      </w:r>
      <w:r w:rsidR="004166BE" w:rsidRPr="00A04E56">
        <w:t xml:space="preserve"> in other Commission departments</w:t>
      </w:r>
      <w:r w:rsidRPr="00A04E56">
        <w:t>, the I</w:t>
      </w:r>
      <w:r w:rsidR="00E44698">
        <w:t xml:space="preserve">nternal </w:t>
      </w:r>
      <w:r w:rsidRPr="00A04E56">
        <w:t>A</w:t>
      </w:r>
      <w:r w:rsidR="00E44698">
        <w:t xml:space="preserve">udit </w:t>
      </w:r>
      <w:r w:rsidRPr="00A04E56">
        <w:t>S</w:t>
      </w:r>
      <w:r w:rsidR="00E44698">
        <w:t>ervice</w:t>
      </w:r>
      <w:r w:rsidRPr="00A04E56">
        <w:t xml:space="preserve"> </w:t>
      </w:r>
      <w:r w:rsidR="00C6157D" w:rsidRPr="00A04E56">
        <w:t xml:space="preserve">sent </w:t>
      </w:r>
      <w:r w:rsidRPr="00A04E56">
        <w:t xml:space="preserve">a management </w:t>
      </w:r>
      <w:r w:rsidRPr="00A04E56">
        <w:rPr>
          <w:rFonts w:ascii="Verdana" w:hAnsi="Verdana"/>
          <w:sz w:val="16"/>
          <w:szCs w:val="16"/>
        </w:rPr>
        <w:t xml:space="preserve">letter to </w:t>
      </w:r>
      <w:r w:rsidR="0032451D" w:rsidRPr="00A04E56">
        <w:t>D</w:t>
      </w:r>
      <w:r w:rsidR="0032451D">
        <w:t>irectorate-</w:t>
      </w:r>
      <w:r w:rsidR="0032451D" w:rsidRPr="00A04E56">
        <w:t>G</w:t>
      </w:r>
      <w:r w:rsidR="0032451D">
        <w:t>eneral</w:t>
      </w:r>
      <w:r w:rsidR="00C6157D" w:rsidRPr="00E44698">
        <w:t xml:space="preserve"> </w:t>
      </w:r>
      <w:r w:rsidR="00E44698" w:rsidRPr="00E44698">
        <w:t xml:space="preserve">for </w:t>
      </w:r>
      <w:r w:rsidR="00C6157D" w:rsidRPr="00E44698">
        <w:t xml:space="preserve">Human Resources and Security </w:t>
      </w:r>
      <w:r w:rsidRPr="00E44698">
        <w:t>raising</w:t>
      </w:r>
      <w:r w:rsidRPr="00A04E56">
        <w:t xml:space="preserve"> a number of issues for consideration to help the Commission respond effectively to the </w:t>
      </w:r>
      <w:r w:rsidR="00E44698">
        <w:t>human resources</w:t>
      </w:r>
      <w:r w:rsidRPr="00A04E56">
        <w:t xml:space="preserve"> challenges faced by the </w:t>
      </w:r>
      <w:r w:rsidR="0032451D" w:rsidRPr="00A04E56">
        <w:t>D</w:t>
      </w:r>
      <w:r w:rsidR="0032451D">
        <w:t>irectorates-</w:t>
      </w:r>
      <w:r w:rsidR="0032451D" w:rsidRPr="00A04E56">
        <w:t>G</w:t>
      </w:r>
      <w:r w:rsidR="0032451D">
        <w:t>eneral</w:t>
      </w:r>
      <w:r w:rsidRPr="00A04E56">
        <w:t xml:space="preserve"> </w:t>
      </w:r>
      <w:r w:rsidR="004A380C" w:rsidRPr="00A04E56">
        <w:t>and services</w:t>
      </w:r>
      <w:r w:rsidRPr="00A04E56">
        <w:t xml:space="preserve">. </w:t>
      </w:r>
    </w:p>
    <w:p w14:paraId="21A18CEC" w14:textId="23AEAB12" w:rsidR="00FC5564" w:rsidRPr="00A04E56" w:rsidRDefault="004A380C" w:rsidP="00107DA0">
      <w:pPr>
        <w:pStyle w:val="BulletsblueNew"/>
      </w:pPr>
      <w:r w:rsidRPr="00A04E56">
        <w:t xml:space="preserve">Appropriate </w:t>
      </w:r>
      <w:r w:rsidR="00FC5564" w:rsidRPr="00A04E56">
        <w:t xml:space="preserve">coordination of activities and cooperation with stakeholders are essential in order to ensure consistent and effective action between different policy areas. The </w:t>
      </w:r>
      <w:r w:rsidR="0032451D">
        <w:t>Internal Audit Service</w:t>
      </w:r>
      <w:r w:rsidR="00FC5564" w:rsidRPr="00A04E56">
        <w:t xml:space="preserve"> made specific recommendations concerning the coordination activities between the Commission (D</w:t>
      </w:r>
      <w:r w:rsidR="0032451D">
        <w:t>irectorate-</w:t>
      </w:r>
      <w:r w:rsidR="00FC5564" w:rsidRPr="00A04E56">
        <w:t>G</w:t>
      </w:r>
      <w:r w:rsidR="0032451D">
        <w:t>eneral</w:t>
      </w:r>
      <w:r w:rsidR="00FC5564" w:rsidRPr="00A04E56">
        <w:t xml:space="preserve"> </w:t>
      </w:r>
      <w:r w:rsidR="00E44698">
        <w:t xml:space="preserve">for </w:t>
      </w:r>
      <w:r w:rsidR="00F11B85" w:rsidRPr="00A04E56">
        <w:t>International Cooperation and Development</w:t>
      </w:r>
      <w:r w:rsidR="00FC5564" w:rsidRPr="00A04E56">
        <w:t xml:space="preserve">, </w:t>
      </w:r>
      <w:r w:rsidR="0032451D" w:rsidRPr="00A04E56">
        <w:t>D</w:t>
      </w:r>
      <w:r w:rsidR="0032451D">
        <w:t>irectorate-</w:t>
      </w:r>
      <w:r w:rsidR="0032451D" w:rsidRPr="00A04E56">
        <w:t>G</w:t>
      </w:r>
      <w:r w:rsidR="0032451D">
        <w:t>eneral</w:t>
      </w:r>
      <w:r w:rsidR="00FC5564" w:rsidRPr="00A04E56">
        <w:t xml:space="preserve"> </w:t>
      </w:r>
      <w:r w:rsidR="00E44698">
        <w:t xml:space="preserve">for </w:t>
      </w:r>
      <w:r w:rsidR="00FC5564" w:rsidRPr="00A04E56">
        <w:t>N</w:t>
      </w:r>
      <w:r w:rsidR="00756904" w:rsidRPr="00A04E56">
        <w:t>eighbourhood and Enlargement Negotiations</w:t>
      </w:r>
      <w:r w:rsidR="00FC5564" w:rsidRPr="00A04E56">
        <w:t xml:space="preserve"> and </w:t>
      </w:r>
      <w:r w:rsidR="00F11B85" w:rsidRPr="00A04E56">
        <w:t>the Service for Foreign Policy Instruments</w:t>
      </w:r>
      <w:r w:rsidR="00FC5564" w:rsidRPr="00A04E56">
        <w:t xml:space="preserve">) and the European External Action Service and the cooperation between </w:t>
      </w:r>
      <w:r w:rsidR="00F11B85" w:rsidRPr="00A04E56">
        <w:t>Eurostat</w:t>
      </w:r>
      <w:r w:rsidR="00F11B85" w:rsidRPr="00A04E56" w:rsidDel="00F11B85">
        <w:t xml:space="preserve"> </w:t>
      </w:r>
      <w:r w:rsidR="00FC5564" w:rsidRPr="00A04E56">
        <w:t>and EU bodies and international organisations.</w:t>
      </w:r>
    </w:p>
    <w:p w14:paraId="4DA7EE2F" w14:textId="77777777" w:rsidR="00FC5564" w:rsidRPr="00A04E56" w:rsidRDefault="00FC5564" w:rsidP="00107DA0">
      <w:pPr>
        <w:pStyle w:val="BulletsblueNew"/>
      </w:pPr>
      <w:r w:rsidRPr="00A04E56">
        <w:t xml:space="preserve">Various audits concluded that further progress can also be made in improving the overall performance of other horizontal processes, as presented in </w:t>
      </w:r>
      <w:r w:rsidRPr="00A04E56">
        <w:rPr>
          <w:lang w:bidi="en-US"/>
        </w:rPr>
        <w:t>Annex 5</w:t>
      </w:r>
      <w:r w:rsidRPr="00A04E56">
        <w:t>.</w:t>
      </w:r>
    </w:p>
    <w:p w14:paraId="3E69609C" w14:textId="77777777" w:rsidR="00FC5564" w:rsidRPr="00A04E56" w:rsidRDefault="00FC5564" w:rsidP="00107DA0">
      <w:pPr>
        <w:pStyle w:val="BulletsblueNew-Spaceafter"/>
      </w:pPr>
      <w:r w:rsidRPr="00A04E56">
        <w:t xml:space="preserve">Several aspects of better regulation were audited (as presented in </w:t>
      </w:r>
      <w:r w:rsidRPr="00A04E56">
        <w:rPr>
          <w:lang w:bidi="en-US"/>
        </w:rPr>
        <w:t>Annex 5</w:t>
      </w:r>
      <w:r w:rsidRPr="00A04E56">
        <w:t>), but no significant issues were identified in these areas.</w:t>
      </w:r>
    </w:p>
    <w:p w14:paraId="6BAC0AD9" w14:textId="3F7492DC" w:rsidR="00FC5564" w:rsidRPr="00A04E56" w:rsidRDefault="00FC5564" w:rsidP="00133290">
      <w:pPr>
        <w:pStyle w:val="BodyText1spaceafter"/>
        <w:keepNext/>
        <w:rPr>
          <w:lang w:bidi="en-US"/>
        </w:rPr>
      </w:pPr>
      <w:r w:rsidRPr="00A04E56">
        <w:rPr>
          <w:lang w:bidi="en-US"/>
        </w:rPr>
        <w:t xml:space="preserve">(ii) </w:t>
      </w:r>
      <w:r w:rsidR="00E01E0A" w:rsidRPr="00A04E56">
        <w:rPr>
          <w:rStyle w:val="BOLDLIGHTBLUEReport"/>
          <w:rFonts w:eastAsia="Calibri"/>
        </w:rPr>
        <w:t>P</w:t>
      </w:r>
      <w:r w:rsidRPr="00A04E56">
        <w:rPr>
          <w:rStyle w:val="BOLDLIGHTBLUEReport"/>
          <w:rFonts w:eastAsia="Calibri"/>
        </w:rPr>
        <w:t>erformance in implementing budget operational and administrative appropriations</w:t>
      </w:r>
      <w:r w:rsidR="00E01E0A" w:rsidRPr="00A04E56">
        <w:rPr>
          <w:lang w:bidi="en-US"/>
        </w:rPr>
        <w:t>.</w:t>
      </w:r>
    </w:p>
    <w:p w14:paraId="4229204A" w14:textId="571D1F72" w:rsidR="00FC5564" w:rsidRPr="00A04E56" w:rsidRDefault="00E01E0A" w:rsidP="00107DA0">
      <w:pPr>
        <w:pStyle w:val="BulletsblueNew"/>
        <w:rPr>
          <w:lang w:bidi="en-US"/>
        </w:rPr>
      </w:pPr>
      <w:r w:rsidRPr="00A04E56">
        <w:rPr>
          <w:lang w:bidi="en-US"/>
        </w:rPr>
        <w:t>T</w:t>
      </w:r>
      <w:r w:rsidR="00FC5564" w:rsidRPr="00A04E56">
        <w:rPr>
          <w:lang w:bidi="en-US"/>
        </w:rPr>
        <w:t xml:space="preserve">he Internal Audit Service performed several audits assessing programme management and payment processes in </w:t>
      </w:r>
      <w:r w:rsidR="00FC5564" w:rsidRPr="00A04E56">
        <w:rPr>
          <w:rStyle w:val="BOLDLIGHTBLUEReport"/>
          <w:rFonts w:eastAsiaTheme="minorHAnsi"/>
        </w:rPr>
        <w:t>shared management</w:t>
      </w:r>
      <w:r w:rsidR="00FC5564" w:rsidRPr="00A04E56">
        <w:rPr>
          <w:lang w:bidi="en-US"/>
        </w:rPr>
        <w:t xml:space="preserve">, but did not identify significant performance weaknesses in these areas. </w:t>
      </w:r>
    </w:p>
    <w:p w14:paraId="3EC8A1A8" w14:textId="3B622C3F" w:rsidR="00FC5564" w:rsidRPr="00A04E56" w:rsidRDefault="00FC5564" w:rsidP="009B4814">
      <w:pPr>
        <w:pStyle w:val="BulletsblueNew"/>
        <w:keepLines/>
        <w:rPr>
          <w:lang w:bidi="en-US"/>
        </w:rPr>
      </w:pPr>
      <w:r w:rsidRPr="00A04E56">
        <w:rPr>
          <w:lang w:bidi="en-US"/>
        </w:rPr>
        <w:t xml:space="preserve">In the area of </w:t>
      </w:r>
      <w:r w:rsidRPr="00A04E56">
        <w:rPr>
          <w:rStyle w:val="BOLDLIGHTBLUEReport"/>
          <w:rFonts w:eastAsiaTheme="minorHAnsi"/>
        </w:rPr>
        <w:t>directly managed funds</w:t>
      </w:r>
      <w:r w:rsidRPr="00A04E56">
        <w:rPr>
          <w:lang w:bidi="en-US"/>
        </w:rPr>
        <w:t xml:space="preserve">, several audits assessed the management of grants by </w:t>
      </w:r>
      <w:r w:rsidR="00950FF5" w:rsidRPr="00A04E56">
        <w:rPr>
          <w:lang w:bidi="en-US"/>
        </w:rPr>
        <w:t>e</w:t>
      </w:r>
      <w:r w:rsidRPr="00A04E56">
        <w:rPr>
          <w:lang w:bidi="en-US"/>
        </w:rPr>
        <w:t xml:space="preserve">xecutive </w:t>
      </w:r>
      <w:r w:rsidR="00950FF5" w:rsidRPr="00A04E56">
        <w:rPr>
          <w:lang w:bidi="en-US"/>
        </w:rPr>
        <w:t>a</w:t>
      </w:r>
      <w:r w:rsidRPr="00A04E56">
        <w:rPr>
          <w:lang w:bidi="en-US"/>
        </w:rPr>
        <w:t>gencies (</w:t>
      </w:r>
      <w:r w:rsidR="00E44698" w:rsidRPr="00E44698">
        <w:rPr>
          <w:lang w:bidi="en-US"/>
        </w:rPr>
        <w:t>Education, Audiovisual and Culture Executive Agency</w:t>
      </w:r>
      <w:r w:rsidRPr="00A04E56">
        <w:rPr>
          <w:lang w:bidi="en-US"/>
        </w:rPr>
        <w:t xml:space="preserve">, </w:t>
      </w:r>
      <w:r w:rsidR="00E44698" w:rsidRPr="00E44698">
        <w:rPr>
          <w:lang w:bidi="en-US"/>
        </w:rPr>
        <w:t xml:space="preserve">Executive Agency for </w:t>
      </w:r>
      <w:r w:rsidR="00E43214">
        <w:rPr>
          <w:lang w:bidi="en-US"/>
        </w:rPr>
        <w:t>Small and Medium-Sized Enterprises</w:t>
      </w:r>
      <w:r w:rsidRPr="00A04E56">
        <w:rPr>
          <w:lang w:bidi="en-US"/>
        </w:rPr>
        <w:t xml:space="preserve">, </w:t>
      </w:r>
      <w:r w:rsidR="00E44698" w:rsidRPr="00E44698">
        <w:rPr>
          <w:lang w:bidi="en-US"/>
        </w:rPr>
        <w:t>European Research Council Executive Agency</w:t>
      </w:r>
      <w:r w:rsidRPr="00A04E56">
        <w:rPr>
          <w:lang w:bidi="en-US"/>
        </w:rPr>
        <w:t xml:space="preserve">, </w:t>
      </w:r>
      <w:r w:rsidR="00E44698" w:rsidRPr="00E44698">
        <w:rPr>
          <w:lang w:bidi="en-US"/>
        </w:rPr>
        <w:t>Innovation and Networks Executive Agency</w:t>
      </w:r>
      <w:r w:rsidRPr="00A04E56">
        <w:rPr>
          <w:lang w:bidi="en-US"/>
        </w:rPr>
        <w:t xml:space="preserve">, </w:t>
      </w:r>
      <w:r w:rsidR="00E44698" w:rsidRPr="00E44698">
        <w:rPr>
          <w:lang w:bidi="en-US"/>
        </w:rPr>
        <w:t>Research Executive Agency</w:t>
      </w:r>
      <w:r w:rsidRPr="00A04E56">
        <w:rPr>
          <w:lang w:bidi="en-US"/>
        </w:rPr>
        <w:t xml:space="preserve">) and no significant performance weaknesses were identified, except for </w:t>
      </w:r>
      <w:r w:rsidR="00E44698" w:rsidRPr="00E44698">
        <w:rPr>
          <w:lang w:bidi="en-US"/>
        </w:rPr>
        <w:t>Education, Audiovisual and Culture Executive Agency</w:t>
      </w:r>
      <w:r w:rsidRPr="00A04E56">
        <w:rPr>
          <w:lang w:bidi="en-US"/>
        </w:rPr>
        <w:t xml:space="preserve">. In this </w:t>
      </w:r>
      <w:r w:rsidR="00F504A4" w:rsidRPr="00A04E56">
        <w:rPr>
          <w:lang w:bidi="en-US"/>
        </w:rPr>
        <w:t>a</w:t>
      </w:r>
      <w:r w:rsidRPr="00A04E56">
        <w:rPr>
          <w:lang w:bidi="en-US"/>
        </w:rPr>
        <w:t xml:space="preserve">gency, serious shortcomings affecting the effectiveness of the overall internal control system put in place for the project management of Erasmus+ and Creative Europe grants were identified. The </w:t>
      </w:r>
      <w:r w:rsidR="00E43214">
        <w:rPr>
          <w:lang w:bidi="en-US"/>
        </w:rPr>
        <w:t>Internal Audit Service</w:t>
      </w:r>
      <w:r w:rsidRPr="00A04E56">
        <w:rPr>
          <w:lang w:bidi="en-US"/>
        </w:rPr>
        <w:t xml:space="preserve"> noted that the </w:t>
      </w:r>
      <w:r w:rsidR="00F504A4" w:rsidRPr="00A04E56">
        <w:rPr>
          <w:lang w:bidi="en-US"/>
        </w:rPr>
        <w:t>a</w:t>
      </w:r>
      <w:r w:rsidRPr="00A04E56">
        <w:rPr>
          <w:lang w:bidi="en-US"/>
        </w:rPr>
        <w:t xml:space="preserve">gency had already started to address these issues (see subsection 5), in line with the audit recommendations. </w:t>
      </w:r>
    </w:p>
    <w:p w14:paraId="31EE7DA7" w14:textId="6E4FCF7E" w:rsidR="00FC5564" w:rsidRPr="00A04E56" w:rsidRDefault="00FC5564" w:rsidP="00107DA0">
      <w:pPr>
        <w:pStyle w:val="BulletsblueNew-Spaceafter"/>
        <w:rPr>
          <w:lang w:bidi="en-US"/>
        </w:rPr>
      </w:pPr>
      <w:r w:rsidRPr="00A04E56">
        <w:rPr>
          <w:lang w:bidi="en-US"/>
        </w:rPr>
        <w:t xml:space="preserve">In the area of </w:t>
      </w:r>
      <w:r w:rsidRPr="00A04E56">
        <w:rPr>
          <w:rStyle w:val="BOLDLIGHTBLUEReport"/>
          <w:rFonts w:eastAsiaTheme="minorHAnsi"/>
        </w:rPr>
        <w:t>indirectly managed funds</w:t>
      </w:r>
      <w:r w:rsidRPr="00A04E56">
        <w:rPr>
          <w:lang w:bidi="en-US"/>
        </w:rPr>
        <w:t xml:space="preserve">, several audits focused on the supervision arrangements in place in the </w:t>
      </w:r>
      <w:r w:rsidR="00E43214">
        <w:rPr>
          <w:lang w:bidi="en-US"/>
        </w:rPr>
        <w:t>departments</w:t>
      </w:r>
      <w:r w:rsidRPr="00A04E56">
        <w:rPr>
          <w:lang w:bidi="en-US"/>
        </w:rPr>
        <w:t xml:space="preserve">. While no significant performance weaknesses were identified in </w:t>
      </w:r>
      <w:r w:rsidR="00E43214">
        <w:rPr>
          <w:lang w:bidi="en-US"/>
        </w:rPr>
        <w:t>department</w:t>
      </w:r>
      <w:r w:rsidRPr="00A04E56">
        <w:rPr>
          <w:lang w:bidi="en-US"/>
        </w:rPr>
        <w:t xml:space="preserve"> </w:t>
      </w:r>
      <w:r w:rsidR="00F11B85" w:rsidRPr="00A04E56">
        <w:rPr>
          <w:lang w:bidi="en-US"/>
        </w:rPr>
        <w:t xml:space="preserve">Internal Market, Industry, Entrepreneurship and </w:t>
      </w:r>
      <w:r w:rsidR="00E43214">
        <w:rPr>
          <w:lang w:bidi="en-US"/>
        </w:rPr>
        <w:t>Small and Medium-Sized Enterprises</w:t>
      </w:r>
      <w:r w:rsidRPr="00A04E56">
        <w:rPr>
          <w:lang w:bidi="en-US"/>
        </w:rPr>
        <w:t xml:space="preserve">, the </w:t>
      </w:r>
      <w:r w:rsidR="00E43214">
        <w:rPr>
          <w:lang w:bidi="en-US"/>
        </w:rPr>
        <w:t>Internal Audit Service</w:t>
      </w:r>
      <w:r w:rsidRPr="00A04E56">
        <w:rPr>
          <w:lang w:bidi="en-US"/>
        </w:rPr>
        <w:t xml:space="preserve"> identified weaknesses with regard to</w:t>
      </w:r>
      <w:r w:rsidR="00F61D9B" w:rsidRPr="00A04E56">
        <w:rPr>
          <w:lang w:bidi="en-US"/>
        </w:rPr>
        <w:t xml:space="preserve"> specific issues</w:t>
      </w:r>
      <w:r w:rsidRPr="00A04E56">
        <w:rPr>
          <w:lang w:bidi="en-US"/>
        </w:rPr>
        <w:t xml:space="preserve"> </w:t>
      </w:r>
      <w:r w:rsidR="00E01E0A" w:rsidRPr="00A04E56">
        <w:rPr>
          <w:lang w:bidi="en-US"/>
        </w:rPr>
        <w:t xml:space="preserve">in </w:t>
      </w:r>
      <w:r w:rsidRPr="00A04E56">
        <w:rPr>
          <w:lang w:bidi="en-US"/>
        </w:rPr>
        <w:t xml:space="preserve">the management of financial instruments in </w:t>
      </w:r>
      <w:r w:rsidR="00E43214">
        <w:rPr>
          <w:lang w:bidi="en-US"/>
        </w:rPr>
        <w:t>department</w:t>
      </w:r>
      <w:r w:rsidR="00F11B85" w:rsidRPr="00A04E56">
        <w:rPr>
          <w:lang w:bidi="en-US"/>
        </w:rPr>
        <w:t xml:space="preserve"> </w:t>
      </w:r>
      <w:r w:rsidR="00E44698">
        <w:rPr>
          <w:lang w:bidi="en-US"/>
        </w:rPr>
        <w:t xml:space="preserve">for </w:t>
      </w:r>
      <w:r w:rsidR="00F11B85" w:rsidRPr="00A04E56">
        <w:rPr>
          <w:lang w:bidi="en-US"/>
        </w:rPr>
        <w:t>Climate Action</w:t>
      </w:r>
      <w:r w:rsidR="00E01E0A" w:rsidRPr="00A04E56">
        <w:rPr>
          <w:lang w:bidi="en-US"/>
        </w:rPr>
        <w:t>,</w:t>
      </w:r>
      <w:r w:rsidRPr="00A04E56">
        <w:rPr>
          <w:lang w:bidi="en-US"/>
        </w:rPr>
        <w:t xml:space="preserve"> </w:t>
      </w:r>
      <w:r w:rsidR="00E43214">
        <w:rPr>
          <w:lang w:bidi="en-US"/>
        </w:rPr>
        <w:t>department</w:t>
      </w:r>
      <w:r w:rsidR="00F11B85" w:rsidRPr="00A04E56">
        <w:rPr>
          <w:lang w:bidi="en-US"/>
        </w:rPr>
        <w:t xml:space="preserve"> </w:t>
      </w:r>
      <w:r w:rsidR="00E44698">
        <w:rPr>
          <w:lang w:bidi="en-US"/>
        </w:rPr>
        <w:t xml:space="preserve">for </w:t>
      </w:r>
      <w:r w:rsidR="00F11B85" w:rsidRPr="00A04E56">
        <w:rPr>
          <w:lang w:bidi="en-US"/>
        </w:rPr>
        <w:t>Environment</w:t>
      </w:r>
      <w:r w:rsidRPr="00A04E56">
        <w:rPr>
          <w:lang w:bidi="en-US"/>
        </w:rPr>
        <w:t xml:space="preserve"> and </w:t>
      </w:r>
      <w:r w:rsidR="00E43214">
        <w:rPr>
          <w:lang w:bidi="en-US"/>
        </w:rPr>
        <w:t>department</w:t>
      </w:r>
      <w:r w:rsidRPr="00A04E56">
        <w:rPr>
          <w:lang w:bidi="en-US"/>
        </w:rPr>
        <w:t xml:space="preserve"> </w:t>
      </w:r>
      <w:r w:rsidR="00E44698">
        <w:rPr>
          <w:lang w:bidi="en-US"/>
        </w:rPr>
        <w:t xml:space="preserve">for </w:t>
      </w:r>
      <w:r w:rsidRPr="00A04E56">
        <w:rPr>
          <w:lang w:bidi="en-US"/>
        </w:rPr>
        <w:t>N</w:t>
      </w:r>
      <w:r w:rsidR="00756904" w:rsidRPr="00A04E56">
        <w:rPr>
          <w:lang w:bidi="en-US"/>
        </w:rPr>
        <w:t>eighbourhood and Enlargement Negotiations</w:t>
      </w:r>
      <w:r w:rsidRPr="00A04E56">
        <w:rPr>
          <w:lang w:bidi="en-US"/>
        </w:rPr>
        <w:t xml:space="preserve">. The </w:t>
      </w:r>
      <w:r w:rsidR="00E43214">
        <w:rPr>
          <w:lang w:bidi="en-US"/>
        </w:rPr>
        <w:t>Internal Audit Service</w:t>
      </w:r>
      <w:r w:rsidRPr="00A04E56">
        <w:rPr>
          <w:lang w:bidi="en-US"/>
        </w:rPr>
        <w:t xml:space="preserve"> also made recommendations to </w:t>
      </w:r>
      <w:r w:rsidR="00E43214">
        <w:rPr>
          <w:lang w:bidi="en-US"/>
        </w:rPr>
        <w:t>department</w:t>
      </w:r>
      <w:r w:rsidR="00E44698">
        <w:rPr>
          <w:lang w:bidi="en-US"/>
        </w:rPr>
        <w:t xml:space="preserve"> for</w:t>
      </w:r>
      <w:r w:rsidRPr="00A04E56">
        <w:rPr>
          <w:lang w:bidi="en-US"/>
        </w:rPr>
        <w:t xml:space="preserve"> </w:t>
      </w:r>
      <w:r w:rsidR="00F11B85" w:rsidRPr="00A04E56">
        <w:rPr>
          <w:lang w:bidi="en-US"/>
        </w:rPr>
        <w:t>International Cooperation and Development</w:t>
      </w:r>
      <w:r w:rsidRPr="00A04E56">
        <w:rPr>
          <w:lang w:bidi="en-US"/>
        </w:rPr>
        <w:t xml:space="preserve"> concerning the assurance</w:t>
      </w:r>
      <w:r w:rsidR="00D46B96" w:rsidRPr="00A04E56">
        <w:rPr>
          <w:lang w:bidi="en-US"/>
        </w:rPr>
        <w:t>-</w:t>
      </w:r>
      <w:r w:rsidRPr="00A04E56">
        <w:rPr>
          <w:lang w:bidi="en-US"/>
        </w:rPr>
        <w:t xml:space="preserve">building process in headquarters, in particular the monitoring process of the annual management declarations to be provided by the international financial institutions and/or national </w:t>
      </w:r>
      <w:r w:rsidR="00950FF5" w:rsidRPr="00A04E56">
        <w:rPr>
          <w:lang w:bidi="en-US"/>
        </w:rPr>
        <w:t>a</w:t>
      </w:r>
      <w:r w:rsidRPr="00A04E56">
        <w:rPr>
          <w:lang w:bidi="en-US"/>
        </w:rPr>
        <w:t xml:space="preserve">gencies implementing projects under indirect management. </w:t>
      </w:r>
    </w:p>
    <w:p w14:paraId="25573E6B" w14:textId="0331C373" w:rsidR="00FC5564" w:rsidRPr="00A04E56" w:rsidRDefault="00FC5564" w:rsidP="00FC5564">
      <w:pPr>
        <w:pStyle w:val="BodyText1spaceafter"/>
        <w:rPr>
          <w:lang w:bidi="en-US"/>
        </w:rPr>
      </w:pPr>
      <w:r w:rsidRPr="00A04E56">
        <w:rPr>
          <w:lang w:bidi="en-US"/>
        </w:rPr>
        <w:t>In addition to its audits, the Internal Audit Service issued</w:t>
      </w:r>
      <w:r w:rsidR="00F61D9B" w:rsidRPr="00A04E56">
        <w:rPr>
          <w:lang w:bidi="en-US"/>
        </w:rPr>
        <w:t xml:space="preserve"> in February 2019</w:t>
      </w:r>
      <w:r w:rsidRPr="00A04E56">
        <w:rPr>
          <w:lang w:bidi="en-US"/>
        </w:rPr>
        <w:t xml:space="preserve"> </w:t>
      </w:r>
      <w:r w:rsidRPr="00A04E56">
        <w:rPr>
          <w:rStyle w:val="BOLDLIGHTBLUEReport"/>
          <w:rFonts w:eastAsia="Calibri"/>
        </w:rPr>
        <w:t>limited conclusions on the state of internal control</w:t>
      </w:r>
      <w:r w:rsidRPr="00A04E56">
        <w:rPr>
          <w:lang w:bidi="en-US"/>
        </w:rPr>
        <w:t xml:space="preserve"> to every department. These conclusions contributed to the 2018 </w:t>
      </w:r>
      <w:r w:rsidR="00F504A4" w:rsidRPr="00A04E56">
        <w:rPr>
          <w:lang w:bidi="en-US"/>
        </w:rPr>
        <w:t>a</w:t>
      </w:r>
      <w:r w:rsidRPr="00A04E56">
        <w:rPr>
          <w:lang w:bidi="en-US"/>
        </w:rPr>
        <w:t xml:space="preserve">nnual </w:t>
      </w:r>
      <w:r w:rsidR="00F504A4" w:rsidRPr="00A04E56">
        <w:rPr>
          <w:lang w:bidi="en-US"/>
        </w:rPr>
        <w:t>a</w:t>
      </w:r>
      <w:r w:rsidRPr="00A04E56">
        <w:rPr>
          <w:lang w:bidi="en-US"/>
        </w:rPr>
        <w:t xml:space="preserve">ctivity </w:t>
      </w:r>
      <w:r w:rsidR="00F504A4" w:rsidRPr="00A04E56">
        <w:rPr>
          <w:lang w:bidi="en-US"/>
        </w:rPr>
        <w:t>r</w:t>
      </w:r>
      <w:r w:rsidRPr="00A04E56">
        <w:rPr>
          <w:lang w:bidi="en-US"/>
        </w:rPr>
        <w:t>eports of the concerned</w:t>
      </w:r>
      <w:r w:rsidR="005D779D" w:rsidRPr="00A04E56">
        <w:rPr>
          <w:lang w:bidi="en-US"/>
        </w:rPr>
        <w:t xml:space="preserve"> </w:t>
      </w:r>
      <w:r w:rsidR="00E43214">
        <w:rPr>
          <w:lang w:bidi="en-US"/>
        </w:rPr>
        <w:t>departments</w:t>
      </w:r>
      <w:r w:rsidR="00E43214" w:rsidRPr="00A04E56">
        <w:rPr>
          <w:lang w:bidi="en-US"/>
        </w:rPr>
        <w:t xml:space="preserve"> </w:t>
      </w:r>
      <w:r w:rsidR="00F61D9B" w:rsidRPr="00A04E56">
        <w:rPr>
          <w:lang w:bidi="en-US"/>
        </w:rPr>
        <w:t xml:space="preserve">and </w:t>
      </w:r>
      <w:r w:rsidRPr="00A04E56">
        <w:rPr>
          <w:lang w:bidi="en-US"/>
        </w:rPr>
        <w:t xml:space="preserve">cover all open recommendations issued by the </w:t>
      </w:r>
      <w:r w:rsidR="00E43214">
        <w:rPr>
          <w:lang w:bidi="en-US"/>
        </w:rPr>
        <w:t>Internal Audit Service</w:t>
      </w:r>
      <w:r w:rsidR="00E43214" w:rsidRPr="00A04E56">
        <w:rPr>
          <w:lang w:bidi="en-US"/>
        </w:rPr>
        <w:t xml:space="preserve"> </w:t>
      </w:r>
      <w:r w:rsidRPr="00A04E56">
        <w:rPr>
          <w:lang w:bidi="en-US"/>
        </w:rPr>
        <w:t xml:space="preserve">related to the management and control systems in the audited processes in the </w:t>
      </w:r>
      <w:r w:rsidR="00E43214">
        <w:rPr>
          <w:lang w:bidi="en-US"/>
        </w:rPr>
        <w:t>departments</w:t>
      </w:r>
      <w:r w:rsidRPr="00A04E56">
        <w:rPr>
          <w:lang w:bidi="en-US"/>
        </w:rPr>
        <w:t xml:space="preserve"> in the past </w:t>
      </w:r>
      <w:r w:rsidR="005D779D" w:rsidRPr="00A04E56">
        <w:rPr>
          <w:lang w:bidi="en-US"/>
        </w:rPr>
        <w:t>3</w:t>
      </w:r>
      <w:r w:rsidR="005D779D" w:rsidRPr="00A04E56">
        <w:rPr>
          <w:rFonts w:ascii="Calibri" w:hAnsi="Calibri" w:cs="Calibri"/>
          <w:lang w:bidi="en-US"/>
        </w:rPr>
        <w:t> </w:t>
      </w:r>
      <w:r w:rsidRPr="00A04E56">
        <w:rPr>
          <w:lang w:bidi="en-US"/>
        </w:rPr>
        <w:t xml:space="preserve">years. Particular attention was drawn in the limited conclusion addressed to the </w:t>
      </w:r>
      <w:r w:rsidR="00E44698" w:rsidRPr="00E44698">
        <w:rPr>
          <w:lang w:bidi="en-US"/>
        </w:rPr>
        <w:t>Education, Audiovisual and Culture Executive Agency</w:t>
      </w:r>
      <w:r w:rsidRPr="00A04E56">
        <w:rPr>
          <w:lang w:bidi="en-US"/>
        </w:rPr>
        <w:t>, with regard to one critical and two very important recommendations issued in the context of the audit on Erasmus+ and Creative Europe</w:t>
      </w:r>
      <w:r w:rsidR="00CB6A77" w:rsidRPr="00A04E56">
        <w:rPr>
          <w:lang w:bidi="en-US"/>
        </w:rPr>
        <w:t xml:space="preserve"> — </w:t>
      </w:r>
      <w:r w:rsidRPr="00A04E56">
        <w:rPr>
          <w:lang w:bidi="en-US"/>
        </w:rPr>
        <w:t xml:space="preserve">grant management (phase 2 </w:t>
      </w:r>
      <w:r w:rsidR="00811C6E" w:rsidRPr="00A04E56">
        <w:rPr>
          <w:lang w:bidi="en-US"/>
        </w:rPr>
        <w:t>—</w:t>
      </w:r>
      <w:r w:rsidRPr="00A04E56">
        <w:rPr>
          <w:lang w:bidi="en-US"/>
        </w:rPr>
        <w:t xml:space="preserve"> from project monitoring to payment). The </w:t>
      </w:r>
      <w:r w:rsidR="00F504A4" w:rsidRPr="00A04E56">
        <w:rPr>
          <w:lang w:bidi="en-US"/>
        </w:rPr>
        <w:t>a</w:t>
      </w:r>
      <w:r w:rsidRPr="00A04E56">
        <w:rPr>
          <w:lang w:bidi="en-US"/>
        </w:rPr>
        <w:t>gency issued a reservation in line with the limited conclusion of the Internal Audit Service (see subsection 5).</w:t>
      </w:r>
    </w:p>
    <w:p w14:paraId="1F02650A" w14:textId="19C3D8FB" w:rsidR="00FC5564" w:rsidRPr="00A04E56" w:rsidRDefault="00FC5564" w:rsidP="00FC5564">
      <w:pPr>
        <w:pStyle w:val="BodyText1spaceafter"/>
        <w:rPr>
          <w:lang w:bidi="en-US"/>
        </w:rPr>
      </w:pPr>
      <w:r w:rsidRPr="00A04E56">
        <w:rPr>
          <w:lang w:bidi="en-US"/>
        </w:rPr>
        <w:t xml:space="preserve">Finally, as </w:t>
      </w:r>
      <w:r w:rsidR="00811C6E" w:rsidRPr="00A04E56">
        <w:rPr>
          <w:lang w:bidi="en-US"/>
        </w:rPr>
        <w:t>required by its mission charter</w:t>
      </w:r>
      <w:r w:rsidRPr="00A04E56">
        <w:rPr>
          <w:lang w:bidi="en-US"/>
        </w:rPr>
        <w:t xml:space="preserve">, the </w:t>
      </w:r>
      <w:r w:rsidR="00E43214">
        <w:rPr>
          <w:lang w:bidi="en-US"/>
        </w:rPr>
        <w:t>Internal Audit Service</w:t>
      </w:r>
      <w:r w:rsidRPr="00A04E56">
        <w:rPr>
          <w:lang w:bidi="en-US"/>
        </w:rPr>
        <w:t xml:space="preserve"> issued an </w:t>
      </w:r>
      <w:r w:rsidR="00811C6E" w:rsidRPr="00A04E56">
        <w:rPr>
          <w:lang w:bidi="en-US"/>
        </w:rPr>
        <w:t xml:space="preserve">annual overall opinion </w:t>
      </w:r>
      <w:r w:rsidRPr="00A04E56">
        <w:rPr>
          <w:lang w:bidi="en-US"/>
        </w:rPr>
        <w:t xml:space="preserve">on the Commission's </w:t>
      </w:r>
      <w:r w:rsidRPr="00A04E56">
        <w:rPr>
          <w:rStyle w:val="BOLDLIGHTBLUEReport"/>
          <w:rFonts w:eastAsia="Calibri"/>
        </w:rPr>
        <w:t>financial management</w:t>
      </w:r>
      <w:r w:rsidRPr="00A04E56">
        <w:rPr>
          <w:lang w:bidi="en-US"/>
        </w:rPr>
        <w:t xml:space="preserve">. It is based on the audit work in the area of financial management in the Commission carried out by the </w:t>
      </w:r>
      <w:r w:rsidR="0030165A">
        <w:rPr>
          <w:lang w:bidi="en-US"/>
        </w:rPr>
        <w:t>Internal Audit Service</w:t>
      </w:r>
      <w:r w:rsidRPr="00A04E56">
        <w:rPr>
          <w:lang w:bidi="en-US"/>
        </w:rPr>
        <w:t xml:space="preserve"> during the previous </w:t>
      </w:r>
      <w:r w:rsidR="00811C6E" w:rsidRPr="00A04E56">
        <w:rPr>
          <w:lang w:bidi="en-US"/>
        </w:rPr>
        <w:t>3</w:t>
      </w:r>
      <w:r w:rsidR="00811C6E" w:rsidRPr="00A04E56">
        <w:rPr>
          <w:rFonts w:ascii="Calibri" w:hAnsi="Calibri" w:cs="Calibri"/>
          <w:lang w:bidi="en-US"/>
        </w:rPr>
        <w:t> </w:t>
      </w:r>
      <w:r w:rsidRPr="00A04E56">
        <w:rPr>
          <w:lang w:bidi="en-US"/>
        </w:rPr>
        <w:t xml:space="preserve">years (2016-2018). It also takes into account information from other sources, namely the reports from the European Court of Auditors. </w:t>
      </w:r>
    </w:p>
    <w:p w14:paraId="39EB0620" w14:textId="55E6F8FF" w:rsidR="00FC5564" w:rsidRPr="00A04E56" w:rsidRDefault="00FC5564" w:rsidP="00FC5564">
      <w:pPr>
        <w:pStyle w:val="BodyText1spaceafter"/>
        <w:rPr>
          <w:lang w:bidi="en-US"/>
        </w:rPr>
      </w:pPr>
      <w:r w:rsidRPr="00A04E56">
        <w:rPr>
          <w:lang w:bidi="en-US"/>
        </w:rPr>
        <w:t xml:space="preserve">Based on this audit information, the internal auditor considered that, </w:t>
      </w:r>
      <w:r w:rsidR="008C1D39" w:rsidRPr="00A04E56">
        <w:rPr>
          <w:i/>
          <w:u w:val="single"/>
          <w:lang w:bidi="en-US"/>
        </w:rPr>
        <w:t>in 2018</w:t>
      </w:r>
      <w:r w:rsidRPr="00A04E56">
        <w:rPr>
          <w:lang w:bidi="en-US"/>
        </w:rPr>
        <w:t xml:space="preserve">, the Commission had put in place governance, risk management and internal control procedures which, taken as a whole, are </w:t>
      </w:r>
      <w:r w:rsidR="0070302A">
        <w:rPr>
          <w:lang w:bidi="en-US"/>
        </w:rPr>
        <w:t>adequate</w:t>
      </w:r>
      <w:r w:rsidRPr="00A04E56">
        <w:rPr>
          <w:lang w:bidi="en-US"/>
        </w:rPr>
        <w:t xml:space="preserve"> to give reasonable assurance on the achievement of its financial objectives. However, the overall opinion is qualified with regard to the reservations made in th</w:t>
      </w:r>
      <w:r w:rsidR="001740E9" w:rsidRPr="00A04E56">
        <w:rPr>
          <w:lang w:bidi="en-US"/>
        </w:rPr>
        <w:t xml:space="preserve">e authorising officer by delegation’s declarations of assurance issued in </w:t>
      </w:r>
      <w:r w:rsidRPr="00A04E56">
        <w:rPr>
          <w:lang w:bidi="en-US"/>
        </w:rPr>
        <w:t xml:space="preserve">their respective </w:t>
      </w:r>
      <w:r w:rsidR="00F504A4" w:rsidRPr="00A04E56">
        <w:rPr>
          <w:lang w:bidi="en-US"/>
        </w:rPr>
        <w:t>a</w:t>
      </w:r>
      <w:r w:rsidRPr="00A04E56">
        <w:rPr>
          <w:lang w:bidi="en-US"/>
        </w:rPr>
        <w:t xml:space="preserve">nnual </w:t>
      </w:r>
      <w:r w:rsidR="00F504A4" w:rsidRPr="00A04E56">
        <w:rPr>
          <w:lang w:bidi="en-US"/>
        </w:rPr>
        <w:t>a</w:t>
      </w:r>
      <w:r w:rsidRPr="00A04E56">
        <w:rPr>
          <w:lang w:bidi="en-US"/>
        </w:rPr>
        <w:t xml:space="preserve">ctivity </w:t>
      </w:r>
      <w:r w:rsidR="00F504A4" w:rsidRPr="00A04E56">
        <w:rPr>
          <w:lang w:bidi="en-US"/>
        </w:rPr>
        <w:t>r</w:t>
      </w:r>
      <w:r w:rsidRPr="00A04E56">
        <w:rPr>
          <w:lang w:bidi="en-US"/>
        </w:rPr>
        <w:t>eports.</w:t>
      </w:r>
    </w:p>
    <w:p w14:paraId="0856DD22" w14:textId="562BF7E3" w:rsidR="00FC5564" w:rsidRPr="00A04E56" w:rsidRDefault="00FC5564" w:rsidP="00FC5564">
      <w:pPr>
        <w:pStyle w:val="BodyText1spaceafter"/>
        <w:rPr>
          <w:rStyle w:val="Bodytext2"/>
          <w:rFonts w:eastAsia="Calibri" w:cs="Times New Roman"/>
          <w:color w:val="000000" w:themeColor="text1"/>
          <w:sz w:val="20"/>
          <w:szCs w:val="22"/>
          <w:lang w:eastAsia="fr-BE" w:bidi="ar-SA"/>
        </w:rPr>
      </w:pPr>
      <w:r w:rsidRPr="00A04E56">
        <w:rPr>
          <w:rStyle w:val="Bodytext2"/>
          <w:rFonts w:eastAsia="Calibri" w:cs="Times New Roman"/>
          <w:color w:val="000000" w:themeColor="text1"/>
          <w:sz w:val="20"/>
          <w:szCs w:val="22"/>
          <w:lang w:eastAsia="fr-BE" w:bidi="ar-SA"/>
        </w:rPr>
        <w:t xml:space="preserve">In arriving at the overall opinion, the internal auditor also considered the combined impact of all amounts estimated to be at risk at payment as these go beyond the amounts put under reservation. The overall amounts at risk are the </w:t>
      </w:r>
      <w:r w:rsidR="00F504A4" w:rsidRPr="00A04E56">
        <w:rPr>
          <w:rStyle w:val="Bodytext2"/>
          <w:rFonts w:eastAsia="Calibri" w:cs="Times New Roman"/>
          <w:color w:val="000000" w:themeColor="text1"/>
          <w:sz w:val="20"/>
          <w:szCs w:val="22"/>
          <w:lang w:eastAsia="fr-BE" w:bidi="ar-SA"/>
        </w:rPr>
        <w:t>a</w:t>
      </w:r>
      <w:r w:rsidRPr="00A04E56">
        <w:rPr>
          <w:rStyle w:val="Bodytext2"/>
          <w:rFonts w:eastAsia="Calibri" w:cs="Times New Roman"/>
          <w:color w:val="000000" w:themeColor="text1"/>
          <w:sz w:val="20"/>
          <w:szCs w:val="22"/>
          <w:lang w:eastAsia="fr-BE" w:bidi="ar-SA"/>
        </w:rPr>
        <w:t xml:space="preserve">uthorising </w:t>
      </w:r>
      <w:r w:rsidR="00F504A4" w:rsidRPr="00A04E56">
        <w:rPr>
          <w:rStyle w:val="Bodytext2"/>
          <w:rFonts w:eastAsia="Calibri" w:cs="Times New Roman"/>
          <w:color w:val="000000" w:themeColor="text1"/>
          <w:sz w:val="20"/>
          <w:szCs w:val="22"/>
          <w:lang w:eastAsia="fr-BE" w:bidi="ar-SA"/>
        </w:rPr>
        <w:t>o</w:t>
      </w:r>
      <w:r w:rsidRPr="00A04E56">
        <w:rPr>
          <w:rStyle w:val="Bodytext2"/>
          <w:rFonts w:eastAsia="Calibri" w:cs="Times New Roman"/>
          <w:color w:val="000000" w:themeColor="text1"/>
          <w:sz w:val="20"/>
          <w:szCs w:val="22"/>
          <w:lang w:eastAsia="fr-BE" w:bidi="ar-SA"/>
        </w:rPr>
        <w:t xml:space="preserve">fficers by </w:t>
      </w:r>
      <w:r w:rsidR="00F504A4" w:rsidRPr="00A04E56">
        <w:rPr>
          <w:rStyle w:val="Bodytext2"/>
          <w:rFonts w:eastAsia="Calibri" w:cs="Times New Roman"/>
          <w:color w:val="000000" w:themeColor="text1"/>
          <w:sz w:val="20"/>
          <w:szCs w:val="22"/>
          <w:lang w:eastAsia="fr-BE" w:bidi="ar-SA"/>
        </w:rPr>
        <w:t>d</w:t>
      </w:r>
      <w:r w:rsidRPr="00A04E56">
        <w:rPr>
          <w:rStyle w:val="Bodytext2"/>
          <w:rFonts w:eastAsia="Calibri" w:cs="Times New Roman"/>
          <w:color w:val="000000" w:themeColor="text1"/>
          <w:sz w:val="20"/>
          <w:szCs w:val="22"/>
          <w:lang w:eastAsia="fr-BE" w:bidi="ar-SA"/>
        </w:rPr>
        <w:t>elegation's best estimation</w:t>
      </w:r>
      <w:r w:rsidR="00F61D9B" w:rsidRPr="00A04E56">
        <w:rPr>
          <w:rStyle w:val="Bodytext2"/>
          <w:rFonts w:eastAsia="Calibri" w:cs="Times New Roman"/>
          <w:color w:val="000000" w:themeColor="text1"/>
          <w:sz w:val="20"/>
          <w:szCs w:val="22"/>
          <w:lang w:eastAsia="fr-BE" w:bidi="ar-SA"/>
        </w:rPr>
        <w:t xml:space="preserve">, in their 2018 </w:t>
      </w:r>
      <w:r w:rsidR="00F504A4" w:rsidRPr="00A04E56">
        <w:rPr>
          <w:rStyle w:val="Bodytext2"/>
          <w:rFonts w:eastAsia="Calibri" w:cs="Times New Roman"/>
          <w:color w:val="000000" w:themeColor="text1"/>
          <w:sz w:val="20"/>
          <w:szCs w:val="22"/>
          <w:lang w:eastAsia="fr-BE" w:bidi="ar-SA"/>
        </w:rPr>
        <w:t>annual activity reports</w:t>
      </w:r>
      <w:r w:rsidR="00F61D9B" w:rsidRPr="00A04E56">
        <w:rPr>
          <w:rStyle w:val="Bodytext2"/>
          <w:rFonts w:eastAsia="Calibri" w:cs="Times New Roman"/>
          <w:color w:val="000000" w:themeColor="text1"/>
          <w:sz w:val="20"/>
          <w:szCs w:val="22"/>
          <w:lang w:eastAsia="fr-BE" w:bidi="ar-SA"/>
        </w:rPr>
        <w:t>,</w:t>
      </w:r>
      <w:r w:rsidRPr="00A04E56">
        <w:rPr>
          <w:rStyle w:val="Bodytext2"/>
          <w:rFonts w:eastAsia="Calibri" w:cs="Times New Roman"/>
          <w:color w:val="000000" w:themeColor="text1"/>
          <w:sz w:val="20"/>
          <w:szCs w:val="22"/>
          <w:lang w:eastAsia="fr-BE" w:bidi="ar-SA"/>
        </w:rPr>
        <w:t xml:space="preserve"> of the amount of the expenditure authorised not in conformity with the applicable contractual and regulatory provisions at the time of the payment </w:t>
      </w:r>
      <w:r w:rsidR="008C1D39" w:rsidRPr="00E43214">
        <w:rPr>
          <w:rStyle w:val="Bodytext2"/>
          <w:rFonts w:eastAsia="Calibri" w:cs="Times New Roman"/>
          <w:color w:val="000000" w:themeColor="text1"/>
          <w:sz w:val="20"/>
          <w:szCs w:val="22"/>
          <w:lang w:eastAsia="fr-BE" w:bidi="ar-SA"/>
        </w:rPr>
        <w:t>in 2018</w:t>
      </w:r>
      <w:r w:rsidRPr="00A04E56">
        <w:rPr>
          <w:rStyle w:val="Bodytext2"/>
          <w:rFonts w:eastAsia="Calibri" w:cs="Times New Roman"/>
          <w:color w:val="000000" w:themeColor="text1"/>
          <w:sz w:val="20"/>
          <w:szCs w:val="22"/>
          <w:lang w:eastAsia="fr-BE" w:bidi="ar-SA"/>
        </w:rPr>
        <w:t xml:space="preserve">. Taken together, these correspond to an overall amount below the materiality of 2% of all total relevant </w:t>
      </w:r>
      <w:r w:rsidR="007D1E82" w:rsidRPr="00A04E56">
        <w:rPr>
          <w:rStyle w:val="Bodytext2"/>
          <w:rFonts w:eastAsia="Calibri" w:cs="Times New Roman"/>
          <w:color w:val="000000" w:themeColor="text1"/>
          <w:sz w:val="20"/>
          <w:szCs w:val="22"/>
          <w:lang w:eastAsia="fr-BE" w:bidi="ar-SA"/>
        </w:rPr>
        <w:t>expenditure</w:t>
      </w:r>
      <w:r w:rsidR="007D1E82" w:rsidRPr="00A04E56">
        <w:rPr>
          <w:rStyle w:val="fnRef"/>
          <w:rFonts w:ascii="Calibri" w:hAnsi="Calibri"/>
        </w:rPr>
        <w:t> </w:t>
      </w:r>
      <w:r w:rsidRPr="00A04E56">
        <w:rPr>
          <w:rStyle w:val="fnRef"/>
        </w:rPr>
        <w:t>(</w:t>
      </w:r>
      <w:r w:rsidRPr="00A04E56">
        <w:rPr>
          <w:rStyle w:val="fnRefNo"/>
        </w:rPr>
        <w:footnoteReference w:id="398"/>
      </w:r>
      <w:r w:rsidRPr="00A04E56">
        <w:rPr>
          <w:rStyle w:val="fnRef"/>
        </w:rPr>
        <w:t>)</w:t>
      </w:r>
      <w:r w:rsidRPr="00A04E56">
        <w:rPr>
          <w:rStyle w:val="Bodytext2"/>
          <w:rFonts w:eastAsia="Calibri" w:cs="Times New Roman"/>
          <w:color w:val="000000" w:themeColor="text1"/>
          <w:sz w:val="20"/>
          <w:szCs w:val="22"/>
          <w:lang w:eastAsia="fr-BE" w:bidi="ar-SA"/>
        </w:rPr>
        <w:t xml:space="preserve"> in the Commission budget, the European Development Fund and the EU Trust Funds </w:t>
      </w:r>
      <w:r w:rsidR="008C1D39" w:rsidRPr="00E43214">
        <w:rPr>
          <w:rStyle w:val="Bodytext2"/>
          <w:rFonts w:eastAsia="Calibri" w:cs="Times New Roman"/>
          <w:color w:val="000000" w:themeColor="text1"/>
          <w:sz w:val="20"/>
          <w:szCs w:val="22"/>
          <w:lang w:eastAsia="fr-BE" w:bidi="ar-SA"/>
        </w:rPr>
        <w:t>in 2018</w:t>
      </w:r>
      <w:r w:rsidRPr="00A04E56">
        <w:rPr>
          <w:rStyle w:val="Bodytext2"/>
          <w:rFonts w:eastAsia="Calibri" w:cs="Times New Roman"/>
          <w:color w:val="000000" w:themeColor="text1"/>
          <w:sz w:val="20"/>
          <w:szCs w:val="22"/>
          <w:lang w:eastAsia="fr-BE" w:bidi="ar-SA"/>
        </w:rPr>
        <w:t xml:space="preserve">. These amounts at risk at payment </w:t>
      </w:r>
      <w:r w:rsidR="008C1D39" w:rsidRPr="00E43214">
        <w:rPr>
          <w:rStyle w:val="Bodytext2"/>
          <w:rFonts w:eastAsia="Calibri" w:cs="Times New Roman"/>
          <w:color w:val="000000" w:themeColor="text1"/>
          <w:sz w:val="20"/>
          <w:szCs w:val="22"/>
          <w:lang w:eastAsia="fr-BE" w:bidi="ar-SA"/>
        </w:rPr>
        <w:t>in 2018</w:t>
      </w:r>
      <w:r w:rsidRPr="00A04E56">
        <w:rPr>
          <w:rStyle w:val="Bodytext2"/>
          <w:rFonts w:eastAsia="Calibri" w:cs="Times New Roman"/>
          <w:color w:val="000000" w:themeColor="text1"/>
          <w:sz w:val="20"/>
          <w:szCs w:val="22"/>
          <w:lang w:eastAsia="fr-BE" w:bidi="ar-SA"/>
        </w:rPr>
        <w:t xml:space="preserve"> do not yet include any financial corrections and recoveries related to deficiencies and errors the </w:t>
      </w:r>
      <w:r w:rsidR="00E43214">
        <w:rPr>
          <w:rStyle w:val="Bodytext2"/>
          <w:rFonts w:eastAsia="Calibri" w:cs="Times New Roman"/>
          <w:color w:val="000000" w:themeColor="text1"/>
          <w:sz w:val="20"/>
          <w:szCs w:val="22"/>
          <w:lang w:eastAsia="fr-BE" w:bidi="ar-SA"/>
        </w:rPr>
        <w:t>departments</w:t>
      </w:r>
      <w:r w:rsidRPr="00A04E56">
        <w:rPr>
          <w:rStyle w:val="Bodytext2"/>
          <w:rFonts w:eastAsia="Calibri" w:cs="Times New Roman"/>
          <w:color w:val="000000" w:themeColor="text1"/>
          <w:sz w:val="20"/>
          <w:szCs w:val="22"/>
          <w:lang w:eastAsia="fr-BE" w:bidi="ar-SA"/>
        </w:rPr>
        <w:t xml:space="preserve"> will detect and correct in the </w:t>
      </w:r>
      <w:r w:rsidR="0070302A">
        <w:rPr>
          <w:rStyle w:val="Bodytext2"/>
          <w:rFonts w:eastAsia="Calibri" w:cs="Times New Roman"/>
          <w:color w:val="000000" w:themeColor="text1"/>
          <w:sz w:val="20"/>
          <w:szCs w:val="22"/>
          <w:lang w:eastAsia="fr-BE" w:bidi="ar-SA"/>
        </w:rPr>
        <w:t>next years</w:t>
      </w:r>
      <w:r w:rsidRPr="00A04E56">
        <w:rPr>
          <w:rStyle w:val="Bodytext2"/>
          <w:rFonts w:eastAsia="Calibri" w:cs="Times New Roman"/>
          <w:color w:val="000000" w:themeColor="text1"/>
          <w:sz w:val="20"/>
          <w:szCs w:val="22"/>
          <w:lang w:eastAsia="fr-BE" w:bidi="ar-SA"/>
        </w:rPr>
        <w:t xml:space="preserve"> due to the multi</w:t>
      </w:r>
      <w:r w:rsidR="003B6127" w:rsidRPr="00A04E56">
        <w:rPr>
          <w:rStyle w:val="Bodytext2"/>
          <w:rFonts w:eastAsia="Calibri" w:cs="Times New Roman"/>
          <w:color w:val="000000" w:themeColor="text1"/>
          <w:sz w:val="20"/>
          <w:szCs w:val="22"/>
          <w:lang w:eastAsia="fr-BE" w:bidi="ar-SA"/>
        </w:rPr>
        <w:t>annual</w:t>
      </w:r>
      <w:r w:rsidRPr="00A04E56">
        <w:rPr>
          <w:rStyle w:val="Bodytext2"/>
          <w:rFonts w:eastAsia="Calibri" w:cs="Times New Roman"/>
          <w:color w:val="000000" w:themeColor="text1"/>
          <w:sz w:val="20"/>
          <w:szCs w:val="22"/>
          <w:lang w:eastAsia="fr-BE" w:bidi="ar-SA"/>
        </w:rPr>
        <w:t xml:space="preserve"> corrective mechanisms built into the Commission’s internal control systems. Given these elements, the </w:t>
      </w:r>
      <w:r w:rsidR="00E43214">
        <w:rPr>
          <w:lang w:bidi="en-US"/>
        </w:rPr>
        <w:t>Internal Audit Service</w:t>
      </w:r>
      <w:r w:rsidRPr="00A04E56">
        <w:rPr>
          <w:lang w:bidi="en-US"/>
        </w:rPr>
        <w:t xml:space="preserve"> </w:t>
      </w:r>
      <w:r w:rsidRPr="00A04E56">
        <w:rPr>
          <w:rStyle w:val="Bodytext2"/>
          <w:rFonts w:eastAsia="Calibri" w:cs="Times New Roman"/>
          <w:color w:val="000000" w:themeColor="text1"/>
          <w:sz w:val="20"/>
          <w:szCs w:val="22"/>
          <w:lang w:eastAsia="fr-BE" w:bidi="ar-SA"/>
        </w:rPr>
        <w:t>considers that the EU budget is therefore adequately protected in total and over time.</w:t>
      </w:r>
    </w:p>
    <w:p w14:paraId="076E1D39" w14:textId="12460702" w:rsidR="00FC5564" w:rsidRPr="00A04E56" w:rsidRDefault="00FC5564" w:rsidP="00FC5564">
      <w:pPr>
        <w:pStyle w:val="BodyText1spaceafter"/>
        <w:rPr>
          <w:lang w:bidi="en-US"/>
        </w:rPr>
      </w:pPr>
      <w:r w:rsidRPr="00A04E56">
        <w:rPr>
          <w:lang w:bidi="en-US"/>
        </w:rPr>
        <w:t xml:space="preserve">Without further qualifying the opinion, the internal auditor added an </w:t>
      </w:r>
      <w:r w:rsidRPr="00FD5A22">
        <w:rPr>
          <w:lang w:bidi="en-US"/>
        </w:rPr>
        <w:t>‘emphasis of matter’</w:t>
      </w:r>
      <w:r w:rsidRPr="00A04E56">
        <w:rPr>
          <w:lang w:bidi="en-US"/>
        </w:rPr>
        <w:t>, relating to the supervision strategies regarding third parties implementing policies and programmes, which is described in Annex 5 to this report.</w:t>
      </w:r>
    </w:p>
    <w:p w14:paraId="2663CC34" w14:textId="531A1269" w:rsidR="00FC5564" w:rsidRPr="00A04E56" w:rsidRDefault="00FC5564" w:rsidP="0030336E">
      <w:pPr>
        <w:pStyle w:val="Title2Report"/>
        <w:pageBreakBefore/>
        <w:spacing w:before="0"/>
        <w:rPr>
          <w:iCs/>
        </w:rPr>
      </w:pPr>
      <w:bookmarkStart w:id="279" w:name="_Toc6403753"/>
      <w:bookmarkStart w:id="280" w:name="_Toc9534259"/>
      <w:bookmarkStart w:id="281" w:name="_Toc9879913"/>
      <w:bookmarkStart w:id="282" w:name="_Toc10549884"/>
      <w:bookmarkStart w:id="283" w:name="_Toc12021056"/>
      <w:r w:rsidRPr="00A04E56">
        <w:rPr>
          <w:iCs/>
        </w:rPr>
        <w:t xml:space="preserve">7. </w:t>
      </w:r>
      <w:bookmarkStart w:id="284" w:name="Summaryofconclusions"/>
      <w:r w:rsidR="00D04988" w:rsidRPr="00A04E56">
        <w:rPr>
          <w:iCs/>
        </w:rPr>
        <w:t xml:space="preserve">Summary of conclusions </w:t>
      </w:r>
      <w:bookmarkEnd w:id="284"/>
      <w:r w:rsidR="00D04988" w:rsidRPr="00A04E56">
        <w:rPr>
          <w:iCs/>
        </w:rPr>
        <w:t>on the work carried out by the Audit Progress Committee</w:t>
      </w:r>
      <w:bookmarkEnd w:id="279"/>
      <w:bookmarkEnd w:id="280"/>
      <w:bookmarkEnd w:id="281"/>
      <w:bookmarkEnd w:id="282"/>
      <w:bookmarkEnd w:id="283"/>
    </w:p>
    <w:p w14:paraId="07B85A74" w14:textId="5864DDB7" w:rsidR="00FC5564" w:rsidRPr="00A04E56" w:rsidRDefault="00FC5564" w:rsidP="00A43DDF">
      <w:pPr>
        <w:pStyle w:val="BodyText1spaceafter"/>
      </w:pPr>
      <w:r w:rsidRPr="00A04E56">
        <w:t xml:space="preserve">The Audit Progress Committee has focused its work on four key objectives set out in its 2018 and 2019 work programmes, namely: considering the audit planning of the </w:t>
      </w:r>
      <w:r w:rsidR="00AE4B2D" w:rsidRPr="00A04E56">
        <w:t>internal auditor</w:t>
      </w:r>
      <w:r w:rsidRPr="00A04E56">
        <w:t xml:space="preserve">; analysing the results of internal and external audit work to identify potentially significant risks, including in a thematic manner; monitoring the follow-up to significant residual risks identified by audit work; ensuring the independence of the </w:t>
      </w:r>
      <w:r w:rsidR="00AE4B2D" w:rsidRPr="00A04E56">
        <w:t>i</w:t>
      </w:r>
      <w:r w:rsidRPr="00A04E56">
        <w:t xml:space="preserve">nternal </w:t>
      </w:r>
      <w:r w:rsidR="00AE4B2D" w:rsidRPr="00A04E56">
        <w:t>a</w:t>
      </w:r>
      <w:r w:rsidRPr="00A04E56">
        <w:t>uditor and monitoring the quality of internal audit work.</w:t>
      </w:r>
    </w:p>
    <w:p w14:paraId="4672D51A" w14:textId="15F4355D" w:rsidR="00FC5564" w:rsidRPr="00A04E56" w:rsidRDefault="00FC5564" w:rsidP="00A43DDF">
      <w:pPr>
        <w:pStyle w:val="BodyText1spaceafter"/>
      </w:pPr>
      <w:r w:rsidRPr="00A04E56">
        <w:t xml:space="preserve">The Audit Progress Committee is satisfied as to the </w:t>
      </w:r>
      <w:r w:rsidRPr="004509A3">
        <w:rPr>
          <w:rStyle w:val="BOLDLIGHTBLUEReport"/>
          <w:rFonts w:eastAsia="Calibri"/>
        </w:rPr>
        <w:t>independence and quality of internal</w:t>
      </w:r>
      <w:r w:rsidR="00413A87" w:rsidRPr="004509A3">
        <w:rPr>
          <w:rStyle w:val="BOLDLIGHTBLUEReport"/>
          <w:rFonts w:eastAsia="Calibri"/>
        </w:rPr>
        <w:t xml:space="preserve"> </w:t>
      </w:r>
      <w:r w:rsidRPr="004509A3">
        <w:rPr>
          <w:rStyle w:val="BOLDLIGHTBLUEReport"/>
          <w:rFonts w:eastAsia="Calibri"/>
        </w:rPr>
        <w:t>audit work</w:t>
      </w:r>
      <w:r w:rsidRPr="00A04E56">
        <w:t xml:space="preserve"> and that the </w:t>
      </w:r>
      <w:r w:rsidR="00AE4B2D" w:rsidRPr="00A04E56">
        <w:t>i</w:t>
      </w:r>
      <w:r w:rsidRPr="00A04E56">
        <w:t xml:space="preserve">nternal </w:t>
      </w:r>
      <w:r w:rsidR="00AE4B2D" w:rsidRPr="00A04E56">
        <w:t>a</w:t>
      </w:r>
      <w:r w:rsidRPr="00A04E56">
        <w:t xml:space="preserve">uditor's planning adequately covers the audit universe and continues to cover the key risk areas. Following the revision of its </w:t>
      </w:r>
      <w:r w:rsidR="008F1BF6" w:rsidRPr="00A04E56">
        <w:t>ch</w:t>
      </w:r>
      <w:r w:rsidRPr="00A04E56">
        <w:t xml:space="preserve">arter in autumn 2018, the Audit Progress Committee was able for the first time to compare the </w:t>
      </w:r>
      <w:r w:rsidR="00AE4B2D" w:rsidRPr="00A04E56">
        <w:t>i</w:t>
      </w:r>
      <w:r w:rsidRPr="00A04E56">
        <w:t xml:space="preserve">nternal </w:t>
      </w:r>
      <w:r w:rsidR="00AE4B2D" w:rsidRPr="00A04E56">
        <w:t>a</w:t>
      </w:r>
      <w:r w:rsidRPr="00A04E56">
        <w:t>uditor's risk assessment with the critical risks identified by the management.</w:t>
      </w:r>
    </w:p>
    <w:p w14:paraId="5739C79D" w14:textId="0E7C212A" w:rsidR="00565AF9" w:rsidRPr="00A04E56" w:rsidRDefault="00565AF9" w:rsidP="00A43DDF">
      <w:pPr>
        <w:pStyle w:val="BodyText"/>
        <w:jc w:val="both"/>
        <w:rPr>
          <w:rFonts w:eastAsia="Calibri"/>
        </w:rPr>
      </w:pPr>
      <w:r w:rsidRPr="00A04E56">
        <w:t xml:space="preserve">The </w:t>
      </w:r>
      <w:r w:rsidR="003D55F2" w:rsidRPr="00A04E56">
        <w:t>committee</w:t>
      </w:r>
      <w:r w:rsidRPr="00A04E56">
        <w:t xml:space="preserve"> welcomed that the </w:t>
      </w:r>
      <w:r w:rsidR="00AE4B2D" w:rsidRPr="004509A3">
        <w:rPr>
          <w:rStyle w:val="BOLDLIGHTBLUEReport"/>
          <w:rFonts w:eastAsia="Calibri"/>
        </w:rPr>
        <w:t>internal auditor</w:t>
      </w:r>
      <w:r w:rsidRPr="004509A3">
        <w:rPr>
          <w:rStyle w:val="BOLDLIGHTBLUEReport"/>
          <w:rFonts w:eastAsia="Calibri"/>
        </w:rPr>
        <w:t>'s overall opinion for 2018</w:t>
      </w:r>
      <w:r w:rsidRPr="00A04E56">
        <w:t xml:space="preserve"> is positive and is qualified only with regard to the management reservations as expressed in the annual activity reports of the </w:t>
      </w:r>
      <w:r w:rsidR="00F504A4" w:rsidRPr="00A04E56">
        <w:t>authorising officers by delegation</w:t>
      </w:r>
      <w:r w:rsidRPr="00A04E56">
        <w:t xml:space="preserve">. But for the fourth year in a row the </w:t>
      </w:r>
      <w:r w:rsidR="00AE4B2D" w:rsidRPr="00A04E56">
        <w:t>internal auditor</w:t>
      </w:r>
      <w:r w:rsidRPr="00A04E56">
        <w:t xml:space="preserve"> includes an emphasis of matter relating to </w:t>
      </w:r>
      <w:r w:rsidR="00DF6659" w:rsidRPr="00A04E56">
        <w:t>outsourcing (‘</w:t>
      </w:r>
      <w:r w:rsidRPr="00A04E56">
        <w:t>externalisation</w:t>
      </w:r>
      <w:r w:rsidR="00DF6659" w:rsidRPr="00A04E56">
        <w:t>’)</w:t>
      </w:r>
      <w:r w:rsidRPr="00A04E56">
        <w:t xml:space="preserve">. The </w:t>
      </w:r>
      <w:r w:rsidR="003D55F2" w:rsidRPr="00A04E56">
        <w:t>committee</w:t>
      </w:r>
      <w:r w:rsidRPr="00A04E56">
        <w:t xml:space="preserve"> has highlighted its concerns about such risks on numerous occasions, and again </w:t>
      </w:r>
      <w:r w:rsidRPr="00A04E56">
        <w:rPr>
          <w:rFonts w:eastAsia="Calibri"/>
        </w:rPr>
        <w:t>reiterated that efforts to mitigate them through adequate control strategies and tools need to be continued as a matter of priority.</w:t>
      </w:r>
    </w:p>
    <w:p w14:paraId="60543A2A" w14:textId="4670866D" w:rsidR="00565AF9" w:rsidRPr="00A04E56" w:rsidRDefault="00565AF9" w:rsidP="00A43DDF">
      <w:pPr>
        <w:pStyle w:val="BodyText1spaceafter"/>
        <w:rPr>
          <w:rFonts w:ascii="Times New Roman" w:hAnsi="Times New Roman"/>
        </w:rPr>
      </w:pPr>
      <w:r w:rsidRPr="00A04E56">
        <w:t xml:space="preserve">The </w:t>
      </w:r>
      <w:r w:rsidR="00202A24" w:rsidRPr="00A04E56">
        <w:t>committe</w:t>
      </w:r>
      <w:r w:rsidRPr="00A04E56">
        <w:t xml:space="preserve">e took note of the </w:t>
      </w:r>
      <w:r w:rsidR="00AE4B2D" w:rsidRPr="004509A3">
        <w:rPr>
          <w:rStyle w:val="BOLDLIGHTBLUEReport"/>
          <w:rFonts w:eastAsia="Calibri"/>
        </w:rPr>
        <w:t>internal auditor</w:t>
      </w:r>
      <w:r w:rsidRPr="004509A3">
        <w:rPr>
          <w:rStyle w:val="BOLDLIGHTBLUEReport"/>
          <w:rFonts w:eastAsia="Calibri"/>
        </w:rPr>
        <w:t>’s overall conclusion</w:t>
      </w:r>
      <w:r w:rsidR="005862D7" w:rsidRPr="004509A3">
        <w:rPr>
          <w:rStyle w:val="BOLDLIGHTBLUEReport"/>
          <w:rFonts w:eastAsia="Calibri"/>
        </w:rPr>
        <w:t>s</w:t>
      </w:r>
      <w:r w:rsidRPr="004509A3">
        <w:rPr>
          <w:rStyle w:val="BOLDLIGHTBLUEReport"/>
          <w:rFonts w:eastAsia="Calibri"/>
        </w:rPr>
        <w:t xml:space="preserve"> on performance audits</w:t>
      </w:r>
      <w:r w:rsidRPr="00A04E56">
        <w:t>, in particular concerning governance, financial instruments, human resources and risk</w:t>
      </w:r>
      <w:r w:rsidR="005862D7">
        <w:t xml:space="preserve"> </w:t>
      </w:r>
      <w:r w:rsidRPr="00A04E56">
        <w:t xml:space="preserve">management processes, and noted the parallelism with its own thematic priorities and that most of the highlighted key audit findings have been discussed by the </w:t>
      </w:r>
      <w:r w:rsidR="00202A24" w:rsidRPr="00A04E56">
        <w:t>com</w:t>
      </w:r>
      <w:r w:rsidRPr="00A04E56">
        <w:t xml:space="preserve">mittee. </w:t>
      </w:r>
    </w:p>
    <w:p w14:paraId="2340F630" w14:textId="2FACBC72" w:rsidR="00FC5564" w:rsidRPr="00A04E56" w:rsidRDefault="00565AF9" w:rsidP="00FC5564">
      <w:pPr>
        <w:pStyle w:val="BodyText"/>
        <w:jc w:val="both"/>
      </w:pPr>
      <w:r w:rsidRPr="00A04E56">
        <w:t xml:space="preserve">The Audit Progress Committee noted that </w:t>
      </w:r>
      <w:r w:rsidRPr="004509A3">
        <w:rPr>
          <w:rStyle w:val="BOLDLIGHTBLUEReport"/>
          <w:rFonts w:eastAsia="Calibri"/>
        </w:rPr>
        <w:t xml:space="preserve">all of the audit recommendations issued by the </w:t>
      </w:r>
      <w:r w:rsidR="00AE4B2D" w:rsidRPr="004509A3">
        <w:rPr>
          <w:rStyle w:val="BOLDLIGHTBLUEReport"/>
          <w:rFonts w:eastAsia="Calibri"/>
        </w:rPr>
        <w:t>internal auditor</w:t>
      </w:r>
      <w:r w:rsidRPr="004509A3">
        <w:rPr>
          <w:rStyle w:val="BOLDLIGHTBLUEReport"/>
          <w:rFonts w:eastAsia="Calibri"/>
        </w:rPr>
        <w:t xml:space="preserve"> in 2018 were accepted by the management</w:t>
      </w:r>
      <w:r w:rsidRPr="00A04E56">
        <w:t xml:space="preserve"> and satisfactory action plans are being implemented to address the risks identified.</w:t>
      </w:r>
    </w:p>
    <w:p w14:paraId="0E31471D" w14:textId="3E2E5893" w:rsidR="00FC5564" w:rsidRPr="00A04E56" w:rsidRDefault="00FC5564" w:rsidP="00A43DDF">
      <w:pPr>
        <w:pStyle w:val="BodyText1spaceafter"/>
      </w:pPr>
      <w:r w:rsidRPr="00A04E56">
        <w:t xml:space="preserve">One </w:t>
      </w:r>
      <w:r w:rsidRPr="004509A3">
        <w:rPr>
          <w:rStyle w:val="BOLDLIGHTBLUEReport"/>
          <w:rFonts w:eastAsia="Calibri"/>
        </w:rPr>
        <w:t>critical recommendation</w:t>
      </w:r>
      <w:r w:rsidRPr="00A04E56">
        <w:t xml:space="preserve"> was issued by the </w:t>
      </w:r>
      <w:r w:rsidR="00AE4B2D" w:rsidRPr="00A04E56">
        <w:t>i</w:t>
      </w:r>
      <w:r w:rsidRPr="00A04E56">
        <w:t xml:space="preserve">nternal </w:t>
      </w:r>
      <w:r w:rsidR="00AE4B2D" w:rsidRPr="00A04E56">
        <w:t>a</w:t>
      </w:r>
      <w:r w:rsidRPr="00A04E56">
        <w:t xml:space="preserve">uditor during the reporting period, addressed to the Education, Audiovisual and Culture Executive Agency. This is the second critical recommendation concerning the grant management process in the </w:t>
      </w:r>
      <w:r w:rsidR="00F504A4" w:rsidRPr="00A04E56">
        <w:t>a</w:t>
      </w:r>
      <w:r w:rsidRPr="00A04E56">
        <w:t xml:space="preserve">gency and results from the second phase of a three-phase audit. The </w:t>
      </w:r>
      <w:r w:rsidR="003D55F2" w:rsidRPr="00A04E56">
        <w:t>c</w:t>
      </w:r>
      <w:r w:rsidRPr="00A04E56">
        <w:t xml:space="preserve">ommittee engaged with the </w:t>
      </w:r>
      <w:r w:rsidR="00F504A4" w:rsidRPr="00A04E56">
        <w:t>a</w:t>
      </w:r>
      <w:r w:rsidRPr="00A04E56">
        <w:t xml:space="preserve">gency and its parent </w:t>
      </w:r>
      <w:r w:rsidR="00F504A4" w:rsidRPr="00A04E56">
        <w:t xml:space="preserve">directorates-general </w:t>
      </w:r>
      <w:r w:rsidRPr="00A04E56">
        <w:t>to ensure intensive and timely action to address the recommendations issued. All recommendations from the phase</w:t>
      </w:r>
      <w:r w:rsidRPr="00A04E56">
        <w:rPr>
          <w:rFonts w:ascii="Calibri" w:hAnsi="Calibri" w:cs="Calibri"/>
        </w:rPr>
        <w:t> </w:t>
      </w:r>
      <w:r w:rsidRPr="00A04E56">
        <w:t xml:space="preserve">I audit have been assessed as fully implemented by the </w:t>
      </w:r>
      <w:r w:rsidR="00AE4B2D" w:rsidRPr="00A04E56">
        <w:t>i</w:t>
      </w:r>
      <w:r w:rsidRPr="00A04E56">
        <w:t xml:space="preserve">nternal </w:t>
      </w:r>
      <w:r w:rsidR="00AE4B2D" w:rsidRPr="00A04E56">
        <w:t>a</w:t>
      </w:r>
      <w:r w:rsidRPr="00A04E56">
        <w:t xml:space="preserve">uditor and are now closed. Sufficient progress has been made to partially mitigate the </w:t>
      </w:r>
      <w:r w:rsidR="00565AF9" w:rsidRPr="00A04E56">
        <w:t>risks</w:t>
      </w:r>
      <w:r w:rsidRPr="00A04E56">
        <w:t xml:space="preserve"> underlying the critical recommendation issued in phase</w:t>
      </w:r>
      <w:r w:rsidRPr="00A04E56">
        <w:rPr>
          <w:rFonts w:ascii="Calibri" w:hAnsi="Calibri" w:cs="Calibri"/>
        </w:rPr>
        <w:t> </w:t>
      </w:r>
      <w:r w:rsidR="00F05A89" w:rsidRPr="00A04E56">
        <w:t>II</w:t>
      </w:r>
      <w:r w:rsidR="00565AF9" w:rsidRPr="00A04E56">
        <w:t xml:space="preserve"> for </w:t>
      </w:r>
      <w:r w:rsidRPr="00A04E56">
        <w:t xml:space="preserve">the </w:t>
      </w:r>
      <w:r w:rsidR="00AE4B2D" w:rsidRPr="00A04E56">
        <w:t>i</w:t>
      </w:r>
      <w:r w:rsidRPr="00A04E56">
        <w:t xml:space="preserve">nternal </w:t>
      </w:r>
      <w:r w:rsidR="00AE4B2D" w:rsidRPr="00A04E56">
        <w:t>a</w:t>
      </w:r>
      <w:r w:rsidRPr="00A04E56">
        <w:t xml:space="preserve">uditor </w:t>
      </w:r>
      <w:r w:rsidR="00565AF9" w:rsidRPr="00A04E56">
        <w:t>to</w:t>
      </w:r>
      <w:r w:rsidRPr="00A04E56">
        <w:t xml:space="preserve"> downgrade </w:t>
      </w:r>
      <w:r w:rsidR="00565AF9" w:rsidRPr="00A04E56">
        <w:t xml:space="preserve">its ranking </w:t>
      </w:r>
      <w:r w:rsidRPr="00A04E56">
        <w:t xml:space="preserve">to very important. </w:t>
      </w:r>
    </w:p>
    <w:p w14:paraId="12CDAE6B" w14:textId="00F6BE78" w:rsidR="00565AF9" w:rsidRPr="00A04E56" w:rsidRDefault="00565AF9" w:rsidP="00C257BF">
      <w:pPr>
        <w:pStyle w:val="BodyText1spaceafter"/>
        <w:rPr>
          <w:rFonts w:ascii="Times New Roman" w:hAnsi="Times New Roman"/>
        </w:rPr>
      </w:pPr>
      <w:r w:rsidRPr="00A04E56">
        <w:rPr>
          <w:bCs/>
        </w:rPr>
        <w:t xml:space="preserve">The </w:t>
      </w:r>
      <w:r w:rsidRPr="00A04E56">
        <w:t xml:space="preserve">Audit Progress Committee </w:t>
      </w:r>
      <w:r w:rsidRPr="00A04E56">
        <w:rPr>
          <w:bCs/>
        </w:rPr>
        <w:t xml:space="preserve">took note of the </w:t>
      </w:r>
      <w:r w:rsidR="00AE4B2D" w:rsidRPr="00A04E56">
        <w:rPr>
          <w:bCs/>
        </w:rPr>
        <w:t>internal auditor</w:t>
      </w:r>
      <w:r w:rsidRPr="00A04E56">
        <w:rPr>
          <w:bCs/>
        </w:rPr>
        <w:t xml:space="preserve">’s findings on the progress made in implementing the </w:t>
      </w:r>
      <w:r w:rsidR="004951CC" w:rsidRPr="004509A3">
        <w:rPr>
          <w:rStyle w:val="BOLDLIGHTBLUEReport"/>
          <w:rFonts w:eastAsia="Calibri"/>
        </w:rPr>
        <w:t>synergies and efficiencies</w:t>
      </w:r>
      <w:r w:rsidRPr="004509A3">
        <w:rPr>
          <w:rStyle w:val="BOLDLIGHTBLUEReport"/>
          <w:rFonts w:eastAsia="Calibri"/>
        </w:rPr>
        <w:t xml:space="preserve"> initiative</w:t>
      </w:r>
      <w:r w:rsidRPr="00A04E56">
        <w:rPr>
          <w:bCs/>
        </w:rPr>
        <w:t xml:space="preserve"> and welcomed the renewed political commitment to the initiative as demonstrated in the recent Commission communication</w:t>
      </w:r>
      <w:r w:rsidR="003948AB">
        <w:rPr>
          <w:rFonts w:ascii="Calibri" w:hAnsi="Calibri" w:cs="Calibri"/>
          <w:bCs/>
        </w:rPr>
        <w:t> </w:t>
      </w:r>
      <w:r w:rsidR="00A2656B" w:rsidRPr="00A04E56">
        <w:rPr>
          <w:bCs/>
        </w:rPr>
        <w:t>(</w:t>
      </w:r>
      <w:r w:rsidRPr="003948AB">
        <w:rPr>
          <w:rStyle w:val="fnRefNo"/>
        </w:rPr>
        <w:footnoteReference w:id="399"/>
      </w:r>
      <w:r w:rsidR="00A2656B" w:rsidRPr="00A04E56">
        <w:rPr>
          <w:bCs/>
        </w:rPr>
        <w:t>)</w:t>
      </w:r>
      <w:r w:rsidRPr="00A04E56">
        <w:rPr>
          <w:bCs/>
        </w:rPr>
        <w:t xml:space="preserve">. The </w:t>
      </w:r>
      <w:r w:rsidR="00202A24" w:rsidRPr="00A04E56">
        <w:rPr>
          <w:bCs/>
        </w:rPr>
        <w:t>com</w:t>
      </w:r>
      <w:r w:rsidRPr="00A04E56">
        <w:rPr>
          <w:bCs/>
        </w:rPr>
        <w:t>mittee stressed the need for ongoing further efforts to ensure that this way of working is fully embedded in the culture of the institution at all levels.</w:t>
      </w:r>
      <w:r w:rsidRPr="00A04E56">
        <w:t xml:space="preserve"> </w:t>
      </w:r>
    </w:p>
    <w:p w14:paraId="76E60279" w14:textId="7144AA6F" w:rsidR="00FC5564" w:rsidRPr="00A04E56" w:rsidRDefault="00FC5564" w:rsidP="00A43DDF">
      <w:pPr>
        <w:pStyle w:val="BodyText1spaceafter"/>
        <w:keepNext/>
      </w:pPr>
      <w:r w:rsidRPr="00A04E56">
        <w:t xml:space="preserve">The </w:t>
      </w:r>
      <w:r w:rsidR="00257380" w:rsidRPr="00A04E56">
        <w:t>co</w:t>
      </w:r>
      <w:r w:rsidRPr="00A04E56">
        <w:t xml:space="preserve">mmittee continued to </w:t>
      </w:r>
      <w:r w:rsidRPr="004509A3">
        <w:rPr>
          <w:rStyle w:val="BOLDLIGHTBLUEReport"/>
          <w:rFonts w:eastAsia="Calibri"/>
        </w:rPr>
        <w:t>follow-up on the issues raised in its previous annual reports</w:t>
      </w:r>
      <w:r w:rsidRPr="00A04E56">
        <w:t xml:space="preserve"> and paid particular attention to governance, risk mana</w:t>
      </w:r>
      <w:r w:rsidR="00441FCA" w:rsidRPr="00A04E56">
        <w:t>gement, anti-fraud, information-</w:t>
      </w:r>
      <w:r w:rsidRPr="00A04E56">
        <w:t xml:space="preserve">technology security, </w:t>
      </w:r>
      <w:r w:rsidR="00A87862">
        <w:t xml:space="preserve">externalisation </w:t>
      </w:r>
      <w:r w:rsidRPr="00A04E56">
        <w:t>and performance.</w:t>
      </w:r>
    </w:p>
    <w:p w14:paraId="70F9E586" w14:textId="4FC43327" w:rsidR="00FC5564" w:rsidRPr="00A04E56" w:rsidRDefault="00FC5564" w:rsidP="00107DA0">
      <w:pPr>
        <w:pStyle w:val="BulletsblueNew"/>
      </w:pPr>
      <w:r w:rsidRPr="00A04E56">
        <w:t xml:space="preserve">Significant progress has been made in implementing the recommendations of the </w:t>
      </w:r>
      <w:r w:rsidR="00AE4B2D" w:rsidRPr="00A04E56">
        <w:t>i</w:t>
      </w:r>
      <w:r w:rsidRPr="00A04E56">
        <w:t xml:space="preserve">nternal </w:t>
      </w:r>
      <w:r w:rsidR="00AE4B2D" w:rsidRPr="00A04E56">
        <w:t>a</w:t>
      </w:r>
      <w:r w:rsidRPr="00A04E56">
        <w:t xml:space="preserve">uditor's report on the Commission’s </w:t>
      </w:r>
      <w:r w:rsidRPr="004509A3">
        <w:rPr>
          <w:rStyle w:val="BOLDLIGHTBLUEReport"/>
          <w:rFonts w:eastAsia="Calibri"/>
        </w:rPr>
        <w:t>governance/oversight arrangements</w:t>
      </w:r>
      <w:r w:rsidRPr="00A04E56">
        <w:rPr>
          <w:i/>
        </w:rPr>
        <w:t xml:space="preserve"> </w:t>
      </w:r>
      <w:r w:rsidRPr="0009007E">
        <w:t>concerning risk management, financial reporting and the ex</w:t>
      </w:r>
      <w:r w:rsidR="00DF0116" w:rsidRPr="0009007E">
        <w:t xml:space="preserve"> post</w:t>
      </w:r>
      <w:r w:rsidRPr="0009007E">
        <w:t xml:space="preserve"> verification/audit function</w:t>
      </w:r>
      <w:r w:rsidRPr="00A04E56">
        <w:t xml:space="preserve">, in particular through the adoption of the governance package in November 2018. This included a revised </w:t>
      </w:r>
      <w:r w:rsidRPr="004509A3">
        <w:rPr>
          <w:rStyle w:val="BOLDLIGHTBLUEReport"/>
          <w:rFonts w:eastAsia="Calibri"/>
        </w:rPr>
        <w:t>Audit Progress Committee Charter</w:t>
      </w:r>
      <w:r w:rsidRPr="00A04E56">
        <w:t xml:space="preserve">, in line with which the </w:t>
      </w:r>
      <w:r w:rsidR="003D55F2" w:rsidRPr="00A04E56">
        <w:t>c</w:t>
      </w:r>
      <w:r w:rsidRPr="00A04E56">
        <w:t xml:space="preserve">ommittee now considers consolidated information on the list of critical risks identified by the management alongside the </w:t>
      </w:r>
      <w:r w:rsidR="00AE4B2D" w:rsidRPr="00A04E56">
        <w:t>i</w:t>
      </w:r>
      <w:r w:rsidRPr="00A04E56">
        <w:t xml:space="preserve">nternal </w:t>
      </w:r>
      <w:r w:rsidR="00AE4B2D" w:rsidRPr="00A04E56">
        <w:t>a</w:t>
      </w:r>
      <w:r w:rsidRPr="00A04E56">
        <w:t>uditor's own risk assessment and scrutinises the follow</w:t>
      </w:r>
      <w:r w:rsidR="00DF0116" w:rsidRPr="00A04E56">
        <w:t>-</w:t>
      </w:r>
      <w:r w:rsidRPr="00A04E56">
        <w:t xml:space="preserve">up to the European Court of Auditors' audit recommendations relating to the reliability of the European Union consolidated accounts. Whilst the </w:t>
      </w:r>
      <w:r w:rsidR="003D55F2" w:rsidRPr="00A04E56">
        <w:t>c</w:t>
      </w:r>
      <w:r w:rsidRPr="00A04E56">
        <w:t xml:space="preserve">ommittee </w:t>
      </w:r>
      <w:r w:rsidR="00A87862">
        <w:t>had</w:t>
      </w:r>
      <w:r w:rsidRPr="00A04E56">
        <w:t xml:space="preserve"> already fully met the requirements of the </w:t>
      </w:r>
      <w:r w:rsidR="007C227E" w:rsidRPr="00A04E56">
        <w:t xml:space="preserve">new </w:t>
      </w:r>
      <w:r w:rsidR="00AE4B2D" w:rsidRPr="00A04E56">
        <w:t>f</w:t>
      </w:r>
      <w:r w:rsidRPr="00A04E56">
        <w:t xml:space="preserve">inancial </w:t>
      </w:r>
      <w:r w:rsidR="00AE4B2D" w:rsidRPr="00A04E56">
        <w:t>r</w:t>
      </w:r>
      <w:r w:rsidRPr="00A04E56">
        <w:t xml:space="preserve">egulation </w:t>
      </w:r>
      <w:r w:rsidR="00A87862">
        <w:t>over many years</w:t>
      </w:r>
      <w:r w:rsidRPr="00A04E56">
        <w:t xml:space="preserve">, these further developments have </w:t>
      </w:r>
      <w:r w:rsidR="0009007E">
        <w:t>enabled it</w:t>
      </w:r>
      <w:r w:rsidRPr="00A04E56">
        <w:t xml:space="preserve"> to bring further added value, consolidating the role it has developed over the past mandate as a mature and effective actor in the Commission's overall governance structure. </w:t>
      </w:r>
    </w:p>
    <w:p w14:paraId="3DE73267" w14:textId="28FF8B18" w:rsidR="00FC5564" w:rsidRPr="00A04E56" w:rsidRDefault="005862D7" w:rsidP="00107DA0">
      <w:pPr>
        <w:pStyle w:val="BulletsblueNew"/>
      </w:pPr>
      <w:r>
        <w:t>I</w:t>
      </w:r>
      <w:r w:rsidR="00FC5564" w:rsidRPr="00A04E56">
        <w:t xml:space="preserve">n the context of a thematic discussion on internal and external audit findings in the area of </w:t>
      </w:r>
      <w:r w:rsidR="00FC5564" w:rsidRPr="004509A3">
        <w:rPr>
          <w:rStyle w:val="BOLDLIGHTBLUEReport"/>
          <w:rFonts w:eastAsia="Calibri"/>
        </w:rPr>
        <w:t>anti-fraud strategies</w:t>
      </w:r>
      <w:r w:rsidR="00FC5564" w:rsidRPr="00A04E56">
        <w:rPr>
          <w:i/>
        </w:rPr>
        <w:t>,</w:t>
      </w:r>
      <w:r w:rsidR="00FC5564" w:rsidRPr="00A04E56">
        <w:t xml:space="preserve"> the </w:t>
      </w:r>
      <w:r w:rsidR="003D55F2" w:rsidRPr="00A04E56">
        <w:t>c</w:t>
      </w:r>
      <w:r w:rsidR="00FC5564" w:rsidRPr="00A04E56">
        <w:t xml:space="preserve">ommittee followed up on audit recommendations </w:t>
      </w:r>
      <w:r w:rsidR="00A87862">
        <w:t>to combat fraud</w:t>
      </w:r>
      <w:r w:rsidR="00FC5564" w:rsidRPr="00A04E56">
        <w:t xml:space="preserve"> in the own resources and taxation areas. </w:t>
      </w:r>
      <w:r w:rsidR="007C227E" w:rsidRPr="00A04E56">
        <w:t xml:space="preserve">With the adoption of the </w:t>
      </w:r>
      <w:r w:rsidR="00A87862">
        <w:t xml:space="preserve">enhanced </w:t>
      </w:r>
      <w:r>
        <w:t>Commission</w:t>
      </w:r>
      <w:r w:rsidR="007C227E" w:rsidRPr="00A04E56">
        <w:t xml:space="preserve"> </w:t>
      </w:r>
      <w:r w:rsidR="00FF7FF6">
        <w:t>anti-</w:t>
      </w:r>
      <w:r w:rsidR="007C227E" w:rsidRPr="00A04E56">
        <w:t>fraud strategy in April 2019</w:t>
      </w:r>
      <w:r w:rsidR="005157DD">
        <w:rPr>
          <w:rFonts w:ascii="Calibri" w:hAnsi="Calibri" w:cs="Calibri"/>
        </w:rPr>
        <w:t> </w:t>
      </w:r>
      <w:r w:rsidR="00A2656B" w:rsidRPr="00A04E56">
        <w:t>(</w:t>
      </w:r>
      <w:r w:rsidR="007C227E" w:rsidRPr="005157DD">
        <w:rPr>
          <w:rStyle w:val="fnRefNo"/>
        </w:rPr>
        <w:footnoteReference w:id="400"/>
      </w:r>
      <w:r w:rsidR="00A2656B" w:rsidRPr="00A04E56">
        <w:t>)</w:t>
      </w:r>
      <w:r w:rsidR="007C227E" w:rsidRPr="00A04E56">
        <w:t xml:space="preserve"> all recommendations are considered by the management as implemented. </w:t>
      </w:r>
    </w:p>
    <w:p w14:paraId="69856279" w14:textId="17B87317" w:rsidR="00FC5564" w:rsidRPr="00A04E56" w:rsidRDefault="00FC5564" w:rsidP="00107DA0">
      <w:pPr>
        <w:pStyle w:val="BulletsblueNew"/>
      </w:pPr>
      <w:r w:rsidRPr="00A04E56">
        <w:t xml:space="preserve">In the area of </w:t>
      </w:r>
      <w:r w:rsidRPr="004509A3">
        <w:rPr>
          <w:rStyle w:val="BOLDLIGHTBLUEReport"/>
          <w:rFonts w:eastAsia="Calibri"/>
        </w:rPr>
        <w:t>externalisation</w:t>
      </w:r>
      <w:r w:rsidRPr="00A04E56">
        <w:t xml:space="preserve">, and in addition to the </w:t>
      </w:r>
      <w:r w:rsidR="007C227E" w:rsidRPr="00A04E56">
        <w:t>above</w:t>
      </w:r>
      <w:r w:rsidR="0009007E">
        <w:t>-</w:t>
      </w:r>
      <w:r w:rsidR="00756904" w:rsidRPr="00A04E56">
        <w:t>mentioned</w:t>
      </w:r>
      <w:r w:rsidR="007C227E" w:rsidRPr="00A04E56">
        <w:t xml:space="preserve"> </w:t>
      </w:r>
      <w:r w:rsidRPr="00A04E56">
        <w:t xml:space="preserve">developments </w:t>
      </w:r>
      <w:r w:rsidR="007C227E" w:rsidRPr="00A04E56">
        <w:t>i</w:t>
      </w:r>
      <w:r w:rsidRPr="00A04E56">
        <w:t>n</w:t>
      </w:r>
      <w:r w:rsidR="007C227E" w:rsidRPr="00A04E56">
        <w:t xml:space="preserve"> the</w:t>
      </w:r>
      <w:r w:rsidRPr="00A04E56">
        <w:t xml:space="preserve"> Education</w:t>
      </w:r>
      <w:r w:rsidR="007C227E" w:rsidRPr="00A04E56">
        <w:t>al</w:t>
      </w:r>
      <w:r w:rsidRPr="00A04E56">
        <w:t xml:space="preserve">, Audiovisual and Culture Executive Agency, all recommendations from the internal audit on the transportation department’s monitoring of the aviation and maritime security policies have been closed. </w:t>
      </w:r>
    </w:p>
    <w:p w14:paraId="3D1F999E" w14:textId="46C94753" w:rsidR="00FC5564" w:rsidRPr="00A04E56" w:rsidRDefault="00FC5564" w:rsidP="00107DA0">
      <w:pPr>
        <w:pStyle w:val="BulletsblueNew"/>
      </w:pPr>
      <w:r w:rsidRPr="00A04E56">
        <w:t xml:space="preserve">As concerns </w:t>
      </w:r>
      <w:r w:rsidR="007C227E" w:rsidRPr="004509A3">
        <w:rPr>
          <w:rStyle w:val="BOLDLIGHTBLUEReport"/>
          <w:rFonts w:eastAsia="Calibri"/>
        </w:rPr>
        <w:t>information</w:t>
      </w:r>
      <w:r w:rsidRPr="004509A3">
        <w:rPr>
          <w:rStyle w:val="BOLDLIGHTBLUEReport"/>
          <w:rFonts w:eastAsia="Calibri"/>
        </w:rPr>
        <w:t xml:space="preserve"> security</w:t>
      </w:r>
      <w:r w:rsidRPr="00A04E56">
        <w:t xml:space="preserve">, </w:t>
      </w:r>
      <w:r w:rsidR="00441FCA" w:rsidRPr="00A04E56">
        <w:t>the long-overdue very</w:t>
      </w:r>
      <w:r w:rsidR="002B5F47" w:rsidRPr="00A04E56">
        <w:t xml:space="preserve"> </w:t>
      </w:r>
      <w:r w:rsidR="00441FCA" w:rsidRPr="00A04E56">
        <w:t xml:space="preserve">important </w:t>
      </w:r>
      <w:r w:rsidRPr="00A04E56">
        <w:t xml:space="preserve">recommendation on the information security of the </w:t>
      </w:r>
      <w:r w:rsidR="007C227E" w:rsidRPr="00A04E56">
        <w:t>e</w:t>
      </w:r>
      <w:r w:rsidR="005862D7">
        <w:t xml:space="preserve">mission </w:t>
      </w:r>
      <w:r w:rsidR="007C227E" w:rsidRPr="00A04E56">
        <w:t>t</w:t>
      </w:r>
      <w:r w:rsidRPr="00A04E56">
        <w:t xml:space="preserve">rading </w:t>
      </w:r>
      <w:r w:rsidR="007C227E" w:rsidRPr="00A04E56">
        <w:t xml:space="preserve">scheme has recently been assessed by the </w:t>
      </w:r>
      <w:r w:rsidR="00AE4B2D" w:rsidRPr="00A04E56">
        <w:t>internal auditor</w:t>
      </w:r>
      <w:r w:rsidR="007C227E" w:rsidRPr="00A04E56">
        <w:t xml:space="preserve"> as a</w:t>
      </w:r>
      <w:r w:rsidR="005A32D1" w:rsidRPr="00A04E56">
        <w:t>ppropri</w:t>
      </w:r>
      <w:r w:rsidR="00A87862">
        <w:t>a</w:t>
      </w:r>
      <w:r w:rsidR="007C227E" w:rsidRPr="00A04E56">
        <w:t>tely implemented.</w:t>
      </w:r>
    </w:p>
    <w:p w14:paraId="00551E31" w14:textId="6E850DC5" w:rsidR="00FC5564" w:rsidRPr="00A04E56" w:rsidRDefault="00FC5564" w:rsidP="00107DA0">
      <w:pPr>
        <w:pStyle w:val="BulletsblueNew"/>
      </w:pPr>
      <w:r w:rsidRPr="00A04E56">
        <w:t xml:space="preserve">In the area of </w:t>
      </w:r>
      <w:r w:rsidRPr="004509A3">
        <w:rPr>
          <w:rStyle w:val="BOLDLIGHTBLUEReport"/>
          <w:rFonts w:eastAsia="Calibri"/>
        </w:rPr>
        <w:t>performance</w:t>
      </w:r>
      <w:r w:rsidRPr="00A04E56">
        <w:t>, the three very important internal</w:t>
      </w:r>
      <w:r w:rsidR="0009007E">
        <w:t xml:space="preserve"> </w:t>
      </w:r>
      <w:r w:rsidR="00A87862">
        <w:t xml:space="preserve"> </w:t>
      </w:r>
      <w:r w:rsidRPr="00A04E56">
        <w:t>audit recommendations to the statistics department as concerns the production process and the quality of statistics other than those produced by that service are yet to be implemented</w:t>
      </w:r>
      <w:r w:rsidR="00A87862">
        <w:t>, one of them is nearly 6 months overdue</w:t>
      </w:r>
      <w:r w:rsidRPr="00A04E56">
        <w:t>.</w:t>
      </w:r>
    </w:p>
    <w:p w14:paraId="5C73DE78" w14:textId="183FFB54" w:rsidR="00FC5564" w:rsidRPr="00A04E56" w:rsidRDefault="00FC5564" w:rsidP="00107DA0">
      <w:pPr>
        <w:pStyle w:val="BulletsblueNew-Spaceafter"/>
      </w:pPr>
      <w:r w:rsidRPr="00A04E56">
        <w:t>One of the two very important internal</w:t>
      </w:r>
      <w:r w:rsidR="00413A87">
        <w:t xml:space="preserve"> </w:t>
      </w:r>
      <w:r w:rsidRPr="00A04E56">
        <w:t xml:space="preserve">audit recommendations addressed to the </w:t>
      </w:r>
      <w:r w:rsidR="007C227E" w:rsidRPr="00A04E56">
        <w:t xml:space="preserve">paymaster department </w:t>
      </w:r>
      <w:r w:rsidRPr="00A04E56">
        <w:t xml:space="preserve">concerning </w:t>
      </w:r>
      <w:r w:rsidR="00A0625C" w:rsidRPr="00A04E56">
        <w:t>the</w:t>
      </w:r>
      <w:r w:rsidRPr="00A04E56">
        <w:t xml:space="preserve"> budget </w:t>
      </w:r>
      <w:r w:rsidR="00592B8F">
        <w:t>of</w:t>
      </w:r>
      <w:r w:rsidR="00E22A7F" w:rsidRPr="00A04E56">
        <w:t xml:space="preserve"> </w:t>
      </w:r>
      <w:r w:rsidRPr="00A04E56">
        <w:t xml:space="preserve">the European Anti-Fraud Office’s Supervisory Committee was reopened after the </w:t>
      </w:r>
      <w:r w:rsidR="00AE4B2D" w:rsidRPr="00A04E56">
        <w:t>i</w:t>
      </w:r>
      <w:r w:rsidRPr="00A04E56">
        <w:t xml:space="preserve">nternal </w:t>
      </w:r>
      <w:r w:rsidR="00AE4B2D" w:rsidRPr="00A04E56">
        <w:t>a</w:t>
      </w:r>
      <w:r w:rsidRPr="00A04E56">
        <w:t xml:space="preserve">uditor's follow-up work, but given the mitigating measures taken, the risk rating was downgraded to important. The Audit Progress Committee strongly encouraged the paymaster department to complete the necessary steps to fully implement this recommendation which is overdue by more than 12 months. </w:t>
      </w:r>
    </w:p>
    <w:p w14:paraId="7547BECF" w14:textId="2FFA1F5E" w:rsidR="00A0625C" w:rsidRPr="00A04E56" w:rsidRDefault="00A0625C" w:rsidP="00A43DDF">
      <w:pPr>
        <w:pStyle w:val="BodyText1spaceafter"/>
      </w:pPr>
      <w:r w:rsidRPr="00A04E56">
        <w:t xml:space="preserve">The </w:t>
      </w:r>
      <w:r w:rsidRPr="004509A3">
        <w:rPr>
          <w:rStyle w:val="BOLDLIGHTBLUEReport"/>
          <w:rFonts w:eastAsia="Calibri"/>
        </w:rPr>
        <w:t>effective implementation rate</w:t>
      </w:r>
      <w:r w:rsidRPr="00A04E56">
        <w:t xml:space="preserve"> of the </w:t>
      </w:r>
      <w:r w:rsidR="00AE4B2D" w:rsidRPr="00A04E56">
        <w:t>i</w:t>
      </w:r>
      <w:r w:rsidRPr="00A04E56">
        <w:t xml:space="preserve">nternal </w:t>
      </w:r>
      <w:r w:rsidR="00AE4B2D" w:rsidRPr="00A04E56">
        <w:t>a</w:t>
      </w:r>
      <w:r w:rsidRPr="00A04E56">
        <w:t xml:space="preserve">uditor’s recommendations (i.e. 97% for recommendations issued over the period 2014-2018) is high. The number of very important audit recommendations </w:t>
      </w:r>
      <w:r w:rsidR="006F4490" w:rsidRPr="00A04E56">
        <w:t>which are overdue by more than 6 </w:t>
      </w:r>
      <w:r w:rsidRPr="00A04E56">
        <w:t xml:space="preserve">months has considerably fallen over </w:t>
      </w:r>
      <w:r w:rsidR="006F4490" w:rsidRPr="00A04E56">
        <w:t>recent</w:t>
      </w:r>
      <w:r w:rsidRPr="00A04E56">
        <w:t xml:space="preserve"> years, from an average of 28 in the period from June 2015 to October 2016 to an average of 15 since January 2017.</w:t>
      </w:r>
    </w:p>
    <w:p w14:paraId="7048AECE" w14:textId="6A11F97A" w:rsidR="000D13F5" w:rsidRPr="00A04E56" w:rsidRDefault="00655F47" w:rsidP="00107DA0">
      <w:pPr>
        <w:pStyle w:val="BodyText"/>
        <w:keepNext/>
        <w:spacing w:after="40"/>
        <w:jc w:val="both"/>
      </w:pPr>
      <w:r>
        <w:rPr>
          <w:noProof/>
          <w:lang w:val="fr-BE" w:eastAsia="fr-BE"/>
        </w:rPr>
        <w:drawing>
          <wp:inline distT="0" distB="0" distL="0" distR="0" wp14:anchorId="0FB37854" wp14:editId="7F7E9501">
            <wp:extent cx="5760720" cy="2773680"/>
            <wp:effectExtent l="0" t="0" r="11430" b="7620"/>
            <wp:docPr id="329"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14:paraId="5091365A" w14:textId="7AD2DB1C" w:rsidR="00A0625C" w:rsidRPr="00A04E56" w:rsidRDefault="005A5567">
      <w:pPr>
        <w:pStyle w:val="Source-Table-Chart-PhotoCaption"/>
      </w:pPr>
      <w:r w:rsidRPr="005417E6">
        <w:rPr>
          <w:rStyle w:val="italics"/>
        </w:rPr>
        <w:t>Chart:</w:t>
      </w:r>
      <w:r w:rsidRPr="00A04E56">
        <w:t xml:space="preserve"> Number of critical and very important recommendations overdue for more than </w:t>
      </w:r>
      <w:r w:rsidR="0009007E">
        <w:t>6</w:t>
      </w:r>
      <w:r w:rsidRPr="00A04E56">
        <w:t xml:space="preserve"> months</w:t>
      </w:r>
    </w:p>
    <w:p w14:paraId="133322BE" w14:textId="604F2660" w:rsidR="00EC63B9" w:rsidRPr="00A04E56" w:rsidRDefault="00EC63B9">
      <w:pPr>
        <w:pStyle w:val="Source-Table-Chart-PhotoCaption"/>
      </w:pPr>
      <w:r w:rsidRPr="00846865">
        <w:rPr>
          <w:rStyle w:val="italics"/>
        </w:rPr>
        <w:t>Source:</w:t>
      </w:r>
      <w:r w:rsidRPr="00A04E56">
        <w:t xml:space="preserve"> </w:t>
      </w:r>
      <w:r w:rsidR="00F30C9B">
        <w:t>European Commission</w:t>
      </w:r>
      <w:r w:rsidRPr="00A04E56">
        <w:t>.</w:t>
      </w:r>
    </w:p>
    <w:p w14:paraId="15DB5E22" w14:textId="488DD53F" w:rsidR="00A0625C" w:rsidRPr="00A04E56" w:rsidRDefault="00A0625C" w:rsidP="00107DA0">
      <w:pPr>
        <w:pStyle w:val="BodyText1spacebeforeandafter"/>
      </w:pPr>
      <w:r w:rsidRPr="00A04E56">
        <w:t xml:space="preserve">During the reporting period the Audit Progress Committee has further integrated consideration of the </w:t>
      </w:r>
      <w:r w:rsidRPr="004509A3">
        <w:rPr>
          <w:rStyle w:val="BOLDLIGHTBLUEReport"/>
          <w:rFonts w:eastAsia="Calibri"/>
        </w:rPr>
        <w:t>European Court of Auditors’ audit reports</w:t>
      </w:r>
      <w:r w:rsidRPr="00A04E56">
        <w:t xml:space="preserve"> and special reports into its thematic discussions and has enhanced its scrutiny of the follow-up given to the Court’s recommendations. After the </w:t>
      </w:r>
      <w:r w:rsidR="003D55F2" w:rsidRPr="00A04E56">
        <w:t>committee</w:t>
      </w:r>
      <w:r w:rsidRPr="00A04E56">
        <w:t xml:space="preserve">’s intervention many overdue recommendations were reported as having been addressed. </w:t>
      </w:r>
      <w:r w:rsidRPr="00A04E56">
        <w:rPr>
          <w:iCs/>
        </w:rPr>
        <w:t xml:space="preserve">As of March 2019 only </w:t>
      </w:r>
      <w:r w:rsidRPr="00A04E56">
        <w:t>10 E</w:t>
      </w:r>
      <w:r w:rsidR="00413A87">
        <w:t xml:space="preserve">uropean </w:t>
      </w:r>
      <w:r w:rsidRPr="00A04E56">
        <w:t>C</w:t>
      </w:r>
      <w:r w:rsidR="00413A87">
        <w:t xml:space="preserve">ourt of </w:t>
      </w:r>
      <w:r w:rsidRPr="00A04E56">
        <w:t>A</w:t>
      </w:r>
      <w:r w:rsidR="00413A87">
        <w:t>uditors’</w:t>
      </w:r>
      <w:r w:rsidRPr="00A04E56">
        <w:t xml:space="preserve"> recommendations from the years 2001 to 2015 remain overdue, including </w:t>
      </w:r>
      <w:r w:rsidR="00796397" w:rsidRPr="00A04E56">
        <w:t>eight</w:t>
      </w:r>
      <w:r w:rsidRPr="00A04E56">
        <w:t xml:space="preserve"> recommendations from the year 2015, which is the focus of the </w:t>
      </w:r>
      <w:r w:rsidR="005862D7">
        <w:t>European Court of Auditor’s</w:t>
      </w:r>
      <w:r w:rsidRPr="00A04E56">
        <w:t xml:space="preserve"> latest follow-up review. The </w:t>
      </w:r>
      <w:r w:rsidR="005A4D81" w:rsidRPr="00A04E56">
        <w:t>com</w:t>
      </w:r>
      <w:r w:rsidRPr="00A04E56">
        <w:t xml:space="preserve">mittee has helped ensure that the Commission was prepared for this review, including by discussing the recommendations which were long overdue with the respective auditees. Following the revision of </w:t>
      </w:r>
      <w:r w:rsidR="00451F87" w:rsidRPr="00A04E56">
        <w:t>its charter</w:t>
      </w:r>
      <w:r w:rsidRPr="00A04E56">
        <w:t xml:space="preserve">, the Audit Progress Committee has also for the first time engaged with the </w:t>
      </w:r>
      <w:r w:rsidR="00950FF5" w:rsidRPr="00A04E56">
        <w:t>accounting officer</w:t>
      </w:r>
      <w:r w:rsidRPr="00A04E56">
        <w:t xml:space="preserve"> as concerns the follow-up to the Court’s audit findings on the reliability of the EU accounts.</w:t>
      </w:r>
    </w:p>
    <w:p w14:paraId="30CAAE43" w14:textId="6FCF61D5" w:rsidR="00FC5564" w:rsidRPr="00A04E56" w:rsidRDefault="00FC5564" w:rsidP="00107DA0">
      <w:pPr>
        <w:pStyle w:val="BodyText1spaceafter"/>
      </w:pPr>
      <w:r w:rsidRPr="00A04E56">
        <w:t xml:space="preserve">The Audit Progress Committee will continue to pay attention to these and other emerging issues in the remainder of its mandate. Over the past </w:t>
      </w:r>
      <w:r w:rsidR="00827343" w:rsidRPr="00A04E56">
        <w:t>5</w:t>
      </w:r>
      <w:r w:rsidR="00827343" w:rsidRPr="00A04E56">
        <w:rPr>
          <w:rFonts w:ascii="Calibri" w:hAnsi="Calibri" w:cs="Calibri"/>
        </w:rPr>
        <w:t> </w:t>
      </w:r>
      <w:r w:rsidRPr="00A04E56">
        <w:t xml:space="preserve">years </w:t>
      </w:r>
      <w:r w:rsidR="000E1797" w:rsidRPr="00A04E56">
        <w:t xml:space="preserve">the committee's </w:t>
      </w:r>
      <w:r w:rsidRPr="00A04E56">
        <w:t xml:space="preserve">responsibilities and workload have increased, whilst through improved working methods and composition, and greater </w:t>
      </w:r>
      <w:r w:rsidR="005862D7">
        <w:t>a</w:t>
      </w:r>
      <w:r w:rsidRPr="00A04E56">
        <w:t xml:space="preserve"> focus on themes </w:t>
      </w:r>
      <w:r w:rsidR="00A87862">
        <w:t xml:space="preserve">which are of crosscutting relevance for the institution as a whole, </w:t>
      </w:r>
      <w:r w:rsidRPr="00A04E56">
        <w:t xml:space="preserve">the </w:t>
      </w:r>
      <w:r w:rsidR="003D55F2" w:rsidRPr="00A04E56">
        <w:t>c</w:t>
      </w:r>
      <w:r w:rsidRPr="00A04E56">
        <w:t xml:space="preserve">ommittee has increased the quality and added value of its oversight and advice, and has evolved into a mature and effective </w:t>
      </w:r>
      <w:r w:rsidR="0066348C" w:rsidRPr="00A04E56">
        <w:t xml:space="preserve">player </w:t>
      </w:r>
      <w:r w:rsidRPr="00A04E56">
        <w:t>in the Commission's governance structures.</w:t>
      </w:r>
    </w:p>
    <w:p w14:paraId="4DB3387A" w14:textId="1F351A52" w:rsidR="00FC5564" w:rsidRPr="00A04E56" w:rsidRDefault="00FC5564" w:rsidP="00AC1D4D">
      <w:pPr>
        <w:pStyle w:val="Title2Report"/>
        <w:pageBreakBefore/>
        <w:spacing w:before="240"/>
        <w:rPr>
          <w:iCs/>
        </w:rPr>
      </w:pPr>
      <w:bookmarkStart w:id="285" w:name="_Toc6403754"/>
      <w:bookmarkStart w:id="286" w:name="_Toc9534260"/>
      <w:bookmarkStart w:id="287" w:name="_Toc9879914"/>
      <w:bookmarkStart w:id="288" w:name="_Toc10549885"/>
      <w:bookmarkStart w:id="289" w:name="_Toc12021057"/>
      <w:r w:rsidRPr="00A04E56">
        <w:rPr>
          <w:iCs/>
        </w:rPr>
        <w:t xml:space="preserve">8. </w:t>
      </w:r>
      <w:bookmarkStart w:id="290" w:name="Externalauditanddischarge"/>
      <w:r w:rsidR="00D04988" w:rsidRPr="00A04E56">
        <w:rPr>
          <w:iCs/>
        </w:rPr>
        <w:t>External audit and discharge</w:t>
      </w:r>
      <w:bookmarkEnd w:id="290"/>
      <w:r w:rsidR="00D04988" w:rsidRPr="00A04E56">
        <w:rPr>
          <w:iCs/>
        </w:rPr>
        <w:t xml:space="preserve">: </w:t>
      </w:r>
      <w:bookmarkEnd w:id="285"/>
      <w:r w:rsidR="00D04988" w:rsidRPr="00A04E56">
        <w:rPr>
          <w:iCs/>
        </w:rPr>
        <w:t>learning from the past to improve the future</w:t>
      </w:r>
      <w:bookmarkEnd w:id="286"/>
      <w:bookmarkEnd w:id="287"/>
      <w:bookmarkEnd w:id="288"/>
      <w:bookmarkEnd w:id="289"/>
    </w:p>
    <w:p w14:paraId="6F8A8240" w14:textId="502A46A7" w:rsidR="00FC5564" w:rsidRPr="00A04E56" w:rsidRDefault="00FC5564" w:rsidP="00FC5564">
      <w:pPr>
        <w:pStyle w:val="BodyText1spaceafter"/>
        <w:rPr>
          <w:lang w:bidi="en-US"/>
        </w:rPr>
      </w:pPr>
      <w:r w:rsidRPr="00A04E56">
        <w:rPr>
          <w:lang w:bidi="en-US"/>
        </w:rPr>
        <w:t xml:space="preserve">The Commission is responsible for implementing the EU budget in cooperation with Member States in line with the principles of sound financial management, i.e. funds </w:t>
      </w:r>
      <w:r w:rsidR="008B2FBD" w:rsidRPr="00A04E56">
        <w:rPr>
          <w:lang w:bidi="en-US"/>
        </w:rPr>
        <w:t xml:space="preserve">are to </w:t>
      </w:r>
      <w:r w:rsidRPr="00A04E56">
        <w:rPr>
          <w:lang w:bidi="en-US"/>
        </w:rPr>
        <w:t xml:space="preserve">be spent in an effective, efficient and economic manner. An </w:t>
      </w:r>
      <w:r w:rsidRPr="00A04E56">
        <w:rPr>
          <w:rStyle w:val="BOLDLIGHTBLUEReport"/>
          <w:rFonts w:eastAsia="Calibri"/>
        </w:rPr>
        <w:t>accountability framework</w:t>
      </w:r>
      <w:r w:rsidRPr="00A04E56">
        <w:rPr>
          <w:lang w:bidi="en-US"/>
        </w:rPr>
        <w:t xml:space="preserve"> based on comprehensive reporting, external audit and political control exists to provide reasonable assurance that EU funds are spent well in a proper manner. </w:t>
      </w:r>
    </w:p>
    <w:p w14:paraId="2FB3BA9A" w14:textId="77777777" w:rsidR="00FC5564" w:rsidRPr="00A04E56" w:rsidRDefault="00FC5564" w:rsidP="00C50089">
      <w:pPr>
        <w:pStyle w:val="SubtitleLightBlueReport11pt"/>
        <w:rPr>
          <w:lang w:bidi="en-US"/>
        </w:rPr>
      </w:pPr>
      <w:r w:rsidRPr="00A04E56">
        <w:rPr>
          <w:lang w:bidi="en-US"/>
        </w:rPr>
        <w:t>The discharge procedure</w:t>
      </w:r>
    </w:p>
    <w:p w14:paraId="1D0A6869" w14:textId="77777777" w:rsidR="00FC5564" w:rsidRPr="00A04E56" w:rsidRDefault="00FC5564" w:rsidP="00FC5564">
      <w:pPr>
        <w:pStyle w:val="BodyText1spaceafter"/>
        <w:rPr>
          <w:lang w:bidi="en-US"/>
        </w:rPr>
      </w:pPr>
      <w:r w:rsidRPr="00A04E56">
        <w:rPr>
          <w:lang w:bidi="en-US"/>
        </w:rPr>
        <w:t xml:space="preserve">Every year the </w:t>
      </w:r>
      <w:r w:rsidRPr="00A04E56">
        <w:rPr>
          <w:rStyle w:val="BOLDLIGHTBLUEReport"/>
          <w:rFonts w:eastAsia="Calibri"/>
        </w:rPr>
        <w:t>European Court of Auditors</w:t>
      </w:r>
      <w:r w:rsidRPr="00A04E56">
        <w:rPr>
          <w:lang w:bidi="en-US"/>
        </w:rPr>
        <w:t xml:space="preserve">, which is the European Union's </w:t>
      </w:r>
      <w:r w:rsidRPr="00A04E56">
        <w:rPr>
          <w:rStyle w:val="BOLDLIGHTBLUEReport"/>
          <w:rFonts w:eastAsia="Calibri"/>
        </w:rPr>
        <w:t>independent external auditor</w:t>
      </w:r>
      <w:r w:rsidRPr="00A04E56">
        <w:rPr>
          <w:lang w:bidi="en-US"/>
        </w:rPr>
        <w:t xml:space="preserve">, examines the reliability of accounts, whether all revenue has been received and all expenditure incurred in a lawful and regular manner, and whether the financial management has been sound. The publication of the </w:t>
      </w:r>
      <w:r w:rsidRPr="00A04E56">
        <w:rPr>
          <w:rStyle w:val="BOLDLIGHTBLUEReport"/>
          <w:rFonts w:eastAsia="Calibri"/>
        </w:rPr>
        <w:t>annual report</w:t>
      </w:r>
      <w:r w:rsidRPr="00A04E56">
        <w:rPr>
          <w:lang w:bidi="en-US"/>
        </w:rPr>
        <w:t xml:space="preserve"> of the European Court of Auditors is the starting point for the discharge procedure. The </w:t>
      </w:r>
      <w:r w:rsidRPr="00A04E56">
        <w:rPr>
          <w:bCs/>
          <w:lang w:bidi="en-US"/>
        </w:rPr>
        <w:t>auditors also prepare</w:t>
      </w:r>
      <w:r w:rsidRPr="00A04E56">
        <w:rPr>
          <w:b/>
          <w:bCs/>
          <w:lang w:bidi="en-US"/>
        </w:rPr>
        <w:t xml:space="preserve"> </w:t>
      </w:r>
      <w:r w:rsidRPr="00A04E56">
        <w:rPr>
          <w:rStyle w:val="BOLDLIGHTBLUEReport"/>
          <w:rFonts w:eastAsia="Calibri"/>
        </w:rPr>
        <w:t>special reports on</w:t>
      </w:r>
      <w:r w:rsidRPr="00A04E56">
        <w:rPr>
          <w:lang w:bidi="en-US"/>
        </w:rPr>
        <w:t xml:space="preserve"> specific spending or policy areas, or budgetary or management issues. </w:t>
      </w:r>
    </w:p>
    <w:p w14:paraId="33543C0B" w14:textId="62150518" w:rsidR="00FC5564" w:rsidRPr="00A04E56" w:rsidRDefault="00FC5564" w:rsidP="00FC5564">
      <w:pPr>
        <w:pStyle w:val="BodyText1spaceafter"/>
        <w:rPr>
          <w:lang w:bidi="en-US"/>
        </w:rPr>
      </w:pPr>
      <w:r w:rsidRPr="00A04E56">
        <w:rPr>
          <w:lang w:bidi="en-US"/>
        </w:rPr>
        <w:t xml:space="preserve">The decision on the discharge is also based on the Commission’s integrated financial and accountability reporting, on hearings of Commissioners and on the replies provided to written questions addressed to the Commission. </w:t>
      </w:r>
    </w:p>
    <w:p w14:paraId="419038CE" w14:textId="7A8865CC" w:rsidR="00FC5564" w:rsidRPr="00A04E56" w:rsidRDefault="00FC5564" w:rsidP="00FC5564">
      <w:pPr>
        <w:pStyle w:val="BodyText1spaceafter"/>
        <w:rPr>
          <w:lang w:bidi="en-US"/>
        </w:rPr>
      </w:pPr>
      <w:r w:rsidRPr="00A04E56">
        <w:rPr>
          <w:lang w:bidi="en-US"/>
        </w:rPr>
        <w:t xml:space="preserve">The </w:t>
      </w:r>
      <w:r w:rsidRPr="00A04E56">
        <w:rPr>
          <w:rStyle w:val="BOLDLIGHTBLUEReport"/>
          <w:rFonts w:eastAsia="Calibri"/>
        </w:rPr>
        <w:t>annual discharge procedure</w:t>
      </w:r>
      <w:r w:rsidRPr="00A04E56">
        <w:rPr>
          <w:lang w:bidi="en-US"/>
        </w:rPr>
        <w:t xml:space="preserve"> allows the European Parliament and the Council to hold the Commission </w:t>
      </w:r>
      <w:r w:rsidRPr="00A04E56">
        <w:rPr>
          <w:rStyle w:val="BOLDLIGHTBLUEReport"/>
          <w:rFonts w:eastAsia="Calibri"/>
        </w:rPr>
        <w:t>politically accountable</w:t>
      </w:r>
      <w:r w:rsidRPr="00A04E56">
        <w:rPr>
          <w:lang w:bidi="en-US"/>
        </w:rPr>
        <w:t xml:space="preserve"> for the implementation of the EU budget. The European Parliament decides, after a recommendation by the Council, on whether or not to provide its final approval, known as </w:t>
      </w:r>
      <w:r w:rsidR="006A535A" w:rsidRPr="00A04E56">
        <w:rPr>
          <w:lang w:bidi="en-US"/>
        </w:rPr>
        <w:t>‘</w:t>
      </w:r>
      <w:r w:rsidRPr="00A04E56">
        <w:rPr>
          <w:lang w:bidi="en-US"/>
        </w:rPr>
        <w:t>granting discharge</w:t>
      </w:r>
      <w:r w:rsidR="006A535A" w:rsidRPr="00A04E56">
        <w:rPr>
          <w:lang w:bidi="en-US"/>
        </w:rPr>
        <w:t>’</w:t>
      </w:r>
      <w:r w:rsidRPr="00A04E56">
        <w:rPr>
          <w:lang w:bidi="en-US"/>
        </w:rPr>
        <w:t xml:space="preserve">, to the way the Commission implemented the EU budget in a given year. </w:t>
      </w:r>
    </w:p>
    <w:p w14:paraId="54E00343" w14:textId="0EE44AE6" w:rsidR="00FC5564" w:rsidRPr="00A04E56" w:rsidRDefault="0032181E" w:rsidP="002B03C7">
      <w:pPr>
        <w:pStyle w:val="BodyText1spaceafter"/>
        <w:keepNext/>
        <w:spacing w:after="0"/>
        <w:jc w:val="center"/>
        <w:rPr>
          <w:lang w:bidi="en-US"/>
        </w:rPr>
      </w:pPr>
      <w:r>
        <w:rPr>
          <w:lang w:val="fr-BE"/>
        </w:rPr>
        <w:drawing>
          <wp:inline distT="0" distB="0" distL="0" distR="0" wp14:anchorId="671A2215" wp14:editId="2BC7FD9D">
            <wp:extent cx="4320000" cy="4276667"/>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179.emf"/>
                    <pic:cNvPicPr/>
                  </pic:nvPicPr>
                  <pic:blipFill>
                    <a:blip r:embed="rId246" cstate="email">
                      <a:extLst>
                        <a:ext uri="{28A0092B-C50C-407E-A947-70E740481C1C}">
                          <a14:useLocalDpi xmlns:a14="http://schemas.microsoft.com/office/drawing/2010/main"/>
                        </a:ext>
                      </a:extLst>
                    </a:blip>
                    <a:stretch>
                      <a:fillRect/>
                    </a:stretch>
                  </pic:blipFill>
                  <pic:spPr>
                    <a:xfrm>
                      <a:off x="0" y="0"/>
                      <a:ext cx="4320000" cy="4276667"/>
                    </a:xfrm>
                    <a:prstGeom prst="rect">
                      <a:avLst/>
                    </a:prstGeom>
                  </pic:spPr>
                </pic:pic>
              </a:graphicData>
            </a:graphic>
          </wp:inline>
        </w:drawing>
      </w:r>
    </w:p>
    <w:p w14:paraId="30EA05AC" w14:textId="77777777" w:rsidR="00FC5564" w:rsidRPr="00A04E56" w:rsidRDefault="00FC5564" w:rsidP="004463AB">
      <w:pPr>
        <w:pStyle w:val="Source-Table-Chart-PhotoCaption"/>
        <w:spacing w:before="80"/>
        <w:ind w:left="1134"/>
      </w:pPr>
      <w:r w:rsidRPr="00107DA0">
        <w:rPr>
          <w:rStyle w:val="italics"/>
        </w:rPr>
        <w:t>Chart:</w:t>
      </w:r>
      <w:r w:rsidRPr="00A04E56">
        <w:rPr>
          <w:color w:val="000000" w:themeColor="text1"/>
          <w:sz w:val="18"/>
          <w:szCs w:val="18"/>
          <w:lang w:bidi="en-US"/>
        </w:rPr>
        <w:t xml:space="preserve"> Accountability cycle for the EU Budget</w:t>
      </w:r>
    </w:p>
    <w:p w14:paraId="1CE85348" w14:textId="77777777" w:rsidR="00FC5564" w:rsidRPr="00A04E56" w:rsidRDefault="00FC5564" w:rsidP="00C50089">
      <w:pPr>
        <w:pStyle w:val="SubtitleLightBlueReport11pt"/>
        <w:rPr>
          <w:lang w:bidi="en-US"/>
        </w:rPr>
      </w:pPr>
      <w:r w:rsidRPr="00A04E56">
        <w:rPr>
          <w:lang w:bidi="en-US"/>
        </w:rPr>
        <w:t>2017 discharge</w:t>
      </w:r>
    </w:p>
    <w:p w14:paraId="17CFA2B0" w14:textId="3335DD4D" w:rsidR="00FC5564" w:rsidRPr="00A04E56" w:rsidRDefault="00FC5564" w:rsidP="00FC5564">
      <w:pPr>
        <w:pStyle w:val="BodyText1spaceafter"/>
        <w:rPr>
          <w:lang w:bidi="en-US"/>
        </w:rPr>
      </w:pPr>
      <w:r w:rsidRPr="00A04E56">
        <w:rPr>
          <w:lang w:bidi="en-US"/>
        </w:rPr>
        <w:t xml:space="preserve">The European Parliament </w:t>
      </w:r>
      <w:r w:rsidRPr="00A04E56">
        <w:rPr>
          <w:rStyle w:val="BOLDLIGHTBLUEReport"/>
          <w:rFonts w:eastAsia="Calibri"/>
        </w:rPr>
        <w:t>granted discharge</w:t>
      </w:r>
      <w:r w:rsidRPr="00A04E56">
        <w:rPr>
          <w:lang w:bidi="en-US"/>
        </w:rPr>
        <w:t xml:space="preserve"> to the Commission for the financial year 2017 by a clear majority on 26</w:t>
      </w:r>
      <w:r w:rsidR="00DA20EC" w:rsidRPr="00A04E56">
        <w:rPr>
          <w:rFonts w:ascii="Calibri" w:hAnsi="Calibri" w:cs="Calibri"/>
          <w:lang w:bidi="en-US"/>
        </w:rPr>
        <w:t> </w:t>
      </w:r>
      <w:r w:rsidRPr="00A04E56">
        <w:rPr>
          <w:lang w:bidi="en-US"/>
        </w:rPr>
        <w:t>March</w:t>
      </w:r>
      <w:r w:rsidR="00DA20EC" w:rsidRPr="00A04E56">
        <w:rPr>
          <w:rFonts w:ascii="Calibri" w:hAnsi="Calibri" w:cs="Calibri"/>
          <w:lang w:bidi="en-US"/>
        </w:rPr>
        <w:t> </w:t>
      </w:r>
      <w:r w:rsidRPr="00A04E56">
        <w:rPr>
          <w:lang w:bidi="en-US"/>
        </w:rPr>
        <w:t xml:space="preserve">2019 after having examined the reports of the </w:t>
      </w:r>
      <w:r w:rsidRPr="00A04E56">
        <w:rPr>
          <w:rStyle w:val="BOLDLIGHTBLUEReport"/>
          <w:rFonts w:eastAsia="Calibri"/>
        </w:rPr>
        <w:t>European Court of Auditors</w:t>
      </w:r>
      <w:r w:rsidRPr="00A04E56">
        <w:rPr>
          <w:lang w:bidi="en-US"/>
        </w:rPr>
        <w:t xml:space="preserve">, the Commission’s </w:t>
      </w:r>
      <w:r w:rsidRPr="00A04E56">
        <w:rPr>
          <w:rStyle w:val="BOLDLIGHTBLUEReport"/>
          <w:rFonts w:eastAsia="Calibri"/>
        </w:rPr>
        <w:t>Integrated Financial Reporting Package</w:t>
      </w:r>
      <w:r w:rsidRPr="00A04E56">
        <w:rPr>
          <w:lang w:bidi="en-US"/>
        </w:rPr>
        <w:t xml:space="preserve">, and the </w:t>
      </w:r>
      <w:r w:rsidRPr="00A04E56">
        <w:rPr>
          <w:rStyle w:val="BOLDLIGHTBLUEReport"/>
          <w:rFonts w:eastAsia="Calibri"/>
        </w:rPr>
        <w:t>Council's</w:t>
      </w:r>
      <w:r w:rsidRPr="00A04E56">
        <w:rPr>
          <w:lang w:bidi="en-US"/>
        </w:rPr>
        <w:t xml:space="preserve"> discharge recommendation. The European Parliament’s Committee on Budgetary Control also invited selected Commissioners and Directors-General for exchanges of views during the discharge procedure. </w:t>
      </w:r>
    </w:p>
    <w:p w14:paraId="13A0EFE4" w14:textId="6DE59C77" w:rsidR="00FC5564" w:rsidRPr="00A04E56" w:rsidRDefault="00FC5564" w:rsidP="00FC5564">
      <w:pPr>
        <w:pStyle w:val="BodyText1spaceafter"/>
        <w:rPr>
          <w:lang w:bidi="en-US"/>
        </w:rPr>
      </w:pPr>
      <w:r w:rsidRPr="00A04E56">
        <w:rPr>
          <w:lang w:bidi="en-US"/>
        </w:rPr>
        <w:t xml:space="preserve">The </w:t>
      </w:r>
      <w:r w:rsidRPr="00A04E56">
        <w:rPr>
          <w:rStyle w:val="BOLDLIGHTBLUEReport"/>
          <w:rFonts w:eastAsia="Calibri"/>
        </w:rPr>
        <w:t>European Parliament’s discharge resolution for 2017</w:t>
      </w:r>
      <w:r w:rsidRPr="00A04E56">
        <w:rPr>
          <w:b/>
          <w:bCs/>
          <w:lang w:bidi="en-US"/>
        </w:rPr>
        <w:t xml:space="preserve"> </w:t>
      </w:r>
      <w:r w:rsidRPr="00A04E56">
        <w:rPr>
          <w:lang w:bidi="en-US"/>
        </w:rPr>
        <w:t>includes many examples of success stories for the EU budget, and highlights great improvements in financial management of the EU budget (a better performance framework, lower error rates</w:t>
      </w:r>
      <w:r w:rsidR="00091924" w:rsidRPr="00A04E56">
        <w:rPr>
          <w:lang w:bidi="en-US"/>
        </w:rPr>
        <w:t xml:space="preserve"> and</w:t>
      </w:r>
      <w:r w:rsidRPr="00A04E56">
        <w:rPr>
          <w:lang w:bidi="en-US"/>
        </w:rPr>
        <w:t xml:space="preserve"> improved absorption of funds). In addition, it includes recommendations for the improvement of budget implementation, as well as recommendations linked to specific policy areas</w:t>
      </w:r>
      <w:r w:rsidR="000950B6" w:rsidRPr="00A04E56">
        <w:t xml:space="preserve"> </w:t>
      </w:r>
      <w:r w:rsidR="000950B6" w:rsidRPr="00A04E56">
        <w:rPr>
          <w:lang w:bidi="en-US"/>
        </w:rPr>
        <w:t xml:space="preserve">and situations (in particular in relation to specific reported </w:t>
      </w:r>
      <w:r w:rsidR="00756904" w:rsidRPr="00A04E56">
        <w:rPr>
          <w:lang w:bidi="en-US"/>
        </w:rPr>
        <w:t>conflicts of interest</w:t>
      </w:r>
      <w:r w:rsidR="000950B6" w:rsidRPr="00A04E56">
        <w:rPr>
          <w:lang w:bidi="en-US"/>
        </w:rPr>
        <w:t>)</w:t>
      </w:r>
      <w:r w:rsidRPr="00A04E56">
        <w:rPr>
          <w:lang w:bidi="en-US"/>
        </w:rPr>
        <w:t xml:space="preserve">. </w:t>
      </w:r>
    </w:p>
    <w:p w14:paraId="201FA8EA" w14:textId="77777777" w:rsidR="00FC5564" w:rsidRPr="00A04E56" w:rsidRDefault="00FC5564" w:rsidP="00FC5564">
      <w:pPr>
        <w:pStyle w:val="BodyText1spaceafter"/>
        <w:rPr>
          <w:lang w:bidi="en-US"/>
        </w:rPr>
      </w:pPr>
      <w:r w:rsidRPr="00A04E56">
        <w:rPr>
          <w:lang w:bidi="en-US"/>
        </w:rPr>
        <w:t xml:space="preserve">The Commission reports every year on its follow-up of requests addressed by the European Parliament and the Council to the Commission. This </w:t>
      </w:r>
      <w:r w:rsidRPr="00A04E56">
        <w:rPr>
          <w:rStyle w:val="BOLDLIGHTBLUEReport"/>
          <w:rFonts w:eastAsia="Calibri"/>
        </w:rPr>
        <w:t>follow-up report</w:t>
      </w:r>
      <w:r w:rsidRPr="00A04E56">
        <w:rPr>
          <w:lang w:bidi="en-US"/>
        </w:rPr>
        <w:t xml:space="preserve"> is part of the Commission’s integrated financial and accountability reporting. The Commission’s follow-up report for 2016 fed into the 2017 discharge procedure, while the follow-up report for 2017 will be published in June 2019. </w:t>
      </w:r>
    </w:p>
    <w:p w14:paraId="799FDD7D" w14:textId="7BC7E7C0" w:rsidR="00FC5564" w:rsidRPr="00A04E56" w:rsidRDefault="00FC5564" w:rsidP="00C50089">
      <w:pPr>
        <w:pStyle w:val="SubtitleLightBlueReport11pt"/>
        <w:rPr>
          <w:lang w:bidi="en-US"/>
        </w:rPr>
      </w:pPr>
      <w:r w:rsidRPr="00A04E56">
        <w:rPr>
          <w:lang w:bidi="en-US"/>
        </w:rPr>
        <w:t>Follow-up of audits</w:t>
      </w:r>
      <w:r w:rsidR="001A5309">
        <w:rPr>
          <w:lang w:bidi="en-US"/>
        </w:rPr>
        <w:t xml:space="preserve"> of the European Court of Auditors</w:t>
      </w:r>
    </w:p>
    <w:p w14:paraId="0501055E" w14:textId="0AF524C6" w:rsidR="00FC5564" w:rsidRPr="00A04E56" w:rsidRDefault="00FC5564" w:rsidP="00FC5564">
      <w:pPr>
        <w:pStyle w:val="BodyText1spaceafter"/>
        <w:rPr>
          <w:lang w:bidi="en-US"/>
        </w:rPr>
      </w:pPr>
      <w:r w:rsidRPr="00A04E56">
        <w:rPr>
          <w:lang w:bidi="en-US"/>
        </w:rPr>
        <w:t xml:space="preserve">The European Court of Auditors has also increased the number and scope of its </w:t>
      </w:r>
      <w:r w:rsidR="00835302" w:rsidRPr="00A04E56">
        <w:rPr>
          <w:rStyle w:val="BOLDLIGHTBLUEReport"/>
          <w:rFonts w:eastAsia="Calibri"/>
        </w:rPr>
        <w:t>special reports</w:t>
      </w:r>
      <w:r w:rsidRPr="00A04E56">
        <w:rPr>
          <w:lang w:bidi="en-US"/>
        </w:rPr>
        <w:t xml:space="preserve"> during the past few years. </w:t>
      </w:r>
      <w:r w:rsidR="008C1D39" w:rsidRPr="00A04E56">
        <w:rPr>
          <w:i/>
          <w:u w:val="single"/>
          <w:lang w:bidi="en-US"/>
        </w:rPr>
        <w:t>In 2018</w:t>
      </w:r>
      <w:r w:rsidRPr="00A04E56">
        <w:rPr>
          <w:lang w:bidi="en-US"/>
        </w:rPr>
        <w:t xml:space="preserve">, the Court published 32 </w:t>
      </w:r>
      <w:r w:rsidR="00835302" w:rsidRPr="00A04E56">
        <w:rPr>
          <w:lang w:bidi="en-US"/>
        </w:rPr>
        <w:t>s</w:t>
      </w:r>
      <w:r w:rsidRPr="00A04E56">
        <w:rPr>
          <w:lang w:bidi="en-US"/>
        </w:rPr>
        <w:t xml:space="preserve">pecial </w:t>
      </w:r>
      <w:r w:rsidR="00835302" w:rsidRPr="00A04E56">
        <w:rPr>
          <w:lang w:bidi="en-US"/>
        </w:rPr>
        <w:t>r</w:t>
      </w:r>
      <w:r w:rsidRPr="00A04E56">
        <w:rPr>
          <w:lang w:bidi="en-US"/>
        </w:rPr>
        <w:t xml:space="preserve">eports addressed to the Commission, compared to 23 </w:t>
      </w:r>
      <w:r w:rsidR="008C1D39" w:rsidRPr="00277538">
        <w:rPr>
          <w:lang w:bidi="en-US"/>
        </w:rPr>
        <w:t>in 2017</w:t>
      </w:r>
      <w:r w:rsidRPr="00A04E56">
        <w:rPr>
          <w:lang w:bidi="en-US"/>
        </w:rPr>
        <w:t xml:space="preserve">, resulting in the Commission facing an increasing number of recommendations (the Commission accepted 297 recommendations either fully or partially). The Commission will continue to ensure an adequate follow-up of these recommendations, and report in its </w:t>
      </w:r>
      <w:r w:rsidR="00941B44" w:rsidRPr="00A04E56">
        <w:rPr>
          <w:lang w:bidi="en-US"/>
        </w:rPr>
        <w:t>IT tool ‘RAD’</w:t>
      </w:r>
      <w:r w:rsidR="00F504A4" w:rsidRPr="00A04E56">
        <w:rPr>
          <w:rFonts w:ascii="Calibri" w:hAnsi="Calibri" w:cs="Calibri"/>
          <w:lang w:bidi="en-US"/>
        </w:rPr>
        <w:t> (</w:t>
      </w:r>
      <w:r w:rsidR="00941B44" w:rsidRPr="006454AE">
        <w:rPr>
          <w:rStyle w:val="fnRefNo"/>
        </w:rPr>
        <w:footnoteReference w:id="401"/>
      </w:r>
      <w:r w:rsidR="00F504A4" w:rsidRPr="00A04E56">
        <w:rPr>
          <w:rFonts w:ascii="Calibri" w:hAnsi="Calibri" w:cs="Calibri"/>
          <w:lang w:bidi="en-US"/>
        </w:rPr>
        <w:t>)</w:t>
      </w:r>
      <w:r w:rsidR="00941B44" w:rsidRPr="00A04E56">
        <w:rPr>
          <w:lang w:bidi="en-US"/>
        </w:rPr>
        <w:t xml:space="preserve"> </w:t>
      </w:r>
      <w:r w:rsidR="00F504A4" w:rsidRPr="00A04E56">
        <w:rPr>
          <w:lang w:bidi="en-US"/>
        </w:rPr>
        <w:t>and annual activity reports</w:t>
      </w:r>
      <w:r w:rsidR="00F504A4" w:rsidRPr="00A04E56">
        <w:rPr>
          <w:b/>
          <w:lang w:bidi="en-US"/>
        </w:rPr>
        <w:t xml:space="preserve"> </w:t>
      </w:r>
      <w:r w:rsidRPr="00A04E56">
        <w:rPr>
          <w:lang w:bidi="en-US"/>
        </w:rPr>
        <w:t xml:space="preserve">on the measures taken. Moreover, the Commission reports on a regular basis on the implementation of recommendations to </w:t>
      </w:r>
      <w:r w:rsidRPr="00A04E56">
        <w:rPr>
          <w:rStyle w:val="BOLDLIGHTBLUEReport"/>
          <w:rFonts w:eastAsia="Calibri"/>
        </w:rPr>
        <w:t>the Audit Progress Committee</w:t>
      </w:r>
      <w:r w:rsidRPr="00A04E56">
        <w:rPr>
          <w:lang w:bidi="en-US"/>
        </w:rPr>
        <w:t xml:space="preserve">, which performs certain monitoring activities under its mandate. </w:t>
      </w:r>
    </w:p>
    <w:p w14:paraId="13378B7E" w14:textId="38A1EC2F" w:rsidR="00FC5564" w:rsidRPr="00A04E56" w:rsidRDefault="00FC5564" w:rsidP="00FC5564">
      <w:pPr>
        <w:pStyle w:val="BodyText1spaceafter"/>
        <w:rPr>
          <w:lang w:bidi="en-US"/>
        </w:rPr>
      </w:pPr>
      <w:r w:rsidRPr="00A04E56">
        <w:rPr>
          <w:lang w:bidi="en-US"/>
        </w:rPr>
        <w:t xml:space="preserve">The European Court of Auditors also monitors the Commission's implementation of its recommendations and provides feedback, helping the Commission to enhance its follow-up activities. In its </w:t>
      </w:r>
      <w:r w:rsidRPr="00A04E56">
        <w:rPr>
          <w:i/>
          <w:lang w:bidi="en-US"/>
        </w:rPr>
        <w:t xml:space="preserve">2017 </w:t>
      </w:r>
      <w:r w:rsidR="001045AB" w:rsidRPr="00A04E56">
        <w:rPr>
          <w:i/>
          <w:lang w:bidi="en-US"/>
        </w:rPr>
        <w:t>annual report</w:t>
      </w:r>
      <w:r w:rsidRPr="00A04E56">
        <w:rPr>
          <w:lang w:bidi="en-US"/>
        </w:rPr>
        <w:t xml:space="preserve">, the European Court of Auditors assessed the quality of the Commission's </w:t>
      </w:r>
      <w:r w:rsidRPr="00A04E56">
        <w:rPr>
          <w:rStyle w:val="BOLDLIGHTBLUEReport"/>
          <w:rFonts w:eastAsia="Calibri"/>
        </w:rPr>
        <w:t>follow-up measures</w:t>
      </w:r>
      <w:r w:rsidRPr="00A04E56">
        <w:rPr>
          <w:lang w:bidi="en-US"/>
        </w:rPr>
        <w:t xml:space="preserve"> based on a sample of 100 audit recommendations from 17 </w:t>
      </w:r>
      <w:r w:rsidR="00835302" w:rsidRPr="00A04E56">
        <w:rPr>
          <w:lang w:bidi="en-US"/>
        </w:rPr>
        <w:t>s</w:t>
      </w:r>
      <w:r w:rsidRPr="00A04E56">
        <w:rPr>
          <w:lang w:bidi="en-US"/>
        </w:rPr>
        <w:t xml:space="preserve">pecial </w:t>
      </w:r>
      <w:r w:rsidR="00835302" w:rsidRPr="00A04E56">
        <w:rPr>
          <w:lang w:bidi="en-US"/>
        </w:rPr>
        <w:t>r</w:t>
      </w:r>
      <w:r w:rsidRPr="00A04E56">
        <w:rPr>
          <w:lang w:bidi="en-US"/>
        </w:rPr>
        <w:t xml:space="preserve">eports published in </w:t>
      </w:r>
      <w:r w:rsidRPr="00A04E56">
        <w:rPr>
          <w:rStyle w:val="BOLDLIGHTBLUEReport"/>
          <w:rFonts w:eastAsia="Calibri"/>
        </w:rPr>
        <w:t>2014</w:t>
      </w:r>
      <w:r w:rsidRPr="00A04E56">
        <w:rPr>
          <w:lang w:bidi="en-US"/>
        </w:rPr>
        <w:t xml:space="preserve">. The European Court of Auditors noted that the Commission had implemented 58% of the recommendations fully, 17% were implemented in most respects and 19% in some respects, while 6% were not implemented (recommendations that were not implemented at all were not accepted by the Commission). The outcome for fully implemented recommendations is broadly in line with figures from previous years. </w:t>
      </w:r>
    </w:p>
    <w:p w14:paraId="1905FAF0" w14:textId="36EE8EA2" w:rsidR="00FC5564" w:rsidRPr="00A04E56" w:rsidRDefault="00FC5564" w:rsidP="007E2F3C">
      <w:pPr>
        <w:pStyle w:val="Title2Report"/>
        <w:pageBreakBefore/>
        <w:pBdr>
          <w:bottom w:val="single" w:sz="12" w:space="0" w:color="65BBC8"/>
        </w:pBdr>
        <w:spacing w:before="240"/>
      </w:pPr>
      <w:bookmarkStart w:id="291" w:name="_Toc6403755"/>
      <w:bookmarkStart w:id="292" w:name="_Toc9534261"/>
      <w:bookmarkStart w:id="293" w:name="_Toc9879915"/>
      <w:bookmarkStart w:id="294" w:name="_Toc10549886"/>
      <w:bookmarkStart w:id="295" w:name="_Toc12021058"/>
      <w:r w:rsidRPr="00A04E56">
        <w:rPr>
          <w:iCs/>
        </w:rPr>
        <w:t xml:space="preserve">9. </w:t>
      </w:r>
      <w:bookmarkStart w:id="296" w:name="Organisationalmanagement"/>
      <w:r w:rsidR="00065F2D" w:rsidRPr="00A04E56">
        <w:rPr>
          <w:iCs/>
        </w:rPr>
        <w:t>O</w:t>
      </w:r>
      <w:r w:rsidR="00D04988" w:rsidRPr="00A04E56">
        <w:rPr>
          <w:iCs/>
        </w:rPr>
        <w:t>rganisational management</w:t>
      </w:r>
      <w:bookmarkEnd w:id="291"/>
      <w:bookmarkEnd w:id="292"/>
      <w:bookmarkEnd w:id="293"/>
      <w:bookmarkEnd w:id="294"/>
      <w:bookmarkEnd w:id="296"/>
      <w:bookmarkEnd w:id="295"/>
    </w:p>
    <w:p w14:paraId="15788FD9" w14:textId="77777777" w:rsidR="00FC5564" w:rsidRPr="00A04E56" w:rsidRDefault="00FC5564" w:rsidP="00277538">
      <w:pPr>
        <w:pStyle w:val="Title3Report"/>
        <w:rPr>
          <w:noProof/>
        </w:rPr>
      </w:pPr>
      <w:bookmarkStart w:id="297" w:name="_Toc6403756"/>
      <w:r w:rsidRPr="00A04E56">
        <w:rPr>
          <w:noProof/>
        </w:rPr>
        <w:t xml:space="preserve">9.1. Robust governance </w:t>
      </w:r>
      <w:r w:rsidRPr="00A04E56">
        <w:t>arrangements</w:t>
      </w:r>
      <w:bookmarkEnd w:id="297"/>
    </w:p>
    <w:p w14:paraId="4D333652" w14:textId="77777777" w:rsidR="00FC5564" w:rsidRPr="00A04E56" w:rsidRDefault="00FC5564" w:rsidP="003A7016">
      <w:pPr>
        <w:pStyle w:val="BodyText1spaceafter"/>
      </w:pPr>
      <w:r w:rsidRPr="00A04E56">
        <w:t>The governance system used by the European Commission</w:t>
      </w:r>
      <w:r w:rsidRPr="00A04E56">
        <w:rPr>
          <w:rStyle w:val="fnRef"/>
          <w:rFonts w:ascii="Calibri" w:hAnsi="Calibri" w:cs="Calibri"/>
        </w:rPr>
        <w:t> </w:t>
      </w:r>
      <w:r w:rsidRPr="00A04E56">
        <w:rPr>
          <w:rStyle w:val="fnRef"/>
        </w:rPr>
        <w:t>(</w:t>
      </w:r>
      <w:r w:rsidRPr="00A04E56">
        <w:rPr>
          <w:rStyle w:val="fnRefNo"/>
        </w:rPr>
        <w:footnoteReference w:id="402"/>
      </w:r>
      <w:r w:rsidRPr="00A04E56">
        <w:rPr>
          <w:rStyle w:val="fnRef"/>
        </w:rPr>
        <w:t>)</w:t>
      </w:r>
      <w:r w:rsidRPr="00A04E56">
        <w:t xml:space="preserve"> is tailored to its unique structure and role. This system was set up as part of administrative reforms in 2000</w:t>
      </w:r>
      <w:r w:rsidRPr="00A04E56">
        <w:rPr>
          <w:rStyle w:val="fnRef"/>
          <w:rFonts w:ascii="Calibri" w:hAnsi="Calibri" w:cs="Calibri"/>
        </w:rPr>
        <w:t> </w:t>
      </w:r>
      <w:r w:rsidRPr="00A04E56">
        <w:rPr>
          <w:rStyle w:val="fnRef"/>
        </w:rPr>
        <w:t>(</w:t>
      </w:r>
      <w:r w:rsidRPr="00A04E56">
        <w:rPr>
          <w:rStyle w:val="fnRefNo"/>
        </w:rPr>
        <w:footnoteReference w:id="403"/>
      </w:r>
      <w:r w:rsidRPr="00A04E56">
        <w:rPr>
          <w:rStyle w:val="fnRef"/>
        </w:rPr>
        <w:t>)</w:t>
      </w:r>
      <w:r w:rsidRPr="00A04E56">
        <w:t>. This reform significantly strengthened the Commission’s system of governance and established clear lines of accountability and responsibility. These governance arrangements help the College to deliver the Commission’s objectives, to use resources efficiently and effectively, and to manage the EU budget in accordance with the principles of sound financial management. Under this system,</w:t>
      </w:r>
      <w:r w:rsidRPr="00A04E56">
        <w:rPr>
          <w:b/>
        </w:rPr>
        <w:t xml:space="preserve"> </w:t>
      </w:r>
      <w:r w:rsidRPr="00A04E56">
        <w:rPr>
          <w:rStyle w:val="BOLDLIGHTBLUEReport"/>
          <w:rFonts w:eastAsia="Calibri"/>
        </w:rPr>
        <w:t>the College delegates responsibility for the day-to-day operational management to the directors-general and heads of service, who lead the administrative structure of the Commission</w:t>
      </w:r>
      <w:r w:rsidRPr="00A04E56">
        <w:t>. They manage and shape their departments in accordance with the rules and standards laid down by the Commission in order to deliver on their various objectives, taking into account available resources. They are responsible for the operational implementation of the EU budget, under the supervision of the relevant Commissioner. The directors-general and heads of service are supported in this role by the presidential and central services of the Commission and by the Corporate Management Board and other specialised corporate governance bodies.</w:t>
      </w:r>
    </w:p>
    <w:p w14:paraId="675AAED4" w14:textId="148D0F00" w:rsidR="00FC5564" w:rsidRPr="00A04E56" w:rsidRDefault="00FC5564" w:rsidP="003A7016">
      <w:pPr>
        <w:pStyle w:val="BodyText1spaceafter"/>
      </w:pPr>
      <w:r w:rsidRPr="00A04E56">
        <w:t>This governance system has continued to evolve</w:t>
      </w:r>
      <w:r w:rsidR="00CB6A77" w:rsidRPr="00A04E56">
        <w:t xml:space="preserve"> — </w:t>
      </w:r>
      <w:r w:rsidRPr="00A04E56">
        <w:t xml:space="preserve">adapting to changing circumstances and keeping the Commission at the forefront of good administrative practice. This was demonstrated </w:t>
      </w:r>
      <w:r w:rsidR="008C1D39" w:rsidRPr="00A04E56">
        <w:rPr>
          <w:i/>
          <w:u w:val="single"/>
        </w:rPr>
        <w:t>in 2018</w:t>
      </w:r>
      <w:r w:rsidRPr="00A04E56">
        <w:rPr>
          <w:lang w:eastAsia="zh-CN"/>
        </w:rPr>
        <w:t xml:space="preserve"> when the Commission adopted a </w:t>
      </w:r>
      <w:r w:rsidRPr="00A04E56">
        <w:t>‘governance package’</w:t>
      </w:r>
      <w:r w:rsidRPr="00A04E56">
        <w:rPr>
          <w:rStyle w:val="fnRef"/>
          <w:rFonts w:ascii="Calibri" w:hAnsi="Calibri" w:cs="Calibri"/>
        </w:rPr>
        <w:t> </w:t>
      </w:r>
      <w:r w:rsidRPr="00A04E56">
        <w:rPr>
          <w:rStyle w:val="fnRef"/>
        </w:rPr>
        <w:t>(</w:t>
      </w:r>
      <w:r w:rsidRPr="00A04E56">
        <w:rPr>
          <w:rStyle w:val="fnRefNo"/>
        </w:rPr>
        <w:footnoteReference w:id="404"/>
      </w:r>
      <w:r w:rsidRPr="00A04E56">
        <w:rPr>
          <w:rStyle w:val="fnRef"/>
        </w:rPr>
        <w:t>)</w:t>
      </w:r>
      <w:r w:rsidRPr="00A04E56">
        <w:t>, which</w:t>
      </w:r>
      <w:r w:rsidRPr="00A04E56">
        <w:rPr>
          <w:lang w:eastAsia="zh-CN"/>
        </w:rPr>
        <w:t xml:space="preserve"> significantly streamlined and strengthened its corporate governance arrangements and leveraged</w:t>
      </w:r>
      <w:r w:rsidRPr="00A04E56">
        <w:t xml:space="preserve"> recent audit work by the European Court of Auditors</w:t>
      </w:r>
      <w:r w:rsidRPr="00A04E56">
        <w:rPr>
          <w:rStyle w:val="fnRef"/>
          <w:rFonts w:ascii="Calibri" w:hAnsi="Calibri" w:cs="Calibri"/>
        </w:rPr>
        <w:t> </w:t>
      </w:r>
      <w:r w:rsidRPr="00A04E56">
        <w:rPr>
          <w:rStyle w:val="fnRef"/>
        </w:rPr>
        <w:t>(</w:t>
      </w:r>
      <w:r w:rsidRPr="00A04E56">
        <w:rPr>
          <w:rStyle w:val="fnRefNo"/>
        </w:rPr>
        <w:footnoteReference w:id="405"/>
      </w:r>
      <w:r w:rsidRPr="00A04E56">
        <w:rPr>
          <w:rStyle w:val="fnRef"/>
        </w:rPr>
        <w:t>)</w:t>
      </w:r>
      <w:r w:rsidRPr="00A04E56">
        <w:t xml:space="preserve"> and the Commission’s Internal Audit Service</w:t>
      </w:r>
      <w:r w:rsidRPr="00A04E56">
        <w:rPr>
          <w:rStyle w:val="fnRef"/>
          <w:rFonts w:ascii="Calibri" w:hAnsi="Calibri" w:cs="Calibri"/>
        </w:rPr>
        <w:t> </w:t>
      </w:r>
      <w:r w:rsidRPr="00A04E56">
        <w:rPr>
          <w:rStyle w:val="fnRef"/>
        </w:rPr>
        <w:t>(</w:t>
      </w:r>
      <w:r w:rsidRPr="00A04E56">
        <w:rPr>
          <w:rStyle w:val="fnRefNo"/>
        </w:rPr>
        <w:footnoteReference w:id="406"/>
      </w:r>
      <w:r w:rsidRPr="00A04E56">
        <w:rPr>
          <w:rStyle w:val="fnRef"/>
        </w:rPr>
        <w:t>)</w:t>
      </w:r>
      <w:r w:rsidRPr="00A04E56">
        <w:t>.</w:t>
      </w:r>
    </w:p>
    <w:p w14:paraId="1CF1D9F4" w14:textId="77777777" w:rsidR="00FC5564" w:rsidRPr="00A04E56" w:rsidRDefault="00CC0532" w:rsidP="00CC0532">
      <w:pPr>
        <w:jc w:val="center"/>
        <w:rPr>
          <w:noProof/>
        </w:rPr>
      </w:pPr>
      <w:r w:rsidRPr="00A04E56">
        <w:rPr>
          <w:rFonts w:ascii="Calibri" w:eastAsia="Calibri" w:hAnsi="Calibri"/>
          <w:b/>
          <w:noProof/>
          <w:sz w:val="22"/>
          <w:lang w:val="fr-BE" w:eastAsia="fr-BE"/>
        </w:rPr>
        <mc:AlternateContent>
          <mc:Choice Requires="wpc">
            <w:drawing>
              <wp:inline distT="0" distB="0" distL="0" distR="0" wp14:anchorId="6F96D7EC" wp14:editId="08E66ADB">
                <wp:extent cx="4730750" cy="2353586"/>
                <wp:effectExtent l="0" t="0" r="0" b="0"/>
                <wp:docPr id="14270" name="Canvas 142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4261" name="Group 14261"/>
                        <wpg:cNvGrpSpPr/>
                        <wpg:grpSpPr>
                          <a:xfrm>
                            <a:off x="99983" y="172051"/>
                            <a:ext cx="2023235" cy="2029623"/>
                            <a:chOff x="99983" y="172051"/>
                            <a:chExt cx="2023235" cy="2029623"/>
                          </a:xfrm>
                        </wpg:grpSpPr>
                        <wps:wsp>
                          <wps:cNvPr id="14262" name="Rectangle 14262"/>
                          <wps:cNvSpPr/>
                          <wps:spPr>
                            <a:xfrm>
                              <a:off x="99983" y="172051"/>
                              <a:ext cx="2022976" cy="654886"/>
                            </a:xfrm>
                            <a:prstGeom prst="rect">
                              <a:avLst/>
                            </a:prstGeom>
                            <a:solidFill>
                              <a:sysClr val="window" lastClr="FFFFFF"/>
                            </a:solidFill>
                            <a:ln w="25400" cap="flat" cmpd="sng" algn="ctr">
                              <a:solidFill>
                                <a:srgbClr val="1F4EA2"/>
                              </a:solidFill>
                              <a:prstDash val="sysDot"/>
                            </a:ln>
                            <a:effectLst/>
                          </wps:spPr>
                          <wps:txbx>
                            <w:txbxContent>
                              <w:p w14:paraId="0D495641" w14:textId="3861A0AE" w:rsidR="003C0461" w:rsidRDefault="003C0461" w:rsidP="00CC0532">
                                <w:pPr>
                                  <w:pStyle w:val="NormalWeb"/>
                                  <w:spacing w:after="200"/>
                                </w:pPr>
                                <w:r>
                                  <w:rPr>
                                    <w:rFonts w:eastAsia="Calibri"/>
                                    <w:b/>
                                    <w:bCs/>
                                    <w:color w:val="1F4EA2"/>
                                    <w:sz w:val="22"/>
                                    <w:szCs w:val="22"/>
                                  </w:rPr>
                                  <w:t>Political level</w:t>
                                </w:r>
                                <w:r>
                                  <w:br/>
                                </w:r>
                                <w:r>
                                  <w:rPr>
                                    <w:rFonts w:eastAsia="Calibri"/>
                                    <w:b/>
                                    <w:bCs/>
                                    <w:color w:val="000000"/>
                                    <w:sz w:val="18"/>
                                    <w:szCs w:val="18"/>
                                  </w:rPr>
                                  <w:t>College of Commissioners</w:t>
                                </w:r>
                                <w:r>
                                  <w:br/>
                                </w:r>
                                <w:r>
                                  <w:rPr>
                                    <w:rFonts w:eastAsia="Calibri"/>
                                    <w:color w:val="000000"/>
                                    <w:sz w:val="16"/>
                                    <w:szCs w:val="16"/>
                                  </w:rPr>
                                  <w:t>On the basis of proposals from the responsible member(s)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3" name="Rectangle 14263"/>
                          <wps:cNvSpPr/>
                          <wps:spPr>
                            <a:xfrm>
                              <a:off x="382270" y="911326"/>
                              <a:ext cx="1740948" cy="551521"/>
                            </a:xfrm>
                            <a:prstGeom prst="rect">
                              <a:avLst/>
                            </a:prstGeom>
                            <a:solidFill>
                              <a:sysClr val="window" lastClr="FFFFFF"/>
                            </a:solidFill>
                            <a:ln w="25400" cap="flat" cmpd="sng" algn="ctr">
                              <a:solidFill>
                                <a:sysClr val="windowText" lastClr="000000"/>
                              </a:solidFill>
                              <a:prstDash val="sysDot"/>
                            </a:ln>
                            <a:effectLst/>
                          </wps:spPr>
                          <wps:txbx>
                            <w:txbxContent>
                              <w:p w14:paraId="0790AEAE" w14:textId="6CDC2A69" w:rsidR="003C0461" w:rsidRDefault="003C0461" w:rsidP="00CC0532">
                                <w:pPr>
                                  <w:pStyle w:val="NormalWeb"/>
                                  <w:spacing w:after="200"/>
                                </w:pPr>
                                <w:r>
                                  <w:rPr>
                                    <w:rFonts w:eastAsia="Calibri"/>
                                    <w:b/>
                                    <w:bCs/>
                                    <w:color w:val="1F4EA2"/>
                                    <w:sz w:val="22"/>
                                    <w:szCs w:val="22"/>
                                  </w:rPr>
                                  <w:t>Corporate oversight</w:t>
                                </w:r>
                                <w:r>
                                  <w:rPr>
                                    <w:rFonts w:eastAsia="Calibri"/>
                                    <w:b/>
                                    <w:bCs/>
                                    <w:color w:val="1F4EA2"/>
                                    <w:sz w:val="22"/>
                                    <w:szCs w:val="22"/>
                                  </w:rPr>
                                  <w:br/>
                                </w:r>
                                <w:r w:rsidR="003D6477">
                                  <w:rPr>
                                    <w:rFonts w:eastAsia="Calibri"/>
                                    <w:b/>
                                    <w:bCs/>
                                    <w:color w:val="000000"/>
                                    <w:sz w:val="18"/>
                                    <w:szCs w:val="18"/>
                                  </w:rPr>
                                  <w:t>Corporate Management Board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4" name="Rectangle 14264"/>
                          <wps:cNvSpPr/>
                          <wps:spPr>
                            <a:xfrm>
                              <a:off x="100404" y="1546989"/>
                              <a:ext cx="2022475" cy="654685"/>
                            </a:xfrm>
                            <a:prstGeom prst="rect">
                              <a:avLst/>
                            </a:prstGeom>
                            <a:solidFill>
                              <a:sysClr val="window" lastClr="FFFFFF"/>
                            </a:solidFill>
                            <a:ln w="25400" cap="flat" cmpd="sng" algn="ctr">
                              <a:solidFill>
                                <a:srgbClr val="1F4EA2"/>
                              </a:solidFill>
                              <a:prstDash val="sysDot"/>
                            </a:ln>
                            <a:effectLst/>
                          </wps:spPr>
                          <wps:txbx>
                            <w:txbxContent>
                              <w:p w14:paraId="4F675E50" w14:textId="77777777" w:rsidR="003C0461" w:rsidRDefault="003C0461" w:rsidP="00CC0532">
                                <w:pPr>
                                  <w:pStyle w:val="NormalWeb"/>
                                  <w:spacing w:after="200"/>
                                </w:pPr>
                                <w:r>
                                  <w:rPr>
                                    <w:rFonts w:eastAsia="Calibri"/>
                                    <w:b/>
                                    <w:bCs/>
                                    <w:color w:val="1F4EA2"/>
                                    <w:sz w:val="22"/>
                                    <w:szCs w:val="22"/>
                                  </w:rPr>
                                  <w:t>Operational level</w:t>
                                </w:r>
                                <w:r>
                                  <w:rPr>
                                    <w:rFonts w:eastAsia="Calibri"/>
                                    <w:b/>
                                    <w:bCs/>
                                    <w:color w:val="1F4EA2"/>
                                    <w:sz w:val="22"/>
                                    <w:szCs w:val="22"/>
                                  </w:rPr>
                                  <w:br/>
                                </w:r>
                                <w:r>
                                  <w:rPr>
                                    <w:rFonts w:eastAsia="Calibri"/>
                                    <w:b/>
                                    <w:bCs/>
                                    <w:color w:val="000000"/>
                                    <w:sz w:val="18"/>
                                    <w:szCs w:val="18"/>
                                  </w:rPr>
                                  <w:t xml:space="preserve">Directors-General and </w:t>
                                </w:r>
                                <w:r>
                                  <w:rPr>
                                    <w:rFonts w:eastAsia="Calibri"/>
                                    <w:b/>
                                    <w:bCs/>
                                    <w:color w:val="000000"/>
                                    <w:sz w:val="18"/>
                                    <w:szCs w:val="18"/>
                                  </w:rPr>
                                  <w:br/>
                                  <w:t>Heads of Service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5" name="Straight Arrow Connector 14265"/>
                          <wps:cNvCnPr/>
                          <wps:spPr>
                            <a:xfrm>
                              <a:off x="206733" y="883778"/>
                              <a:ext cx="0" cy="603121"/>
                            </a:xfrm>
                            <a:prstGeom prst="straightConnector1">
                              <a:avLst/>
                            </a:prstGeom>
                            <a:noFill/>
                            <a:ln w="28575" cap="flat" cmpd="sng" algn="ctr">
                              <a:solidFill>
                                <a:srgbClr val="1F4EA2"/>
                              </a:solidFill>
                              <a:prstDash val="solid"/>
                              <a:headEnd type="arrow" w="med" len="med"/>
                              <a:tailEnd type="arrow" w="med" len="med"/>
                            </a:ln>
                            <a:effectLst/>
                          </wps:spPr>
                          <wps:bodyPr/>
                        </wps:wsp>
                      </wpg:wgp>
                      <wps:wsp>
                        <wps:cNvPr id="14266" name="Rectangle 14266"/>
                        <wps:cNvSpPr/>
                        <wps:spPr>
                          <a:xfrm>
                            <a:off x="2858854" y="172050"/>
                            <a:ext cx="1776757" cy="2030400"/>
                          </a:xfrm>
                          <a:prstGeom prst="rect">
                            <a:avLst/>
                          </a:prstGeom>
                          <a:solidFill>
                            <a:sysClr val="window" lastClr="FFFFFF"/>
                          </a:solidFill>
                          <a:ln w="25400" cap="flat" cmpd="sng" algn="ctr">
                            <a:solidFill>
                              <a:srgbClr val="65BBC8"/>
                            </a:solidFill>
                            <a:prstDash val="sysDot"/>
                          </a:ln>
                          <a:effectLst/>
                        </wps:spPr>
                        <wps:txbx>
                          <w:txbxContent>
                            <w:p w14:paraId="6D7C7C1B" w14:textId="77777777" w:rsidR="003C0461" w:rsidRDefault="003C0461" w:rsidP="00CC0532">
                              <w:pPr>
                                <w:pStyle w:val="NormalWeb"/>
                                <w:spacing w:after="200"/>
                                <w:rPr>
                                  <w:rFonts w:eastAsia="Calibri"/>
                                  <w:b/>
                                  <w:bCs/>
                                  <w:color w:val="000000"/>
                                  <w:sz w:val="18"/>
                                  <w:szCs w:val="18"/>
                                </w:rPr>
                              </w:pPr>
                              <w:r w:rsidRPr="004939EA">
                                <w:rPr>
                                  <w:rFonts w:eastAsia="Calibri"/>
                                  <w:b/>
                                  <w:bCs/>
                                  <w:color w:val="65BBC8"/>
                                  <w:sz w:val="22"/>
                                  <w:szCs w:val="22"/>
                                </w:rPr>
                                <w:t>External</w:t>
                              </w:r>
                              <w:r>
                                <w:br/>
                              </w:r>
                              <w:r>
                                <w:rPr>
                                  <w:rFonts w:eastAsia="Calibri"/>
                                  <w:b/>
                                  <w:bCs/>
                                  <w:color w:val="000000"/>
                                  <w:sz w:val="18"/>
                                  <w:szCs w:val="18"/>
                                </w:rPr>
                                <w:t>European Parliament, Council, European Court of Auditors</w:t>
                              </w:r>
                            </w:p>
                            <w:p w14:paraId="5BB201AE" w14:textId="77777777" w:rsidR="003C0461" w:rsidRDefault="003C0461" w:rsidP="00CC0532">
                              <w:pPr>
                                <w:pStyle w:val="NormalWeb"/>
                                <w:spacing w:after="200"/>
                              </w:pPr>
                              <w:r w:rsidRPr="004939EA">
                                <w:rPr>
                                  <w:rFonts w:eastAsia="Calibri"/>
                                  <w:b/>
                                  <w:bCs/>
                                  <w:color w:val="65BBC8"/>
                                  <w:sz w:val="22"/>
                                  <w:szCs w:val="22"/>
                                </w:rPr>
                                <w:t>Internal</w:t>
                              </w:r>
                              <w:r>
                                <w:br/>
                              </w:r>
                              <w:r>
                                <w:rPr>
                                  <w:rFonts w:eastAsia="Calibri"/>
                                  <w:b/>
                                  <w:bCs/>
                                  <w:color w:val="000000"/>
                                  <w:sz w:val="18"/>
                                  <w:szCs w:val="18"/>
                                </w:rPr>
                                <w:t>Internal Audit Service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4267" name="Group 14267"/>
                        <wpg:cNvGrpSpPr/>
                        <wpg:grpSpPr>
                          <a:xfrm>
                            <a:off x="1913384" y="331075"/>
                            <a:ext cx="1131324" cy="1752103"/>
                            <a:chOff x="1913384" y="331075"/>
                            <a:chExt cx="1131324" cy="1752103"/>
                          </a:xfrm>
                        </wpg:grpSpPr>
                        <wps:wsp>
                          <wps:cNvPr id="14268" name="Rectangle 14268"/>
                          <wps:cNvSpPr/>
                          <wps:spPr>
                            <a:xfrm>
                              <a:off x="1951216" y="331075"/>
                              <a:ext cx="1093492" cy="392494"/>
                            </a:xfrm>
                            <a:prstGeom prst="rect">
                              <a:avLst/>
                            </a:prstGeom>
                            <a:solidFill>
                              <a:sysClr val="window" lastClr="FFFFFF"/>
                            </a:solidFill>
                            <a:ln w="19050" cap="flat" cmpd="sng" algn="ctr">
                              <a:solidFill>
                                <a:sysClr val="windowText" lastClr="000000"/>
                              </a:solidFill>
                              <a:prstDash val="sysDot"/>
                            </a:ln>
                            <a:effectLst/>
                          </wps:spPr>
                          <wps:txbx>
                            <w:txbxContent>
                              <w:p w14:paraId="6BAC3AAE" w14:textId="77777777" w:rsidR="003C0461" w:rsidRPr="0033057E" w:rsidRDefault="003C0461" w:rsidP="00CC0532">
                                <w:pPr>
                                  <w:pStyle w:val="NormalWeb"/>
                                  <w:spacing w:after="200"/>
                                </w:pPr>
                                <w:r>
                                  <w:rPr>
                                    <w:rFonts w:eastAsia="Calibri"/>
                                    <w:b/>
                                    <w:bCs/>
                                    <w:color w:val="1F4EA2"/>
                                    <w:sz w:val="18"/>
                                    <w:szCs w:val="22"/>
                                  </w:rPr>
                                  <w:t>Audit Progress Committee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269" name="Rectangle 14269"/>
                          <wps:cNvSpPr/>
                          <wps:spPr>
                            <a:xfrm>
                              <a:off x="1913384" y="1690748"/>
                              <a:ext cx="1092835" cy="392430"/>
                            </a:xfrm>
                            <a:prstGeom prst="rect">
                              <a:avLst/>
                            </a:prstGeom>
                            <a:solidFill>
                              <a:sysClr val="window" lastClr="FFFFFF"/>
                            </a:solidFill>
                            <a:ln w="19050" cap="flat" cmpd="sng" algn="ctr">
                              <a:solidFill>
                                <a:sysClr val="windowText" lastClr="000000"/>
                              </a:solidFill>
                              <a:prstDash val="sysDot"/>
                            </a:ln>
                            <a:effectLst/>
                          </wps:spPr>
                          <wps:txbx>
                            <w:txbxContent>
                              <w:p w14:paraId="3A54BA77" w14:textId="77777777" w:rsidR="003C0461" w:rsidRDefault="003C0461" w:rsidP="00CC0532">
                                <w:pPr>
                                  <w:pStyle w:val="NormalWeb"/>
                                  <w:spacing w:after="200"/>
                                </w:pPr>
                                <w:r>
                                  <w:rPr>
                                    <w:rFonts w:eastAsia="Calibri"/>
                                    <w:b/>
                                    <w:bCs/>
                                    <w:color w:val="1F4EA2"/>
                                    <w:sz w:val="18"/>
                                    <w:szCs w:val="18"/>
                                  </w:rPr>
                                  <w:t>Presidential and Central Services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6F96D7EC" id="Canvas 14270" o:spid="_x0000_s1197" editas="canvas" style="width:372.5pt;height:185.3pt;mso-position-horizontal-relative:char;mso-position-vertical-relative:line" coordsize="47307,23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">
                <v:shape id="_x0000_s1198" type="#_x0000_t75" style="position:absolute;width:47307;height:23533;visibility:visible;mso-wrap-style:square">
                  <v:fill o:detectmouseclick="t"/>
                  <v:path o:connecttype="none"/>
                </v:shape>
                <v:group id="Group 14261" o:spid="_x0000_s1199" style="position:absolute;left:999;top:1720;width:20233;height:20296" coordorigin="999,1720" coordsize="20232,2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">
                  <v:rect id="Rectangle 14262" o:spid="_x0000_s1200" style="position:absolute;left:999;top:1720;width:20230;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" fillcolor="window" strokecolor="#1f4ea2" strokeweight="2pt">
                    <v:stroke dashstyle="1 1"/>
                    <v:textbox>
                      <w:txbxContent>
                        <w:p w14:paraId="0D495641" w14:textId="3861A0AE" w:rsidR="003C0461" w:rsidRDefault="003C0461" w:rsidP="00CC0532">
                          <w:pPr>
                            <w:pStyle w:val="NormalWeb"/>
                            <w:spacing w:after="200"/>
                          </w:pPr>
                          <w:r>
                            <w:rPr>
                              <w:rFonts w:eastAsia="Calibri"/>
                              <w:b/>
                              <w:bCs/>
                              <w:color w:val="1F4EA2"/>
                              <w:sz w:val="22"/>
                              <w:szCs w:val="22"/>
                            </w:rPr>
                            <w:t>Political level</w:t>
                          </w:r>
                          <w:r>
                            <w:br/>
                          </w:r>
                          <w:r>
                            <w:rPr>
                              <w:rFonts w:eastAsia="Calibri"/>
                              <w:b/>
                              <w:bCs/>
                              <w:color w:val="000000"/>
                              <w:sz w:val="18"/>
                              <w:szCs w:val="18"/>
                            </w:rPr>
                            <w:t>College of Commissioners</w:t>
                          </w:r>
                          <w:r>
                            <w:br/>
                          </w:r>
                          <w:r>
                            <w:rPr>
                              <w:rFonts w:eastAsia="Calibri"/>
                              <w:color w:val="000000"/>
                              <w:sz w:val="16"/>
                              <w:szCs w:val="16"/>
                            </w:rPr>
                            <w:t>On the basis of proposals from the responsible member(s)</w:t>
                          </w:r>
                        </w:p>
                      </w:txbxContent>
                    </v:textbox>
                  </v:rect>
                  <v:rect id="Rectangle 14263" o:spid="_x0000_s1201" style="position:absolute;left:3822;top:9113;width:17410;height:5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" fillcolor="window" strokecolor="windowText" strokeweight="2pt">
                    <v:stroke dashstyle="1 1"/>
                    <v:textbox>
                      <w:txbxContent>
                        <w:p w14:paraId="0790AEAE" w14:textId="6CDC2A69" w:rsidR="003C0461" w:rsidRDefault="003C0461" w:rsidP="00CC0532">
                          <w:pPr>
                            <w:pStyle w:val="NormalWeb"/>
                            <w:spacing w:after="200"/>
                          </w:pPr>
                          <w:r>
                            <w:rPr>
                              <w:rFonts w:eastAsia="Calibri"/>
                              <w:b/>
                              <w:bCs/>
                              <w:color w:val="1F4EA2"/>
                              <w:sz w:val="22"/>
                              <w:szCs w:val="22"/>
                            </w:rPr>
                            <w:t>Corporate oversight</w:t>
                          </w:r>
                          <w:r>
                            <w:rPr>
                              <w:rFonts w:eastAsia="Calibri"/>
                              <w:b/>
                              <w:bCs/>
                              <w:color w:val="1F4EA2"/>
                              <w:sz w:val="22"/>
                              <w:szCs w:val="22"/>
                            </w:rPr>
                            <w:br/>
                          </w:r>
                          <w:r w:rsidR="003D6477">
                            <w:rPr>
                              <w:rFonts w:eastAsia="Calibri"/>
                              <w:b/>
                              <w:bCs/>
                              <w:color w:val="000000"/>
                              <w:sz w:val="18"/>
                              <w:szCs w:val="18"/>
                            </w:rPr>
                            <w:t>Corporate Management Board</w:t>
                          </w:r>
                        </w:p>
                      </w:txbxContent>
                    </v:textbox>
                  </v:rect>
                  <v:rect id="Rectangle 14264" o:spid="_x0000_s1202" style="position:absolute;left:1004;top:15469;width:20224;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" fillcolor="window" strokecolor="#1f4ea2" strokeweight="2pt">
                    <v:stroke dashstyle="1 1"/>
                    <v:textbox>
                      <w:txbxContent>
                        <w:p w14:paraId="4F675E50" w14:textId="77777777" w:rsidR="003C0461" w:rsidRDefault="003C0461" w:rsidP="00CC0532">
                          <w:pPr>
                            <w:pStyle w:val="NormalWeb"/>
                            <w:spacing w:after="200"/>
                          </w:pPr>
                          <w:r>
                            <w:rPr>
                              <w:rFonts w:eastAsia="Calibri"/>
                              <w:b/>
                              <w:bCs/>
                              <w:color w:val="1F4EA2"/>
                              <w:sz w:val="22"/>
                              <w:szCs w:val="22"/>
                            </w:rPr>
                            <w:t>Operational level</w:t>
                          </w:r>
                          <w:r>
                            <w:rPr>
                              <w:rFonts w:eastAsia="Calibri"/>
                              <w:b/>
                              <w:bCs/>
                              <w:color w:val="1F4EA2"/>
                              <w:sz w:val="22"/>
                              <w:szCs w:val="22"/>
                            </w:rPr>
                            <w:br/>
                          </w:r>
                          <w:r>
                            <w:rPr>
                              <w:rFonts w:eastAsia="Calibri"/>
                              <w:b/>
                              <w:bCs/>
                              <w:color w:val="000000"/>
                              <w:sz w:val="18"/>
                              <w:szCs w:val="18"/>
                            </w:rPr>
                            <w:t xml:space="preserve">Directors-General and </w:t>
                          </w:r>
                          <w:r>
                            <w:rPr>
                              <w:rFonts w:eastAsia="Calibri"/>
                              <w:b/>
                              <w:bCs/>
                              <w:color w:val="000000"/>
                              <w:sz w:val="18"/>
                              <w:szCs w:val="18"/>
                            </w:rPr>
                            <w:br/>
                            <w:t>Heads of Service</w:t>
                          </w:r>
                        </w:p>
                      </w:txbxContent>
                    </v:textbox>
                  </v:rect>
                  <v:shape id="Straight Arrow Connector 14265" o:spid="_x0000_s1203" type="#_x0000_t32" style="position:absolute;left:2067;top:8837;width:0;height:6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" strokecolor="#1f4ea2" strokeweight="2.25pt">
                    <v:stroke startarrow="open" endarrow="open"/>
                  </v:shape>
                </v:group>
                <v:rect id="Rectangle 14266" o:spid="_x0000_s1204" style="position:absolute;left:28588;top:1720;width:17768;height:20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" fillcolor="window" strokecolor="#65bbc8" strokeweight="2pt">
                  <v:stroke dashstyle="1 1"/>
                  <v:textbox>
                    <w:txbxContent>
                      <w:p w14:paraId="6D7C7C1B" w14:textId="77777777" w:rsidR="003C0461" w:rsidRDefault="003C0461" w:rsidP="00CC0532">
                        <w:pPr>
                          <w:pStyle w:val="NormalWeb"/>
                          <w:spacing w:after="200"/>
                          <w:rPr>
                            <w:rFonts w:eastAsia="Calibri"/>
                            <w:b/>
                            <w:bCs/>
                            <w:color w:val="000000"/>
                            <w:sz w:val="18"/>
                            <w:szCs w:val="18"/>
                          </w:rPr>
                        </w:pPr>
                        <w:r w:rsidRPr="004939EA">
                          <w:rPr>
                            <w:rFonts w:eastAsia="Calibri"/>
                            <w:b/>
                            <w:bCs/>
                            <w:color w:val="65BBC8"/>
                            <w:sz w:val="22"/>
                            <w:szCs w:val="22"/>
                          </w:rPr>
                          <w:t>External</w:t>
                        </w:r>
                        <w:r>
                          <w:br/>
                        </w:r>
                        <w:r>
                          <w:rPr>
                            <w:rFonts w:eastAsia="Calibri"/>
                            <w:b/>
                            <w:bCs/>
                            <w:color w:val="000000"/>
                            <w:sz w:val="18"/>
                            <w:szCs w:val="18"/>
                          </w:rPr>
                          <w:t>European Parliament, Council, European Court of Auditors</w:t>
                        </w:r>
                      </w:p>
                      <w:p w14:paraId="5BB201AE" w14:textId="77777777" w:rsidR="003C0461" w:rsidRDefault="003C0461" w:rsidP="00CC0532">
                        <w:pPr>
                          <w:pStyle w:val="NormalWeb"/>
                          <w:spacing w:after="200"/>
                        </w:pPr>
                        <w:r w:rsidRPr="004939EA">
                          <w:rPr>
                            <w:rFonts w:eastAsia="Calibri"/>
                            <w:b/>
                            <w:bCs/>
                            <w:color w:val="65BBC8"/>
                            <w:sz w:val="22"/>
                            <w:szCs w:val="22"/>
                          </w:rPr>
                          <w:t>Internal</w:t>
                        </w:r>
                        <w:r>
                          <w:br/>
                        </w:r>
                        <w:r>
                          <w:rPr>
                            <w:rFonts w:eastAsia="Calibri"/>
                            <w:b/>
                            <w:bCs/>
                            <w:color w:val="000000"/>
                            <w:sz w:val="18"/>
                            <w:szCs w:val="18"/>
                          </w:rPr>
                          <w:t>Internal Audit Service</w:t>
                        </w:r>
                      </w:p>
                    </w:txbxContent>
                  </v:textbox>
                </v:rect>
                <v:group id="Group 14267" o:spid="_x0000_s1205" style="position:absolute;left:19133;top:3310;width:11314;height:17521" coordorigin="19133,3310" coordsize="11313,17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">
                  <v:rect id="Rectangle 14268" o:spid="_x0000_s1206" style="position:absolute;left:19512;top:3310;width:10935;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" fillcolor="window" strokecolor="windowText" strokeweight="1.5pt">
                    <v:stroke dashstyle="1 1"/>
                    <v:textbox>
                      <w:txbxContent>
                        <w:p w14:paraId="6BAC3AAE" w14:textId="77777777" w:rsidR="003C0461" w:rsidRPr="0033057E" w:rsidRDefault="003C0461" w:rsidP="00CC0532">
                          <w:pPr>
                            <w:pStyle w:val="NormalWeb"/>
                            <w:spacing w:after="200"/>
                          </w:pPr>
                          <w:r>
                            <w:rPr>
                              <w:rFonts w:eastAsia="Calibri"/>
                              <w:b/>
                              <w:bCs/>
                              <w:color w:val="1F4EA2"/>
                              <w:sz w:val="18"/>
                              <w:szCs w:val="22"/>
                            </w:rPr>
                            <w:t>Audit Progress Committee</w:t>
                          </w:r>
                        </w:p>
                      </w:txbxContent>
                    </v:textbox>
                  </v:rect>
                  <v:rect id="Rectangle 14269" o:spid="_x0000_s1207" style="position:absolute;left:19133;top:16907;width:10929;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" fillcolor="window" strokecolor="windowText" strokeweight="1.5pt">
                    <v:stroke dashstyle="1 1"/>
                    <v:textbox>
                      <w:txbxContent>
                        <w:p w14:paraId="3A54BA77" w14:textId="77777777" w:rsidR="003C0461" w:rsidRDefault="003C0461" w:rsidP="00CC0532">
                          <w:pPr>
                            <w:pStyle w:val="NormalWeb"/>
                            <w:spacing w:after="200"/>
                          </w:pPr>
                          <w:r>
                            <w:rPr>
                              <w:rFonts w:eastAsia="Calibri"/>
                              <w:b/>
                              <w:bCs/>
                              <w:color w:val="1F4EA2"/>
                              <w:sz w:val="18"/>
                              <w:szCs w:val="18"/>
                            </w:rPr>
                            <w:t>Presidential and Central Services</w:t>
                          </w:r>
                        </w:p>
                      </w:txbxContent>
                    </v:textbox>
                  </v:rect>
                </v:group>
                <w10:anchorlock/>
              </v:group>
            </w:pict>
          </mc:Fallback>
        </mc:AlternateContent>
      </w:r>
    </w:p>
    <w:p w14:paraId="69F7C9AA" w14:textId="0964BE10" w:rsidR="00FC5564" w:rsidRPr="00A04E56" w:rsidRDefault="00FC5564" w:rsidP="00107DA0">
      <w:pPr>
        <w:pStyle w:val="BodyText1spacebeforeandafter"/>
      </w:pPr>
      <w:r w:rsidRPr="00A04E56">
        <w:t xml:space="preserve">The new package </w:t>
      </w:r>
      <w:r w:rsidRPr="00A04E56">
        <w:rPr>
          <w:rStyle w:val="BOLDLIGHTBLUEReport"/>
          <w:rFonts w:eastAsia="Calibri"/>
        </w:rPr>
        <w:t>clarifies the corporate level role</w:t>
      </w:r>
      <w:r w:rsidR="00CB6A77" w:rsidRPr="00A04E56">
        <w:t xml:space="preserve"> — </w:t>
      </w:r>
      <w:r w:rsidRPr="00A04E56">
        <w:t xml:space="preserve">by providing advice to the College as well as oversight and strategic direction to the services on all corporate management issues. </w:t>
      </w:r>
    </w:p>
    <w:p w14:paraId="62006795" w14:textId="77777777" w:rsidR="00FC5564" w:rsidRPr="00A04E56" w:rsidRDefault="00FC5564" w:rsidP="003A7016">
      <w:pPr>
        <w:pStyle w:val="BodyText1spaceafter"/>
        <w:keepNext/>
      </w:pPr>
      <w:r w:rsidRPr="00A04E56">
        <w:t>In particular, the package:</w:t>
      </w:r>
    </w:p>
    <w:p w14:paraId="44929D64" w14:textId="77777777" w:rsidR="00FC5564" w:rsidRPr="00A04E56" w:rsidRDefault="00FC5564" w:rsidP="00107DA0">
      <w:pPr>
        <w:pStyle w:val="BulletsblueNew"/>
      </w:pPr>
      <w:r w:rsidRPr="00A04E56">
        <w:rPr>
          <w:rStyle w:val="BOLDLIGHTBLUEReport"/>
          <w:rFonts w:eastAsiaTheme="minorHAnsi"/>
        </w:rPr>
        <w:t>formalised and clarified the role of the Corporate Management Board:</w:t>
      </w:r>
      <w:r w:rsidRPr="00A04E56">
        <w:t xml:space="preserve"> a new Commission decision</w:t>
      </w:r>
      <w:r w:rsidRPr="00A04E56">
        <w:rPr>
          <w:rStyle w:val="fnRef"/>
          <w:rFonts w:ascii="Calibri" w:hAnsi="Calibri" w:cs="Calibri"/>
        </w:rPr>
        <w:t> </w:t>
      </w:r>
      <w:r w:rsidRPr="00A04E56">
        <w:rPr>
          <w:rStyle w:val="fnRef"/>
        </w:rPr>
        <w:t>(</w:t>
      </w:r>
      <w:r w:rsidRPr="00A04E56">
        <w:rPr>
          <w:rStyle w:val="fnRefNo"/>
        </w:rPr>
        <w:footnoteReference w:id="407"/>
      </w:r>
      <w:r w:rsidRPr="00A04E56">
        <w:rPr>
          <w:rStyle w:val="fnRef"/>
        </w:rPr>
        <w:t>)</w:t>
      </w:r>
      <w:r w:rsidRPr="00A04E56">
        <w:t xml:space="preserve"> formally established the Corporate Management Board as the main corporate governance body. Acting under the President’s authority, the Corporate Management Board supports the services by providing oversight and strategic direction in all areas of corporate management.</w:t>
      </w:r>
    </w:p>
    <w:p w14:paraId="47ACCC23" w14:textId="75716292" w:rsidR="00FC5564" w:rsidRPr="00A04E56" w:rsidRDefault="00FC5564" w:rsidP="00107DA0">
      <w:pPr>
        <w:pStyle w:val="BulletsblueNew"/>
      </w:pPr>
      <w:r w:rsidRPr="00A04E56">
        <w:rPr>
          <w:rStyle w:val="BOLDLIGHTBLUEReport"/>
          <w:rFonts w:eastAsiaTheme="minorHAnsi"/>
        </w:rPr>
        <w:t>streamlined the subgroups reporting to the Corporate Management Board:</w:t>
      </w:r>
      <w:r w:rsidRPr="00A04E56">
        <w:t xml:space="preserve"> a number of specialised subgroups and boards were formally brought under the authority of the Corporate Management Board. For example, a new </w:t>
      </w:r>
      <w:r w:rsidR="002B5F47" w:rsidRPr="00A04E56">
        <w:t>information technology and cybersecurity board</w:t>
      </w:r>
      <w:r w:rsidRPr="00A04E56">
        <w:t xml:space="preserve">, replaced two previous boards to ensure that the Commission’s information technology is effective, secure and efficient. In this context, it will also oversee the implementation of the new </w:t>
      </w:r>
      <w:r w:rsidRPr="00A04E56">
        <w:rPr>
          <w:rStyle w:val="BOLDLIGHTBLUEReport"/>
          <w:rFonts w:eastAsiaTheme="minorHAnsi"/>
        </w:rPr>
        <w:t>European Commission digital strategy</w:t>
      </w:r>
      <w:r w:rsidRPr="00A04E56">
        <w:rPr>
          <w:rStyle w:val="fnRef"/>
          <w:rFonts w:ascii="Calibri" w:hAnsi="Calibri" w:cs="Calibri"/>
        </w:rPr>
        <w:t> </w:t>
      </w:r>
      <w:r w:rsidRPr="00A04E56">
        <w:rPr>
          <w:rStyle w:val="fnRef"/>
        </w:rPr>
        <w:t>(</w:t>
      </w:r>
      <w:r w:rsidRPr="00A04E56">
        <w:rPr>
          <w:rStyle w:val="fnRefNo"/>
        </w:rPr>
        <w:footnoteReference w:id="408"/>
      </w:r>
      <w:r w:rsidRPr="00A04E56">
        <w:rPr>
          <w:rStyle w:val="fnRef"/>
        </w:rPr>
        <w:t>)</w:t>
      </w:r>
      <w:r w:rsidRPr="00A04E56">
        <w:t>.</w:t>
      </w:r>
    </w:p>
    <w:p w14:paraId="26B287C3" w14:textId="77777777" w:rsidR="008F4A39" w:rsidRPr="004D46D1" w:rsidRDefault="00FC5564" w:rsidP="008F4A39">
      <w:pPr>
        <w:pStyle w:val="BulletsblueNew-Spacebefore"/>
        <w:rPr>
          <w:rStyle w:val="BOLDLIGHTBLUEReport"/>
          <w:rFonts w:eastAsia="Calibri"/>
          <w:b w:val="0"/>
          <w:color w:val="auto"/>
          <w:spacing w:val="-5"/>
          <w:szCs w:val="22"/>
          <w:lang w:eastAsia="fr-BE"/>
        </w:rPr>
      </w:pPr>
      <w:r w:rsidRPr="004D46D1">
        <w:rPr>
          <w:rStyle w:val="BOLDLIGHTBLUEReport"/>
          <w:rFonts w:eastAsiaTheme="minorHAnsi"/>
          <w:spacing w:val="-5"/>
        </w:rPr>
        <w:t>strengthened corporate oversight of risk management:</w:t>
      </w:r>
      <w:r w:rsidRPr="004D46D1">
        <w:rPr>
          <w:b/>
          <w:spacing w:val="-5"/>
        </w:rPr>
        <w:t xml:space="preserve"> </w:t>
      </w:r>
      <w:r w:rsidRPr="004D46D1">
        <w:rPr>
          <w:spacing w:val="-5"/>
        </w:rPr>
        <w:t>the Secretariat-General and the budget department organised a peer review process to ensure that critical risks are identified and assessed coherently and that the necessary steps are being taken to manage these risks. The Corporate Management Board now reviews the list of critical risks — both crosscutting and department specific — from all services. The results are communicated to the College and made available to the Internal Audit Service.</w:t>
      </w:r>
      <w:r w:rsidR="008F4A39" w:rsidRPr="004D46D1">
        <w:rPr>
          <w:rStyle w:val="BOLDLIGHTBLUEReport"/>
          <w:rFonts w:eastAsiaTheme="minorHAnsi"/>
          <w:spacing w:val="-5"/>
        </w:rPr>
        <w:t xml:space="preserve"> </w:t>
      </w:r>
    </w:p>
    <w:p w14:paraId="0BA639B7" w14:textId="148AAA43" w:rsidR="008F4A39" w:rsidRPr="00A04E56" w:rsidRDefault="008F4A39" w:rsidP="000B0881">
      <w:pPr>
        <w:pStyle w:val="BulletsblueNew-Spacebefore"/>
        <w:spacing w:after="240"/>
      </w:pPr>
      <w:r w:rsidRPr="00A04E56">
        <w:rPr>
          <w:rStyle w:val="BOLDLIGHTBLUEReport"/>
          <w:rFonts w:eastAsiaTheme="minorHAnsi"/>
        </w:rPr>
        <w:t>clarified the role of the Audit Progress Committee</w:t>
      </w:r>
      <w:r w:rsidRPr="00A04E56">
        <w:t xml:space="preserve"> in relation to risk management and the EU consolidated accounts</w:t>
      </w:r>
      <w:r w:rsidRPr="00A04E56">
        <w:rPr>
          <w:rStyle w:val="fnRef"/>
          <w:rFonts w:ascii="Calibri" w:hAnsi="Calibri" w:cs="Calibri"/>
        </w:rPr>
        <w:t> </w:t>
      </w:r>
      <w:r w:rsidRPr="00A04E56">
        <w:rPr>
          <w:rStyle w:val="fnRef"/>
        </w:rPr>
        <w:t>(</w:t>
      </w:r>
      <w:r w:rsidRPr="00A04E56">
        <w:rPr>
          <w:rStyle w:val="fnRefNo"/>
        </w:rPr>
        <w:footnoteReference w:id="409"/>
      </w:r>
      <w:r w:rsidRPr="00A04E56">
        <w:rPr>
          <w:rStyle w:val="fnRef"/>
        </w:rPr>
        <w:t>)</w:t>
      </w:r>
      <w:r w:rsidRPr="00A04E56">
        <w:t>.</w:t>
      </w:r>
    </w:p>
    <w:p w14:paraId="42556C73" w14:textId="6676ABB1" w:rsidR="003065E3" w:rsidRPr="00A04E56" w:rsidRDefault="003065E3" w:rsidP="00D203C4">
      <w:pPr>
        <w:jc w:val="center"/>
      </w:pPr>
      <w:r w:rsidRPr="00A04E56">
        <w:rPr>
          <w:rFonts w:ascii="Calibri" w:eastAsia="Calibri" w:hAnsi="Calibri"/>
          <w:noProof/>
          <w:sz w:val="22"/>
          <w:lang w:val="fr-BE" w:eastAsia="fr-BE"/>
        </w:rPr>
        <mc:AlternateContent>
          <mc:Choice Requires="wpg">
            <w:drawing>
              <wp:inline distT="0" distB="0" distL="0" distR="0" wp14:anchorId="2B853AE9" wp14:editId="273A59E1">
                <wp:extent cx="5742000" cy="2491200"/>
                <wp:effectExtent l="0" t="0" r="11430" b="23495"/>
                <wp:docPr id="14565" name="Group 14565"/>
                <wp:cNvGraphicFramePr/>
                <a:graphic xmlns:a="http://schemas.openxmlformats.org/drawingml/2006/main">
                  <a:graphicData uri="http://schemas.microsoft.com/office/word/2010/wordprocessingGroup">
                    <wpg:wgp>
                      <wpg:cNvGrpSpPr/>
                      <wpg:grpSpPr>
                        <a:xfrm>
                          <a:off x="0" y="0"/>
                          <a:ext cx="5742000" cy="2491200"/>
                          <a:chOff x="0" y="0"/>
                          <a:chExt cx="5740842" cy="2490723"/>
                        </a:xfrm>
                      </wpg:grpSpPr>
                      <wps:wsp>
                        <wps:cNvPr id="14566" name="Rectangle 14566"/>
                        <wps:cNvSpPr/>
                        <wps:spPr>
                          <a:xfrm>
                            <a:off x="0" y="0"/>
                            <a:ext cx="5740842" cy="373712"/>
                          </a:xfrm>
                          <a:prstGeom prst="rect">
                            <a:avLst/>
                          </a:prstGeom>
                          <a:solidFill>
                            <a:sysClr val="window" lastClr="FFFFFF"/>
                          </a:solidFill>
                          <a:ln w="25400" cap="flat" cmpd="sng" algn="ctr">
                            <a:solidFill>
                              <a:sysClr val="windowText" lastClr="000000"/>
                            </a:solidFill>
                            <a:prstDash val="sysDot"/>
                          </a:ln>
                          <a:effectLst/>
                        </wps:spPr>
                        <wps:txbx>
                          <w:txbxContent>
                            <w:p w14:paraId="38D74C4D" w14:textId="4F7F36B9" w:rsidR="003C0461" w:rsidRDefault="003C0461" w:rsidP="003065E3">
                              <w:pPr>
                                <w:pStyle w:val="NormalWeb"/>
                                <w:jc w:val="center"/>
                              </w:pPr>
                              <w:r>
                                <w:rPr>
                                  <w:rFonts w:eastAsia="Calibri"/>
                                  <w:b/>
                                  <w:bCs/>
                                  <w:color w:val="000000"/>
                                  <w:sz w:val="22"/>
                                  <w:szCs w:val="22"/>
                                </w:rPr>
                                <w:t>Corporate Management Board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67" name="Rectangle 14567"/>
                        <wps:cNvSpPr/>
                        <wps:spPr>
                          <a:xfrm>
                            <a:off x="0" y="532738"/>
                            <a:ext cx="1540800" cy="486365"/>
                          </a:xfrm>
                          <a:prstGeom prst="rect">
                            <a:avLst/>
                          </a:prstGeom>
                          <a:solidFill>
                            <a:sysClr val="window" lastClr="FFFFFF"/>
                          </a:solidFill>
                          <a:ln w="25400" cap="flat" cmpd="sng" algn="ctr">
                            <a:solidFill>
                              <a:srgbClr val="65BBC8"/>
                            </a:solidFill>
                            <a:prstDash val="sysDot"/>
                          </a:ln>
                          <a:effectLst/>
                        </wps:spPr>
                        <wps:txbx>
                          <w:txbxContent>
                            <w:p w14:paraId="3696FAF1" w14:textId="77777777" w:rsidR="003C0461" w:rsidRDefault="003C0461" w:rsidP="003065E3">
                              <w:pPr>
                                <w:pStyle w:val="NormalWeb"/>
                                <w:spacing w:after="200" w:line="276" w:lineRule="auto"/>
                                <w:jc w:val="center"/>
                              </w:pPr>
                              <w:r>
                                <w:rPr>
                                  <w:rFonts w:eastAsia="Calibri"/>
                                  <w:b/>
                                  <w:bCs/>
                                  <w:color w:val="65BBC8"/>
                                  <w:sz w:val="18"/>
                                  <w:szCs w:val="18"/>
                                </w:rPr>
                                <w:t xml:space="preserve">Information Technology </w:t>
                              </w:r>
                              <w:r>
                                <w:rPr>
                                  <w:rFonts w:eastAsia="Calibri"/>
                                  <w:b/>
                                  <w:bCs/>
                                  <w:color w:val="65BBC8"/>
                                  <w:sz w:val="18"/>
                                  <w:szCs w:val="18"/>
                                </w:rPr>
                                <w:br/>
                                <w:t>and Cybersecurity Board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68" name="Rectangle 14568"/>
                        <wps:cNvSpPr/>
                        <wps:spPr>
                          <a:xfrm>
                            <a:off x="0" y="1256308"/>
                            <a:ext cx="1540800" cy="486991"/>
                          </a:xfrm>
                          <a:prstGeom prst="rect">
                            <a:avLst/>
                          </a:prstGeom>
                          <a:solidFill>
                            <a:sysClr val="window" lastClr="FFFFFF"/>
                          </a:solidFill>
                          <a:ln w="25400" cap="flat" cmpd="sng" algn="ctr">
                            <a:solidFill>
                              <a:srgbClr val="65BBC8"/>
                            </a:solidFill>
                            <a:prstDash val="sysDot"/>
                          </a:ln>
                          <a:effectLst/>
                        </wps:spPr>
                        <wps:txbx>
                          <w:txbxContent>
                            <w:p w14:paraId="5925C8A4" w14:textId="77777777" w:rsidR="003C0461" w:rsidRDefault="003C0461" w:rsidP="003065E3">
                              <w:pPr>
                                <w:pStyle w:val="NormalWeb"/>
                                <w:spacing w:after="200" w:line="276" w:lineRule="auto"/>
                                <w:jc w:val="center"/>
                              </w:pPr>
                              <w:r>
                                <w:rPr>
                                  <w:rFonts w:eastAsia="Calibri"/>
                                  <w:b/>
                                  <w:bCs/>
                                  <w:color w:val="65BBC8"/>
                                  <w:sz w:val="18"/>
                                  <w:szCs w:val="18"/>
                                </w:rPr>
                                <w:t xml:space="preserve">Group of </w:t>
                              </w:r>
                              <w:r>
                                <w:rPr>
                                  <w:rFonts w:eastAsia="Calibri"/>
                                  <w:b/>
                                  <w:bCs/>
                                  <w:color w:val="65BBC8"/>
                                  <w:sz w:val="18"/>
                                  <w:szCs w:val="18"/>
                                </w:rPr>
                                <w:br/>
                                <w:t>Resource Directors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69" name="Rectangle 14569"/>
                        <wps:cNvSpPr/>
                        <wps:spPr>
                          <a:xfrm>
                            <a:off x="0" y="2003732"/>
                            <a:ext cx="1542083" cy="486991"/>
                          </a:xfrm>
                          <a:prstGeom prst="rect">
                            <a:avLst/>
                          </a:prstGeom>
                          <a:solidFill>
                            <a:sysClr val="window" lastClr="FFFFFF"/>
                          </a:solidFill>
                          <a:ln w="25400" cap="flat" cmpd="sng" algn="ctr">
                            <a:solidFill>
                              <a:srgbClr val="65BBC8"/>
                            </a:solidFill>
                            <a:prstDash val="sysDot"/>
                          </a:ln>
                          <a:effectLst/>
                        </wps:spPr>
                        <wps:txbx>
                          <w:txbxContent>
                            <w:p w14:paraId="198F144C" w14:textId="77777777" w:rsidR="003C0461" w:rsidRDefault="003C0461" w:rsidP="003065E3">
                              <w:pPr>
                                <w:pStyle w:val="NormalWeb"/>
                                <w:spacing w:after="200" w:line="276" w:lineRule="auto"/>
                                <w:jc w:val="center"/>
                              </w:pPr>
                              <w:r>
                                <w:rPr>
                                  <w:rFonts w:eastAsia="Calibri"/>
                                  <w:b/>
                                  <w:bCs/>
                                  <w:color w:val="65BBC8"/>
                                  <w:sz w:val="18"/>
                                  <w:szCs w:val="18"/>
                                </w:rPr>
                                <w:t xml:space="preserve">Information Management </w:t>
                              </w:r>
                              <w:r>
                                <w:rPr>
                                  <w:rFonts w:eastAsia="Calibri"/>
                                  <w:b/>
                                  <w:bCs/>
                                  <w:color w:val="65BBC8"/>
                                  <w:sz w:val="18"/>
                                  <w:szCs w:val="18"/>
                                </w:rPr>
                                <w:br/>
                                <w:t>Steering Board</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4570" name="Rectangle 14570"/>
                        <wps:cNvSpPr/>
                        <wps:spPr>
                          <a:xfrm>
                            <a:off x="1717482" y="532495"/>
                            <a:ext cx="4022090" cy="1948351"/>
                          </a:xfrm>
                          <a:prstGeom prst="rect">
                            <a:avLst/>
                          </a:prstGeom>
                          <a:solidFill>
                            <a:sysClr val="window" lastClr="FFFFFF"/>
                          </a:solidFill>
                          <a:ln w="25400" cap="flat" cmpd="sng" algn="ctr">
                            <a:solidFill>
                              <a:srgbClr val="1F4EA2"/>
                            </a:solidFill>
                            <a:prstDash val="sysDot"/>
                          </a:ln>
                          <a:effectLst/>
                        </wps:spPr>
                        <wps:txbx>
                          <w:txbxContent>
                            <w:tbl>
                              <w:tblPr>
                                <w:tblStyle w:val="Simpletabl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05"/>
                                <w:gridCol w:w="3001"/>
                              </w:tblGrid>
                              <w:tr w:rsidR="003C0461" w14:paraId="25B12887" w14:textId="77777777" w:rsidTr="003065E3">
                                <w:trPr>
                                  <w:trHeight w:val="493"/>
                                </w:trPr>
                                <w:tc>
                                  <w:tcPr>
                                    <w:tcW w:w="6220" w:type="dxa"/>
                                    <w:gridSpan w:val="2"/>
                                  </w:tcPr>
                                  <w:p w14:paraId="210A5D7C" w14:textId="15C67C96" w:rsidR="003C0461" w:rsidRDefault="003C0461" w:rsidP="003065E3">
                                    <w:pPr>
                                      <w:pStyle w:val="NormalWeb"/>
                                      <w:spacing w:after="200"/>
                                      <w:jc w:val="center"/>
                                    </w:pPr>
                                    <w:r>
                                      <w:rPr>
                                        <w:rFonts w:eastAsia="Calibri"/>
                                        <w:b/>
                                        <w:bCs/>
                                        <w:color w:val="1F4EA2"/>
                                        <w:sz w:val="22"/>
                                        <w:szCs w:val="22"/>
                                      </w:rPr>
                                      <w:t>Synergies and efficiencies</w:t>
                                    </w:r>
                                  </w:p>
                                </w:tc>
                              </w:tr>
                              <w:tr w:rsidR="003C0461" w14:paraId="27E60BE5" w14:textId="77777777" w:rsidTr="003065E3">
                                <w:trPr>
                                  <w:trHeight w:val="2419"/>
                                </w:trPr>
                                <w:tc>
                                  <w:tcPr>
                                    <w:tcW w:w="3110" w:type="dxa"/>
                                  </w:tcPr>
                                  <w:p w14:paraId="186C8BA7" w14:textId="77777777" w:rsidR="003C0461" w:rsidRDefault="003C0461" w:rsidP="003065E3">
                                    <w:pPr>
                                      <w:pStyle w:val="NormalWeb"/>
                                      <w:spacing w:after="200"/>
                                      <w:rPr>
                                        <w:rFonts w:eastAsia="Calibri"/>
                                        <w:b/>
                                        <w:bCs/>
                                        <w:color w:val="000000"/>
                                        <w:sz w:val="18"/>
                                        <w:szCs w:val="18"/>
                                      </w:rPr>
                                    </w:pPr>
                                    <w:r>
                                      <w:rPr>
                                        <w:rFonts w:eastAsia="Calibri"/>
                                        <w:b/>
                                        <w:bCs/>
                                        <w:color w:val="000000"/>
                                        <w:sz w:val="18"/>
                                        <w:szCs w:val="18"/>
                                      </w:rPr>
                                      <w:t>Domain leaders</w:t>
                                    </w:r>
                                  </w:p>
                                  <w:p w14:paraId="17363985"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Human resource management</w:t>
                                    </w:r>
                                  </w:p>
                                  <w:p w14:paraId="16497178"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Internal and external communication</w:t>
                                    </w:r>
                                    <w:r w:rsidRPr="003065E3">
                                      <w:rPr>
                                        <w:rFonts w:eastAsia="Calibri"/>
                                        <w:color w:val="000000"/>
                                        <w:sz w:val="16"/>
                                        <w:szCs w:val="18"/>
                                      </w:rPr>
                                      <w:softHyphen/>
                                    </w:r>
                                  </w:p>
                                  <w:p w14:paraId="1A92CD61"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Room management and conference organisation</w:t>
                                    </w:r>
                                  </w:p>
                                  <w:p w14:paraId="0CDDD257"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Informatics</w:t>
                                    </w:r>
                                  </w:p>
                                  <w:p w14:paraId="34DB0DC0"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Logistics</w:t>
                                    </w:r>
                                  </w:p>
                                  <w:p w14:paraId="52AB56CA"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Financial management and internal control framework</w:t>
                                    </w:r>
                                  </w:p>
                                  <w:p w14:paraId="122D6DA2" w14:textId="77777777" w:rsidR="003C0461" w:rsidRDefault="003C0461" w:rsidP="003065E3">
                                    <w:pPr>
                                      <w:pStyle w:val="NormalWeb"/>
                                      <w:spacing w:after="200"/>
                                    </w:pPr>
                                  </w:p>
                                  <w:p w14:paraId="73D3A90E" w14:textId="77777777" w:rsidR="003C0461" w:rsidRDefault="003C0461" w:rsidP="003065E3">
                                    <w:pPr>
                                      <w:pStyle w:val="NormalWeb"/>
                                      <w:spacing w:after="200"/>
                                    </w:pPr>
                                  </w:p>
                                </w:tc>
                                <w:tc>
                                  <w:tcPr>
                                    <w:tcW w:w="3110" w:type="dxa"/>
                                  </w:tcPr>
                                  <w:p w14:paraId="1A0969B0" w14:textId="77777777" w:rsidR="003C0461" w:rsidRDefault="003C0461" w:rsidP="003065E3">
                                    <w:pPr>
                                      <w:pStyle w:val="NormalWeb"/>
                                      <w:spacing w:after="200"/>
                                    </w:pPr>
                                    <w:r>
                                      <w:rPr>
                                        <w:rFonts w:eastAsia="Calibri"/>
                                        <w:b/>
                                        <w:bCs/>
                                        <w:color w:val="000000"/>
                                        <w:sz w:val="18"/>
                                        <w:szCs w:val="18"/>
                                      </w:rPr>
                                      <w:t>Steering Committees</w:t>
                                    </w:r>
                                  </w:p>
                                  <w:p w14:paraId="7628321E" w14:textId="77777777" w:rsidR="003C0461" w:rsidRPr="003065E3" w:rsidRDefault="003C0461" w:rsidP="003065E3">
                                    <w:pPr>
                                      <w:pStyle w:val="ListParagraph"/>
                                      <w:numPr>
                                        <w:ilvl w:val="0"/>
                                        <w:numId w:val="70"/>
                                      </w:numPr>
                                      <w:contextualSpacing/>
                                      <w:rPr>
                                        <w:rFonts w:eastAsia="Times New Roman"/>
                                        <w:color w:val="000000"/>
                                        <w:sz w:val="16"/>
                                      </w:rPr>
                                    </w:pPr>
                                    <w:r>
                                      <w:rPr>
                                        <w:color w:val="000000"/>
                                        <w:sz w:val="18"/>
                                        <w:szCs w:val="18"/>
                                      </w:rPr>
                                      <w:t>Hu</w:t>
                                    </w:r>
                                    <w:r w:rsidRPr="003065E3">
                                      <w:rPr>
                                        <w:color w:val="000000"/>
                                        <w:sz w:val="16"/>
                                        <w:szCs w:val="18"/>
                                      </w:rPr>
                                      <w:t>man Resources Modernisation Steering Committee</w:t>
                                    </w:r>
                                  </w:p>
                                  <w:p w14:paraId="7F17970A" w14:textId="77777777" w:rsidR="003C0461" w:rsidRPr="003065E3" w:rsidRDefault="003C0461" w:rsidP="003065E3">
                                    <w:pPr>
                                      <w:pStyle w:val="ListParagraph"/>
                                      <w:numPr>
                                        <w:ilvl w:val="0"/>
                                        <w:numId w:val="70"/>
                                      </w:numPr>
                                      <w:contextualSpacing/>
                                      <w:rPr>
                                        <w:rFonts w:eastAsia="Times New Roman"/>
                                        <w:color w:val="000000"/>
                                        <w:sz w:val="16"/>
                                      </w:rPr>
                                    </w:pPr>
                                    <w:r w:rsidRPr="003065E3">
                                      <w:rPr>
                                        <w:color w:val="000000"/>
                                        <w:sz w:val="16"/>
                                        <w:szCs w:val="18"/>
                                      </w:rPr>
                                      <w:t>Corporate Communication Steering Committee</w:t>
                                    </w:r>
                                  </w:p>
                                  <w:p w14:paraId="470A5B6F" w14:textId="77777777" w:rsidR="003C0461" w:rsidRPr="003065E3" w:rsidRDefault="003C0461" w:rsidP="003065E3">
                                    <w:pPr>
                                      <w:pStyle w:val="ListParagraph"/>
                                      <w:numPr>
                                        <w:ilvl w:val="0"/>
                                        <w:numId w:val="70"/>
                                      </w:numPr>
                                      <w:contextualSpacing/>
                                      <w:rPr>
                                        <w:rFonts w:eastAsia="Times New Roman"/>
                                        <w:color w:val="000000"/>
                                        <w:sz w:val="16"/>
                                      </w:rPr>
                                    </w:pPr>
                                    <w:r w:rsidRPr="003065E3">
                                      <w:rPr>
                                        <w:color w:val="000000"/>
                                        <w:sz w:val="16"/>
                                        <w:szCs w:val="18"/>
                                      </w:rPr>
                                      <w:t xml:space="preserve">Steering Board on Conferences and Meeting Rooms </w:t>
                                    </w:r>
                                  </w:p>
                                  <w:p w14:paraId="73629474" w14:textId="77777777" w:rsidR="003C0461" w:rsidRDefault="003C0461" w:rsidP="003065E3">
                                    <w:pPr>
                                      <w:pStyle w:val="NormalWeb"/>
                                      <w:spacing w:after="200"/>
                                    </w:pPr>
                                  </w:p>
                                </w:tc>
                              </w:tr>
                            </w:tbl>
                            <w:p w14:paraId="3F631D71" w14:textId="77777777" w:rsidR="003C0461" w:rsidRPr="003065E3" w:rsidRDefault="003C0461" w:rsidP="003065E3">
                              <w:pPr>
                                <w:pStyle w:val="NormalWeb"/>
                                <w:spacing w:after="200" w:line="276" w:lineRule="auto"/>
                              </w:pPr>
                              <w:r>
                                <w:rPr>
                                  <w:rFonts w:eastAsia="Calibri"/>
                                  <w:b/>
                                  <w:bCs/>
                                  <w:color w:val="000000"/>
                                  <w:sz w:val="18"/>
                                  <w:szCs w:val="18"/>
                                </w:rPr>
                                <w:t> </w:t>
                              </w:r>
                            </w:p>
                            <w:p w14:paraId="586D5C4E" w14:textId="77777777" w:rsidR="003C0461" w:rsidRDefault="003C0461" w:rsidP="003065E3">
                              <w:pPr>
                                <w:pStyle w:val="NormalWeb"/>
                                <w:spacing w:after="200" w:line="276" w:lineRule="auto"/>
                              </w:pPr>
                              <w:r>
                                <w:rPr>
                                  <w:rFonts w:eastAsia="Calibri"/>
                                  <w:b/>
                                  <w:bCs/>
                                  <w:color w:val="000000"/>
                                  <w:sz w:val="18"/>
                                  <w:szCs w:val="18"/>
                                </w:rPr>
                                <w:t> </w:t>
                              </w:r>
                            </w:p>
                            <w:p w14:paraId="767AF785" w14:textId="77777777" w:rsidR="003C0461" w:rsidRDefault="003C0461" w:rsidP="003065E3">
                              <w:pPr>
                                <w:pStyle w:val="NormalWeb"/>
                                <w:spacing w:after="200" w:line="276" w:lineRule="auto"/>
                              </w:pPr>
                              <w:r>
                                <w:rPr>
                                  <w:rFonts w:eastAsia="Calibri"/>
                                  <w:color w:val="000000"/>
                                  <w:sz w:val="18"/>
                                  <w:szCs w:val="18"/>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853AE9" id="Group 14565" o:spid="_x0000_s1208" style="width:452.15pt;height:196.15pt;mso-position-horizontal-relative:char;mso-position-vertical-relative:line" coordsize="57408,2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">
                <v:rect id="Rectangle 14566" o:spid="_x0000_s1209" style="position:absolute;width:57408;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" fillcolor="window" strokecolor="windowText" strokeweight="2pt">
                  <v:stroke dashstyle="1 1"/>
                  <v:textbox>
                    <w:txbxContent>
                      <w:p w14:paraId="38D74C4D" w14:textId="4F7F36B9" w:rsidR="003C0461" w:rsidRDefault="003C0461" w:rsidP="003065E3">
                        <w:pPr>
                          <w:pStyle w:val="NormalWeb"/>
                          <w:jc w:val="center"/>
                        </w:pPr>
                        <w:r>
                          <w:rPr>
                            <w:rFonts w:eastAsia="Calibri"/>
                            <w:b/>
                            <w:bCs/>
                            <w:color w:val="000000"/>
                            <w:sz w:val="22"/>
                            <w:szCs w:val="22"/>
                          </w:rPr>
                          <w:t>Corporate Management Board</w:t>
                        </w:r>
                      </w:p>
                    </w:txbxContent>
                  </v:textbox>
                </v:rect>
                <v:rect id="Rectangle 14567" o:spid="_x0000_s1210" style="position:absolute;top:5327;width:15408;height:4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" fillcolor="window" strokecolor="#65bbc8" strokeweight="2pt">
                  <v:stroke dashstyle="1 1"/>
                  <v:textbox>
                    <w:txbxContent>
                      <w:p w14:paraId="3696FAF1" w14:textId="77777777" w:rsidR="003C0461" w:rsidRDefault="003C0461" w:rsidP="003065E3">
                        <w:pPr>
                          <w:pStyle w:val="NormalWeb"/>
                          <w:spacing w:after="200" w:line="276" w:lineRule="auto"/>
                          <w:jc w:val="center"/>
                        </w:pPr>
                        <w:r>
                          <w:rPr>
                            <w:rFonts w:eastAsia="Calibri"/>
                            <w:b/>
                            <w:bCs/>
                            <w:color w:val="65BBC8"/>
                            <w:sz w:val="18"/>
                            <w:szCs w:val="18"/>
                          </w:rPr>
                          <w:t xml:space="preserve">Information Technology </w:t>
                        </w:r>
                        <w:r>
                          <w:rPr>
                            <w:rFonts w:eastAsia="Calibri"/>
                            <w:b/>
                            <w:bCs/>
                            <w:color w:val="65BBC8"/>
                            <w:sz w:val="18"/>
                            <w:szCs w:val="18"/>
                          </w:rPr>
                          <w:br/>
                          <w:t>and Cybersecurity Board</w:t>
                        </w:r>
                      </w:p>
                    </w:txbxContent>
                  </v:textbox>
                </v:rect>
                <v:rect id="Rectangle 14568" o:spid="_x0000_s1211" style="position:absolute;top:12563;width:15408;height:4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" fillcolor="window" strokecolor="#65bbc8" strokeweight="2pt">
                  <v:stroke dashstyle="1 1"/>
                  <v:textbox>
                    <w:txbxContent>
                      <w:p w14:paraId="5925C8A4" w14:textId="77777777" w:rsidR="003C0461" w:rsidRDefault="003C0461" w:rsidP="003065E3">
                        <w:pPr>
                          <w:pStyle w:val="NormalWeb"/>
                          <w:spacing w:after="200" w:line="276" w:lineRule="auto"/>
                          <w:jc w:val="center"/>
                        </w:pPr>
                        <w:r>
                          <w:rPr>
                            <w:rFonts w:eastAsia="Calibri"/>
                            <w:b/>
                            <w:bCs/>
                            <w:color w:val="65BBC8"/>
                            <w:sz w:val="18"/>
                            <w:szCs w:val="18"/>
                          </w:rPr>
                          <w:t xml:space="preserve">Group of </w:t>
                        </w:r>
                        <w:r>
                          <w:rPr>
                            <w:rFonts w:eastAsia="Calibri"/>
                            <w:b/>
                            <w:bCs/>
                            <w:color w:val="65BBC8"/>
                            <w:sz w:val="18"/>
                            <w:szCs w:val="18"/>
                          </w:rPr>
                          <w:br/>
                          <w:t>Resource Directors</w:t>
                        </w:r>
                      </w:p>
                    </w:txbxContent>
                  </v:textbox>
                </v:rect>
                <v:rect id="Rectangle 14569" o:spid="_x0000_s1212" style="position:absolute;top:20037;width:15420;height:487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" fillcolor="window" strokecolor="#65bbc8" strokeweight="2pt">
                  <v:stroke dashstyle="1 1"/>
                  <v:textbox>
                    <w:txbxContent>
                      <w:p w14:paraId="198F144C" w14:textId="77777777" w:rsidR="003C0461" w:rsidRDefault="003C0461" w:rsidP="003065E3">
                        <w:pPr>
                          <w:pStyle w:val="NormalWeb"/>
                          <w:spacing w:after="200" w:line="276" w:lineRule="auto"/>
                          <w:jc w:val="center"/>
                        </w:pPr>
                        <w:r>
                          <w:rPr>
                            <w:rFonts w:eastAsia="Calibri"/>
                            <w:b/>
                            <w:bCs/>
                            <w:color w:val="65BBC8"/>
                            <w:sz w:val="18"/>
                            <w:szCs w:val="18"/>
                          </w:rPr>
                          <w:t xml:space="preserve">Information Management </w:t>
                        </w:r>
                        <w:r>
                          <w:rPr>
                            <w:rFonts w:eastAsia="Calibri"/>
                            <w:b/>
                            <w:bCs/>
                            <w:color w:val="65BBC8"/>
                            <w:sz w:val="18"/>
                            <w:szCs w:val="18"/>
                          </w:rPr>
                          <w:br/>
                          <w:t>Steering Board</w:t>
                        </w:r>
                      </w:p>
                    </w:txbxContent>
                  </v:textbox>
                </v:rect>
                <v:rect id="Rectangle 14570" o:spid="_x0000_s1213" style="position:absolute;left:17174;top:5324;width:40221;height:194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" fillcolor="window" strokecolor="#1f4ea2" strokeweight="2pt">
                  <v:stroke dashstyle="1 1"/>
                  <v:textbox>
                    <w:txbxContent>
                      <w:tbl>
                        <w:tblPr>
                          <w:tblStyle w:val="Simpletable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05"/>
                          <w:gridCol w:w="3001"/>
                        </w:tblGrid>
                        <w:tr w:rsidR="003C0461" w14:paraId="25B12887" w14:textId="77777777" w:rsidTr="003065E3">
                          <w:trPr>
                            <w:trHeight w:val="493"/>
                          </w:trPr>
                          <w:tc>
                            <w:tcPr>
                              <w:tcW w:w="6220" w:type="dxa"/>
                              <w:gridSpan w:val="2"/>
                            </w:tcPr>
                            <w:p w14:paraId="210A5D7C" w14:textId="15C67C96" w:rsidR="003C0461" w:rsidRDefault="003C0461" w:rsidP="003065E3">
                              <w:pPr>
                                <w:pStyle w:val="NormalWeb"/>
                                <w:spacing w:after="200"/>
                                <w:jc w:val="center"/>
                              </w:pPr>
                              <w:r>
                                <w:rPr>
                                  <w:rFonts w:eastAsia="Calibri"/>
                                  <w:b/>
                                  <w:bCs/>
                                  <w:color w:val="1F4EA2"/>
                                  <w:sz w:val="22"/>
                                  <w:szCs w:val="22"/>
                                </w:rPr>
                                <w:t>Synergies and efficiencies</w:t>
                              </w:r>
                            </w:p>
                          </w:tc>
                        </w:tr>
                        <w:tr w:rsidR="003C0461" w14:paraId="27E60BE5" w14:textId="77777777" w:rsidTr="003065E3">
                          <w:trPr>
                            <w:trHeight w:val="2419"/>
                          </w:trPr>
                          <w:tc>
                            <w:tcPr>
                              <w:tcW w:w="3110" w:type="dxa"/>
                            </w:tcPr>
                            <w:p w14:paraId="186C8BA7" w14:textId="77777777" w:rsidR="003C0461" w:rsidRDefault="003C0461" w:rsidP="003065E3">
                              <w:pPr>
                                <w:pStyle w:val="NormalWeb"/>
                                <w:spacing w:after="200"/>
                                <w:rPr>
                                  <w:rFonts w:eastAsia="Calibri"/>
                                  <w:b/>
                                  <w:bCs/>
                                  <w:color w:val="000000"/>
                                  <w:sz w:val="18"/>
                                  <w:szCs w:val="18"/>
                                </w:rPr>
                              </w:pPr>
                              <w:r>
                                <w:rPr>
                                  <w:rFonts w:eastAsia="Calibri"/>
                                  <w:b/>
                                  <w:bCs/>
                                  <w:color w:val="000000"/>
                                  <w:sz w:val="18"/>
                                  <w:szCs w:val="18"/>
                                </w:rPr>
                                <w:t>Domain leaders</w:t>
                              </w:r>
                            </w:p>
                            <w:p w14:paraId="17363985"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Human resource management</w:t>
                              </w:r>
                            </w:p>
                            <w:p w14:paraId="16497178"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Internal and external communication</w:t>
                              </w:r>
                              <w:r w:rsidRPr="003065E3">
                                <w:rPr>
                                  <w:rFonts w:eastAsia="Calibri"/>
                                  <w:color w:val="000000"/>
                                  <w:sz w:val="16"/>
                                  <w:szCs w:val="18"/>
                                </w:rPr>
                                <w:softHyphen/>
                              </w:r>
                            </w:p>
                            <w:p w14:paraId="1A92CD61"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Room management and conference organisation</w:t>
                              </w:r>
                            </w:p>
                            <w:p w14:paraId="0CDDD257"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Informatics</w:t>
                              </w:r>
                            </w:p>
                            <w:p w14:paraId="34DB0DC0"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Logistics</w:t>
                              </w:r>
                            </w:p>
                            <w:p w14:paraId="52AB56CA" w14:textId="77777777" w:rsidR="003C0461" w:rsidRPr="003065E3" w:rsidRDefault="003C0461" w:rsidP="003065E3">
                              <w:pPr>
                                <w:pStyle w:val="NormalWeb"/>
                                <w:numPr>
                                  <w:ilvl w:val="0"/>
                                  <w:numId w:val="71"/>
                                </w:numPr>
                                <w:rPr>
                                  <w:color w:val="000000"/>
                                  <w:sz w:val="22"/>
                                </w:rPr>
                              </w:pPr>
                              <w:r w:rsidRPr="003065E3">
                                <w:rPr>
                                  <w:rFonts w:eastAsia="Calibri"/>
                                  <w:color w:val="000000"/>
                                  <w:sz w:val="16"/>
                                  <w:szCs w:val="18"/>
                                </w:rPr>
                                <w:t>Financial management and internal control framework</w:t>
                              </w:r>
                            </w:p>
                            <w:p w14:paraId="122D6DA2" w14:textId="77777777" w:rsidR="003C0461" w:rsidRDefault="003C0461" w:rsidP="003065E3">
                              <w:pPr>
                                <w:pStyle w:val="NormalWeb"/>
                                <w:spacing w:after="200"/>
                              </w:pPr>
                            </w:p>
                            <w:p w14:paraId="73D3A90E" w14:textId="77777777" w:rsidR="003C0461" w:rsidRDefault="003C0461" w:rsidP="003065E3">
                              <w:pPr>
                                <w:pStyle w:val="NormalWeb"/>
                                <w:spacing w:after="200"/>
                              </w:pPr>
                            </w:p>
                          </w:tc>
                          <w:tc>
                            <w:tcPr>
                              <w:tcW w:w="3110" w:type="dxa"/>
                            </w:tcPr>
                            <w:p w14:paraId="1A0969B0" w14:textId="77777777" w:rsidR="003C0461" w:rsidRDefault="003C0461" w:rsidP="003065E3">
                              <w:pPr>
                                <w:pStyle w:val="NormalWeb"/>
                                <w:spacing w:after="200"/>
                              </w:pPr>
                              <w:r>
                                <w:rPr>
                                  <w:rFonts w:eastAsia="Calibri"/>
                                  <w:b/>
                                  <w:bCs/>
                                  <w:color w:val="000000"/>
                                  <w:sz w:val="18"/>
                                  <w:szCs w:val="18"/>
                                </w:rPr>
                                <w:t>Steering Committees</w:t>
                              </w:r>
                            </w:p>
                            <w:p w14:paraId="7628321E" w14:textId="77777777" w:rsidR="003C0461" w:rsidRPr="003065E3" w:rsidRDefault="003C0461" w:rsidP="003065E3">
                              <w:pPr>
                                <w:pStyle w:val="ListParagraph"/>
                                <w:numPr>
                                  <w:ilvl w:val="0"/>
                                  <w:numId w:val="70"/>
                                </w:numPr>
                                <w:contextualSpacing/>
                                <w:rPr>
                                  <w:rFonts w:eastAsia="Times New Roman"/>
                                  <w:color w:val="000000"/>
                                  <w:sz w:val="16"/>
                                </w:rPr>
                              </w:pPr>
                              <w:r>
                                <w:rPr>
                                  <w:color w:val="000000"/>
                                  <w:sz w:val="18"/>
                                  <w:szCs w:val="18"/>
                                </w:rPr>
                                <w:t>Hu</w:t>
                              </w:r>
                              <w:r w:rsidRPr="003065E3">
                                <w:rPr>
                                  <w:color w:val="000000"/>
                                  <w:sz w:val="16"/>
                                  <w:szCs w:val="18"/>
                                </w:rPr>
                                <w:t>man Resources Modernisation Steering Committee</w:t>
                              </w:r>
                            </w:p>
                            <w:p w14:paraId="7F17970A" w14:textId="77777777" w:rsidR="003C0461" w:rsidRPr="003065E3" w:rsidRDefault="003C0461" w:rsidP="003065E3">
                              <w:pPr>
                                <w:pStyle w:val="ListParagraph"/>
                                <w:numPr>
                                  <w:ilvl w:val="0"/>
                                  <w:numId w:val="70"/>
                                </w:numPr>
                                <w:contextualSpacing/>
                                <w:rPr>
                                  <w:rFonts w:eastAsia="Times New Roman"/>
                                  <w:color w:val="000000"/>
                                  <w:sz w:val="16"/>
                                </w:rPr>
                              </w:pPr>
                              <w:r w:rsidRPr="003065E3">
                                <w:rPr>
                                  <w:color w:val="000000"/>
                                  <w:sz w:val="16"/>
                                  <w:szCs w:val="18"/>
                                </w:rPr>
                                <w:t>Corporate Communication Steering Committee</w:t>
                              </w:r>
                            </w:p>
                            <w:p w14:paraId="470A5B6F" w14:textId="77777777" w:rsidR="003C0461" w:rsidRPr="003065E3" w:rsidRDefault="003C0461" w:rsidP="003065E3">
                              <w:pPr>
                                <w:pStyle w:val="ListParagraph"/>
                                <w:numPr>
                                  <w:ilvl w:val="0"/>
                                  <w:numId w:val="70"/>
                                </w:numPr>
                                <w:contextualSpacing/>
                                <w:rPr>
                                  <w:rFonts w:eastAsia="Times New Roman"/>
                                  <w:color w:val="000000"/>
                                  <w:sz w:val="16"/>
                                </w:rPr>
                              </w:pPr>
                              <w:r w:rsidRPr="003065E3">
                                <w:rPr>
                                  <w:color w:val="000000"/>
                                  <w:sz w:val="16"/>
                                  <w:szCs w:val="18"/>
                                </w:rPr>
                                <w:t xml:space="preserve">Steering Board on Conferences and Meeting Rooms </w:t>
                              </w:r>
                            </w:p>
                            <w:p w14:paraId="73629474" w14:textId="77777777" w:rsidR="003C0461" w:rsidRDefault="003C0461" w:rsidP="003065E3">
                              <w:pPr>
                                <w:pStyle w:val="NormalWeb"/>
                                <w:spacing w:after="200"/>
                              </w:pPr>
                            </w:p>
                          </w:tc>
                        </w:tr>
                      </w:tbl>
                      <w:p w14:paraId="3F631D71" w14:textId="77777777" w:rsidR="003C0461" w:rsidRPr="003065E3" w:rsidRDefault="003C0461" w:rsidP="003065E3">
                        <w:pPr>
                          <w:pStyle w:val="NormalWeb"/>
                          <w:spacing w:after="200" w:line="276" w:lineRule="auto"/>
                        </w:pPr>
                        <w:r>
                          <w:rPr>
                            <w:rFonts w:eastAsia="Calibri"/>
                            <w:b/>
                            <w:bCs/>
                            <w:color w:val="000000"/>
                            <w:sz w:val="18"/>
                            <w:szCs w:val="18"/>
                          </w:rPr>
                          <w:t> </w:t>
                        </w:r>
                      </w:p>
                      <w:p w14:paraId="586D5C4E" w14:textId="77777777" w:rsidR="003C0461" w:rsidRDefault="003C0461" w:rsidP="003065E3">
                        <w:pPr>
                          <w:pStyle w:val="NormalWeb"/>
                          <w:spacing w:after="200" w:line="276" w:lineRule="auto"/>
                        </w:pPr>
                        <w:r>
                          <w:rPr>
                            <w:rFonts w:eastAsia="Calibri"/>
                            <w:b/>
                            <w:bCs/>
                            <w:color w:val="000000"/>
                            <w:sz w:val="18"/>
                            <w:szCs w:val="18"/>
                          </w:rPr>
                          <w:t> </w:t>
                        </w:r>
                      </w:p>
                      <w:p w14:paraId="767AF785" w14:textId="77777777" w:rsidR="003C0461" w:rsidRDefault="003C0461" w:rsidP="003065E3">
                        <w:pPr>
                          <w:pStyle w:val="NormalWeb"/>
                          <w:spacing w:after="200" w:line="276" w:lineRule="auto"/>
                        </w:pPr>
                        <w:r>
                          <w:rPr>
                            <w:rFonts w:eastAsia="Calibri"/>
                            <w:color w:val="000000"/>
                            <w:sz w:val="18"/>
                            <w:szCs w:val="18"/>
                          </w:rPr>
                          <w:t> </w:t>
                        </w:r>
                      </w:p>
                    </w:txbxContent>
                  </v:textbox>
                </v:rect>
                <w10:anchorlock/>
              </v:group>
            </w:pict>
          </mc:Fallback>
        </mc:AlternateContent>
      </w:r>
    </w:p>
    <w:p w14:paraId="218B1E15" w14:textId="78DC202F" w:rsidR="00FC5564" w:rsidRPr="00A04E56" w:rsidRDefault="00FC5564" w:rsidP="00107DA0">
      <w:pPr>
        <w:pStyle w:val="BodyText1spacebeforeandafter"/>
      </w:pPr>
      <w:r w:rsidRPr="00A04E56">
        <w:t xml:space="preserve">In addition to the revision of the Commission’s corporate governance arrangements, the Corporate Management Board and its subgroups continued to provide coordination, advice and strategic orientation on corporate management matters </w:t>
      </w:r>
      <w:r w:rsidR="008C1D39" w:rsidRPr="00A04E56">
        <w:rPr>
          <w:i/>
          <w:u w:val="single"/>
        </w:rPr>
        <w:t>in 2018</w:t>
      </w:r>
      <w:r w:rsidRPr="00A04E56">
        <w:t>. This included the delivery of synergies and efficiencies across the Commission in areas such as IT, translation and logistics; the creation of a Commission data strategy; the implementation of new data protection rules; the security of staff, information and assets; the further modernisation of the Commission’s IT solutions; the fight against fraud and risk management.</w:t>
      </w:r>
    </w:p>
    <w:p w14:paraId="0022B607" w14:textId="77777777" w:rsidR="00FC5564" w:rsidRPr="00A04E56" w:rsidRDefault="00FC5564" w:rsidP="00277538">
      <w:pPr>
        <w:pStyle w:val="Title3Report"/>
        <w:rPr>
          <w:noProof/>
        </w:rPr>
      </w:pPr>
      <w:bookmarkStart w:id="298" w:name="_Toc6403757"/>
      <w:r w:rsidRPr="00A04E56">
        <w:rPr>
          <w:noProof/>
        </w:rPr>
        <w:t xml:space="preserve">9.2. Reinforced </w:t>
      </w:r>
      <w:r w:rsidRPr="00A04E56">
        <w:t>Code</w:t>
      </w:r>
      <w:r w:rsidRPr="00A04E56">
        <w:rPr>
          <w:noProof/>
        </w:rPr>
        <w:t xml:space="preserve"> of Conduct for Commissioners</w:t>
      </w:r>
      <w:bookmarkEnd w:id="298"/>
    </w:p>
    <w:p w14:paraId="4EADCB4A" w14:textId="77777777" w:rsidR="00FC5564" w:rsidRPr="004D46D1" w:rsidRDefault="00FC5564" w:rsidP="003A7016">
      <w:pPr>
        <w:pStyle w:val="BodyText1spaceafter"/>
        <w:rPr>
          <w:spacing w:val="-2"/>
        </w:rPr>
      </w:pPr>
      <w:r w:rsidRPr="004D46D1">
        <w:rPr>
          <w:spacing w:val="-2"/>
        </w:rPr>
        <w:t xml:space="preserve">All Members of the European Commission are required to follow the rules regarding ethics and integrity contained in the treaties and in the Code of Conduct for Commissioners while carrying out their duties. </w:t>
      </w:r>
    </w:p>
    <w:p w14:paraId="7C5CA351" w14:textId="77777777" w:rsidR="00FC5564" w:rsidRPr="004D46D1" w:rsidRDefault="00FC5564" w:rsidP="003A7016">
      <w:pPr>
        <w:pStyle w:val="BodyText1spaceafter"/>
        <w:rPr>
          <w:spacing w:val="-2"/>
        </w:rPr>
      </w:pPr>
      <w:r w:rsidRPr="004D46D1">
        <w:rPr>
          <w:spacing w:val="-2"/>
        </w:rPr>
        <w:t>A new Code of Conduct for the Members of the Commission entered into force on 1</w:t>
      </w:r>
      <w:r w:rsidRPr="004D46D1">
        <w:rPr>
          <w:rFonts w:ascii="Calibri" w:hAnsi="Calibri" w:cs="Calibri"/>
          <w:spacing w:val="-2"/>
        </w:rPr>
        <w:t> </w:t>
      </w:r>
      <w:r w:rsidRPr="004D46D1">
        <w:rPr>
          <w:spacing w:val="-2"/>
        </w:rPr>
        <w:t>February 2018. It puts the Commission at the forefront of ethics in public-sector organisations. The modernised rules set new standards in Europe. The new Code of Conduct continues President Juncker’s push for greater transparency since the beginning of his mandate and extends the ‘cooling-off’ period for former Commissioners from 18</w:t>
      </w:r>
      <w:r w:rsidRPr="004D46D1">
        <w:rPr>
          <w:rFonts w:ascii="Calibri" w:hAnsi="Calibri" w:cs="Calibri"/>
          <w:spacing w:val="-2"/>
        </w:rPr>
        <w:t> </w:t>
      </w:r>
      <w:r w:rsidRPr="004D46D1">
        <w:rPr>
          <w:spacing w:val="-2"/>
        </w:rPr>
        <w:t>months to 2</w:t>
      </w:r>
      <w:r w:rsidRPr="004D46D1">
        <w:rPr>
          <w:rFonts w:ascii="Calibri" w:hAnsi="Calibri" w:cs="Calibri"/>
          <w:spacing w:val="-2"/>
        </w:rPr>
        <w:t> </w:t>
      </w:r>
      <w:r w:rsidRPr="004D46D1">
        <w:rPr>
          <w:spacing w:val="-2"/>
        </w:rPr>
        <w:t>years and to 3</w:t>
      </w:r>
      <w:r w:rsidRPr="004D46D1">
        <w:rPr>
          <w:rFonts w:ascii="Calibri" w:hAnsi="Calibri" w:cs="Calibri"/>
          <w:spacing w:val="-2"/>
        </w:rPr>
        <w:t> </w:t>
      </w:r>
      <w:r w:rsidRPr="004D46D1">
        <w:rPr>
          <w:spacing w:val="-2"/>
        </w:rPr>
        <w:t>years for the President of the Commission. The modernisation goes further by setting clearer rules and higher ethical standards as well as by introducing greater transparency in a number of areas.</w:t>
      </w:r>
    </w:p>
    <w:p w14:paraId="27EDDD62" w14:textId="77777777" w:rsidR="007E13AC" w:rsidRDefault="007E13AC">
      <w:pPr>
        <w:rPr>
          <w:b/>
          <w:noProof/>
          <w:color w:val="65BBC8"/>
          <w:sz w:val="24"/>
          <w:lang w:eastAsia="zh-CN"/>
        </w:rPr>
      </w:pPr>
      <w:bookmarkStart w:id="299" w:name="_Toc6403758"/>
      <w:r>
        <w:rPr>
          <w:noProof/>
        </w:rPr>
        <w:br w:type="page"/>
      </w:r>
    </w:p>
    <w:p w14:paraId="52D3D819" w14:textId="35480B7F" w:rsidR="00FC5564" w:rsidRPr="00A04E56" w:rsidRDefault="00FC5564" w:rsidP="00277538">
      <w:pPr>
        <w:pStyle w:val="Title3Report"/>
        <w:rPr>
          <w:noProof/>
        </w:rPr>
      </w:pPr>
      <w:r w:rsidRPr="00A04E56">
        <w:rPr>
          <w:noProof/>
        </w:rPr>
        <w:t xml:space="preserve">9.3. Data </w:t>
      </w:r>
      <w:r w:rsidRPr="00A04E56">
        <w:t>protection</w:t>
      </w:r>
      <w:bookmarkEnd w:id="299"/>
    </w:p>
    <w:p w14:paraId="241608C2" w14:textId="5E6AE710" w:rsidR="00FC5564" w:rsidRPr="00A04E56" w:rsidRDefault="00FC5564" w:rsidP="00FC5564">
      <w:pPr>
        <w:pStyle w:val="BodyText1spaceafter"/>
        <w:rPr>
          <w:lang w:eastAsia="zh-CN"/>
        </w:rPr>
      </w:pPr>
      <w:r w:rsidRPr="00A04E56">
        <w:rPr>
          <w:lang w:eastAsia="zh-CN"/>
        </w:rPr>
        <w:t xml:space="preserve">On </w:t>
      </w:r>
      <w:r w:rsidR="00387D58" w:rsidRPr="00A04E56">
        <w:rPr>
          <w:lang w:eastAsia="zh-CN"/>
        </w:rPr>
        <w:t>11</w:t>
      </w:r>
      <w:r w:rsidR="00DA20EC" w:rsidRPr="00A04E56">
        <w:rPr>
          <w:rFonts w:ascii="Calibri" w:hAnsi="Calibri" w:cs="Calibri"/>
          <w:lang w:eastAsia="zh-CN"/>
        </w:rPr>
        <w:t> </w:t>
      </w:r>
      <w:r w:rsidR="00DA20EC" w:rsidRPr="00A04E56">
        <w:rPr>
          <w:lang w:eastAsia="zh-CN"/>
        </w:rPr>
        <w:t>December</w:t>
      </w:r>
      <w:r w:rsidR="00DA20EC" w:rsidRPr="00A04E56">
        <w:rPr>
          <w:rFonts w:ascii="Calibri" w:hAnsi="Calibri" w:cs="Calibri"/>
          <w:lang w:eastAsia="zh-CN"/>
        </w:rPr>
        <w:t> </w:t>
      </w:r>
      <w:r w:rsidR="00DA20EC" w:rsidRPr="00A04E56">
        <w:rPr>
          <w:lang w:eastAsia="zh-CN"/>
        </w:rPr>
        <w:t>2018</w:t>
      </w:r>
      <w:r w:rsidRPr="00A04E56">
        <w:rPr>
          <w:rStyle w:val="fnRef"/>
          <w:rFonts w:ascii="Calibri" w:hAnsi="Calibri" w:cs="Calibri"/>
        </w:rPr>
        <w:t> </w:t>
      </w:r>
      <w:r w:rsidRPr="00A04E56">
        <w:rPr>
          <w:rStyle w:val="fnRef"/>
        </w:rPr>
        <w:t>(</w:t>
      </w:r>
      <w:r w:rsidRPr="00A04E56">
        <w:rPr>
          <w:rStyle w:val="fnRefNo"/>
        </w:rPr>
        <w:footnoteReference w:id="410"/>
      </w:r>
      <w:r w:rsidRPr="00A04E56">
        <w:rPr>
          <w:rStyle w:val="fnRef"/>
        </w:rPr>
        <w:t>)</w:t>
      </w:r>
      <w:r w:rsidRPr="00A04E56">
        <w:rPr>
          <w:lang w:eastAsia="zh-CN"/>
        </w:rPr>
        <w:t xml:space="preserve"> the new data protection regulation entered into force. In July 2018, the Commission’s Data Protection Officer and the Secretary-General addressed an implementation roadmap to all Commission departments. On 7</w:t>
      </w:r>
      <w:r w:rsidRPr="00A04E56">
        <w:rPr>
          <w:rFonts w:ascii="Calibri" w:hAnsi="Calibri" w:cs="Calibri"/>
          <w:lang w:eastAsia="zh-CN"/>
        </w:rPr>
        <w:t> </w:t>
      </w:r>
      <w:r w:rsidRPr="00A04E56">
        <w:rPr>
          <w:lang w:eastAsia="zh-CN"/>
        </w:rPr>
        <w:t xml:space="preserve">November 2018, a communication to the Commission ‘The Commission’s data protection action plan’ for the implementation of the new internal regulation was adopted. This plan indicated key actors, precise tasks and a time period for the Commission departments to implement the new regime. </w:t>
      </w:r>
      <w:r w:rsidR="004A4931" w:rsidRPr="00A04E56">
        <w:rPr>
          <w:lang w:eastAsia="zh-CN"/>
        </w:rPr>
        <w:t>S</w:t>
      </w:r>
      <w:r w:rsidRPr="00A04E56">
        <w:rPr>
          <w:lang w:eastAsia="zh-CN"/>
        </w:rPr>
        <w:t>tructured collaboration with Commission departments was carried out throughout the year with monthly meetings of the Network of Data Protection Coordinators, chaired by the Data Protection Officer.</w:t>
      </w:r>
    </w:p>
    <w:p w14:paraId="7C5AAD80" w14:textId="1C1F27D9" w:rsidR="00FC5564" w:rsidRPr="00A04E56" w:rsidRDefault="00FC5564" w:rsidP="00FC5564">
      <w:pPr>
        <w:pStyle w:val="BodyText1spaceafter"/>
        <w:rPr>
          <w:lang w:eastAsia="zh-CN"/>
        </w:rPr>
      </w:pPr>
      <w:r w:rsidRPr="00A04E56">
        <w:rPr>
          <w:lang w:eastAsia="zh-CN"/>
        </w:rPr>
        <w:t xml:space="preserve">In their annual activity reports, almost all departments have </w:t>
      </w:r>
      <w:r w:rsidR="004A4931" w:rsidRPr="00A04E56">
        <w:rPr>
          <w:lang w:eastAsia="zh-CN"/>
        </w:rPr>
        <w:t>given a</w:t>
      </w:r>
      <w:r w:rsidRPr="00A04E56">
        <w:rPr>
          <w:lang w:eastAsia="zh-CN"/>
        </w:rPr>
        <w:t xml:space="preserve"> clear account of their implementation of the new data protection framework. </w:t>
      </w:r>
    </w:p>
    <w:p w14:paraId="3DBEFC17" w14:textId="77777777" w:rsidR="00FC5564" w:rsidRPr="00A04E56" w:rsidRDefault="00FC5564" w:rsidP="00FC5564">
      <w:pPr>
        <w:pStyle w:val="BodyText1spaceafter"/>
        <w:rPr>
          <w:lang w:eastAsia="zh-CN"/>
        </w:rPr>
      </w:pPr>
      <w:r w:rsidRPr="00A04E56">
        <w:rPr>
          <w:lang w:eastAsia="zh-CN"/>
        </w:rPr>
        <w:t xml:space="preserve">In July 2018, the Commission appointed a new Data Protection Officer. </w:t>
      </w:r>
    </w:p>
    <w:p w14:paraId="62D9CA1B" w14:textId="44B6A2AF" w:rsidR="00FC5564" w:rsidRPr="00A04E56" w:rsidRDefault="00FC5564" w:rsidP="00FC5564">
      <w:pPr>
        <w:pStyle w:val="BodyText1spaceafter"/>
        <w:rPr>
          <w:lang w:eastAsia="zh-CN"/>
        </w:rPr>
      </w:pPr>
      <w:r w:rsidRPr="00A04E56">
        <w:rPr>
          <w:lang w:eastAsia="zh-CN"/>
        </w:rPr>
        <w:t xml:space="preserve">In the second half of 2018, </w:t>
      </w:r>
      <w:r w:rsidR="004A4931" w:rsidRPr="00A04E56">
        <w:rPr>
          <w:lang w:eastAsia="zh-CN"/>
        </w:rPr>
        <w:t>n</w:t>
      </w:r>
      <w:r w:rsidRPr="00A04E56">
        <w:rPr>
          <w:lang w:eastAsia="zh-CN"/>
        </w:rPr>
        <w:t>ew operational procedures</w:t>
      </w:r>
      <w:r w:rsidRPr="00A04E56">
        <w:rPr>
          <w:rStyle w:val="fnRef"/>
          <w:rFonts w:ascii="Calibri" w:hAnsi="Calibri" w:cs="Calibri"/>
        </w:rPr>
        <w:t> </w:t>
      </w:r>
      <w:r w:rsidRPr="00A04E56">
        <w:rPr>
          <w:rStyle w:val="fnRef"/>
        </w:rPr>
        <w:t>(</w:t>
      </w:r>
      <w:r w:rsidRPr="00A04E56">
        <w:rPr>
          <w:rStyle w:val="fnRefNo"/>
        </w:rPr>
        <w:footnoteReference w:id="411"/>
      </w:r>
      <w:r w:rsidRPr="00A04E56">
        <w:rPr>
          <w:rStyle w:val="fnRef"/>
        </w:rPr>
        <w:t>)</w:t>
      </w:r>
      <w:r w:rsidRPr="00A04E56">
        <w:rPr>
          <w:lang w:eastAsia="zh-CN"/>
        </w:rPr>
        <w:t xml:space="preserve"> and a new IT system (the Data Protection Management System) </w:t>
      </w:r>
      <w:r w:rsidR="004A4931" w:rsidRPr="00A04E56">
        <w:rPr>
          <w:lang w:eastAsia="zh-CN"/>
        </w:rPr>
        <w:t>were</w:t>
      </w:r>
      <w:r w:rsidRPr="00A04E56">
        <w:rPr>
          <w:lang w:eastAsia="zh-CN"/>
        </w:rPr>
        <w:t xml:space="preserve"> implemented. These measures allowed continued compliance with the new regulation </w:t>
      </w:r>
      <w:r w:rsidR="008C1D39" w:rsidRPr="00A04E56">
        <w:rPr>
          <w:i/>
          <w:u w:val="single"/>
          <w:lang w:eastAsia="zh-CN"/>
        </w:rPr>
        <w:t>in 2018</w:t>
      </w:r>
      <w:r w:rsidRPr="00A04E56">
        <w:rPr>
          <w:lang w:eastAsia="zh-CN"/>
        </w:rPr>
        <w:t xml:space="preserve"> without any delay. Information about the entry into force of Regulation (EU) 2018/1725, together with new guidance material, was published on the Commission internal web-portals and on the website of the Commission’s Data Protection Officer. </w:t>
      </w:r>
    </w:p>
    <w:p w14:paraId="582B6026" w14:textId="2BB87D0A" w:rsidR="006E1571" w:rsidRDefault="00FC5564" w:rsidP="005D36C6">
      <w:pPr>
        <w:pStyle w:val="BodyText1spaceafter"/>
        <w:rPr>
          <w:lang w:eastAsia="zh-CN"/>
        </w:rPr>
      </w:pPr>
      <w:r w:rsidRPr="00A04E56">
        <w:rPr>
          <w:lang w:eastAsia="zh-CN"/>
        </w:rPr>
        <w:t xml:space="preserve">The Data Protection Officer continued internal awareness-raising via a wide range of activies, such as publications on the Commission’s intranet and their own dedicated portal, but also with speeches and meetings with senior management, through collaborating with relevant corporate management entities and by reviewing training material for the classroom courses </w:t>
      </w:r>
      <w:r w:rsidR="004A4931" w:rsidRPr="00A04E56">
        <w:rPr>
          <w:lang w:eastAsia="zh-CN"/>
        </w:rPr>
        <w:t>about</w:t>
      </w:r>
      <w:r w:rsidRPr="00A04E56">
        <w:rPr>
          <w:lang w:eastAsia="zh-CN"/>
        </w:rPr>
        <w:t xml:space="preserve"> the new regulation. The number of training</w:t>
      </w:r>
      <w:r w:rsidR="004A4931" w:rsidRPr="00A04E56">
        <w:rPr>
          <w:lang w:eastAsia="zh-CN"/>
        </w:rPr>
        <w:t xml:space="preserve"> course</w:t>
      </w:r>
      <w:r w:rsidRPr="00A04E56">
        <w:rPr>
          <w:lang w:eastAsia="zh-CN"/>
        </w:rPr>
        <w:t xml:space="preserve">s </w:t>
      </w:r>
      <w:r w:rsidR="004A4931" w:rsidRPr="00A04E56">
        <w:rPr>
          <w:lang w:eastAsia="zh-CN"/>
        </w:rPr>
        <w:t>was</w:t>
      </w:r>
      <w:r w:rsidRPr="00A04E56">
        <w:rPr>
          <w:lang w:eastAsia="zh-CN"/>
        </w:rPr>
        <w:t xml:space="preserve"> increased to respond to the high demand.</w:t>
      </w:r>
    </w:p>
    <w:p w14:paraId="36D1819E" w14:textId="77777777" w:rsidR="00757E7D" w:rsidRDefault="00757E7D" w:rsidP="00757E7D">
      <w:pPr>
        <w:pStyle w:val="BodyText1"/>
        <w:rPr>
          <w:lang w:val="en-GB" w:eastAsia="zh-CN"/>
        </w:rPr>
        <w:sectPr w:rsidR="00757E7D" w:rsidSect="00AD1C33">
          <w:headerReference w:type="even" r:id="rId247"/>
          <w:headerReference w:type="default" r:id="rId248"/>
          <w:footerReference w:type="even" r:id="rId249"/>
          <w:footerReference w:type="default" r:id="rId250"/>
          <w:headerReference w:type="first" r:id="rId251"/>
          <w:footerReference w:type="first" r:id="rId252"/>
          <w:pgSz w:w="11906" w:h="16838"/>
          <w:pgMar w:top="1417" w:right="1417" w:bottom="1135" w:left="1417" w:header="635" w:footer="635" w:gutter="0"/>
          <w:cols w:space="720"/>
          <w:docGrid w:linePitch="360"/>
        </w:sectPr>
      </w:pPr>
    </w:p>
    <w:p w14:paraId="5FA1ACE5" w14:textId="3DB3D3CF" w:rsidR="00757E7D" w:rsidRPr="0005798F" w:rsidRDefault="00757E7D" w:rsidP="0005798F">
      <w:pPr>
        <w:pStyle w:val="BodyText1"/>
        <w:rPr>
          <w:lang w:eastAsia="zh-CN"/>
        </w:rPr>
      </w:pPr>
    </w:p>
    <w:sectPr w:rsidR="00757E7D" w:rsidRPr="0005798F" w:rsidSect="00AD1C33">
      <w:headerReference w:type="even" r:id="rId253"/>
      <w:headerReference w:type="default" r:id="rId254"/>
      <w:footerReference w:type="even" r:id="rId255"/>
      <w:footerReference w:type="default" r:id="rId256"/>
      <w:headerReference w:type="first" r:id="rId257"/>
      <w:footerReference w:type="first" r:id="rId258"/>
      <w:pgSz w:w="11906" w:h="16838"/>
      <w:pgMar w:top="1417" w:right="1417" w:bottom="1135" w:left="1417" w:header="635" w:footer="635"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D5C42" w14:textId="77777777" w:rsidR="003C0461" w:rsidRDefault="003C0461" w:rsidP="00F24D18">
      <w:r>
        <w:separator/>
      </w:r>
    </w:p>
  </w:endnote>
  <w:endnote w:type="continuationSeparator" w:id="0">
    <w:p w14:paraId="69E9184D" w14:textId="77777777" w:rsidR="003C0461" w:rsidRDefault="003C0461" w:rsidP="00F24D18">
      <w:r>
        <w:continuationSeparator/>
      </w:r>
    </w:p>
  </w:endnote>
  <w:endnote w:type="continuationNotice" w:id="1">
    <w:p w14:paraId="3E2CEA68" w14:textId="77777777" w:rsidR="003C0461" w:rsidRDefault="003C04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A00002BF" w:usb1="5000E0FB" w:usb2="00000000" w:usb3="00000000" w:csb0="0000019F" w:csb1="00000000"/>
  </w:font>
  <w:font w:name="Calibri">
    <w:panose1 w:val="020F05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EC Square Sans Cond Pro">
    <w:panose1 w:val="020B0506040000020004"/>
    <w:charset w:val="00"/>
    <w:family w:val="swiss"/>
    <w:pitch w:val="variable"/>
    <w:sig w:usb0="A00002BF" w:usb1="500000D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FUIText">
    <w:altName w:val="Times New Roman"/>
    <w:panose1 w:val="00000000000000000000"/>
    <w:charset w:val="00"/>
    <w:family w:val="roman"/>
    <w:notTrueType/>
    <w:pitch w:val="default"/>
  </w:font>
  <w:font w:name="MinionPro-Regular">
    <w:altName w:val="Cambria Math"/>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EC Square Sans Pro Medium">
    <w:panose1 w:val="020B0500000000020004"/>
    <w:charset w:val="00"/>
    <w:family w:val="swiss"/>
    <w:pitch w:val="variable"/>
    <w:sig w:usb0="A00002BF" w:usb1="5000E0FB"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EC Square Sans Pro Thin">
    <w:panose1 w:val="020B0506040000020004"/>
    <w:charset w:val="00"/>
    <w:family w:val="swiss"/>
    <w:pitch w:val="variable"/>
    <w:sig w:usb0="A00002BF" w:usb1="5000E0FB" w:usb2="00000000" w:usb3="00000000" w:csb0="0000019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8000004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F019A" w14:textId="77777777" w:rsidR="00903DF5" w:rsidRPr="00903DF5" w:rsidRDefault="00903DF5" w:rsidP="00903DF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D8A5B" w14:textId="77777777" w:rsidR="003C0461" w:rsidRDefault="003C046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472E8" w14:textId="7C6234E5" w:rsidR="003C0461" w:rsidRDefault="003C0461" w:rsidP="001C5651">
    <w:pPr>
      <w:pStyle w:val="PageNumber1"/>
      <w:rPr>
        <w:noProof/>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981D5" w14:textId="77777777" w:rsidR="00F01C5E" w:rsidRDefault="00F01C5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84559" w14:textId="77777777" w:rsidR="00F01C5E" w:rsidRDefault="00F01C5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217095"/>
      <w:docPartObj>
        <w:docPartGallery w:val="Page Numbers (Bottom of Page)"/>
        <w:docPartUnique/>
      </w:docPartObj>
    </w:sdtPr>
    <w:sdtEndPr>
      <w:rPr>
        <w:noProof/>
      </w:rPr>
    </w:sdtEndPr>
    <w:sdtContent>
      <w:p w14:paraId="1D951B63" w14:textId="1EE393C8" w:rsidR="003C0461" w:rsidRDefault="003C0461" w:rsidP="001C5651">
        <w:pPr>
          <w:pStyle w:val="PageNumber1"/>
          <w:rPr>
            <w:noProof/>
          </w:rPr>
        </w:pPr>
        <w:r>
          <w:fldChar w:fldCharType="begin"/>
        </w:r>
        <w:r>
          <w:instrText xml:space="preserve"> PAGE   \* MERGEFORMAT </w:instrText>
        </w:r>
        <w:r>
          <w:fldChar w:fldCharType="separate"/>
        </w:r>
        <w:r w:rsidR="00903DF5">
          <w:rPr>
            <w:noProof/>
          </w:rPr>
          <w:t>3</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1F956" w14:textId="77777777" w:rsidR="00F01C5E" w:rsidRDefault="00F01C5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BC98B" w14:textId="77777777" w:rsidR="003C0461" w:rsidRDefault="003C046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928C6" w14:textId="77777777" w:rsidR="003C0461" w:rsidRPr="008C2604" w:rsidRDefault="003C0461" w:rsidP="008C260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ADD48" w14:textId="77777777" w:rsidR="003C0461" w:rsidRDefault="003C046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8B3F1" w14:textId="77777777" w:rsidR="003C0461" w:rsidRDefault="003C04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DE879" w14:textId="01D0BF95" w:rsidR="00903DF5" w:rsidRPr="00903DF5" w:rsidRDefault="00903DF5" w:rsidP="00903DF5">
    <w:pPr>
      <w:pStyle w:val="FooterCoverPage"/>
      <w:rPr>
        <w:rFonts w:ascii="Arial" w:hAnsi="Arial" w:cs="Arial"/>
        <w:b/>
        <w:sz w:val="48"/>
      </w:rPr>
    </w:pPr>
    <w:r w:rsidRPr="00903DF5">
      <w:rPr>
        <w:rFonts w:ascii="Arial" w:hAnsi="Arial" w:cs="Arial"/>
        <w:b/>
        <w:sz w:val="48"/>
      </w:rPr>
      <w:t>EN</w:t>
    </w:r>
    <w:r w:rsidRPr="00903DF5">
      <w:rPr>
        <w:rFonts w:ascii="Arial" w:hAnsi="Arial" w:cs="Arial"/>
        <w:b/>
        <w:sz w:val="48"/>
      </w:rPr>
      <w:tab/>
    </w:r>
    <w:r w:rsidRPr="00903DF5">
      <w:rPr>
        <w:rFonts w:ascii="Arial" w:hAnsi="Arial" w:cs="Arial"/>
        <w:b/>
        <w:sz w:val="48"/>
      </w:rPr>
      <w:tab/>
    </w:r>
    <w:r w:rsidRPr="00903DF5">
      <w:tab/>
    </w:r>
    <w:r w:rsidRPr="00903DF5">
      <w:rPr>
        <w:rFonts w:ascii="Arial" w:hAnsi="Arial" w:cs="Arial"/>
        <w:b/>
        <w:sz w:val="48"/>
      </w:rPr>
      <w:t>EN</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46074" w14:textId="77777777" w:rsidR="003C0461" w:rsidRDefault="003C046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518E0" w14:textId="77777777" w:rsidR="003C0461" w:rsidRDefault="003C046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820AB" w14:textId="77777777" w:rsidR="003C0461" w:rsidRDefault="003C046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292100"/>
      <w:docPartObj>
        <w:docPartGallery w:val="Page Numbers (Bottom of Page)"/>
        <w:docPartUnique/>
      </w:docPartObj>
    </w:sdtPr>
    <w:sdtEndPr>
      <w:rPr>
        <w:noProof/>
      </w:rPr>
    </w:sdtEndPr>
    <w:sdtContent>
      <w:p w14:paraId="77701A14" w14:textId="7CBBB617" w:rsidR="003C0461" w:rsidRDefault="00903DF5" w:rsidP="00F029F2">
        <w:pPr>
          <w:pStyle w:val="PageNumber1"/>
        </w:pP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BDD91" w14:textId="77777777" w:rsidR="003C0461" w:rsidRDefault="003C046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1D945" w14:textId="63CFEE98" w:rsidR="003C0461" w:rsidRPr="004938B4" w:rsidRDefault="003C0461" w:rsidP="00760148">
    <w:pPr>
      <w:pStyle w:val="PageNumber1"/>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38C8D" w14:textId="295F16A2" w:rsidR="003C0461" w:rsidRDefault="003C0461" w:rsidP="00F029F2">
    <w:pPr>
      <w:pStyle w:val="PageNumber1"/>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1AC9A" w14:textId="77777777" w:rsidR="003C0461" w:rsidRPr="004938B4" w:rsidRDefault="003C0461" w:rsidP="009343E0"/>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381252"/>
      <w:docPartObj>
        <w:docPartGallery w:val="Page Numbers (Bottom of Page)"/>
        <w:docPartUnique/>
      </w:docPartObj>
    </w:sdtPr>
    <w:sdtEndPr>
      <w:rPr>
        <w:noProof/>
      </w:rPr>
    </w:sdtEndPr>
    <w:sdtContent>
      <w:p w14:paraId="6DB42236" w14:textId="2F9FBA5D" w:rsidR="003C0461" w:rsidRDefault="003C0461" w:rsidP="00760148">
        <w:pPr>
          <w:pStyle w:val="PageNumber1"/>
        </w:pPr>
        <w:r>
          <w:fldChar w:fldCharType="begin"/>
        </w:r>
        <w:r>
          <w:instrText xml:space="preserve"> PAGE   \* MERGEFORMAT </w:instrText>
        </w:r>
        <w:r>
          <w:fldChar w:fldCharType="separate"/>
        </w:r>
        <w:r w:rsidR="00F01C5E">
          <w:rPr>
            <w:noProof/>
          </w:rPr>
          <w:t>16</w:t>
        </w:r>
        <w:r>
          <w:rPr>
            <w:noProof/>
          </w:rPr>
          <w:fldChar w:fldCharType="end"/>
        </w:r>
      </w:p>
    </w:sdtContent>
  </w:sdt>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756057"/>
      <w:docPartObj>
        <w:docPartGallery w:val="Page Numbers (Bottom of Page)"/>
        <w:docPartUnique/>
      </w:docPartObj>
    </w:sdtPr>
    <w:sdtEndPr>
      <w:rPr>
        <w:noProof/>
      </w:rPr>
    </w:sdtEndPr>
    <w:sdtContent>
      <w:p w14:paraId="4B17079F" w14:textId="384BF56F" w:rsidR="003C0461" w:rsidRDefault="003C0461" w:rsidP="00B06C21">
        <w:pPr>
          <w:pStyle w:val="PageNumber1"/>
          <w:rPr>
            <w:noProof/>
          </w:rPr>
        </w:pPr>
        <w:r>
          <w:fldChar w:fldCharType="begin"/>
        </w:r>
        <w:r>
          <w:instrText xml:space="preserve"> PAGE   \* MERGEFORMAT </w:instrText>
        </w:r>
        <w:r>
          <w:fldChar w:fldCharType="separate"/>
        </w:r>
        <w:r w:rsidR="00903DF5">
          <w:rPr>
            <w:noProof/>
          </w:rPr>
          <w:t>17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272D9" w14:textId="77777777" w:rsidR="00903DF5" w:rsidRPr="00903DF5" w:rsidRDefault="00903DF5" w:rsidP="00903DF5">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152" w14:textId="77777777" w:rsidR="00F01C5E" w:rsidRPr="004938B4" w:rsidRDefault="00F01C5E" w:rsidP="009343E0"/>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BA8E6" w14:textId="77777777" w:rsidR="003C0461" w:rsidRPr="004938B4" w:rsidRDefault="003C0461" w:rsidP="009343E0"/>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962267"/>
      <w:docPartObj>
        <w:docPartGallery w:val="Page Numbers (Bottom of Page)"/>
        <w:docPartUnique/>
      </w:docPartObj>
    </w:sdtPr>
    <w:sdtEndPr/>
    <w:sdtContent>
      <w:p w14:paraId="1BFCD93C" w14:textId="735ECFB2" w:rsidR="003C0461" w:rsidRPr="00C87FCC" w:rsidRDefault="00903DF5" w:rsidP="002B3444">
        <w:pPr>
          <w:pStyle w:val="PageNumber1"/>
        </w:pP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3D0AD" w14:textId="77777777" w:rsidR="003C0461" w:rsidRPr="004938B4" w:rsidRDefault="003C0461" w:rsidP="009343E0"/>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802C2" w14:textId="77777777" w:rsidR="00F01C5E" w:rsidRPr="004938B4" w:rsidRDefault="00F01C5E" w:rsidP="009343E0"/>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5609656"/>
      <w:docPartObj>
        <w:docPartGallery w:val="Page Numbers (Bottom of Page)"/>
        <w:docPartUnique/>
      </w:docPartObj>
    </w:sdtPr>
    <w:sdtEndPr/>
    <w:sdtContent>
      <w:p w14:paraId="60955B7F" w14:textId="77777777" w:rsidR="00F01C5E" w:rsidRPr="00C87FCC" w:rsidRDefault="00903DF5" w:rsidP="002B3444">
        <w:pPr>
          <w:pStyle w:val="PageNumber1"/>
        </w:pP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E0F63" w14:textId="77777777" w:rsidR="00F01C5E" w:rsidRPr="004938B4" w:rsidRDefault="00F01C5E" w:rsidP="009343E0"/>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4E9E3" w14:textId="77777777" w:rsidR="003C0461" w:rsidRDefault="003C046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18866" w14:textId="42C3A07A" w:rsidR="003C0461" w:rsidRPr="00C87FCC" w:rsidRDefault="003C0461" w:rsidP="002B3444">
    <w:pPr>
      <w:pStyle w:val="PageNumber1"/>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B103B" w14:textId="77777777" w:rsidR="003C0461" w:rsidRDefault="003C04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4311F1" w14:textId="77777777" w:rsidR="00F01C5E" w:rsidRDefault="00F01C5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59F6D" w14:textId="7653C367" w:rsidR="003C0461" w:rsidRDefault="003C0461" w:rsidP="00982264">
    <w:pPr>
      <w:pStyle w:val="PageNumber1"/>
    </w:pPr>
    <w:r>
      <w:fldChar w:fldCharType="begin"/>
    </w:r>
    <w:r>
      <w:instrText xml:space="preserve"> PAGE   \* MERGEFORMAT </w:instrText>
    </w:r>
    <w:r>
      <w:fldChar w:fldCharType="separate"/>
    </w:r>
    <w:r w:rsidR="00F01C5E">
      <w:rPr>
        <w:noProof/>
      </w:rPr>
      <w:t>182</w:t>
    </w:r>
    <w:r>
      <w:rPr>
        <w:noProof/>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C972B" w14:textId="42E60EF8" w:rsidR="003C0461" w:rsidRDefault="003C0461" w:rsidP="002B3444">
    <w:pPr>
      <w:pStyle w:val="PageNumber1"/>
    </w:pPr>
    <w:r>
      <w:fldChar w:fldCharType="begin"/>
    </w:r>
    <w:r>
      <w:instrText xml:space="preserve"> PAGE   \* MERGEFORMAT </w:instrText>
    </w:r>
    <w:r>
      <w:fldChar w:fldCharType="separate"/>
    </w:r>
    <w:r w:rsidR="00903DF5">
      <w:rPr>
        <w:noProof/>
      </w:rPr>
      <w:t>78</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04786" w14:textId="77777777" w:rsidR="003C0461" w:rsidRDefault="003C0461">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3B44EC" w14:textId="77777777" w:rsidR="00F01C5E" w:rsidRDefault="00F01C5E" w:rsidP="00982264">
    <w:pPr>
      <w:pStyle w:val="PageNumber1"/>
    </w:pPr>
    <w:r>
      <w:fldChar w:fldCharType="begin"/>
    </w:r>
    <w:r>
      <w:instrText xml:space="preserve"> PAGE   \* MERGEFORMAT </w:instrText>
    </w:r>
    <w:r>
      <w:fldChar w:fldCharType="separate"/>
    </w:r>
    <w:r>
      <w:rPr>
        <w:noProof/>
      </w:rPr>
      <w:t>182</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9FD9B" w14:textId="7D0CDA99" w:rsidR="003C0461" w:rsidRDefault="003C0461" w:rsidP="002B3444">
    <w:pPr>
      <w:pStyle w:val="PageNumber1"/>
    </w:pPr>
    <w:r>
      <w:fldChar w:fldCharType="begin"/>
    </w:r>
    <w:r>
      <w:instrText xml:space="preserve"> PAGE   \* MERGEFORMAT </w:instrText>
    </w:r>
    <w:r>
      <w:fldChar w:fldCharType="separate"/>
    </w:r>
    <w:r w:rsidR="00D32FE3">
      <w:rPr>
        <w:noProof/>
      </w:rPr>
      <w:t>183</w:t>
    </w:r>
    <w:r>
      <w:rPr>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EC015" w14:textId="77777777" w:rsidR="00F01C5E" w:rsidRDefault="00F01C5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CE3D6" w14:textId="31255115" w:rsidR="003C0461" w:rsidRDefault="003C0461" w:rsidP="00982264">
    <w:pPr>
      <w:pStyle w:val="PageNumber1"/>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55339" w14:textId="1D21C2C5" w:rsidR="00F01C5E" w:rsidRDefault="00F01C5E" w:rsidP="002B3444">
    <w:pPr>
      <w:pStyle w:val="PageNumber1"/>
    </w:pPr>
    <w:r>
      <w:fldChar w:fldCharType="begin"/>
    </w:r>
    <w:r>
      <w:instrText xml:space="preserve"> PAGE   \* MERGEFORMAT </w:instrText>
    </w:r>
    <w:r>
      <w:fldChar w:fldCharType="separate"/>
    </w:r>
    <w:r w:rsidR="00D32FE3">
      <w:rPr>
        <w:noProof/>
      </w:rPr>
      <w:t>184</w:t>
    </w:r>
    <w:r>
      <w:rPr>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2328" w14:textId="77777777" w:rsidR="00F01C5E" w:rsidRDefault="00F01C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0179A" w14:textId="77777777" w:rsidR="00F01C5E" w:rsidRPr="007239B1" w:rsidRDefault="00F01C5E" w:rsidP="007E4C41">
    <w:pPr>
      <w:pStyle w:val="FooterCoverPage"/>
      <w:rPr>
        <w:rFonts w:ascii="Arial" w:hAnsi="Arial" w:cs="Arial"/>
        <w:b/>
        <w:sz w:val="48"/>
      </w:rPr>
    </w:pPr>
    <w:r w:rsidRPr="007239B1">
      <w:rPr>
        <w:rFonts w:ascii="Arial" w:hAnsi="Arial" w:cs="Arial"/>
        <w:b/>
        <w:sz w:val="48"/>
      </w:rPr>
      <w:t>EN</w:t>
    </w:r>
    <w:r w:rsidRPr="007239B1">
      <w:rPr>
        <w:rFonts w:ascii="Arial" w:hAnsi="Arial" w:cs="Arial"/>
        <w:b/>
        <w:sz w:val="48"/>
      </w:rPr>
      <w:tab/>
    </w:r>
    <w:r w:rsidRPr="007239B1">
      <w:rPr>
        <w:rFonts w:ascii="Arial" w:hAnsi="Arial" w:cs="Arial"/>
        <w:b/>
        <w:sz w:val="48"/>
      </w:rPr>
      <w:tab/>
    </w:r>
    <w:r w:rsidRPr="007239B1">
      <w:tab/>
    </w:r>
    <w:r w:rsidRPr="007239B1">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AB98E" w14:textId="77777777" w:rsidR="00F01C5E" w:rsidRDefault="00F01C5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3085D" w14:textId="77777777" w:rsidR="00F01C5E" w:rsidRDefault="00F01C5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047248"/>
      <w:docPartObj>
        <w:docPartGallery w:val="Page Numbers (Bottom of Page)"/>
        <w:docPartUnique/>
      </w:docPartObj>
    </w:sdtPr>
    <w:sdtEndPr>
      <w:rPr>
        <w:noProof/>
      </w:rPr>
    </w:sdtEndPr>
    <w:sdtContent>
      <w:p w14:paraId="26838D90" w14:textId="7B50183F" w:rsidR="003C0461" w:rsidRPr="001A2E17" w:rsidRDefault="003C0461" w:rsidP="001A2E17">
        <w:pPr>
          <w:pStyle w:val="PageNumber1"/>
          <w:rPr>
            <w:noProof/>
          </w:rPr>
        </w:pPr>
        <w:r>
          <w:fldChar w:fldCharType="begin"/>
        </w:r>
        <w:r>
          <w:instrText xml:space="preserve"> PAGE   \* MERGEFORMAT </w:instrText>
        </w:r>
        <w:r>
          <w:fldChar w:fldCharType="separate"/>
        </w:r>
        <w:r w:rsidR="00903DF5">
          <w:rPr>
            <w:noProof/>
          </w:rPr>
          <w:t>1</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AF41" w14:textId="77777777" w:rsidR="00F01C5E" w:rsidRDefault="00F01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96B84" w14:textId="77777777" w:rsidR="003C0461" w:rsidRDefault="003C0461" w:rsidP="00F24D18">
      <w:r>
        <w:separator/>
      </w:r>
    </w:p>
  </w:footnote>
  <w:footnote w:type="continuationSeparator" w:id="0">
    <w:p w14:paraId="5386DB97" w14:textId="77777777" w:rsidR="003C0461" w:rsidRDefault="003C0461" w:rsidP="00F24D18">
      <w:r>
        <w:continuationSeparator/>
      </w:r>
    </w:p>
  </w:footnote>
  <w:footnote w:type="continuationNotice" w:id="1">
    <w:p w14:paraId="4683AEA5" w14:textId="77777777" w:rsidR="003C0461" w:rsidRDefault="003C0461"/>
  </w:footnote>
  <w:footnote w:id="2">
    <w:p w14:paraId="405ABD7C" w14:textId="77777777" w:rsidR="003C0461" w:rsidRPr="00257564" w:rsidRDefault="003C0461" w:rsidP="003F5BB8">
      <w:pPr>
        <w:pStyle w:val="FootnoteText"/>
      </w:pPr>
      <w:r w:rsidRPr="0032611A">
        <w:rPr>
          <w:rStyle w:val="fnRef"/>
        </w:rPr>
        <w:t>(</w:t>
      </w:r>
      <w:r w:rsidRPr="00145E5A">
        <w:rPr>
          <w:rStyle w:val="fnRefNo"/>
        </w:rPr>
        <w:footnoteRef/>
      </w:r>
      <w:r w:rsidRPr="0032611A">
        <w:rPr>
          <w:rStyle w:val="fnRef"/>
        </w:rPr>
        <w:t>)</w:t>
      </w:r>
      <w:r w:rsidRPr="0032611A">
        <w:rPr>
          <w:rStyle w:val="fnRef"/>
        </w:rPr>
        <w:tab/>
      </w:r>
      <w:hyperlink r:id="rId1" w:history="1">
        <w:r w:rsidRPr="00963103">
          <w:rPr>
            <w:rStyle w:val="Hyperlink"/>
          </w:rPr>
          <w:t>https://eur-lex.europa.eu/legal-content/EN/TXT/PDF/</w:t>
        </w:r>
        <w:r w:rsidRPr="00A873A6">
          <w:rPr>
            <w:rStyle w:val="Hyperlink"/>
          </w:rPr>
          <w:br/>
          <w:t>?uri=CELEX:52018SC0171&amp;from=EN</w:t>
        </w:r>
      </w:hyperlink>
      <w:r>
        <w:t xml:space="preserve"> </w:t>
      </w:r>
    </w:p>
  </w:footnote>
  <w:footnote w:id="3">
    <w:p w14:paraId="705D8346" w14:textId="5F6C8596" w:rsidR="003C0461" w:rsidRPr="00B62154" w:rsidRDefault="003C0461" w:rsidP="00BF05F8">
      <w:pPr>
        <w:pStyle w:val="FootnoteText"/>
      </w:pPr>
      <w:r w:rsidRPr="00145E5A">
        <w:t>(</w:t>
      </w:r>
      <w:r w:rsidRPr="00145E5A">
        <w:rPr>
          <w:rStyle w:val="fnRefNo"/>
        </w:rPr>
        <w:footnoteRef/>
      </w:r>
      <w:r w:rsidRPr="00145E5A">
        <w:t>)</w:t>
      </w:r>
      <w:r>
        <w:tab/>
        <w:t>Investments since the launch of the European Fund for Strategic investments in 2016. The total amount of investments triggered by the fund amounted to EUR 370 billion as per 31 December 2018, and EUR 408 billion as per 13 June 2019.</w:t>
      </w:r>
    </w:p>
  </w:footnote>
  <w:footnote w:id="4">
    <w:p w14:paraId="1BE6E127" w14:textId="3786E34A" w:rsidR="003C0461" w:rsidRPr="00415BAF" w:rsidRDefault="003C0461" w:rsidP="002C6D0C">
      <w:pPr>
        <w:pStyle w:val="FootnoteText"/>
      </w:pPr>
      <w:r w:rsidRPr="00145E5A">
        <w:t>(</w:t>
      </w:r>
      <w:r w:rsidRPr="00145E5A">
        <w:rPr>
          <w:rStyle w:val="fnRefNo"/>
        </w:rPr>
        <w:footnoteRef/>
      </w:r>
      <w:r w:rsidRPr="00145E5A">
        <w:t>)</w:t>
      </w:r>
      <w:r w:rsidRPr="00A74585">
        <w:tab/>
      </w:r>
      <w:r w:rsidRPr="00415BAF">
        <w:t>The European Investment Bank</w:t>
      </w:r>
      <w:r w:rsidRPr="00415BAF" w:rsidDel="005842D4">
        <w:t xml:space="preserve"> </w:t>
      </w:r>
      <w:r w:rsidRPr="00415BAF">
        <w:t>Group is composed of the</w:t>
      </w:r>
      <w:r w:rsidRPr="00415BAF" w:rsidDel="00831B7B">
        <w:t xml:space="preserve"> </w:t>
      </w:r>
      <w:r w:rsidRPr="00415BAF">
        <w:t>European Investment Bank and the European Investment Fund.</w:t>
      </w:r>
    </w:p>
  </w:footnote>
  <w:footnote w:id="5">
    <w:p w14:paraId="7ABB73B1" w14:textId="65CFF30C" w:rsidR="003C0461" w:rsidRPr="00BF05F8" w:rsidRDefault="003C0461" w:rsidP="00BF05F8">
      <w:pPr>
        <w:pStyle w:val="FootnoteText"/>
      </w:pPr>
      <w:r>
        <w:t>(</w:t>
      </w:r>
      <w:r>
        <w:rPr>
          <w:rStyle w:val="FootnoteReference"/>
        </w:rPr>
        <w:footnoteRef/>
      </w:r>
      <w:r>
        <w:t>)</w:t>
      </w:r>
      <w:r>
        <w:tab/>
        <w:t>In 2016, the initial plan foresaw triggering EUR 315 billion of additional investments.</w:t>
      </w:r>
    </w:p>
  </w:footnote>
  <w:footnote w:id="6">
    <w:p w14:paraId="4BC5DEBF" w14:textId="440E322A" w:rsidR="003C0461" w:rsidRPr="00BF3BD9" w:rsidRDefault="003C0461">
      <w:pPr>
        <w:pStyle w:val="FootnoteText"/>
      </w:pPr>
      <w:r>
        <w:t>(</w:t>
      </w:r>
      <w:r>
        <w:rPr>
          <w:rStyle w:val="FootnoteReference"/>
        </w:rPr>
        <w:footnoteRef/>
      </w:r>
      <w:r>
        <w:t>)</w:t>
      </w:r>
      <w:r>
        <w:tab/>
        <w:t xml:space="preserve">700 million users by mid May 2018. </w:t>
      </w:r>
    </w:p>
  </w:footnote>
  <w:footnote w:id="7">
    <w:p w14:paraId="252BF2D8" w14:textId="0FBE57DC" w:rsidR="003C0461" w:rsidRPr="00845223" w:rsidRDefault="003C0461">
      <w:pPr>
        <w:pStyle w:val="FootnoteText"/>
      </w:pPr>
      <w:r w:rsidRPr="00145E5A">
        <w:t>(</w:t>
      </w:r>
      <w:r w:rsidRPr="00145E5A">
        <w:rPr>
          <w:rStyle w:val="fnRefNo"/>
        </w:rPr>
        <w:footnoteRef/>
      </w:r>
      <w:r w:rsidRPr="00145E5A">
        <w:t>)</w:t>
      </w:r>
      <w:r>
        <w:tab/>
        <w:t>The starting date is 1</w:t>
      </w:r>
      <w:r>
        <w:rPr>
          <w:rFonts w:ascii="Calibri" w:hAnsi="Calibri" w:cs="Calibri"/>
        </w:rPr>
        <w:t> </w:t>
      </w:r>
      <w:r>
        <w:t>April 2018. The duration is 36</w:t>
      </w:r>
      <w:r>
        <w:rPr>
          <w:rFonts w:ascii="Calibri" w:hAnsi="Calibri" w:cs="Calibri"/>
        </w:rPr>
        <w:t> </w:t>
      </w:r>
      <w:r>
        <w:t xml:space="preserve">months. </w:t>
      </w:r>
    </w:p>
  </w:footnote>
  <w:footnote w:id="8">
    <w:p w14:paraId="74681FE7" w14:textId="63AA2883" w:rsidR="003C0461" w:rsidRPr="00845223" w:rsidRDefault="003C0461">
      <w:pPr>
        <w:pStyle w:val="FootnoteText"/>
      </w:pPr>
      <w:r w:rsidRPr="00145E5A">
        <w:t>(</w:t>
      </w:r>
      <w:r w:rsidRPr="00145E5A">
        <w:rPr>
          <w:rStyle w:val="fnRefNo"/>
        </w:rPr>
        <w:footnoteRef/>
      </w:r>
      <w:r w:rsidRPr="00145E5A">
        <w:t>)</w:t>
      </w:r>
      <w:r>
        <w:tab/>
        <w:t xml:space="preserve">2014-2020. </w:t>
      </w:r>
    </w:p>
  </w:footnote>
  <w:footnote w:id="9">
    <w:p w14:paraId="6D914BFB" w14:textId="77777777" w:rsidR="003C0461" w:rsidRPr="00415BAF" w:rsidRDefault="003C0461">
      <w:pPr>
        <w:pStyle w:val="FootnoteText"/>
      </w:pPr>
      <w:r w:rsidRPr="00145E5A">
        <w:t>(</w:t>
      </w:r>
      <w:r w:rsidRPr="00145E5A">
        <w:rPr>
          <w:rStyle w:val="fnRefNo"/>
        </w:rPr>
        <w:footnoteRef/>
      </w:r>
      <w:r w:rsidRPr="00145E5A">
        <w:t>)</w:t>
      </w:r>
      <w:r w:rsidRPr="00A74585">
        <w:tab/>
      </w:r>
      <w:hyperlink r:id="rId2" w:history="1">
        <w:r w:rsidRPr="00415BAF">
          <w:rPr>
            <w:rStyle w:val="Hyperlink"/>
          </w:rPr>
          <w:t>https://ec.europa.eu/clima/policies/international/negotiations/paris_en</w:t>
        </w:r>
      </w:hyperlink>
    </w:p>
  </w:footnote>
  <w:footnote w:id="10">
    <w:p w14:paraId="7A1CCEF8" w14:textId="2B37DD73" w:rsidR="003C0461" w:rsidRPr="00415BAF" w:rsidRDefault="003C0461">
      <w:pPr>
        <w:pStyle w:val="FootnoteText"/>
      </w:pPr>
      <w:r w:rsidRPr="00145E5A">
        <w:t>(</w:t>
      </w:r>
      <w:r w:rsidRPr="00145E5A">
        <w:rPr>
          <w:rStyle w:val="fnRefNo"/>
        </w:rPr>
        <w:footnoteRef/>
      </w:r>
      <w:r w:rsidRPr="00145E5A">
        <w:t>)</w:t>
      </w:r>
      <w:r w:rsidRPr="00A74585">
        <w:tab/>
      </w:r>
      <w:r w:rsidRPr="00415BAF">
        <w:t>24%</w:t>
      </w:r>
      <w:r>
        <w:t>,</w:t>
      </w:r>
      <w:r w:rsidRPr="00415BAF">
        <w:t xml:space="preserve"> which is beyond the </w:t>
      </w:r>
      <w:r>
        <w:t xml:space="preserve">target of </w:t>
      </w:r>
      <w:r w:rsidRPr="00415BAF">
        <w:t>20% participation in Horizon 202</w:t>
      </w:r>
      <w:r>
        <w:t>0</w:t>
      </w:r>
      <w:r w:rsidRPr="00415BAF">
        <w:t xml:space="preserve"> by small and medium-sized enterprises.</w:t>
      </w:r>
    </w:p>
  </w:footnote>
  <w:footnote w:id="11">
    <w:p w14:paraId="3E3D0AC9" w14:textId="77777777" w:rsidR="003C0461" w:rsidRPr="00415BAF" w:rsidRDefault="003C0461">
      <w:pPr>
        <w:pStyle w:val="FootnoteText"/>
      </w:pPr>
      <w:r w:rsidRPr="00145E5A">
        <w:t>(</w:t>
      </w:r>
      <w:r w:rsidRPr="00145E5A">
        <w:rPr>
          <w:rStyle w:val="fnRefNo"/>
        </w:rPr>
        <w:footnoteRef/>
      </w:r>
      <w:r w:rsidRPr="00145E5A">
        <w:t>)</w:t>
      </w:r>
      <w:r w:rsidRPr="00A74585">
        <w:tab/>
      </w:r>
      <w:hyperlink r:id="rId3" w:history="1">
        <w:r w:rsidRPr="00415BAF">
          <w:rPr>
            <w:rStyle w:val="Hyperlink"/>
          </w:rPr>
          <w:t>https://europa.eu/youth/discovereu_en</w:t>
        </w:r>
      </w:hyperlink>
    </w:p>
  </w:footnote>
  <w:footnote w:id="12">
    <w:p w14:paraId="46D3A340" w14:textId="77777777" w:rsidR="003C0461" w:rsidRPr="00415BAF" w:rsidRDefault="003C0461">
      <w:pPr>
        <w:pStyle w:val="FootnoteText"/>
      </w:pPr>
      <w:r w:rsidRPr="00145E5A">
        <w:t>(</w:t>
      </w:r>
      <w:r w:rsidRPr="00145E5A">
        <w:rPr>
          <w:rStyle w:val="fnRefNo"/>
        </w:rPr>
        <w:footnoteRef/>
      </w:r>
      <w:r w:rsidRPr="00145E5A">
        <w:t>)</w:t>
      </w:r>
      <w:r w:rsidRPr="00A74585">
        <w:tab/>
      </w:r>
      <w:hyperlink r:id="rId4" w:history="1">
        <w:r w:rsidRPr="00CE628F">
          <w:rPr>
            <w:rStyle w:val="Hyperlink"/>
          </w:rPr>
          <w:t>https://europa.eu/youth/solidarity_en</w:t>
        </w:r>
      </w:hyperlink>
    </w:p>
  </w:footnote>
  <w:footnote w:id="13">
    <w:p w14:paraId="2B1E912F" w14:textId="77777777" w:rsidR="003C0461" w:rsidRPr="00EE6848" w:rsidRDefault="003C0461" w:rsidP="00AC477C">
      <w:pPr>
        <w:pStyle w:val="FootnoteText"/>
      </w:pPr>
      <w:r w:rsidRPr="00145E5A">
        <w:t>(</w:t>
      </w:r>
      <w:r w:rsidRPr="00145E5A">
        <w:rPr>
          <w:rStyle w:val="fnRefNo"/>
        </w:rPr>
        <w:footnoteRef/>
      </w:r>
      <w:r w:rsidRPr="00145E5A">
        <w:t>)</w:t>
      </w:r>
      <w:r>
        <w:tab/>
      </w:r>
      <w:r w:rsidRPr="00EE6848">
        <w:t>The Youth Guarantee is a political commitment taken by Member States in April 2013.</w:t>
      </w:r>
      <w:r>
        <w:t xml:space="preserve"> </w:t>
      </w:r>
    </w:p>
  </w:footnote>
  <w:footnote w:id="14">
    <w:p w14:paraId="065E3E96" w14:textId="35E98A2C" w:rsidR="003C0461" w:rsidRPr="005205C2" w:rsidRDefault="003C0461" w:rsidP="005205C2">
      <w:pPr>
        <w:pStyle w:val="FootnoteText"/>
      </w:pPr>
      <w:r w:rsidRPr="00145E5A">
        <w:t>(</w:t>
      </w:r>
      <w:r w:rsidRPr="00145E5A">
        <w:rPr>
          <w:rStyle w:val="fnRefNo"/>
        </w:rPr>
        <w:footnoteRef/>
      </w:r>
      <w:r w:rsidRPr="00145E5A">
        <w:t>)</w:t>
      </w:r>
      <w:r>
        <w:tab/>
      </w:r>
      <w:r w:rsidRPr="00D20988">
        <w:t xml:space="preserve">Interactive data </w:t>
      </w:r>
      <w:r>
        <w:t xml:space="preserve">is </w:t>
      </w:r>
      <w:r w:rsidRPr="00D20988">
        <w:t>available</w:t>
      </w:r>
      <w:r>
        <w:t xml:space="preserve"> on </w:t>
      </w:r>
      <w:hyperlink r:id="rId5" w:history="1">
        <w:r>
          <w:rPr>
            <w:rStyle w:val="Hyperlink"/>
            <w:lang w:eastAsia="en-US"/>
          </w:rPr>
          <w:t>https://cohesiondata.ec.europa.eu/stories/s/a8jn-38y8</w:t>
        </w:r>
      </w:hyperlink>
    </w:p>
  </w:footnote>
  <w:footnote w:id="15">
    <w:p w14:paraId="5AFE5C3E" w14:textId="01203D37" w:rsidR="003C0461" w:rsidRPr="00EE6848" w:rsidRDefault="003C0461">
      <w:pPr>
        <w:pStyle w:val="FootnoteText"/>
      </w:pPr>
      <w:r w:rsidRPr="00145E5A">
        <w:t>(</w:t>
      </w:r>
      <w:r w:rsidRPr="00145E5A">
        <w:rPr>
          <w:rStyle w:val="fnRefNo"/>
        </w:rPr>
        <w:footnoteRef/>
      </w:r>
      <w:r w:rsidRPr="00145E5A">
        <w:t>)</w:t>
      </w:r>
      <w:r>
        <w:tab/>
        <w:t xml:space="preserve">Information concerns achievements since 2016 up to December 2018. </w:t>
      </w:r>
    </w:p>
  </w:footnote>
  <w:footnote w:id="16">
    <w:p w14:paraId="486A70C1" w14:textId="4D77810C" w:rsidR="003C0461" w:rsidRPr="00A51D8C" w:rsidRDefault="003C0461">
      <w:pPr>
        <w:pStyle w:val="FootnoteText"/>
      </w:pPr>
      <w:r>
        <w:t>(</w:t>
      </w:r>
      <w:r>
        <w:rPr>
          <w:rStyle w:val="FootnoteReference"/>
        </w:rPr>
        <w:footnoteRef/>
      </w:r>
      <w:r>
        <w:t xml:space="preserve">) </w:t>
      </w:r>
      <w:r>
        <w:tab/>
      </w:r>
      <w:r w:rsidRPr="00460987">
        <w:t xml:space="preserve">Data source: 2018 Annual implementation reports. The 2018 figure include all Member States except Greece, </w:t>
      </w:r>
      <w:r>
        <w:t>for which the 2018 information was not available yet.</w:t>
      </w:r>
      <w:r w:rsidRPr="00460987">
        <w:t xml:space="preserve"> </w:t>
      </w:r>
    </w:p>
  </w:footnote>
  <w:footnote w:id="17">
    <w:p w14:paraId="402AAD1C" w14:textId="77777777" w:rsidR="003C0461" w:rsidRPr="00415BAF" w:rsidRDefault="003C0461">
      <w:pPr>
        <w:pStyle w:val="FootnoteText"/>
      </w:pPr>
      <w:r w:rsidRPr="00145E5A">
        <w:t>(</w:t>
      </w:r>
      <w:r w:rsidRPr="00145E5A">
        <w:rPr>
          <w:rStyle w:val="fnRefNo"/>
        </w:rPr>
        <w:footnoteRef/>
      </w:r>
      <w:r w:rsidRPr="00145E5A">
        <w:t>)</w:t>
      </w:r>
      <w:r w:rsidRPr="00A74585">
        <w:tab/>
      </w:r>
      <w:hyperlink r:id="rId6" w:history="1">
        <w:r w:rsidRPr="00415BAF">
          <w:rPr>
            <w:rStyle w:val="Hyperlink"/>
          </w:rPr>
          <w:t>https://eeas.europa.eu/headquarters/headquarters-homepage_en/32286/Nuclear%20Agreement</w:t>
        </w:r>
      </w:hyperlink>
    </w:p>
  </w:footnote>
  <w:footnote w:id="18">
    <w:p w14:paraId="403FE35D" w14:textId="4C74406C" w:rsidR="003C0461" w:rsidRPr="00415BAF" w:rsidRDefault="003C0461">
      <w:pPr>
        <w:pStyle w:val="FootnoteText"/>
      </w:pPr>
      <w:r w:rsidRPr="00145E5A">
        <w:t>(</w:t>
      </w:r>
      <w:r w:rsidRPr="00145E5A">
        <w:rPr>
          <w:rStyle w:val="fnRefNo"/>
        </w:rPr>
        <w:footnoteRef/>
      </w:r>
      <w:r w:rsidRPr="00145E5A">
        <w:t>)</w:t>
      </w:r>
      <w:r w:rsidRPr="00A74585">
        <w:tab/>
      </w:r>
      <w:hyperlink r:id="rId7" w:history="1">
        <w:r w:rsidRPr="00415BAF">
          <w:rPr>
            <w:rStyle w:val="Hyperlink"/>
          </w:rPr>
          <w:t>https://au.int</w:t>
        </w:r>
      </w:hyperlink>
    </w:p>
  </w:footnote>
  <w:footnote w:id="19">
    <w:p w14:paraId="49E0692D" w14:textId="77777777" w:rsidR="003C0461" w:rsidRPr="00415BAF" w:rsidRDefault="003C0461" w:rsidP="008D1469">
      <w:pPr>
        <w:pStyle w:val="FootnoteText"/>
      </w:pPr>
      <w:r w:rsidRPr="00145E5A">
        <w:t>(</w:t>
      </w:r>
      <w:r w:rsidRPr="00145E5A">
        <w:rPr>
          <w:rStyle w:val="fnRefNo"/>
        </w:rPr>
        <w:footnoteRef/>
      </w:r>
      <w:r w:rsidRPr="00145E5A">
        <w:t>)</w:t>
      </w:r>
      <w:r w:rsidRPr="00A74585">
        <w:tab/>
      </w:r>
      <w:hyperlink r:id="rId8" w:history="1">
        <w:r w:rsidRPr="00415BAF">
          <w:rPr>
            <w:rStyle w:val="Hyperlink"/>
          </w:rPr>
          <w:t>http://europa.eu/rapid/press-release_IP-18-6653_en.htm</w:t>
        </w:r>
      </w:hyperlink>
    </w:p>
  </w:footnote>
  <w:footnote w:id="20">
    <w:p w14:paraId="6E02389B" w14:textId="77777777" w:rsidR="003C0461" w:rsidRPr="00415BAF" w:rsidRDefault="003C0461">
      <w:pPr>
        <w:pStyle w:val="FootnoteText"/>
      </w:pPr>
      <w:r w:rsidRPr="00145E5A">
        <w:t>(</w:t>
      </w:r>
      <w:r w:rsidRPr="00145E5A">
        <w:rPr>
          <w:rStyle w:val="fnRefNo"/>
        </w:rPr>
        <w:footnoteRef/>
      </w:r>
      <w:r w:rsidRPr="00145E5A">
        <w:t>)</w:t>
      </w:r>
      <w:r w:rsidRPr="00A74585">
        <w:tab/>
      </w:r>
      <w:hyperlink r:id="rId9" w:history="1">
        <w:r w:rsidRPr="00CE628F">
          <w:rPr>
            <w:rStyle w:val="Hyperlink"/>
          </w:rPr>
          <w:t>https://ec.europa.eu/europeaid/policies/european-development-policy/european-consensus-development_en</w:t>
        </w:r>
      </w:hyperlink>
    </w:p>
  </w:footnote>
  <w:footnote w:id="21">
    <w:p w14:paraId="664279A2" w14:textId="77777777" w:rsidR="003C0461" w:rsidRPr="00415BAF" w:rsidRDefault="003C0461">
      <w:pPr>
        <w:pStyle w:val="FootnoteText"/>
      </w:pPr>
      <w:r w:rsidRPr="00145E5A">
        <w:t>(</w:t>
      </w:r>
      <w:r w:rsidRPr="00145E5A">
        <w:rPr>
          <w:rStyle w:val="fnRefNo"/>
        </w:rPr>
        <w:footnoteRef/>
      </w:r>
      <w:r w:rsidRPr="00145E5A">
        <w:t>)</w:t>
      </w:r>
      <w:r w:rsidRPr="00A74585">
        <w:tab/>
      </w:r>
      <w:hyperlink r:id="rId10" w:history="1">
        <w:r w:rsidRPr="00CE628F">
          <w:rPr>
            <w:rStyle w:val="Hyperlink"/>
          </w:rPr>
          <w:t>https://au.int/en/agenda2063/overview</w:t>
        </w:r>
      </w:hyperlink>
    </w:p>
  </w:footnote>
  <w:footnote w:id="22">
    <w:p w14:paraId="1F412846" w14:textId="5F6ABF35" w:rsidR="003C0461" w:rsidRPr="00415BAF" w:rsidRDefault="003C0461" w:rsidP="008734EF">
      <w:pPr>
        <w:pStyle w:val="FootnoteText"/>
      </w:pPr>
      <w:r w:rsidRPr="00145E5A">
        <w:t>(</w:t>
      </w:r>
      <w:r w:rsidRPr="00145E5A">
        <w:rPr>
          <w:rStyle w:val="fnRefNo"/>
        </w:rPr>
        <w:footnoteRef/>
      </w:r>
      <w:r w:rsidRPr="00145E5A">
        <w:t>)</w:t>
      </w:r>
      <w:r w:rsidRPr="00A74585">
        <w:tab/>
      </w:r>
      <w:r w:rsidRPr="00415BAF">
        <w:t>The European Neighbourhood comprises the EU</w:t>
      </w:r>
      <w:r>
        <w:t>’</w:t>
      </w:r>
      <w:r w:rsidRPr="00415BAF">
        <w:t xml:space="preserve">s closest eastern and southern neighbours. To the south: Algeria, Egypt, Israel, Jordan, Lebanon, Libya, Morocco, Palestine*, Syria and Tunisia and to the </w:t>
      </w:r>
      <w:r>
        <w:t>e</w:t>
      </w:r>
      <w:r w:rsidRPr="00415BAF">
        <w:t>ast: Armenia, Azerbaijan, Belarus, Georgia, Moldova and Ukraine. (* This designation shall not be construed as recognition of a State of Palestine and is without prejudice to the individual positions of the Member States on this issue.)</w:t>
      </w:r>
    </w:p>
  </w:footnote>
  <w:footnote w:id="23">
    <w:p w14:paraId="407DE30D" w14:textId="77777777" w:rsidR="003C0461" w:rsidRPr="00415BAF" w:rsidRDefault="003C0461" w:rsidP="00FB08BA">
      <w:pPr>
        <w:pStyle w:val="FootnoteText"/>
      </w:pPr>
      <w:r w:rsidRPr="00145E5A">
        <w:t>(</w:t>
      </w:r>
      <w:r w:rsidRPr="00145E5A">
        <w:rPr>
          <w:rStyle w:val="fnRefNo"/>
        </w:rPr>
        <w:footnoteRef/>
      </w:r>
      <w:r w:rsidRPr="00145E5A">
        <w:t>)</w:t>
      </w:r>
      <w:r w:rsidRPr="00A74585">
        <w:tab/>
      </w:r>
      <w:r w:rsidRPr="00415BAF">
        <w:t xml:space="preserve">The annual discharge procedure is the procedure through which the European Parliament and the Council give their final approval of the budget implementation for a specific year and hold the Commission politically accountable for the implementation of the EU budget. </w:t>
      </w:r>
      <w:hyperlink r:id="rId11" w:history="1">
        <w:r w:rsidRPr="00415BAF">
          <w:rPr>
            <w:rStyle w:val="Hyperlink"/>
          </w:rPr>
          <w:t>https://ec.europa.eu/info/about-european-commission/eu-budget/how-it-works/annual-lifecycle/assessment/parliaments-approval_en</w:t>
        </w:r>
      </w:hyperlink>
    </w:p>
  </w:footnote>
  <w:footnote w:id="24">
    <w:p w14:paraId="2C535F89" w14:textId="518A393A" w:rsidR="003C0461" w:rsidRPr="00415BAF" w:rsidRDefault="003C0461">
      <w:pPr>
        <w:pStyle w:val="FootnoteText"/>
      </w:pPr>
      <w:r w:rsidRPr="00145E5A">
        <w:t>(</w:t>
      </w:r>
      <w:r w:rsidRPr="00145E5A">
        <w:rPr>
          <w:rStyle w:val="fnRefNo"/>
        </w:rPr>
        <w:footnoteRef/>
      </w:r>
      <w:r w:rsidRPr="00145E5A">
        <w:t>)</w:t>
      </w:r>
      <w:r w:rsidRPr="00A74585">
        <w:tab/>
      </w:r>
      <w:r>
        <w:t>Article 318 of the Treaty on the Functioning o</w:t>
      </w:r>
      <w:r w:rsidRPr="00415BAF">
        <w:t>f</w:t>
      </w:r>
      <w:r w:rsidRPr="00415BAF">
        <w:rPr>
          <w:rStyle w:val="FootnoteTextChar"/>
        </w:rPr>
        <w:t xml:space="preserve"> the European Union.</w:t>
      </w:r>
    </w:p>
  </w:footnote>
  <w:footnote w:id="25">
    <w:p w14:paraId="7823B57E" w14:textId="26C78AF8" w:rsidR="003C0461" w:rsidRPr="004912D7" w:rsidRDefault="003C0461">
      <w:pPr>
        <w:pStyle w:val="FootnoteText"/>
      </w:pPr>
      <w:r w:rsidRPr="00145E5A">
        <w:t>(</w:t>
      </w:r>
      <w:r w:rsidRPr="00145E5A">
        <w:rPr>
          <w:rStyle w:val="fnRefNo"/>
        </w:rPr>
        <w:footnoteRef/>
      </w:r>
      <w:r w:rsidRPr="00145E5A">
        <w:t>)</w:t>
      </w:r>
      <w:r w:rsidRPr="00C34D74">
        <w:tab/>
      </w:r>
      <w:r w:rsidRPr="004912D7">
        <w:rPr>
          <w:rStyle w:val="FootnoteTextChar"/>
        </w:rPr>
        <w:t xml:space="preserve">Article 247 </w:t>
      </w:r>
      <w:r>
        <w:rPr>
          <w:rStyle w:val="FootnoteTextChar"/>
        </w:rPr>
        <w:t xml:space="preserve">of the </w:t>
      </w:r>
      <w:r w:rsidRPr="00C34D74">
        <w:rPr>
          <w:rStyle w:val="FootnoteTextChar"/>
        </w:rPr>
        <w:t>Financial Regulation.</w:t>
      </w:r>
    </w:p>
  </w:footnote>
  <w:footnote w:id="26">
    <w:p w14:paraId="2DE2228B" w14:textId="4417222E" w:rsidR="003C0461" w:rsidRPr="004912D7" w:rsidRDefault="003C0461">
      <w:pPr>
        <w:pStyle w:val="FootnoteText"/>
      </w:pPr>
      <w:r w:rsidRPr="00145E5A">
        <w:t>(</w:t>
      </w:r>
      <w:r w:rsidRPr="00145E5A">
        <w:rPr>
          <w:rStyle w:val="fnRefNo"/>
        </w:rPr>
        <w:footnoteRef/>
      </w:r>
      <w:r w:rsidRPr="00145E5A">
        <w:t>)</w:t>
      </w:r>
      <w:r w:rsidRPr="00C34D74">
        <w:tab/>
      </w:r>
      <w:r w:rsidRPr="004912D7">
        <w:rPr>
          <w:rStyle w:val="FootnoteTextChar"/>
        </w:rPr>
        <w:t xml:space="preserve">Article 246 </w:t>
      </w:r>
      <w:r>
        <w:rPr>
          <w:rStyle w:val="FootnoteTextChar"/>
        </w:rPr>
        <w:t xml:space="preserve">of the </w:t>
      </w:r>
      <w:r w:rsidRPr="00C34D74">
        <w:rPr>
          <w:rStyle w:val="FootnoteTextChar"/>
        </w:rPr>
        <w:t>Financial Regulation.</w:t>
      </w:r>
    </w:p>
  </w:footnote>
  <w:footnote w:id="27">
    <w:p w14:paraId="3C1F2797" w14:textId="6BEC43B5" w:rsidR="003C0461" w:rsidRPr="004912D7" w:rsidRDefault="003C0461">
      <w:pPr>
        <w:pStyle w:val="FootnoteText"/>
      </w:pPr>
      <w:r w:rsidRPr="00145E5A">
        <w:t>(</w:t>
      </w:r>
      <w:r w:rsidRPr="00145E5A">
        <w:rPr>
          <w:rStyle w:val="fnRefNo"/>
        </w:rPr>
        <w:footnoteRef/>
      </w:r>
      <w:r w:rsidRPr="00145E5A">
        <w:t>)</w:t>
      </w:r>
      <w:r w:rsidRPr="00C34D74">
        <w:tab/>
      </w:r>
      <w:r w:rsidRPr="004912D7">
        <w:rPr>
          <w:rStyle w:val="FootnoteTextChar"/>
        </w:rPr>
        <w:t xml:space="preserve">Article 247(2) </w:t>
      </w:r>
      <w:r>
        <w:rPr>
          <w:rStyle w:val="FootnoteTextChar"/>
        </w:rPr>
        <w:t xml:space="preserve">of the </w:t>
      </w:r>
      <w:r w:rsidRPr="00C34D74">
        <w:rPr>
          <w:rStyle w:val="FootnoteTextChar"/>
        </w:rPr>
        <w:t>Financial Regulation.</w:t>
      </w:r>
    </w:p>
  </w:footnote>
  <w:footnote w:id="28">
    <w:p w14:paraId="56CD7589" w14:textId="1882361C" w:rsidR="003C0461" w:rsidRPr="004912D7" w:rsidRDefault="003C0461">
      <w:pPr>
        <w:pStyle w:val="FootnoteText"/>
      </w:pPr>
      <w:r w:rsidRPr="00145E5A">
        <w:t>(</w:t>
      </w:r>
      <w:r w:rsidRPr="00145E5A">
        <w:rPr>
          <w:rStyle w:val="fnRefNo"/>
        </w:rPr>
        <w:footnoteRef/>
      </w:r>
      <w:r w:rsidRPr="00145E5A">
        <w:t>)</w:t>
      </w:r>
      <w:r w:rsidRPr="00C34D74">
        <w:tab/>
      </w:r>
      <w:r w:rsidRPr="004912D7">
        <w:rPr>
          <w:rStyle w:val="FootnoteTextChar"/>
        </w:rPr>
        <w:t xml:space="preserve">Article 118(8) </w:t>
      </w:r>
      <w:r>
        <w:rPr>
          <w:rStyle w:val="FootnoteTextChar"/>
        </w:rPr>
        <w:t xml:space="preserve">of the </w:t>
      </w:r>
      <w:r w:rsidRPr="00C34D74">
        <w:rPr>
          <w:rStyle w:val="FootnoteTextChar"/>
        </w:rPr>
        <w:t>Financial Regulation.</w:t>
      </w:r>
    </w:p>
  </w:footnote>
  <w:footnote w:id="29">
    <w:p w14:paraId="259F2ACB" w14:textId="1F539B88" w:rsidR="003C0461" w:rsidRPr="00415BAF" w:rsidRDefault="003C0461" w:rsidP="004B721B">
      <w:pPr>
        <w:pStyle w:val="FootnoteText"/>
      </w:pPr>
      <w:r w:rsidRPr="00145E5A">
        <w:t>(</w:t>
      </w:r>
      <w:r w:rsidRPr="00145E5A">
        <w:rPr>
          <w:rStyle w:val="fnRefNo"/>
        </w:rPr>
        <w:footnoteRef/>
      </w:r>
      <w:r w:rsidRPr="00145E5A">
        <w:t>)</w:t>
      </w:r>
      <w:r w:rsidRPr="00A74585">
        <w:tab/>
      </w:r>
      <w:r w:rsidRPr="00415BAF">
        <w:rPr>
          <w:rStyle w:val="FootnoteTextChar"/>
        </w:rPr>
        <w:t xml:space="preserve">Article 261(3) </w:t>
      </w:r>
      <w:r>
        <w:rPr>
          <w:rStyle w:val="FootnoteTextChar"/>
        </w:rPr>
        <w:t xml:space="preserve">of the </w:t>
      </w:r>
      <w:r w:rsidRPr="00415BAF">
        <w:rPr>
          <w:rStyle w:val="FootnoteTextChar"/>
        </w:rPr>
        <w:t>Financial Regulation.</w:t>
      </w:r>
    </w:p>
  </w:footnote>
  <w:footnote w:id="30">
    <w:p w14:paraId="374183AF" w14:textId="77777777" w:rsidR="003C0461" w:rsidRPr="00415BAF" w:rsidRDefault="003C0461" w:rsidP="00E575FA">
      <w:pPr>
        <w:pStyle w:val="FootnoteText"/>
      </w:pPr>
      <w:r w:rsidRPr="00145E5A">
        <w:t>(</w:t>
      </w:r>
      <w:r w:rsidRPr="00145E5A">
        <w:rPr>
          <w:rStyle w:val="fnRefNo"/>
        </w:rPr>
        <w:footnoteRef/>
      </w:r>
      <w:r w:rsidRPr="00145E5A">
        <w:t>)</w:t>
      </w:r>
      <w:r w:rsidRPr="00A74585">
        <w:tab/>
      </w:r>
      <w:r w:rsidRPr="00415BAF">
        <w:t xml:space="preserve">Speech by President Juncker at </w:t>
      </w:r>
      <w:r>
        <w:t xml:space="preserve">the </w:t>
      </w:r>
      <w:r w:rsidRPr="00CA2D63">
        <w:t>'EU Budget focused on Results'</w:t>
      </w:r>
      <w:r>
        <w:t xml:space="preserve"> conference</w:t>
      </w:r>
      <w:r w:rsidRPr="00415BAF">
        <w:t xml:space="preserve">, </w:t>
      </w:r>
      <w:hyperlink r:id="rId12" w:history="1">
        <w:r w:rsidRPr="00415BAF">
          <w:rPr>
            <w:rStyle w:val="Hyperlink"/>
          </w:rPr>
          <w:t>http://europa.eu/rapid/press-release_SPEECH-15-5696_en.htm</w:t>
        </w:r>
      </w:hyperlink>
    </w:p>
  </w:footnote>
  <w:footnote w:id="31">
    <w:p w14:paraId="3583EEE6" w14:textId="77777777" w:rsidR="003C0461" w:rsidRPr="006162D7" w:rsidRDefault="003C0461" w:rsidP="004912D7">
      <w:pPr>
        <w:pStyle w:val="FootnoteText"/>
      </w:pPr>
      <w:r w:rsidRPr="00145E5A">
        <w:t>(</w:t>
      </w:r>
      <w:r w:rsidRPr="00145E5A">
        <w:rPr>
          <w:rStyle w:val="fnRefNo"/>
        </w:rPr>
        <w:footnoteRef/>
      </w:r>
      <w:r w:rsidRPr="00145E5A">
        <w:t>)</w:t>
      </w:r>
      <w:r w:rsidRPr="006162D7">
        <w:tab/>
      </w:r>
      <w:hyperlink r:id="rId13" w:history="1">
        <w:r w:rsidRPr="006162D7">
          <w:rPr>
            <w:rStyle w:val="Hyperlink"/>
          </w:rPr>
          <w:t>https://ec.europa.eu/commission/publications/factsheets-long-term-budget-proposals_en</w:t>
        </w:r>
      </w:hyperlink>
    </w:p>
  </w:footnote>
  <w:footnote w:id="32">
    <w:p w14:paraId="5B8CB383" w14:textId="1D38A977" w:rsidR="003C0461" w:rsidRPr="00415BAF" w:rsidRDefault="003C0461">
      <w:pPr>
        <w:pStyle w:val="FootnoteText"/>
      </w:pPr>
      <w:r w:rsidRPr="00145E5A">
        <w:t>(</w:t>
      </w:r>
      <w:r w:rsidRPr="00145E5A">
        <w:rPr>
          <w:rStyle w:val="fnRefNo"/>
        </w:rPr>
        <w:footnoteRef/>
      </w:r>
      <w:r w:rsidRPr="00145E5A">
        <w:t>)</w:t>
      </w:r>
      <w:r w:rsidRPr="00A74585">
        <w:tab/>
      </w:r>
      <w:hyperlink r:id="rId14" w:history="1">
        <w:r w:rsidRPr="00415BAF">
          <w:rPr>
            <w:rStyle w:val="Hyperlink"/>
          </w:rPr>
          <w:t>https://ec.europa.eu/eurostat/web/europe-2020-indicators</w:t>
        </w:r>
      </w:hyperlink>
    </w:p>
  </w:footnote>
  <w:footnote w:id="33">
    <w:p w14:paraId="7F2DF468" w14:textId="36E5C210" w:rsidR="003C0461" w:rsidRPr="009D539E" w:rsidRDefault="003C0461">
      <w:pPr>
        <w:pStyle w:val="FootnoteText"/>
      </w:pPr>
      <w:r>
        <w:t>(</w:t>
      </w:r>
      <w:r>
        <w:rPr>
          <w:rStyle w:val="FootnoteReference"/>
        </w:rPr>
        <w:footnoteRef/>
      </w:r>
      <w:r>
        <w:t xml:space="preserve">) </w:t>
      </w:r>
      <w:r>
        <w:tab/>
      </w:r>
      <w:r w:rsidRPr="004B02FE">
        <w:t xml:space="preserve">A 20% increase in energy efficiency in 2020 implies an EU wide primary energy consumption of no more than 1 483 Mtoe compared to baseline projections of 1 854 </w:t>
      </w:r>
      <w:r w:rsidRPr="00967535">
        <w:t>million tonnes of oil equivalent</w:t>
      </w:r>
      <w:r w:rsidRPr="004B02FE">
        <w:t xml:space="preserve">. At the end of 2017, the EU stood at 1 561 </w:t>
      </w:r>
      <w:r w:rsidRPr="00967535">
        <w:t>million tonnes of oil equivalent</w:t>
      </w:r>
      <w:r w:rsidRPr="004B02FE">
        <w:t>, only 5.3% above 2020 target for primary energy consumption.</w:t>
      </w:r>
      <w:r>
        <w:t xml:space="preserve"> </w:t>
      </w:r>
    </w:p>
  </w:footnote>
  <w:footnote w:id="34">
    <w:p w14:paraId="4E7BB33E" w14:textId="7EDD5456" w:rsidR="003C0461" w:rsidRPr="00F55844" w:rsidRDefault="003C0461">
      <w:pPr>
        <w:pStyle w:val="FootnoteText"/>
      </w:pPr>
      <w:r>
        <w:t>(</w:t>
      </w:r>
      <w:r>
        <w:rPr>
          <w:rStyle w:val="FootnoteReference"/>
        </w:rPr>
        <w:footnoteRef/>
      </w:r>
      <w:r>
        <w:t>)</w:t>
      </w:r>
      <w:r>
        <w:tab/>
      </w:r>
      <w:r w:rsidRPr="00F55844">
        <w:t>In the calculation of the percentage</w:t>
      </w:r>
      <w:r>
        <w:t xml:space="preserve"> of climate mainstreaming</w:t>
      </w:r>
      <w:r w:rsidRPr="00F55844">
        <w:t>, the C</w:t>
      </w:r>
      <w:r>
        <w:t xml:space="preserve">ommission uses the voted budget for 2018 of the European Commission </w:t>
      </w:r>
      <w:r w:rsidRPr="004D42F1">
        <w:t>(EUR 15</w:t>
      </w:r>
      <w:r>
        <w:t>7 b</w:t>
      </w:r>
      <w:r w:rsidRPr="004D42F1">
        <w:t>illion)</w:t>
      </w:r>
      <w:r>
        <w:t xml:space="preserve"> as denominator.</w:t>
      </w:r>
      <w:r w:rsidRPr="00F55844">
        <w:t xml:space="preserve"> </w:t>
      </w:r>
      <w:r>
        <w:t xml:space="preserve"> </w:t>
      </w:r>
    </w:p>
  </w:footnote>
  <w:footnote w:id="35">
    <w:p w14:paraId="6A753C2D" w14:textId="567B1147" w:rsidR="003C0461" w:rsidRPr="005A3310" w:rsidRDefault="003C0461">
      <w:pPr>
        <w:pStyle w:val="FootnoteText"/>
      </w:pPr>
      <w:r>
        <w:t>(</w:t>
      </w:r>
      <w:r>
        <w:rPr>
          <w:rStyle w:val="FootnoteReference"/>
        </w:rPr>
        <w:footnoteRef/>
      </w:r>
      <w:r>
        <w:t>)</w:t>
      </w:r>
      <w:r>
        <w:tab/>
        <w:t>Statement of Estimates of the European Commission for the financial year 2020, SEC(2019) 250, June 2019</w:t>
      </w:r>
    </w:p>
  </w:footnote>
  <w:footnote w:id="36">
    <w:p w14:paraId="0D4D59FE" w14:textId="11F82D62" w:rsidR="003C0461" w:rsidRPr="006A04C8" w:rsidRDefault="003C0461">
      <w:pPr>
        <w:pStyle w:val="FootnoteText"/>
      </w:pPr>
      <w:r>
        <w:t>(</w:t>
      </w:r>
      <w:r>
        <w:rPr>
          <w:rStyle w:val="FootnoteReference"/>
        </w:rPr>
        <w:footnoteRef/>
      </w:r>
      <w:r>
        <w:t>)</w:t>
      </w:r>
      <w:r>
        <w:tab/>
      </w:r>
      <w:r w:rsidRPr="00F55844">
        <w:t>In the calculation of the percentage</w:t>
      </w:r>
      <w:r>
        <w:t xml:space="preserve"> of expenditure for biodiversity</w:t>
      </w:r>
      <w:r w:rsidRPr="00F55844">
        <w:t>, the C</w:t>
      </w:r>
      <w:r>
        <w:t xml:space="preserve">ommission uses the voted budget for 2018 of the European Commission </w:t>
      </w:r>
      <w:r w:rsidRPr="004D42F1">
        <w:t>(EUR 15</w:t>
      </w:r>
      <w:r>
        <w:t>7 b</w:t>
      </w:r>
      <w:r w:rsidRPr="004D42F1">
        <w:t>illion)</w:t>
      </w:r>
      <w:r>
        <w:t xml:space="preserve"> as denominator.</w:t>
      </w:r>
      <w:r w:rsidRPr="00F55844">
        <w:t xml:space="preserve"> </w:t>
      </w:r>
      <w:r>
        <w:t xml:space="preserve"> </w:t>
      </w:r>
    </w:p>
  </w:footnote>
  <w:footnote w:id="37">
    <w:p w14:paraId="6679E6A7" w14:textId="12269E41" w:rsidR="003C0461" w:rsidRPr="00415BAF" w:rsidRDefault="003C0461" w:rsidP="00B513F6">
      <w:pPr>
        <w:pStyle w:val="FootnoteText"/>
      </w:pPr>
      <w:r w:rsidRPr="00145E5A">
        <w:t>(</w:t>
      </w:r>
      <w:r w:rsidRPr="00145E5A">
        <w:rPr>
          <w:rStyle w:val="fnRefNo"/>
        </w:rPr>
        <w:footnoteRef/>
      </w:r>
      <w:r w:rsidRPr="00145E5A">
        <w:t>)</w:t>
      </w:r>
      <w:r w:rsidRPr="00A74585">
        <w:tab/>
      </w:r>
      <w:r w:rsidRPr="00415BAF">
        <w:rPr>
          <w:i/>
        </w:rPr>
        <w:t>Communication from the Commission to the European Parliament, the Council, the European Economic and Social Committee and the Committee of the Regions — Next steps for a sustainable European future — European action for sustainability</w:t>
      </w:r>
      <w:r w:rsidRPr="00415BAF">
        <w:t>, COM(2016) 739, 22.11.2016.</w:t>
      </w:r>
    </w:p>
  </w:footnote>
  <w:footnote w:id="38">
    <w:p w14:paraId="79129F37" w14:textId="477B47E0" w:rsidR="003C0461" w:rsidRPr="002C6539" w:rsidRDefault="003C0461">
      <w:pPr>
        <w:pStyle w:val="FootnoteText"/>
      </w:pPr>
      <w:r w:rsidRPr="00145E5A">
        <w:t>(</w:t>
      </w:r>
      <w:r w:rsidRPr="00145E5A">
        <w:rPr>
          <w:rStyle w:val="fnRefNo"/>
        </w:rPr>
        <w:footnoteRef/>
      </w:r>
      <w:r w:rsidRPr="00145E5A">
        <w:t>)</w:t>
      </w:r>
      <w:r w:rsidRPr="0032611A">
        <w:tab/>
      </w:r>
      <w:r>
        <w:t xml:space="preserve">See </w:t>
      </w:r>
      <w:r w:rsidRPr="0032611A">
        <w:rPr>
          <w:i/>
        </w:rPr>
        <w:t>Statement of Estimates of the European Commission for the financial year 2018</w:t>
      </w:r>
      <w:r>
        <w:t>, p. 7.</w:t>
      </w:r>
    </w:p>
  </w:footnote>
  <w:footnote w:id="39">
    <w:p w14:paraId="5800E437" w14:textId="35A7A724" w:rsidR="003C0461" w:rsidRPr="0005798F" w:rsidRDefault="003C0461" w:rsidP="00FA2897">
      <w:pPr>
        <w:pStyle w:val="FootnoteText"/>
        <w:rPr>
          <w:lang w:val="da-DK"/>
        </w:rPr>
      </w:pPr>
      <w:r w:rsidRPr="0005798F">
        <w:rPr>
          <w:lang w:val="da-DK"/>
        </w:rPr>
        <w:t>(</w:t>
      </w:r>
      <w:r w:rsidRPr="00373CFC">
        <w:rPr>
          <w:rStyle w:val="fnRefNo"/>
        </w:rPr>
        <w:footnoteRef/>
      </w:r>
      <w:r w:rsidRPr="0005798F">
        <w:rPr>
          <w:lang w:val="da-DK"/>
        </w:rPr>
        <w:t>)</w:t>
      </w:r>
      <w:r w:rsidRPr="0005798F">
        <w:rPr>
          <w:lang w:val="da-DK"/>
        </w:rPr>
        <w:tab/>
      </w:r>
      <w:r w:rsidRPr="0005798F">
        <w:rPr>
          <w:i/>
          <w:lang w:val="da-DK"/>
        </w:rPr>
        <w:t>Programmes' Performance Overview, EU budget 2014-2020, Draft Budget 2020,</w:t>
      </w:r>
      <w:r w:rsidRPr="0005798F">
        <w:rPr>
          <w:lang w:val="da-DK"/>
        </w:rPr>
        <w:t xml:space="preserve"> COM(2019) 400 – June 2019, https://ec.europa.eu/info/sites/info/files/about_the_european_commission/eu_budget/ppo_db2020.pdf</w:t>
      </w:r>
    </w:p>
  </w:footnote>
  <w:footnote w:id="40">
    <w:p w14:paraId="5340D6BC" w14:textId="79391B36" w:rsidR="003C0461" w:rsidRPr="00F55844" w:rsidRDefault="003C0461" w:rsidP="00F55844">
      <w:pPr>
        <w:pStyle w:val="FootnoteText"/>
      </w:pPr>
      <w:r w:rsidRPr="00145E5A">
        <w:t>(</w:t>
      </w:r>
      <w:r w:rsidRPr="00145E5A">
        <w:rPr>
          <w:rStyle w:val="fnRefNo"/>
        </w:rPr>
        <w:footnoteRef/>
      </w:r>
      <w:r w:rsidRPr="00145E5A">
        <w:t>)</w:t>
      </w:r>
      <w:r w:rsidRPr="00A74585">
        <w:tab/>
      </w:r>
      <w:r>
        <w:t>Commitments from 2018, e</w:t>
      </w:r>
      <w:r w:rsidRPr="00F55844">
        <w:t>xcluding</w:t>
      </w:r>
      <w:r>
        <w:t xml:space="preserve"> carry-overs and assigned revenues as well as </w:t>
      </w:r>
      <w:r w:rsidRPr="00F55844">
        <w:t xml:space="preserve"> the</w:t>
      </w:r>
      <w:r>
        <w:t xml:space="preserve"> amounts for the</w:t>
      </w:r>
      <w:r w:rsidRPr="00F55844">
        <w:t xml:space="preserve"> European Globalisation Adjustment Fund and the EU Solidarity Fund.</w:t>
      </w:r>
      <w:r>
        <w:t xml:space="preserve"> </w:t>
      </w:r>
      <w:r w:rsidRPr="004D6BD2">
        <w:t>All implemented commitment appropriations amounted to EUR 173 billion (see consolidated annual accounts)</w:t>
      </w:r>
    </w:p>
  </w:footnote>
  <w:footnote w:id="41">
    <w:p w14:paraId="35F27660" w14:textId="31CEFA55" w:rsidR="003C0461" w:rsidRPr="00415BAF" w:rsidRDefault="003C0461" w:rsidP="004C2555">
      <w:pPr>
        <w:pStyle w:val="FootnoteText"/>
        <w:rPr>
          <w:sz w:val="18"/>
          <w:szCs w:val="18"/>
        </w:rPr>
      </w:pPr>
      <w:r w:rsidRPr="00145E5A">
        <w:t>(</w:t>
      </w:r>
      <w:r w:rsidRPr="00145E5A">
        <w:rPr>
          <w:rStyle w:val="fnRefNo"/>
        </w:rPr>
        <w:footnoteRef/>
      </w:r>
      <w:r w:rsidRPr="00145E5A">
        <w:t>)</w:t>
      </w:r>
      <w:r w:rsidRPr="00A74585">
        <w:tab/>
      </w:r>
      <w:r w:rsidRPr="00415BAF">
        <w:rPr>
          <w:i/>
          <w:szCs w:val="16"/>
        </w:rPr>
        <w:t>Interim evaluation of Horizon 2020</w:t>
      </w:r>
      <w:r w:rsidRPr="00415BAF">
        <w:rPr>
          <w:szCs w:val="16"/>
        </w:rPr>
        <w:t xml:space="preserve">, </w:t>
      </w:r>
      <w:r w:rsidRPr="00415BAF">
        <w:t xml:space="preserve">SWD(2017) 221, 29.5.2017 — </w:t>
      </w:r>
      <w:hyperlink r:id="rId15" w:history="1">
        <w:r w:rsidRPr="00415BAF">
          <w:rPr>
            <w:rStyle w:val="Hyperlink"/>
          </w:rPr>
          <w:t>https://ec.europa.eu/info/research-and-innovation/strategy/support-policy-making/support-eu-research-and-innovation-policy-making/evaluation-impact-assessment-and-monitoring/horizon-2020_en</w:t>
        </w:r>
      </w:hyperlink>
    </w:p>
  </w:footnote>
  <w:footnote w:id="42">
    <w:p w14:paraId="0A25A575" w14:textId="47FC4DC5" w:rsidR="003C0461" w:rsidRPr="00415BAF" w:rsidRDefault="003C0461">
      <w:pPr>
        <w:pStyle w:val="FootnoteText"/>
        <w:rPr>
          <w:sz w:val="18"/>
          <w:szCs w:val="18"/>
        </w:rPr>
      </w:pPr>
      <w:r w:rsidRPr="00145E5A">
        <w:t>(</w:t>
      </w:r>
      <w:r w:rsidRPr="00145E5A">
        <w:rPr>
          <w:rStyle w:val="fnRefNo"/>
        </w:rPr>
        <w:footnoteRef/>
      </w:r>
      <w:r w:rsidRPr="00145E5A">
        <w:t>)</w:t>
      </w:r>
      <w:r w:rsidRPr="00A74585">
        <w:tab/>
      </w:r>
      <w:r w:rsidRPr="00415BAF">
        <w:rPr>
          <w:i/>
        </w:rPr>
        <w:t>In-depth interim evaluation of Horizon 2020</w:t>
      </w:r>
      <w:r w:rsidRPr="00415BAF">
        <w:t xml:space="preserve">, SWD(2017) 220, 29.5.2017 — </w:t>
      </w:r>
      <w:hyperlink r:id="rId16" w:history="1">
        <w:r w:rsidRPr="00415BAF">
          <w:rPr>
            <w:rStyle w:val="Hyperlink"/>
          </w:rPr>
          <w:t>https://ec.europa.eu/transparency/regdoc/rep/10102/2017/EN/SWD-2017-220-F1-EN-MAIN-PART-1.PDF</w:t>
        </w:r>
      </w:hyperlink>
    </w:p>
  </w:footnote>
  <w:footnote w:id="43">
    <w:p w14:paraId="0C3C5E86" w14:textId="77777777" w:rsidR="003C0461" w:rsidRPr="00415BAF" w:rsidRDefault="003C0461" w:rsidP="00036BEB">
      <w:pPr>
        <w:pStyle w:val="FootnoteText"/>
      </w:pPr>
      <w:r w:rsidRPr="00145E5A">
        <w:t>(</w:t>
      </w:r>
      <w:r w:rsidRPr="00145E5A">
        <w:rPr>
          <w:rStyle w:val="fnRefNo"/>
        </w:rPr>
        <w:footnoteRef/>
      </w:r>
      <w:r w:rsidRPr="00145E5A">
        <w:t>)</w:t>
      </w:r>
      <w:r w:rsidRPr="00A74585">
        <w:tab/>
      </w:r>
      <w:r w:rsidRPr="00415BAF">
        <w:rPr>
          <w:szCs w:val="16"/>
        </w:rPr>
        <w:t>European Court of Auditors,</w:t>
      </w:r>
      <w:r w:rsidRPr="00415BAF">
        <w:rPr>
          <w:sz w:val="18"/>
          <w:szCs w:val="18"/>
        </w:rPr>
        <w:t xml:space="preserve"> </w:t>
      </w:r>
      <w:r w:rsidRPr="00415BAF">
        <w:rPr>
          <w:i/>
        </w:rPr>
        <w:t>The majority of simplification measures brought into Horizon</w:t>
      </w:r>
      <w:r w:rsidRPr="00B907A6">
        <w:rPr>
          <w:rFonts w:cs="Calibri"/>
          <w:i/>
        </w:rPr>
        <w:t> </w:t>
      </w:r>
      <w:r w:rsidRPr="00415BAF">
        <w:rPr>
          <w:i/>
        </w:rPr>
        <w:t>2020 have made life easier for beneficiaries, but opportunities to improve still exist</w:t>
      </w:r>
      <w:r w:rsidRPr="00415BAF">
        <w:t xml:space="preserve"> </w:t>
      </w:r>
      <w:r w:rsidRPr="00415BAF">
        <w:rPr>
          <w:i/>
        </w:rPr>
        <w:t>— Special report No 28/2018</w:t>
      </w:r>
      <w:r w:rsidRPr="00415BAF">
        <w:t xml:space="preserve"> — </w:t>
      </w:r>
      <w:hyperlink r:id="rId17" w:history="1">
        <w:r w:rsidRPr="00415BAF">
          <w:rPr>
            <w:rStyle w:val="Hyperlink"/>
          </w:rPr>
          <w:t>http://ec.europa.eu/research/participants/data/ref/h2020/other/events/2019-01-30/2_eca_en.pdf</w:t>
        </w:r>
      </w:hyperlink>
    </w:p>
  </w:footnote>
  <w:footnote w:id="44">
    <w:p w14:paraId="276E967B" w14:textId="35406B97" w:rsidR="003C0461" w:rsidRPr="00415BAF" w:rsidRDefault="003C0461">
      <w:pPr>
        <w:pStyle w:val="FootnoteText"/>
        <w:rPr>
          <w:sz w:val="18"/>
          <w:szCs w:val="18"/>
        </w:rPr>
      </w:pPr>
      <w:r w:rsidRPr="00145E5A">
        <w:t>(</w:t>
      </w:r>
      <w:r w:rsidRPr="00145E5A">
        <w:rPr>
          <w:rStyle w:val="fnRefNo"/>
        </w:rPr>
        <w:footnoteRef/>
      </w:r>
      <w:r w:rsidRPr="00145E5A">
        <w:t>)</w:t>
      </w:r>
      <w:r w:rsidRPr="00A74585">
        <w:tab/>
      </w:r>
      <w:r w:rsidRPr="00415BAF">
        <w:rPr>
          <w:i/>
          <w:szCs w:val="16"/>
        </w:rPr>
        <w:t>Proposal for a regulation of the European Parliament and of the Council establishing Horizon Europe — the framework programme for research and innovation, laying down its rules for participation and dissemination</w:t>
      </w:r>
      <w:r w:rsidRPr="00415BAF">
        <w:rPr>
          <w:szCs w:val="16"/>
        </w:rPr>
        <w:t xml:space="preserve">, </w:t>
      </w:r>
      <w:hyperlink r:id="rId18" w:history="1">
        <w:r w:rsidRPr="00415BAF">
          <w:t>COM(2018) 435 final, 7.6.2018.</w:t>
        </w:r>
        <w:r w:rsidRPr="00415BAF">
          <w:rPr>
            <w:rStyle w:val="Hyperlink"/>
            <w:sz w:val="18"/>
            <w:szCs w:val="18"/>
          </w:rPr>
          <w:t xml:space="preserve"> </w:t>
        </w:r>
      </w:hyperlink>
    </w:p>
  </w:footnote>
  <w:footnote w:id="45">
    <w:p w14:paraId="1630C8E7" w14:textId="014BB93E" w:rsidR="003C0461" w:rsidRPr="00415BAF" w:rsidRDefault="003C0461">
      <w:pPr>
        <w:pStyle w:val="FootnoteText"/>
      </w:pPr>
      <w:r w:rsidRPr="00145E5A">
        <w:t>(</w:t>
      </w:r>
      <w:r w:rsidRPr="00145E5A">
        <w:rPr>
          <w:rStyle w:val="fnRefNo"/>
        </w:rPr>
        <w:footnoteRef/>
      </w:r>
      <w:r w:rsidRPr="00145E5A">
        <w:t>)</w:t>
      </w:r>
      <w:r w:rsidRPr="00A74585">
        <w:tab/>
      </w:r>
      <w:r w:rsidRPr="00415BAF">
        <w:rPr>
          <w:i/>
        </w:rPr>
        <w:t>Investing in the European future we want — Report of the independent High-Level</w:t>
      </w:r>
      <w:r w:rsidRPr="00415BAF" w:rsidDel="0019228F">
        <w:rPr>
          <w:i/>
        </w:rPr>
        <w:t xml:space="preserve"> </w:t>
      </w:r>
      <w:r w:rsidRPr="00415BAF">
        <w:rPr>
          <w:i/>
        </w:rPr>
        <w:t>Group on maximising the impact of EU research and innovation programmes</w:t>
      </w:r>
      <w:r w:rsidRPr="00415BAF">
        <w:t xml:space="preserve">, European Research Council, 2017 — </w:t>
      </w:r>
      <w:hyperlink r:id="rId19" w:history="1">
        <w:r w:rsidRPr="00415BAF">
          <w:rPr>
            <w:rStyle w:val="Hyperlink"/>
          </w:rPr>
          <w:t>https://erc.europa.eu/content/investing-european-future-we-want-report-independent-high-level-group-maximising-impact-eu</w:t>
        </w:r>
      </w:hyperlink>
    </w:p>
  </w:footnote>
  <w:footnote w:id="46">
    <w:p w14:paraId="0A64A616" w14:textId="09A42830" w:rsidR="003C0461" w:rsidRPr="00415BAF" w:rsidRDefault="003C0461" w:rsidP="00282257">
      <w:pPr>
        <w:pStyle w:val="FootnoteText"/>
      </w:pPr>
      <w:r w:rsidRPr="00145E5A">
        <w:t>(</w:t>
      </w:r>
      <w:r w:rsidRPr="00145E5A">
        <w:rPr>
          <w:rStyle w:val="fnRefNo"/>
        </w:rPr>
        <w:footnoteRef/>
      </w:r>
      <w:r w:rsidRPr="00145E5A">
        <w:t>)</w:t>
      </w:r>
      <w:r w:rsidRPr="00A74585">
        <w:tab/>
      </w:r>
      <w:r w:rsidRPr="00415BAF">
        <w:t>Council Regulation 1314/2013 of 16 December 2013 for the programme till 2018 and Council Regulation (Euratom) No</w:t>
      </w:r>
      <w:r w:rsidRPr="00B907A6">
        <w:rPr>
          <w:rFonts w:cs="Calibri"/>
        </w:rPr>
        <w:t> </w:t>
      </w:r>
      <w:r w:rsidRPr="00415BAF">
        <w:t>2018/1563 of 15</w:t>
      </w:r>
      <w:r w:rsidRPr="00B907A6">
        <w:rPr>
          <w:rFonts w:cs="Calibri"/>
        </w:rPr>
        <w:t> </w:t>
      </w:r>
      <w:r w:rsidRPr="00415BAF">
        <w:t>October</w:t>
      </w:r>
      <w:r w:rsidRPr="00B907A6">
        <w:rPr>
          <w:rFonts w:cs="Calibri"/>
        </w:rPr>
        <w:t> </w:t>
      </w:r>
      <w:r w:rsidRPr="00415BAF">
        <w:t>2018</w:t>
      </w:r>
      <w:r w:rsidRPr="00415BAF" w:rsidDel="00E9307F">
        <w:t xml:space="preserve"> </w:t>
      </w:r>
      <w:r w:rsidRPr="00415BAF">
        <w:t>for the period 2019-2020.</w:t>
      </w:r>
    </w:p>
  </w:footnote>
  <w:footnote w:id="47">
    <w:p w14:paraId="2F4F6A66" w14:textId="3F918843" w:rsidR="003C0461" w:rsidRPr="00415BAF" w:rsidRDefault="003C0461" w:rsidP="004C2555">
      <w:pPr>
        <w:pStyle w:val="FootnoteText"/>
        <w:rPr>
          <w:sz w:val="18"/>
          <w:szCs w:val="18"/>
        </w:rPr>
      </w:pPr>
      <w:r w:rsidRPr="00145E5A">
        <w:t>(</w:t>
      </w:r>
      <w:r w:rsidRPr="00145E5A">
        <w:rPr>
          <w:rStyle w:val="fnRefNo"/>
        </w:rPr>
        <w:footnoteRef/>
      </w:r>
      <w:r w:rsidRPr="00145E5A">
        <w:t>)</w:t>
      </w:r>
      <w:r w:rsidRPr="00A74585">
        <w:tab/>
        <w:t>Interim evaluation of indirect actions of the Euratom research and training programme 2014-2018</w:t>
      </w:r>
      <w:r w:rsidRPr="00A74585">
        <w:rPr>
          <w:rStyle w:val="fnRef"/>
        </w:rPr>
        <w:t xml:space="preserve"> </w:t>
      </w:r>
      <w:hyperlink r:id="rId20" w:history="1">
        <w:r w:rsidRPr="00415BAF">
          <w:rPr>
            <w:rStyle w:val="Hyperlink"/>
          </w:rPr>
          <w:t>https://ec.europa.eu/research/evaluations/pdf/archive/other_reports_studies_and_documents/panel_report_on_indirect_actions_of_euratom_interim_evaluation_2014-2018.pdf</w:t>
        </w:r>
      </w:hyperlink>
      <w:r w:rsidRPr="00415BAF">
        <w:t xml:space="preserve"> </w:t>
      </w:r>
    </w:p>
  </w:footnote>
  <w:footnote w:id="48">
    <w:p w14:paraId="186820BE" w14:textId="53D6E75C" w:rsidR="003C0461" w:rsidRPr="00415BAF" w:rsidRDefault="003C0461">
      <w:pPr>
        <w:pStyle w:val="FootnoteText"/>
        <w:rPr>
          <w:sz w:val="18"/>
          <w:szCs w:val="18"/>
        </w:rPr>
      </w:pPr>
      <w:r w:rsidRPr="00145E5A">
        <w:t>(</w:t>
      </w:r>
      <w:r w:rsidRPr="00145E5A">
        <w:rPr>
          <w:rStyle w:val="fnRefNo"/>
        </w:rPr>
        <w:footnoteRef/>
      </w:r>
      <w:r w:rsidRPr="00145E5A">
        <w:t>)</w:t>
      </w:r>
      <w:r w:rsidRPr="00A74585">
        <w:tab/>
        <w:t xml:space="preserve">Impact assessment accompanying the document, </w:t>
      </w:r>
      <w:r w:rsidRPr="00415BAF">
        <w:t xml:space="preserve">SWD(2018) 307 final, 7.6.2018 — </w:t>
      </w:r>
      <w:hyperlink r:id="rId21" w:history="1">
        <w:r w:rsidRPr="00415BAF">
          <w:rPr>
            <w:rStyle w:val="Hyperlink"/>
          </w:rPr>
          <w:t>https://ec.europa.eu/info/publications/horizon-europe-impact-assessment-staff-working-document_en</w:t>
        </w:r>
      </w:hyperlink>
    </w:p>
  </w:footnote>
  <w:footnote w:id="49">
    <w:p w14:paraId="3D129A05" w14:textId="7E6D31DC" w:rsidR="003C0461" w:rsidRPr="00EB773C" w:rsidRDefault="003C0461">
      <w:pPr>
        <w:pStyle w:val="FootnoteText"/>
        <w:rPr>
          <w:sz w:val="18"/>
          <w:szCs w:val="18"/>
        </w:rPr>
      </w:pPr>
      <w:r w:rsidRPr="00145E5A">
        <w:t>(</w:t>
      </w:r>
      <w:r w:rsidRPr="00145E5A">
        <w:rPr>
          <w:rStyle w:val="fnRefNo"/>
        </w:rPr>
        <w:footnoteRef/>
      </w:r>
      <w:r w:rsidRPr="00145E5A">
        <w:t>)</w:t>
      </w:r>
      <w:r w:rsidRPr="00A74585">
        <w:tab/>
      </w:r>
      <w:r>
        <w:t xml:space="preserve">ITER agreement. </w:t>
      </w:r>
      <w:r w:rsidRPr="00EB773C">
        <w:t xml:space="preserve">OJ L 358, 16.12.2006, p. 62-80, </w:t>
      </w:r>
      <w:hyperlink r:id="rId22" w:history="1">
        <w:r w:rsidRPr="00EB773C">
          <w:rPr>
            <w:rStyle w:val="Hyperlink"/>
          </w:rPr>
          <w:t>https://eur-lex.europa.eu/legal-content/GA/TXT/?uri=CELEX:22006A1216(03)</w:t>
        </w:r>
      </w:hyperlink>
      <w:r w:rsidRPr="00EB773C">
        <w:t xml:space="preserve"> </w:t>
      </w:r>
    </w:p>
  </w:footnote>
  <w:footnote w:id="50">
    <w:p w14:paraId="1D0A0692" w14:textId="3F599FB3" w:rsidR="003C0461" w:rsidRPr="005A0981" w:rsidRDefault="003C0461">
      <w:pPr>
        <w:pStyle w:val="FootnoteText"/>
        <w:rPr>
          <w:sz w:val="18"/>
          <w:szCs w:val="18"/>
        </w:rPr>
      </w:pPr>
      <w:r w:rsidRPr="00145E5A">
        <w:t>(</w:t>
      </w:r>
      <w:r w:rsidRPr="00145E5A">
        <w:rPr>
          <w:rStyle w:val="fnRefNo"/>
        </w:rPr>
        <w:footnoteRef/>
      </w:r>
      <w:r w:rsidRPr="00145E5A">
        <w:t>)</w:t>
      </w:r>
      <w:r w:rsidRPr="005A0981">
        <w:tab/>
      </w:r>
      <w:r w:rsidRPr="0032611A">
        <w:rPr>
          <w:i/>
        </w:rPr>
        <w:t>ITER programme statement</w:t>
      </w:r>
      <w:r w:rsidRPr="005A0981">
        <w:t>, p.</w:t>
      </w:r>
      <w:r w:rsidRPr="005A0981">
        <w:rPr>
          <w:rFonts w:cs="Calibri"/>
        </w:rPr>
        <w:t> </w:t>
      </w:r>
      <w:r w:rsidRPr="005A0981">
        <w:t>1.</w:t>
      </w:r>
    </w:p>
  </w:footnote>
  <w:footnote w:id="51">
    <w:p w14:paraId="4F25334B" w14:textId="65AF6002" w:rsidR="003C0461" w:rsidRPr="005A0981" w:rsidRDefault="003C0461">
      <w:pPr>
        <w:pStyle w:val="FootnoteText"/>
        <w:rPr>
          <w:sz w:val="18"/>
          <w:szCs w:val="18"/>
        </w:rPr>
      </w:pPr>
      <w:r w:rsidRPr="00145E5A">
        <w:t>(</w:t>
      </w:r>
      <w:r w:rsidRPr="00145E5A">
        <w:rPr>
          <w:rStyle w:val="fnRefNo"/>
        </w:rPr>
        <w:footnoteRef/>
      </w:r>
      <w:r w:rsidRPr="00145E5A">
        <w:t>)</w:t>
      </w:r>
      <w:r w:rsidRPr="005A0981">
        <w:tab/>
      </w:r>
      <w:r w:rsidRPr="0032611A">
        <w:rPr>
          <w:i/>
        </w:rPr>
        <w:t>ITER programme statement</w:t>
      </w:r>
      <w:r w:rsidRPr="005A0981">
        <w:t>, pp.</w:t>
      </w:r>
      <w:r w:rsidRPr="005A0981">
        <w:rPr>
          <w:rFonts w:cs="Calibri"/>
        </w:rPr>
        <w:t> </w:t>
      </w:r>
      <w:r w:rsidRPr="005A0981">
        <w:t>1-2.</w:t>
      </w:r>
    </w:p>
  </w:footnote>
  <w:footnote w:id="52">
    <w:p w14:paraId="49530761" w14:textId="7A0E5A9B" w:rsidR="003C0461" w:rsidRPr="00415BAF" w:rsidRDefault="003C0461">
      <w:pPr>
        <w:pStyle w:val="FootnoteText"/>
        <w:rPr>
          <w:sz w:val="18"/>
          <w:szCs w:val="18"/>
        </w:rPr>
      </w:pPr>
      <w:r w:rsidRPr="00145E5A">
        <w:t>(</w:t>
      </w:r>
      <w:r w:rsidRPr="00145E5A">
        <w:rPr>
          <w:rStyle w:val="fnRefNo"/>
        </w:rPr>
        <w:footnoteRef/>
      </w:r>
      <w:r w:rsidRPr="00145E5A">
        <w:t>)</w:t>
      </w:r>
      <w:r w:rsidRPr="00A74585">
        <w:tab/>
      </w:r>
      <w:r>
        <w:t xml:space="preserve">Directorate-General for Energy, </w:t>
      </w:r>
      <w:r w:rsidRPr="0032611A">
        <w:rPr>
          <w:i/>
        </w:rPr>
        <w:t>2018 Annual activity report</w:t>
      </w:r>
      <w:r w:rsidRPr="00415BAF">
        <w:t>, p.</w:t>
      </w:r>
      <w:r w:rsidRPr="00B907A6">
        <w:rPr>
          <w:rFonts w:cs="Calibri"/>
        </w:rPr>
        <w:t> </w:t>
      </w:r>
      <w:r w:rsidRPr="00415BAF">
        <w:t>2</w:t>
      </w:r>
      <w:r>
        <w:t>8</w:t>
      </w:r>
      <w:r w:rsidRPr="00415BAF">
        <w:t>.</w:t>
      </w:r>
    </w:p>
  </w:footnote>
  <w:footnote w:id="53">
    <w:p w14:paraId="75EED51A" w14:textId="77777777" w:rsidR="003C0461" w:rsidRPr="001759CC" w:rsidRDefault="003C0461" w:rsidP="00B765DE">
      <w:pPr>
        <w:pStyle w:val="FootnoteText"/>
        <w:rPr>
          <w:rFonts w:ascii="Arial" w:hAnsi="Arial" w:cs="Arial"/>
          <w:sz w:val="18"/>
          <w:szCs w:val="18"/>
        </w:rPr>
      </w:pPr>
      <w:r w:rsidRPr="00145E5A">
        <w:t>(</w:t>
      </w:r>
      <w:r w:rsidRPr="00145E5A">
        <w:rPr>
          <w:rStyle w:val="fnRefNo"/>
        </w:rPr>
        <w:footnoteRef/>
      </w:r>
      <w:r w:rsidRPr="00145E5A">
        <w:t>)</w:t>
      </w:r>
      <w:r w:rsidRPr="00A74585">
        <w:tab/>
      </w:r>
      <w:r>
        <w:t xml:space="preserve">Directorate-General for Energy, </w:t>
      </w:r>
      <w:r w:rsidRPr="0032611A">
        <w:rPr>
          <w:i/>
        </w:rPr>
        <w:t>2018 Annual activity report</w:t>
      </w:r>
      <w:r w:rsidRPr="00415BAF">
        <w:t>, p.</w:t>
      </w:r>
      <w:r w:rsidRPr="00B907A6">
        <w:rPr>
          <w:rFonts w:cs="Calibri"/>
        </w:rPr>
        <w:t> </w:t>
      </w:r>
      <w:r w:rsidRPr="00415BAF">
        <w:t>2</w:t>
      </w:r>
      <w:r>
        <w:t>8</w:t>
      </w:r>
      <w:r w:rsidRPr="00415BAF">
        <w:t>.</w:t>
      </w:r>
    </w:p>
  </w:footnote>
  <w:footnote w:id="54">
    <w:p w14:paraId="6672448C" w14:textId="77777777" w:rsidR="003C0461" w:rsidRPr="00415BAF" w:rsidRDefault="003C0461" w:rsidP="00B765DE">
      <w:pPr>
        <w:pStyle w:val="FootnoteText"/>
        <w:rPr>
          <w:sz w:val="18"/>
          <w:szCs w:val="18"/>
        </w:rPr>
      </w:pPr>
      <w:r w:rsidRPr="00145E5A">
        <w:t>(</w:t>
      </w:r>
      <w:r w:rsidRPr="00145E5A">
        <w:rPr>
          <w:rStyle w:val="fnRefNo"/>
        </w:rPr>
        <w:footnoteRef/>
      </w:r>
      <w:r w:rsidRPr="00145E5A">
        <w:t>)</w:t>
      </w:r>
      <w:r w:rsidRPr="00A74585">
        <w:tab/>
      </w:r>
      <w:r w:rsidRPr="00415BAF">
        <w:rPr>
          <w:i/>
        </w:rPr>
        <w:t>Midterm progress report in accordance with Article</w:t>
      </w:r>
      <w:r w:rsidRPr="00B907A6">
        <w:rPr>
          <w:rFonts w:cs="Calibri"/>
          <w:i/>
        </w:rPr>
        <w:t> </w:t>
      </w:r>
      <w:r w:rsidRPr="00415BAF">
        <w:rPr>
          <w:i/>
        </w:rPr>
        <w:t>5b of the Council Decision establishing the European joint undertaking for ITER and the development of fusion energy and conferring advantages upon it</w:t>
      </w:r>
      <w:r w:rsidRPr="00415BAF">
        <w:t xml:space="preserve">, </w:t>
      </w:r>
      <w:hyperlink r:id="rId23" w:history="1">
        <w:r w:rsidRPr="00415BAF">
          <w:t>COM(2019) 147</w:t>
        </w:r>
      </w:hyperlink>
      <w:r w:rsidRPr="00415BAF">
        <w:t xml:space="preserve"> final, 21.3.2019, pp.</w:t>
      </w:r>
      <w:r w:rsidRPr="00B907A6">
        <w:rPr>
          <w:rFonts w:cs="Calibri"/>
        </w:rPr>
        <w:t> </w:t>
      </w:r>
      <w:r w:rsidRPr="00415BAF">
        <w:t>20-21.</w:t>
      </w:r>
    </w:p>
  </w:footnote>
  <w:footnote w:id="55">
    <w:p w14:paraId="48BCA3AC" w14:textId="77777777" w:rsidR="003C0461" w:rsidRPr="00415BAF" w:rsidRDefault="003C0461" w:rsidP="00B765DE">
      <w:pPr>
        <w:pStyle w:val="FootnoteText"/>
        <w:rPr>
          <w:sz w:val="18"/>
          <w:szCs w:val="18"/>
        </w:rPr>
      </w:pPr>
      <w:r w:rsidRPr="00145E5A">
        <w:t>(</w:t>
      </w:r>
      <w:r w:rsidRPr="00145E5A">
        <w:rPr>
          <w:rStyle w:val="fnRefNo"/>
        </w:rPr>
        <w:footnoteRef/>
      </w:r>
      <w:r w:rsidRPr="00145E5A">
        <w:t>)</w:t>
      </w:r>
      <w:r w:rsidRPr="00A74585">
        <w:tab/>
      </w:r>
      <w:r w:rsidRPr="00415BAF">
        <w:rPr>
          <w:i/>
        </w:rPr>
        <w:t>Proposal for a Council decision amending Decision 2007/198/Euratom establishing the European joint undertaking for ITER and the development of fusion energy and conferring advantages upon it</w:t>
      </w:r>
      <w:r w:rsidRPr="00415BAF">
        <w:t xml:space="preserve"> </w:t>
      </w:r>
      <w:r w:rsidRPr="00415BAF">
        <w:rPr>
          <w:i/>
        </w:rPr>
        <w:t>— Explanatory memorandum</w:t>
      </w:r>
      <w:r w:rsidRPr="00415BAF">
        <w:t xml:space="preserve">, </w:t>
      </w:r>
      <w:hyperlink r:id="rId24" w:history="1">
        <w:r w:rsidRPr="00415BAF">
          <w:t>COM(2018) 445</w:t>
        </w:r>
      </w:hyperlink>
      <w:r w:rsidRPr="00415BAF">
        <w:t xml:space="preserve"> final, 7.6.2018</w:t>
      </w:r>
      <w:r w:rsidRPr="00415BAF" w:rsidDel="00614803">
        <w:t>,</w:t>
      </w:r>
      <w:r w:rsidRPr="00415BAF">
        <w:t xml:space="preserve"> p.</w:t>
      </w:r>
      <w:r w:rsidRPr="00B907A6">
        <w:rPr>
          <w:rFonts w:cs="Calibri"/>
        </w:rPr>
        <w:t> </w:t>
      </w:r>
      <w:r w:rsidRPr="00415BAF">
        <w:t>4</w:t>
      </w:r>
      <w:r w:rsidRPr="00415BAF">
        <w:rPr>
          <w:sz w:val="18"/>
          <w:szCs w:val="18"/>
        </w:rPr>
        <w:t>.</w:t>
      </w:r>
    </w:p>
  </w:footnote>
  <w:footnote w:id="56">
    <w:p w14:paraId="07DFDE25" w14:textId="77777777" w:rsidR="003C0461" w:rsidRPr="00415BAF" w:rsidRDefault="003C0461" w:rsidP="00B765DE">
      <w:pPr>
        <w:pStyle w:val="FootnoteText"/>
        <w:rPr>
          <w:sz w:val="18"/>
          <w:szCs w:val="18"/>
        </w:rPr>
      </w:pPr>
      <w:r w:rsidRPr="00145E5A">
        <w:t>(</w:t>
      </w:r>
      <w:r w:rsidRPr="00145E5A">
        <w:rPr>
          <w:rStyle w:val="fnRefNo"/>
        </w:rPr>
        <w:footnoteRef/>
      </w:r>
      <w:r w:rsidRPr="00145E5A">
        <w:t>)</w:t>
      </w:r>
      <w:r w:rsidRPr="00A74585">
        <w:tab/>
      </w:r>
      <w:r w:rsidRPr="00415BAF">
        <w:rPr>
          <w:i/>
        </w:rPr>
        <w:t>Midterm progress report in accordance with Article</w:t>
      </w:r>
      <w:r w:rsidRPr="00B907A6">
        <w:rPr>
          <w:rFonts w:cs="Calibri"/>
          <w:i/>
        </w:rPr>
        <w:t> </w:t>
      </w:r>
      <w:r w:rsidRPr="00415BAF">
        <w:rPr>
          <w:i/>
        </w:rPr>
        <w:t>5b of the Council Decision establishing the European joint undertaking for ITER and the development of fusion energy and conferring advantages upon it</w:t>
      </w:r>
      <w:r w:rsidRPr="00415BAF">
        <w:t xml:space="preserve">, </w:t>
      </w:r>
      <w:hyperlink r:id="rId25" w:history="1">
        <w:r w:rsidRPr="00415BAF">
          <w:t>COM(2019) 147</w:t>
        </w:r>
      </w:hyperlink>
      <w:r w:rsidRPr="00415BAF">
        <w:t xml:space="preserve"> final, 21.3.2019, p</w:t>
      </w:r>
      <w:r>
        <w:t xml:space="preserve"> </w:t>
      </w:r>
      <w:r w:rsidRPr="00415BAF" w:rsidDel="00654F7E">
        <w:t>9</w:t>
      </w:r>
      <w:r w:rsidRPr="00415BAF">
        <w:t>.</w:t>
      </w:r>
    </w:p>
  </w:footnote>
  <w:footnote w:id="57">
    <w:p w14:paraId="4332B7CF" w14:textId="017C9F2F" w:rsidR="003C0461" w:rsidRPr="00415BAF" w:rsidRDefault="003C0461">
      <w:pPr>
        <w:pStyle w:val="FootnoteText"/>
      </w:pPr>
      <w:r w:rsidRPr="00145E5A">
        <w:t>(</w:t>
      </w:r>
      <w:r w:rsidRPr="00145E5A">
        <w:rPr>
          <w:rStyle w:val="fnRefNo"/>
        </w:rPr>
        <w:footnoteRef/>
      </w:r>
      <w:r w:rsidRPr="00145E5A">
        <w:t>)</w:t>
      </w:r>
      <w:r w:rsidRPr="00A74585">
        <w:tab/>
      </w:r>
      <w:r w:rsidRPr="00415BAF">
        <w:rPr>
          <w:rStyle w:val="FootnoteTextChar"/>
        </w:rPr>
        <w:t>The initial goal set in 2015 was EUR 315</w:t>
      </w:r>
      <w:r w:rsidRPr="00B907A6">
        <w:rPr>
          <w:rStyle w:val="FootnoteTextChar"/>
          <w:rFonts w:cs="Calibri"/>
        </w:rPr>
        <w:t> </w:t>
      </w:r>
      <w:r w:rsidRPr="00415BAF">
        <w:rPr>
          <w:rStyle w:val="FootnoteTextChar"/>
        </w:rPr>
        <w:t>billion. On 1</w:t>
      </w:r>
      <w:r w:rsidRPr="00B907A6">
        <w:rPr>
          <w:rStyle w:val="FootnoteTextChar"/>
          <w:rFonts w:cs="Calibri"/>
        </w:rPr>
        <w:t> </w:t>
      </w:r>
      <w:r w:rsidRPr="00415BAF">
        <w:rPr>
          <w:rStyle w:val="FootnoteTextChar"/>
        </w:rPr>
        <w:t>January</w:t>
      </w:r>
      <w:r w:rsidRPr="00B907A6">
        <w:rPr>
          <w:rStyle w:val="FootnoteTextChar"/>
          <w:rFonts w:cs="Calibri"/>
        </w:rPr>
        <w:t xml:space="preserve"> </w:t>
      </w:r>
      <w:r w:rsidRPr="00415BAF" w:rsidDel="00E9307F">
        <w:rPr>
          <w:rStyle w:val="FootnoteTextChar"/>
        </w:rPr>
        <w:t>2018</w:t>
      </w:r>
      <w:r w:rsidRPr="00415BAF">
        <w:rPr>
          <w:rStyle w:val="FootnoteTextChar"/>
        </w:rPr>
        <w:t xml:space="preserve">, the regulation to extend and enhance the </w:t>
      </w:r>
      <w:r w:rsidRPr="00415BAF">
        <w:t xml:space="preserve">European Fund for Strategic Investments </w:t>
      </w:r>
      <w:r w:rsidRPr="00415BAF">
        <w:rPr>
          <w:rStyle w:val="FootnoteTextChar"/>
        </w:rPr>
        <w:t>(</w:t>
      </w:r>
      <w:r w:rsidRPr="00415BAF">
        <w:t xml:space="preserve">European Fund for Strategic Investments </w:t>
      </w:r>
      <w:r w:rsidRPr="00415BAF">
        <w:rPr>
          <w:rStyle w:val="FootnoteTextChar"/>
        </w:rPr>
        <w:t>2.0) entered into force. It extends the fund’s lifetime to end-2020 and raises its investment target to EUR</w:t>
      </w:r>
      <w:r w:rsidRPr="00B907A6">
        <w:rPr>
          <w:rStyle w:val="FootnoteTextChar"/>
          <w:rFonts w:cs="Calibri"/>
        </w:rPr>
        <w:t> </w:t>
      </w:r>
      <w:r w:rsidRPr="00415BAF">
        <w:rPr>
          <w:rStyle w:val="FootnoteTextChar"/>
        </w:rPr>
        <w:t>500</w:t>
      </w:r>
      <w:r w:rsidRPr="00B907A6">
        <w:rPr>
          <w:rStyle w:val="FootnoteTextChar"/>
          <w:rFonts w:cs="Calibri"/>
        </w:rPr>
        <w:t> </w:t>
      </w:r>
      <w:r w:rsidRPr="00415BAF">
        <w:rPr>
          <w:rStyle w:val="FootnoteTextChar"/>
        </w:rPr>
        <w:t>billion. It also aims, inter alia, at increasing the transparency of the investment decisions and providing more technical support.</w:t>
      </w:r>
    </w:p>
  </w:footnote>
  <w:footnote w:id="58">
    <w:p w14:paraId="1701220D" w14:textId="614DB91C" w:rsidR="003C0461" w:rsidRPr="00F10338" w:rsidRDefault="003C0461">
      <w:pPr>
        <w:pStyle w:val="FootnoteText"/>
      </w:pPr>
      <w:r>
        <w:t>(</w:t>
      </w:r>
      <w:r>
        <w:rPr>
          <w:rStyle w:val="FootnoteReference"/>
        </w:rPr>
        <w:footnoteRef/>
      </w:r>
      <w:r>
        <w:t xml:space="preserve">) </w:t>
      </w:r>
      <w:r>
        <w:tab/>
        <w:t>The amount as per 15 May 2019 was EUR 399 billion and EUR 408 billion as per 13 June 2019.</w:t>
      </w:r>
    </w:p>
  </w:footnote>
  <w:footnote w:id="59">
    <w:p w14:paraId="69D428B1" w14:textId="66D603DE" w:rsidR="003C0461" w:rsidRPr="00415BAF" w:rsidRDefault="003C0461" w:rsidP="00757144">
      <w:pPr>
        <w:pStyle w:val="FootnoteText"/>
        <w:rPr>
          <w:sz w:val="18"/>
          <w:szCs w:val="18"/>
        </w:rPr>
      </w:pPr>
      <w:r w:rsidRPr="00145E5A">
        <w:t>(</w:t>
      </w:r>
      <w:r w:rsidRPr="00145E5A">
        <w:rPr>
          <w:rStyle w:val="fnRefNo"/>
        </w:rPr>
        <w:footnoteRef/>
      </w:r>
      <w:r w:rsidRPr="00145E5A">
        <w:t>)</w:t>
      </w:r>
      <w:r w:rsidRPr="00A74585">
        <w:tab/>
        <w:t xml:space="preserve">Evaluation of the European Fund for Strategic Investments, of the European Investment Advisory Hub, and of the European Investment Project Portal, </w:t>
      </w:r>
      <w:r w:rsidRPr="00415BAF">
        <w:t>SWD(2018) 316 final, 6.6.2018, p.</w:t>
      </w:r>
      <w:r w:rsidRPr="00B907A6">
        <w:rPr>
          <w:rFonts w:cs="Calibri"/>
        </w:rPr>
        <w:t> </w:t>
      </w:r>
      <w:r w:rsidRPr="00415BAF">
        <w:t>55.</w:t>
      </w:r>
    </w:p>
  </w:footnote>
  <w:footnote w:id="60">
    <w:p w14:paraId="45B7F705" w14:textId="5DE8205E" w:rsidR="003C0461" w:rsidRPr="003A3E17" w:rsidRDefault="003C0461">
      <w:pPr>
        <w:pStyle w:val="FootnoteText"/>
      </w:pPr>
      <w:r>
        <w:t>(</w:t>
      </w:r>
      <w:r>
        <w:rPr>
          <w:rStyle w:val="FootnoteReference"/>
        </w:rPr>
        <w:footnoteRef/>
      </w:r>
      <w:r>
        <w:t xml:space="preserve">) </w:t>
      </w:r>
      <w:r>
        <w:tab/>
        <w:t xml:space="preserve">Information as per 13 June 2019, source: </w:t>
      </w:r>
      <w:r w:rsidRPr="00A04E56">
        <w:t xml:space="preserve">European Investment </w:t>
      </w:r>
      <w:r w:rsidR="003D6477">
        <w:t xml:space="preserve">Bank </w:t>
      </w:r>
      <w:r w:rsidRPr="00A04E56">
        <w:t xml:space="preserve">Group – </w:t>
      </w:r>
      <w:hyperlink r:id="rId26" w:history="1">
        <w:r w:rsidRPr="00A04E56">
          <w:rPr>
            <w:rStyle w:val="Hyperlink"/>
          </w:rPr>
          <w:t>http://www.eib.org/efsi/</w:t>
        </w:r>
      </w:hyperlink>
    </w:p>
  </w:footnote>
  <w:footnote w:id="61">
    <w:p w14:paraId="7E0BA59C" w14:textId="607F6C38" w:rsidR="003C0461" w:rsidRPr="00415BAF" w:rsidRDefault="003C0461" w:rsidP="00523F3B">
      <w:pPr>
        <w:pStyle w:val="FootnoteText"/>
      </w:pPr>
      <w:r w:rsidRPr="00145E5A">
        <w:t>(</w:t>
      </w:r>
      <w:r w:rsidRPr="00145E5A">
        <w:rPr>
          <w:rStyle w:val="fnRefNo"/>
        </w:rPr>
        <w:footnoteRef/>
      </w:r>
      <w:r w:rsidRPr="00145E5A">
        <w:t>)</w:t>
      </w:r>
      <w:r w:rsidRPr="00A74585">
        <w:tab/>
      </w:r>
      <w:r w:rsidRPr="00A74585">
        <w:rPr>
          <w:szCs w:val="16"/>
        </w:rPr>
        <w:t>European Commission,</w:t>
      </w:r>
      <w:r w:rsidRPr="00A74585">
        <w:t xml:space="preserve"> </w:t>
      </w:r>
      <w:r w:rsidRPr="0032611A">
        <w:rPr>
          <w:i/>
          <w:szCs w:val="16"/>
        </w:rPr>
        <w:t>Juncker plan — State of play</w:t>
      </w:r>
      <w:r w:rsidRPr="0032611A">
        <w:rPr>
          <w:i/>
        </w:rPr>
        <w:t xml:space="preserve">, </w:t>
      </w:r>
      <w:r w:rsidRPr="0032611A">
        <w:rPr>
          <w:i/>
          <w:szCs w:val="16"/>
        </w:rPr>
        <w:t>2019</w:t>
      </w:r>
      <w:r w:rsidRPr="00A74585">
        <w:rPr>
          <w:szCs w:val="16"/>
        </w:rPr>
        <w:t>, p.</w:t>
      </w:r>
      <w:r w:rsidRPr="00A74585">
        <w:rPr>
          <w:rFonts w:ascii="Arial" w:hAnsi="Arial" w:cs="Arial"/>
          <w:szCs w:val="16"/>
        </w:rPr>
        <w:t> </w:t>
      </w:r>
      <w:r w:rsidRPr="00A74585">
        <w:rPr>
          <w:szCs w:val="16"/>
        </w:rPr>
        <w:t xml:space="preserve">5 </w:t>
      </w:r>
      <w:r w:rsidRPr="00415BAF">
        <w:t xml:space="preserve">— </w:t>
      </w:r>
      <w:hyperlink r:id="rId27" w:history="1">
        <w:r w:rsidRPr="00415BAF">
          <w:rPr>
            <w:rStyle w:val="Hyperlink"/>
          </w:rPr>
          <w:t>https://ec.europa.eu/commission/sites/beta-political/files/brochure-investment-plan-17x17-mar19_en.pdf</w:t>
        </w:r>
      </w:hyperlink>
    </w:p>
  </w:footnote>
  <w:footnote w:id="62">
    <w:p w14:paraId="05BFA0ED" w14:textId="062B6A77" w:rsidR="003C0461" w:rsidRPr="00415BAF" w:rsidRDefault="003C0461" w:rsidP="00523F3B">
      <w:pPr>
        <w:pStyle w:val="FootnoteText"/>
      </w:pPr>
      <w:r w:rsidRPr="00145E5A">
        <w:t>(</w:t>
      </w:r>
      <w:r w:rsidRPr="00145E5A">
        <w:rPr>
          <w:rStyle w:val="fnRefNo"/>
        </w:rPr>
        <w:footnoteRef/>
      </w:r>
      <w:r w:rsidRPr="00145E5A">
        <w:t>)</w:t>
      </w:r>
      <w:r w:rsidRPr="00A74585">
        <w:tab/>
      </w:r>
      <w:r w:rsidRPr="00A74585">
        <w:rPr>
          <w:szCs w:val="16"/>
        </w:rPr>
        <w:t>European Commission,</w:t>
      </w:r>
      <w:r w:rsidRPr="00A74585">
        <w:t xml:space="preserve"> </w:t>
      </w:r>
      <w:r w:rsidRPr="0032611A">
        <w:rPr>
          <w:i/>
          <w:szCs w:val="16"/>
        </w:rPr>
        <w:t>Juncker plan — State of play</w:t>
      </w:r>
      <w:r w:rsidRPr="0032611A">
        <w:rPr>
          <w:i/>
        </w:rPr>
        <w:t xml:space="preserve">, </w:t>
      </w:r>
      <w:r w:rsidRPr="0032611A">
        <w:rPr>
          <w:i/>
          <w:szCs w:val="16"/>
        </w:rPr>
        <w:t>2019</w:t>
      </w:r>
      <w:r w:rsidRPr="00A74585">
        <w:rPr>
          <w:szCs w:val="16"/>
        </w:rPr>
        <w:t>, p.</w:t>
      </w:r>
      <w:r w:rsidRPr="00A74585">
        <w:rPr>
          <w:rFonts w:ascii="Arial" w:hAnsi="Arial" w:cs="Arial"/>
          <w:szCs w:val="16"/>
        </w:rPr>
        <w:t> </w:t>
      </w:r>
      <w:r w:rsidRPr="00A018C2">
        <w:rPr>
          <w:szCs w:val="16"/>
        </w:rPr>
        <w:t>12</w:t>
      </w:r>
      <w:r w:rsidRPr="00A74585">
        <w:rPr>
          <w:szCs w:val="16"/>
        </w:rPr>
        <w:t xml:space="preserve"> </w:t>
      </w:r>
      <w:r w:rsidRPr="00415BAF">
        <w:t xml:space="preserve">— </w:t>
      </w:r>
      <w:hyperlink r:id="rId28" w:history="1">
        <w:r w:rsidRPr="00415BAF">
          <w:rPr>
            <w:rStyle w:val="Hyperlink"/>
          </w:rPr>
          <w:t>https://ec.europa.eu/commission/sites/beta-political/files/brochure-investment-plan-17x17-mar19_en.pdf</w:t>
        </w:r>
      </w:hyperlink>
    </w:p>
  </w:footnote>
  <w:footnote w:id="63">
    <w:p w14:paraId="21FA0E47" w14:textId="09195489" w:rsidR="003C0461" w:rsidRPr="00415BAF" w:rsidRDefault="003C0461">
      <w:pPr>
        <w:pStyle w:val="FootnoteText"/>
      </w:pPr>
      <w:r w:rsidRPr="00145E5A">
        <w:t>(</w:t>
      </w:r>
      <w:r w:rsidRPr="00145E5A">
        <w:rPr>
          <w:rStyle w:val="fnRefNo"/>
        </w:rPr>
        <w:footnoteRef/>
      </w:r>
      <w:r w:rsidRPr="00145E5A">
        <w:t>)</w:t>
      </w:r>
      <w:r w:rsidRPr="00A74585">
        <w:tab/>
      </w:r>
      <w:r w:rsidRPr="00415BAF">
        <w:t>As part of its Europe 2020 strategy, in 2010 the EU set three targets for broadband: by 2013, to bring basic broadband (up to 30</w:t>
      </w:r>
      <w:r w:rsidRPr="00B907A6">
        <w:rPr>
          <w:rFonts w:cs="Calibri"/>
        </w:rPr>
        <w:t> </w:t>
      </w:r>
      <w:r w:rsidRPr="00415BAF">
        <w:t>Mbps) to all Europeans; by 2020, to provide all Europeans with fast broadband (over 30</w:t>
      </w:r>
      <w:r w:rsidRPr="00B907A6">
        <w:rPr>
          <w:rFonts w:cs="Calibri"/>
        </w:rPr>
        <w:t> </w:t>
      </w:r>
      <w:r w:rsidRPr="00415BAF">
        <w:t>Mbps); and by 2020, to ensure take-up by 50% or more of European households to ultra-fast broadband (over 100</w:t>
      </w:r>
      <w:r w:rsidRPr="00B907A6">
        <w:rPr>
          <w:rFonts w:cs="Calibri"/>
        </w:rPr>
        <w:t> </w:t>
      </w:r>
      <w:r w:rsidRPr="00415BAF">
        <w:t>Mbps). To support these objectives, the EU has implemented a series of policy and regulatory measures and has made some EUR 15</w:t>
      </w:r>
      <w:r w:rsidRPr="00B907A6">
        <w:rPr>
          <w:rFonts w:cs="Calibri"/>
        </w:rPr>
        <w:t> </w:t>
      </w:r>
      <w:r w:rsidRPr="00415BAF">
        <w:t>billion available to Member States in the period 2014-2020 through a variety of funding sources and types, including EUR 5.6</w:t>
      </w:r>
      <w:r w:rsidRPr="00B907A6">
        <w:rPr>
          <w:rFonts w:cs="Calibri"/>
        </w:rPr>
        <w:t> </w:t>
      </w:r>
      <w:r w:rsidRPr="00415BAF">
        <w:t>billion in loans from the European Investment Bank.</w:t>
      </w:r>
      <w:r>
        <w:t xml:space="preserve"> A summary of the fund’s investment guidelines are available online on the European Commission’s Digital Single Market (DSM) webpage: </w:t>
      </w:r>
      <w:hyperlink r:id="rId29" w:history="1">
        <w:r w:rsidRPr="00002B6B">
          <w:rPr>
            <w:rStyle w:val="Hyperlink"/>
          </w:rPr>
          <w:t>https://ec.europa.eu/digital-single-market/en/news/connecting-europe-broadband-fund</w:t>
        </w:r>
      </w:hyperlink>
      <w:r>
        <w:t>.</w:t>
      </w:r>
    </w:p>
  </w:footnote>
  <w:footnote w:id="64">
    <w:p w14:paraId="60B859B6" w14:textId="4A9FFE91" w:rsidR="003C0461" w:rsidRPr="00415BAF" w:rsidRDefault="003C0461" w:rsidP="00C847A4">
      <w:pPr>
        <w:pStyle w:val="FootnoteText"/>
      </w:pPr>
      <w:r w:rsidRPr="00145E5A">
        <w:t>(</w:t>
      </w:r>
      <w:r w:rsidRPr="00145E5A">
        <w:rPr>
          <w:rStyle w:val="fnRefNo"/>
        </w:rPr>
        <w:footnoteRef/>
      </w:r>
      <w:r w:rsidRPr="00145E5A">
        <w:t>)</w:t>
      </w:r>
      <w:r w:rsidRPr="00A74585">
        <w:tab/>
      </w:r>
      <w:r w:rsidRPr="00A74585">
        <w:rPr>
          <w:szCs w:val="16"/>
        </w:rPr>
        <w:t>European Commission,</w:t>
      </w:r>
      <w:r w:rsidRPr="00A74585">
        <w:t xml:space="preserve"> </w:t>
      </w:r>
      <w:r w:rsidRPr="0032611A">
        <w:rPr>
          <w:i/>
          <w:szCs w:val="16"/>
        </w:rPr>
        <w:t>Juncker plan — State of play</w:t>
      </w:r>
      <w:r w:rsidRPr="0032611A">
        <w:rPr>
          <w:i/>
        </w:rPr>
        <w:t xml:space="preserve">, </w:t>
      </w:r>
      <w:r w:rsidRPr="0032611A">
        <w:rPr>
          <w:i/>
          <w:szCs w:val="16"/>
        </w:rPr>
        <w:t>2019</w:t>
      </w:r>
      <w:r w:rsidRPr="00A74585">
        <w:rPr>
          <w:szCs w:val="16"/>
        </w:rPr>
        <w:t>, p.</w:t>
      </w:r>
      <w:r w:rsidRPr="00A74585">
        <w:rPr>
          <w:rFonts w:ascii="Arial" w:hAnsi="Arial" w:cs="Arial"/>
          <w:szCs w:val="16"/>
        </w:rPr>
        <w:t> </w:t>
      </w:r>
      <w:r>
        <w:rPr>
          <w:szCs w:val="16"/>
        </w:rPr>
        <w:t>9</w:t>
      </w:r>
      <w:r w:rsidRPr="00A74585">
        <w:rPr>
          <w:szCs w:val="16"/>
        </w:rPr>
        <w:t xml:space="preserve"> </w:t>
      </w:r>
      <w:r w:rsidRPr="00415BAF">
        <w:t xml:space="preserve">— </w:t>
      </w:r>
      <w:hyperlink r:id="rId30" w:history="1">
        <w:r w:rsidRPr="00415BAF">
          <w:rPr>
            <w:rStyle w:val="Hyperlink"/>
          </w:rPr>
          <w:t>https://ec.europa.eu/commission/sites/beta-political/files/brochure-investment-plan-17x17-mar19_en.pdf</w:t>
        </w:r>
      </w:hyperlink>
    </w:p>
  </w:footnote>
  <w:footnote w:id="65">
    <w:p w14:paraId="14D84BFF" w14:textId="7DC35D68" w:rsidR="003C0461" w:rsidRPr="00415BAF" w:rsidRDefault="003C0461" w:rsidP="00720C99">
      <w:pPr>
        <w:pStyle w:val="FootnoteText"/>
        <w:rPr>
          <w:sz w:val="18"/>
          <w:szCs w:val="18"/>
        </w:rPr>
      </w:pPr>
      <w:r w:rsidRPr="00145E5A">
        <w:t>(</w:t>
      </w:r>
      <w:r w:rsidRPr="00145E5A">
        <w:rPr>
          <w:rStyle w:val="fnRefNo"/>
        </w:rPr>
        <w:footnoteRef/>
      </w:r>
      <w:r w:rsidRPr="00145E5A">
        <w:t>)</w:t>
      </w:r>
      <w:r w:rsidRPr="00A74585">
        <w:tab/>
      </w:r>
      <w:r>
        <w:rPr>
          <w:i/>
        </w:rPr>
        <w:t>P</w:t>
      </w:r>
      <w:r w:rsidRPr="00415BAF">
        <w:rPr>
          <w:i/>
        </w:rPr>
        <w:t xml:space="preserve">rogramme statement </w:t>
      </w:r>
      <w:r>
        <w:rPr>
          <w:i/>
        </w:rPr>
        <w:t>2020</w:t>
      </w:r>
      <w:r w:rsidRPr="00415BAF">
        <w:rPr>
          <w:i/>
        </w:rPr>
        <w:t xml:space="preserve"> Connecting Europe Facility</w:t>
      </w:r>
      <w:r w:rsidRPr="00415BAF">
        <w:t>, p.</w:t>
      </w:r>
      <w:r w:rsidRPr="00B907A6">
        <w:rPr>
          <w:rFonts w:cs="Calibri"/>
        </w:rPr>
        <w:t> </w:t>
      </w:r>
      <w:r>
        <w:t>163</w:t>
      </w:r>
      <w:r w:rsidRPr="00415BAF">
        <w:t>.</w:t>
      </w:r>
    </w:p>
  </w:footnote>
  <w:footnote w:id="66">
    <w:p w14:paraId="48E8327A" w14:textId="4AE350BF" w:rsidR="003C0461" w:rsidRPr="00415BAF" w:rsidRDefault="003C0461" w:rsidP="00720C99">
      <w:pPr>
        <w:pStyle w:val="FootnoteText"/>
        <w:rPr>
          <w:sz w:val="18"/>
          <w:szCs w:val="18"/>
        </w:rPr>
      </w:pPr>
      <w:r w:rsidRPr="00145E5A">
        <w:t>(</w:t>
      </w:r>
      <w:r w:rsidRPr="00145E5A">
        <w:rPr>
          <w:rStyle w:val="fnRefNo"/>
        </w:rPr>
        <w:footnoteRef/>
      </w:r>
      <w:r w:rsidRPr="00145E5A">
        <w:t>)</w:t>
      </w:r>
      <w:r w:rsidRPr="00A74585">
        <w:tab/>
      </w:r>
      <w:r w:rsidRPr="0032611A">
        <w:rPr>
          <w:i/>
        </w:rPr>
        <w:t>Programme statement 2020 Connecting Europe Facility</w:t>
      </w:r>
      <w:r w:rsidRPr="00415BAF">
        <w:t>, p. </w:t>
      </w:r>
      <w:r>
        <w:t>163</w:t>
      </w:r>
      <w:r w:rsidRPr="00415BAF">
        <w:t>.</w:t>
      </w:r>
    </w:p>
  </w:footnote>
  <w:footnote w:id="67">
    <w:p w14:paraId="1774585B" w14:textId="54F8DD9E" w:rsidR="003C0461" w:rsidRPr="00415BAF" w:rsidRDefault="003C0461" w:rsidP="00A52500">
      <w:pPr>
        <w:pStyle w:val="FootnoteText"/>
        <w:rPr>
          <w:sz w:val="18"/>
          <w:szCs w:val="18"/>
        </w:rPr>
      </w:pPr>
      <w:r w:rsidRPr="00145E5A">
        <w:t>(</w:t>
      </w:r>
      <w:r w:rsidRPr="00145E5A">
        <w:rPr>
          <w:rStyle w:val="fnRefNo"/>
        </w:rPr>
        <w:footnoteRef/>
      </w:r>
      <w:r w:rsidRPr="00145E5A">
        <w:t>)</w:t>
      </w:r>
      <w:r w:rsidRPr="00A74585">
        <w:tab/>
      </w:r>
      <w:r w:rsidRPr="00415BAF">
        <w:t>Directorate-General for Mobility and Transport</w:t>
      </w:r>
      <w:r>
        <w:t xml:space="preserve">, </w:t>
      </w:r>
      <w:r w:rsidRPr="0032611A">
        <w:rPr>
          <w:i/>
        </w:rPr>
        <w:t>2018 Annual activity report</w:t>
      </w:r>
      <w:r w:rsidRPr="00415BAF">
        <w:t>, p.</w:t>
      </w:r>
      <w:r w:rsidRPr="00B907A6">
        <w:rPr>
          <w:rFonts w:cs="Calibri"/>
        </w:rPr>
        <w:t> </w:t>
      </w:r>
      <w:r w:rsidRPr="00415BAF">
        <w:t>3</w:t>
      </w:r>
      <w:r>
        <w:t>4</w:t>
      </w:r>
      <w:r w:rsidRPr="00415BAF">
        <w:t>.</w:t>
      </w:r>
    </w:p>
  </w:footnote>
  <w:footnote w:id="68">
    <w:p w14:paraId="44414E2C" w14:textId="0D9D93DE" w:rsidR="003C0461" w:rsidRPr="00415BAF" w:rsidRDefault="003C0461" w:rsidP="004B5A01">
      <w:pPr>
        <w:pStyle w:val="FootnoteText"/>
      </w:pPr>
      <w:r w:rsidRPr="00145E5A">
        <w:t>(</w:t>
      </w:r>
      <w:r w:rsidRPr="00145E5A">
        <w:rPr>
          <w:rStyle w:val="fnRefNo"/>
        </w:rPr>
        <w:footnoteRef/>
      </w:r>
      <w:r w:rsidRPr="00145E5A">
        <w:t>)</w:t>
      </w:r>
      <w:r w:rsidRPr="00A74585">
        <w:tab/>
      </w:r>
      <w:r w:rsidRPr="0032611A">
        <w:rPr>
          <w:i/>
        </w:rPr>
        <w:t>Programme statement 2020 Connecting Europe Facility</w:t>
      </w:r>
      <w:r w:rsidRPr="00415BAF">
        <w:t>, p.</w:t>
      </w:r>
      <w:r w:rsidRPr="00B907A6">
        <w:rPr>
          <w:rFonts w:cs="Calibri"/>
        </w:rPr>
        <w:t> </w:t>
      </w:r>
      <w:r>
        <w:t>163</w:t>
      </w:r>
      <w:r w:rsidRPr="00415BAF">
        <w:t>.</w:t>
      </w:r>
    </w:p>
  </w:footnote>
  <w:footnote w:id="69">
    <w:p w14:paraId="093A5DED" w14:textId="388F4E02" w:rsidR="003C0461" w:rsidRPr="00415BAF" w:rsidRDefault="003C0461" w:rsidP="00F27F0E">
      <w:pPr>
        <w:pStyle w:val="FootnoteText"/>
      </w:pPr>
      <w:r w:rsidRPr="00145E5A">
        <w:t>(</w:t>
      </w:r>
      <w:r w:rsidRPr="00145E5A">
        <w:rPr>
          <w:rStyle w:val="fnRefNo"/>
        </w:rPr>
        <w:footnoteRef/>
      </w:r>
      <w:r w:rsidRPr="00145E5A">
        <w:t>)</w:t>
      </w:r>
      <w:r w:rsidRPr="00A74585">
        <w:tab/>
      </w:r>
      <w:r w:rsidRPr="0032611A">
        <w:rPr>
          <w:i/>
        </w:rPr>
        <w:t>Programme statement 2018 Connecting Europe Facility</w:t>
      </w:r>
      <w:r w:rsidRPr="00415BAF">
        <w:t>, p.</w:t>
      </w:r>
      <w:r w:rsidRPr="00B907A6">
        <w:rPr>
          <w:rFonts w:cs="Calibri"/>
        </w:rPr>
        <w:t> </w:t>
      </w:r>
      <w:r>
        <w:t>7</w:t>
      </w:r>
      <w:r w:rsidRPr="00415BAF">
        <w:t>.</w:t>
      </w:r>
    </w:p>
  </w:footnote>
  <w:footnote w:id="70">
    <w:p w14:paraId="36EA1C68" w14:textId="77777777" w:rsidR="003C0461" w:rsidRPr="00415BAF" w:rsidRDefault="003C0461" w:rsidP="00FA0AAF">
      <w:pPr>
        <w:pStyle w:val="FootnoteText"/>
        <w:rPr>
          <w:sz w:val="18"/>
          <w:szCs w:val="18"/>
        </w:rPr>
      </w:pPr>
      <w:r w:rsidRPr="00145E5A">
        <w:t>(</w:t>
      </w:r>
      <w:r w:rsidRPr="00145E5A">
        <w:rPr>
          <w:rStyle w:val="fnRefNo"/>
        </w:rPr>
        <w:footnoteRef/>
      </w:r>
      <w:r w:rsidRPr="00145E5A">
        <w:t>)</w:t>
      </w:r>
      <w:r w:rsidRPr="00A74585">
        <w:tab/>
      </w:r>
      <w:r w:rsidRPr="0032611A">
        <w:rPr>
          <w:i/>
        </w:rPr>
        <w:t>Programme statement 2018 Connecting Europe Facility</w:t>
      </w:r>
      <w:r w:rsidRPr="00415BAF">
        <w:t>, p.</w:t>
      </w:r>
      <w:r w:rsidRPr="00B907A6">
        <w:rPr>
          <w:rFonts w:cs="Calibri"/>
        </w:rPr>
        <w:t> </w:t>
      </w:r>
      <w:r>
        <w:rPr>
          <w:rFonts w:cs="Calibri"/>
        </w:rPr>
        <w:t>5</w:t>
      </w:r>
      <w:r w:rsidRPr="00415BAF">
        <w:t>.</w:t>
      </w:r>
    </w:p>
  </w:footnote>
  <w:footnote w:id="71">
    <w:p w14:paraId="50BB44CA" w14:textId="77777777" w:rsidR="003C0461" w:rsidRPr="00415BAF" w:rsidRDefault="003C0461" w:rsidP="00651E53">
      <w:pPr>
        <w:pStyle w:val="FootnoteText"/>
        <w:rPr>
          <w:sz w:val="18"/>
          <w:szCs w:val="18"/>
        </w:rPr>
      </w:pPr>
      <w:r w:rsidRPr="00145E5A">
        <w:t>(</w:t>
      </w:r>
      <w:r w:rsidRPr="00145E5A">
        <w:rPr>
          <w:rStyle w:val="fnRefNo"/>
        </w:rPr>
        <w:footnoteRef/>
      </w:r>
      <w:r w:rsidRPr="00145E5A">
        <w:t>)</w:t>
      </w:r>
      <w:r w:rsidRPr="00A74585">
        <w:tab/>
      </w:r>
      <w:r w:rsidRPr="0032611A">
        <w:rPr>
          <w:i/>
        </w:rPr>
        <w:t>Programme statement 2018 Connecting Europe Facility</w:t>
      </w:r>
      <w:r w:rsidRPr="00415BAF">
        <w:t>, p.</w:t>
      </w:r>
      <w:r w:rsidRPr="00B907A6">
        <w:rPr>
          <w:rFonts w:cs="Calibri"/>
        </w:rPr>
        <w:t> </w:t>
      </w:r>
      <w:r>
        <w:rPr>
          <w:rFonts w:cs="Calibri"/>
        </w:rPr>
        <w:t>5</w:t>
      </w:r>
      <w:r w:rsidRPr="00415BAF">
        <w:t>.</w:t>
      </w:r>
    </w:p>
  </w:footnote>
  <w:footnote w:id="72">
    <w:p w14:paraId="6BA7530C" w14:textId="143F3EA6" w:rsidR="003C0461" w:rsidRPr="00415BAF" w:rsidRDefault="003C0461" w:rsidP="004B5A01">
      <w:pPr>
        <w:pStyle w:val="FootnoteText"/>
        <w:rPr>
          <w:sz w:val="18"/>
          <w:szCs w:val="18"/>
        </w:rPr>
      </w:pPr>
      <w:r w:rsidRPr="00145E5A">
        <w:t>(</w:t>
      </w:r>
      <w:r w:rsidRPr="00145E5A">
        <w:rPr>
          <w:rStyle w:val="fnRefNo"/>
        </w:rPr>
        <w:footnoteRef/>
      </w:r>
      <w:r w:rsidRPr="00145E5A">
        <w:t>)</w:t>
      </w:r>
      <w:r w:rsidRPr="00A74585">
        <w:tab/>
      </w:r>
      <w:r w:rsidRPr="00415BAF">
        <w:rPr>
          <w:i/>
        </w:rPr>
        <w:t>Report from the Commission to the European Parliament, the Council, the European Economic and Social Committee and the Committee of the Regions on the midterm evaluation of the Connecting Europe Facility (CEF)</w:t>
      </w:r>
      <w:r w:rsidRPr="00415BAF">
        <w:t xml:space="preserve">, </w:t>
      </w:r>
      <w:hyperlink r:id="rId31" w:history="1">
        <w:r w:rsidRPr="00415BAF">
          <w:t>COM(2018) 66</w:t>
        </w:r>
      </w:hyperlink>
      <w:r w:rsidRPr="00415BAF">
        <w:t xml:space="preserve"> final, 14.2.2018, p.</w:t>
      </w:r>
      <w:r w:rsidRPr="00B907A6">
        <w:rPr>
          <w:rFonts w:cs="Calibri"/>
        </w:rPr>
        <w:t> </w:t>
      </w:r>
      <w:r w:rsidRPr="00415BAF">
        <w:t>9.</w:t>
      </w:r>
    </w:p>
  </w:footnote>
  <w:footnote w:id="73">
    <w:p w14:paraId="0F6D24EF" w14:textId="11FA1372" w:rsidR="003C0461" w:rsidRPr="00415BAF" w:rsidRDefault="003C0461" w:rsidP="004B5A01">
      <w:pPr>
        <w:pStyle w:val="FootnoteText"/>
      </w:pPr>
      <w:r w:rsidRPr="00145E5A">
        <w:t>(</w:t>
      </w:r>
      <w:r w:rsidRPr="00145E5A">
        <w:rPr>
          <w:rStyle w:val="fnRefNo"/>
        </w:rPr>
        <w:footnoteRef/>
      </w:r>
      <w:r w:rsidRPr="00145E5A">
        <w:t>)</w:t>
      </w:r>
      <w:r w:rsidRPr="00A74585">
        <w:tab/>
      </w:r>
      <w:r w:rsidRPr="00415BAF">
        <w:rPr>
          <w:i/>
        </w:rPr>
        <w:t>Proposal for a regulation of the European Parliament and of the Council establishing the Connecting Europe Facility and repealing Regulations (EU) No</w:t>
      </w:r>
      <w:r w:rsidRPr="00B907A6">
        <w:rPr>
          <w:rFonts w:cs="Calibri"/>
          <w:i/>
        </w:rPr>
        <w:t> </w:t>
      </w:r>
      <w:r w:rsidRPr="00415BAF">
        <w:rPr>
          <w:i/>
        </w:rPr>
        <w:t>1316/2013 and (EU) No</w:t>
      </w:r>
      <w:r w:rsidRPr="00B907A6">
        <w:rPr>
          <w:rFonts w:cs="Calibri"/>
          <w:i/>
        </w:rPr>
        <w:t> </w:t>
      </w:r>
      <w:r w:rsidRPr="00415BAF">
        <w:rPr>
          <w:i/>
        </w:rPr>
        <w:t>283/2014</w:t>
      </w:r>
      <w:r w:rsidRPr="00415BAF">
        <w:t xml:space="preserve">, </w:t>
      </w:r>
      <w:hyperlink r:id="rId32" w:history="1">
        <w:r w:rsidRPr="00415BAF">
          <w:t>COM(2018) 438</w:t>
        </w:r>
      </w:hyperlink>
      <w:r w:rsidRPr="00415BAF">
        <w:t>, 6.6.2018, pp.</w:t>
      </w:r>
      <w:r w:rsidRPr="00B907A6">
        <w:rPr>
          <w:rFonts w:cs="Calibri"/>
        </w:rPr>
        <w:t> </w:t>
      </w:r>
      <w:r w:rsidRPr="00415BAF">
        <w:t>8-9.</w:t>
      </w:r>
    </w:p>
  </w:footnote>
  <w:footnote w:id="74">
    <w:p w14:paraId="7556EE4E" w14:textId="372EFCC8" w:rsidR="003C0461" w:rsidRPr="00415BAF" w:rsidRDefault="003C0461" w:rsidP="009B70A8">
      <w:pPr>
        <w:pStyle w:val="FootnoteText"/>
      </w:pPr>
      <w:r w:rsidRPr="00145E5A">
        <w:t>(</w:t>
      </w:r>
      <w:r w:rsidRPr="00145E5A">
        <w:rPr>
          <w:rStyle w:val="fnRefNo"/>
        </w:rPr>
        <w:footnoteRef/>
      </w:r>
      <w:r w:rsidRPr="00145E5A">
        <w:t>)</w:t>
      </w:r>
      <w:r w:rsidRPr="00A74585">
        <w:tab/>
      </w:r>
      <w:r w:rsidRPr="00415BAF">
        <w:rPr>
          <w:i/>
        </w:rPr>
        <w:t>Proposal for a regulation of the European Parliament and of the Council establishing the Connecting Europe Facility and repealing Regulations (EU) No</w:t>
      </w:r>
      <w:r w:rsidRPr="00B907A6">
        <w:rPr>
          <w:rFonts w:cs="Calibri"/>
          <w:i/>
        </w:rPr>
        <w:t> </w:t>
      </w:r>
      <w:r w:rsidRPr="00415BAF">
        <w:rPr>
          <w:i/>
        </w:rPr>
        <w:t>1316/2013 and (EU) No</w:t>
      </w:r>
      <w:r w:rsidRPr="00B907A6">
        <w:rPr>
          <w:rFonts w:cs="Calibri"/>
          <w:i/>
        </w:rPr>
        <w:t> </w:t>
      </w:r>
      <w:r w:rsidRPr="00415BAF">
        <w:rPr>
          <w:i/>
        </w:rPr>
        <w:t>283/2014</w:t>
      </w:r>
      <w:r w:rsidRPr="00415BAF">
        <w:t xml:space="preserve">, </w:t>
      </w:r>
      <w:hyperlink r:id="rId33" w:history="1">
        <w:r w:rsidRPr="00415BAF">
          <w:t>COM(2018) 438</w:t>
        </w:r>
      </w:hyperlink>
      <w:r w:rsidRPr="00415BAF">
        <w:t>, 6.6.2018, p.</w:t>
      </w:r>
      <w:r w:rsidRPr="00B907A6">
        <w:rPr>
          <w:rFonts w:cs="Calibri"/>
        </w:rPr>
        <w:t> </w:t>
      </w:r>
      <w:r w:rsidRPr="00415BAF">
        <w:t>2.</w:t>
      </w:r>
    </w:p>
  </w:footnote>
  <w:footnote w:id="75">
    <w:p w14:paraId="71D1F1A6" w14:textId="40E5FC61" w:rsidR="003C0461" w:rsidRPr="00415BAF" w:rsidRDefault="003C0461" w:rsidP="006B4FE9">
      <w:pPr>
        <w:pStyle w:val="FootnoteText"/>
        <w:rPr>
          <w:rFonts w:eastAsiaTheme="minorHAnsi"/>
          <w:color w:val="000000" w:themeColor="text1"/>
          <w:sz w:val="18"/>
          <w:szCs w:val="18"/>
          <w:lang w:eastAsia="fr-BE"/>
        </w:rPr>
      </w:pPr>
      <w:r w:rsidRPr="00145E5A">
        <w:t>(</w:t>
      </w:r>
      <w:r w:rsidRPr="00145E5A">
        <w:rPr>
          <w:rStyle w:val="fnRefNo"/>
        </w:rPr>
        <w:footnoteRef/>
      </w:r>
      <w:r w:rsidRPr="00145E5A">
        <w:t>)</w:t>
      </w:r>
      <w:r w:rsidRPr="00A74585">
        <w:tab/>
      </w:r>
      <w:r>
        <w:rPr>
          <w:i/>
        </w:rPr>
        <w:t>P</w:t>
      </w:r>
      <w:r w:rsidRPr="00415BAF">
        <w:rPr>
          <w:i/>
        </w:rPr>
        <w:t>rogramme statement</w:t>
      </w:r>
      <w:r w:rsidRPr="00415BAF" w:rsidDel="00EC0B83">
        <w:rPr>
          <w:i/>
        </w:rPr>
        <w:t xml:space="preserve"> </w:t>
      </w:r>
      <w:r>
        <w:rPr>
          <w:i/>
        </w:rPr>
        <w:t>for the</w:t>
      </w:r>
      <w:r w:rsidRPr="00415BAF">
        <w:rPr>
          <w:i/>
        </w:rPr>
        <w:t xml:space="preserve"> Programme for the competitiveness of enterprises and small and medium-sized enterprises </w:t>
      </w:r>
      <w:r w:rsidRPr="00533493">
        <w:rPr>
          <w:i/>
        </w:rPr>
        <w:t>(COSME)</w:t>
      </w:r>
      <w:r>
        <w:rPr>
          <w:i/>
        </w:rPr>
        <w:t>, p. 2</w:t>
      </w:r>
      <w:r w:rsidRPr="00415BAF">
        <w:t>.</w:t>
      </w:r>
    </w:p>
  </w:footnote>
  <w:footnote w:id="76">
    <w:p w14:paraId="0D6058E2" w14:textId="520FF3DF" w:rsidR="003C0461" w:rsidRPr="00415BAF" w:rsidRDefault="003C0461" w:rsidP="006B4FE9">
      <w:pPr>
        <w:pStyle w:val="FootnoteText"/>
        <w:rPr>
          <w:sz w:val="18"/>
        </w:rPr>
      </w:pPr>
      <w:r w:rsidRPr="00145E5A">
        <w:t>(</w:t>
      </w:r>
      <w:r w:rsidRPr="00145E5A">
        <w:rPr>
          <w:rStyle w:val="fnRefNo"/>
        </w:rPr>
        <w:footnoteRef/>
      </w:r>
      <w:r w:rsidRPr="00145E5A">
        <w:t>)</w:t>
      </w:r>
      <w:r w:rsidRPr="00A74585">
        <w:tab/>
      </w:r>
      <w:r>
        <w:rPr>
          <w:i/>
        </w:rPr>
        <w:t>P</w:t>
      </w:r>
      <w:r w:rsidRPr="00415BAF">
        <w:rPr>
          <w:i/>
        </w:rPr>
        <w:t>rogramme statement</w:t>
      </w:r>
      <w:r w:rsidRPr="00415BAF" w:rsidDel="00EC0B83">
        <w:rPr>
          <w:i/>
        </w:rPr>
        <w:t xml:space="preserve"> </w:t>
      </w:r>
      <w:r>
        <w:rPr>
          <w:i/>
        </w:rPr>
        <w:t>for the</w:t>
      </w:r>
      <w:r w:rsidRPr="00415BAF">
        <w:rPr>
          <w:i/>
        </w:rPr>
        <w:t xml:space="preserve"> Programme for the competitiveness of enterprises and small and medium-sized enterprises </w:t>
      </w:r>
      <w:r w:rsidRPr="00533493">
        <w:rPr>
          <w:i/>
        </w:rPr>
        <w:t>(COSME)</w:t>
      </w:r>
      <w:r>
        <w:rPr>
          <w:i/>
        </w:rPr>
        <w:t>, p. 2</w:t>
      </w:r>
      <w:r w:rsidRPr="00415BAF">
        <w:t>.</w:t>
      </w:r>
    </w:p>
  </w:footnote>
  <w:footnote w:id="77">
    <w:p w14:paraId="5193D3D7" w14:textId="549D7CAD" w:rsidR="003C0461" w:rsidRPr="00415BAF" w:rsidRDefault="003C0461" w:rsidP="00A56644">
      <w:pPr>
        <w:pStyle w:val="FootnoteText"/>
        <w:rPr>
          <w:sz w:val="18"/>
          <w:szCs w:val="18"/>
        </w:rPr>
      </w:pPr>
      <w:r w:rsidRPr="00145E5A">
        <w:t>(</w:t>
      </w:r>
      <w:r w:rsidRPr="00145E5A">
        <w:rPr>
          <w:rStyle w:val="fnRefNo"/>
        </w:rPr>
        <w:footnoteRef/>
      </w:r>
      <w:r w:rsidRPr="00145E5A">
        <w:t>)</w:t>
      </w:r>
      <w:r w:rsidRPr="00A74585">
        <w:tab/>
      </w:r>
      <w:hyperlink r:id="rId34" w:history="1">
        <w:r w:rsidRPr="00415BAF">
          <w:rPr>
            <w:rStyle w:val="Hyperlink"/>
          </w:rPr>
          <w:t>http://www.eif.europa.eu/what_we_do/equity/single_eu_equity_instrument/innovfin-equity/index.htm</w:t>
        </w:r>
      </w:hyperlink>
    </w:p>
  </w:footnote>
  <w:footnote w:id="78">
    <w:p w14:paraId="18EFAB6A" w14:textId="63D86CC9" w:rsidR="003C0461" w:rsidRPr="00415BAF" w:rsidRDefault="003C0461" w:rsidP="00A56644">
      <w:pPr>
        <w:pStyle w:val="FootnoteText"/>
      </w:pPr>
      <w:r w:rsidRPr="00145E5A">
        <w:t>(</w:t>
      </w:r>
      <w:r w:rsidRPr="00145E5A">
        <w:rPr>
          <w:rStyle w:val="fnRefNo"/>
        </w:rPr>
        <w:footnoteRef/>
      </w:r>
      <w:r w:rsidRPr="00145E5A">
        <w:t>)</w:t>
      </w:r>
      <w:r w:rsidRPr="00A74585">
        <w:tab/>
      </w:r>
      <w:r>
        <w:rPr>
          <w:i/>
        </w:rPr>
        <w:t>P</w:t>
      </w:r>
      <w:r w:rsidRPr="00415BAF">
        <w:rPr>
          <w:i/>
        </w:rPr>
        <w:t>rogramme statement</w:t>
      </w:r>
      <w:r w:rsidRPr="00415BAF" w:rsidDel="00EC0B83">
        <w:rPr>
          <w:i/>
        </w:rPr>
        <w:t xml:space="preserve"> </w:t>
      </w:r>
      <w:r>
        <w:rPr>
          <w:i/>
        </w:rPr>
        <w:t>for the</w:t>
      </w:r>
      <w:r w:rsidRPr="00415BAF">
        <w:rPr>
          <w:i/>
        </w:rPr>
        <w:t xml:space="preserve"> Programme for the competitiveness of enterprises and small and medium-sized enterprises </w:t>
      </w:r>
      <w:r w:rsidRPr="00533493">
        <w:rPr>
          <w:i/>
        </w:rPr>
        <w:t>(COSME)</w:t>
      </w:r>
      <w:r>
        <w:rPr>
          <w:i/>
        </w:rPr>
        <w:t>, p. 3</w:t>
      </w:r>
      <w:r w:rsidRPr="00415BAF">
        <w:t>..</w:t>
      </w:r>
    </w:p>
  </w:footnote>
  <w:footnote w:id="79">
    <w:p w14:paraId="10D1414B" w14:textId="7C09CB55" w:rsidR="003C0461" w:rsidRPr="00415BAF" w:rsidRDefault="003C0461" w:rsidP="00A56644">
      <w:pPr>
        <w:pStyle w:val="FootnoteText"/>
        <w:rPr>
          <w:sz w:val="18"/>
          <w:szCs w:val="18"/>
        </w:rPr>
      </w:pPr>
      <w:r w:rsidRPr="00145E5A">
        <w:t>(</w:t>
      </w:r>
      <w:r w:rsidRPr="00145E5A">
        <w:rPr>
          <w:rStyle w:val="fnRefNo"/>
        </w:rPr>
        <w:footnoteRef/>
      </w:r>
      <w:r w:rsidRPr="00145E5A">
        <w:t>)</w:t>
      </w:r>
      <w:r w:rsidRPr="00A74585">
        <w:tab/>
        <w:t xml:space="preserve">Communication from the Commission to the European Parliament, the Council, the European Economic and Social Committee and the Committee of the Regions — </w:t>
      </w:r>
      <w:r w:rsidRPr="00533493">
        <w:rPr>
          <w:i/>
        </w:rPr>
        <w:t>Europe’s next leaders: the start-up and scale-up initiative</w:t>
      </w:r>
      <w:r w:rsidRPr="00415BAF">
        <w:t xml:space="preserve">, COM(2016) 733 final, 22.11.2016 — </w:t>
      </w:r>
      <w:hyperlink r:id="rId35" w:history="1">
        <w:r w:rsidRPr="00415BAF">
          <w:rPr>
            <w:rStyle w:val="Hyperlink"/>
          </w:rPr>
          <w:t>https://eur-lex.europa.eu/legal-content/EN/TXT/?uri=COM%3A2016%3A733%3AFIN</w:t>
        </w:r>
      </w:hyperlink>
    </w:p>
  </w:footnote>
  <w:footnote w:id="80">
    <w:p w14:paraId="362F15FD" w14:textId="50F14780" w:rsidR="003C0461" w:rsidRPr="00415BAF" w:rsidRDefault="003C0461" w:rsidP="00A56644">
      <w:pPr>
        <w:pStyle w:val="FootnoteText"/>
        <w:rPr>
          <w:sz w:val="18"/>
        </w:rPr>
      </w:pPr>
      <w:r w:rsidRPr="00145E5A">
        <w:t>(</w:t>
      </w:r>
      <w:r w:rsidRPr="00145E5A">
        <w:rPr>
          <w:rStyle w:val="fnRefNo"/>
        </w:rPr>
        <w:footnoteRef/>
      </w:r>
      <w:r w:rsidRPr="00145E5A">
        <w:t>)</w:t>
      </w:r>
      <w:r w:rsidRPr="00A74585">
        <w:tab/>
      </w:r>
      <w:r w:rsidRPr="00415BAF">
        <w:t xml:space="preserve">Directorate-General for Internal Market, Industry, Entrepreneurship and SMEs, </w:t>
      </w:r>
      <w:r w:rsidRPr="00415BAF">
        <w:rPr>
          <w:i/>
        </w:rPr>
        <w:t>2018 Annual activity report</w:t>
      </w:r>
      <w:r>
        <w:rPr>
          <w:i/>
        </w:rPr>
        <w:t>, p. 16.</w:t>
      </w:r>
    </w:p>
  </w:footnote>
  <w:footnote w:id="81">
    <w:p w14:paraId="111C6A2E" w14:textId="24041832" w:rsidR="003C0461" w:rsidRPr="00415BAF" w:rsidRDefault="003C0461" w:rsidP="00A56644">
      <w:pPr>
        <w:pStyle w:val="FootnoteText"/>
      </w:pPr>
      <w:r w:rsidRPr="00145E5A">
        <w:t>(</w:t>
      </w:r>
      <w:r w:rsidRPr="00145E5A">
        <w:rPr>
          <w:rStyle w:val="fnRefNo"/>
        </w:rPr>
        <w:footnoteRef/>
      </w:r>
      <w:r w:rsidRPr="00145E5A">
        <w:t>)</w:t>
      </w:r>
      <w:r w:rsidRPr="00A74585">
        <w:tab/>
      </w:r>
      <w:r w:rsidRPr="00415BAF">
        <w:t xml:space="preserve">Directorate-General for Internal Market, Industry, Entrepreneurship and SMEs, </w:t>
      </w:r>
      <w:r w:rsidRPr="00415BAF">
        <w:rPr>
          <w:i/>
        </w:rPr>
        <w:t>2018 Annual activity report</w:t>
      </w:r>
      <w:r>
        <w:rPr>
          <w:i/>
        </w:rPr>
        <w:t>, p. 18.</w:t>
      </w:r>
    </w:p>
  </w:footnote>
  <w:footnote w:id="82">
    <w:p w14:paraId="31638CC3" w14:textId="38C4ECC3" w:rsidR="003C0461" w:rsidRPr="00415BAF" w:rsidRDefault="003C0461" w:rsidP="00A56644">
      <w:pPr>
        <w:pStyle w:val="FootnoteText"/>
        <w:rPr>
          <w:sz w:val="18"/>
          <w:szCs w:val="18"/>
        </w:rPr>
      </w:pPr>
      <w:r w:rsidRPr="00145E5A">
        <w:t>(</w:t>
      </w:r>
      <w:r w:rsidRPr="00145E5A">
        <w:rPr>
          <w:rStyle w:val="fnRefNo"/>
        </w:rPr>
        <w:footnoteRef/>
      </w:r>
      <w:r w:rsidRPr="00145E5A">
        <w:t>)</w:t>
      </w:r>
      <w:r w:rsidRPr="00A74585">
        <w:tab/>
      </w:r>
      <w:hyperlink r:id="rId36" w:history="1">
        <w:r w:rsidRPr="00107DA0">
          <w:rPr>
            <w:rStyle w:val="Hyperlink"/>
          </w:rPr>
          <w:t>https://www.clustercollaboration.eu/eu-initiative/cluster-excellence-calls</w:t>
        </w:r>
      </w:hyperlink>
    </w:p>
  </w:footnote>
  <w:footnote w:id="83">
    <w:p w14:paraId="0530F6FF" w14:textId="528D9B03" w:rsidR="003C0461" w:rsidRPr="00415BAF" w:rsidRDefault="003C0461" w:rsidP="009B70A8">
      <w:pPr>
        <w:pStyle w:val="FootnoteText"/>
        <w:rPr>
          <w:rFonts w:eastAsiaTheme="minorHAnsi"/>
          <w:color w:val="000000" w:themeColor="text1"/>
          <w:sz w:val="18"/>
          <w:szCs w:val="22"/>
          <w:lang w:eastAsia="fr-BE"/>
        </w:rPr>
      </w:pPr>
      <w:r w:rsidRPr="00145E5A">
        <w:t>(</w:t>
      </w:r>
      <w:r w:rsidRPr="00145E5A">
        <w:rPr>
          <w:rStyle w:val="fnRefNo"/>
        </w:rPr>
        <w:footnoteRef/>
      </w:r>
      <w:r w:rsidRPr="00145E5A">
        <w:t>)</w:t>
      </w:r>
      <w:r w:rsidRPr="00A74585">
        <w:tab/>
      </w:r>
      <w:r w:rsidRPr="00415BAF">
        <w:rPr>
          <w:i/>
        </w:rPr>
        <w:t>Interim evaluation of the COSME programme — Final Report. External support study for the COSME interim evaluation.</w:t>
      </w:r>
    </w:p>
  </w:footnote>
  <w:footnote w:id="84">
    <w:p w14:paraId="2F018921" w14:textId="33D493F8" w:rsidR="003C0461" w:rsidRPr="00415BAF" w:rsidRDefault="003C0461" w:rsidP="00B513F6">
      <w:pPr>
        <w:pStyle w:val="FootnoteText"/>
        <w:rPr>
          <w:sz w:val="18"/>
          <w:szCs w:val="18"/>
        </w:rPr>
      </w:pPr>
      <w:r w:rsidRPr="00145E5A">
        <w:t>(</w:t>
      </w:r>
      <w:r w:rsidRPr="00145E5A">
        <w:rPr>
          <w:rStyle w:val="fnRefNo"/>
        </w:rPr>
        <w:footnoteRef/>
      </w:r>
      <w:r w:rsidRPr="00145E5A">
        <w:t>)</w:t>
      </w:r>
      <w:r w:rsidRPr="00A74585">
        <w:tab/>
      </w:r>
      <w:r w:rsidRPr="00533493">
        <w:rPr>
          <w:i/>
        </w:rPr>
        <w:t>Proposal for a regulation of the European Parliament and of the Council establishing the programme for single market, competitiveness of enterprises, including small and medium-sized enterprises, and European statistics and repealing Regulations (EU) No 99/2013, (EU) No 1287/2013, (EU) No 254/2014, (EU) No 258/2014 and (EU) 2017/826</w:t>
      </w:r>
      <w:r w:rsidRPr="00415BAF">
        <w:t xml:space="preserve">, </w:t>
      </w:r>
      <w:hyperlink r:id="rId37" w:history="1">
        <w:r w:rsidRPr="00415BAF">
          <w:t>COM(2018) 441</w:t>
        </w:r>
      </w:hyperlink>
      <w:r w:rsidRPr="00415BAF">
        <w:t>, 7.6.2018.</w:t>
      </w:r>
    </w:p>
  </w:footnote>
  <w:footnote w:id="85">
    <w:p w14:paraId="2E6CAFD3" w14:textId="5C0AE999" w:rsidR="003C0461" w:rsidRPr="002A1A6E" w:rsidRDefault="003C0461">
      <w:pPr>
        <w:pStyle w:val="FootnoteText"/>
        <w:rPr>
          <w:sz w:val="18"/>
        </w:rPr>
      </w:pPr>
      <w:r w:rsidRPr="00145E5A">
        <w:t>(</w:t>
      </w:r>
      <w:r w:rsidRPr="00145E5A">
        <w:rPr>
          <w:rStyle w:val="fnRefNo"/>
        </w:rPr>
        <w:footnoteRef/>
      </w:r>
      <w:r w:rsidRPr="00145E5A">
        <w:t>)</w:t>
      </w:r>
      <w:r w:rsidRPr="002A1A6E">
        <w:tab/>
      </w:r>
      <w:hyperlink r:id="rId38" w:history="1">
        <w:r w:rsidRPr="00011976">
          <w:rPr>
            <w:rStyle w:val="Hyperlink"/>
          </w:rPr>
          <w:t>https://europa.eu/youth/node/50165_en</w:t>
        </w:r>
      </w:hyperlink>
    </w:p>
  </w:footnote>
  <w:footnote w:id="86">
    <w:p w14:paraId="28B855D5" w14:textId="35849093" w:rsidR="003C0461" w:rsidRPr="00773E41" w:rsidRDefault="003C0461">
      <w:pPr>
        <w:pStyle w:val="FootnoteText"/>
        <w:rPr>
          <w:sz w:val="18"/>
        </w:rPr>
      </w:pPr>
      <w:r w:rsidRPr="00145E5A">
        <w:t>(</w:t>
      </w:r>
      <w:r w:rsidRPr="00145E5A">
        <w:rPr>
          <w:rStyle w:val="fnRefNo"/>
        </w:rPr>
        <w:footnoteRef/>
      </w:r>
      <w:r w:rsidRPr="00145E5A">
        <w:t>)</w:t>
      </w:r>
      <w:r w:rsidRPr="00773E41">
        <w:tab/>
      </w:r>
      <w:hyperlink r:id="rId39" w:history="1">
        <w:r w:rsidRPr="00011976">
          <w:rPr>
            <w:rStyle w:val="Hyperlink"/>
          </w:rPr>
          <w:t>https://ec.europa.eu/neighbourhood-enlargement/neighbourhood/eastern-partnership_en</w:t>
        </w:r>
      </w:hyperlink>
    </w:p>
  </w:footnote>
  <w:footnote w:id="87">
    <w:p w14:paraId="730A7129" w14:textId="71424C6D" w:rsidR="003C0461" w:rsidRPr="00773E41" w:rsidRDefault="003C0461">
      <w:pPr>
        <w:pStyle w:val="FootnoteText"/>
        <w:rPr>
          <w:sz w:val="18"/>
        </w:rPr>
      </w:pPr>
      <w:r w:rsidRPr="00145E5A">
        <w:t>(</w:t>
      </w:r>
      <w:r w:rsidRPr="00145E5A">
        <w:rPr>
          <w:rStyle w:val="fnRefNo"/>
        </w:rPr>
        <w:footnoteRef/>
      </w:r>
      <w:r w:rsidRPr="00145E5A">
        <w:t>)</w:t>
      </w:r>
      <w:r w:rsidRPr="00773E41">
        <w:tab/>
      </w:r>
      <w:hyperlink r:id="rId40" w:history="1">
        <w:r w:rsidRPr="00011976">
          <w:rPr>
            <w:rStyle w:val="Hyperlink"/>
          </w:rPr>
          <w:t>https://ec.europa.eu/education/education-in-the-eu/digital-education-action-plan_en</w:t>
        </w:r>
      </w:hyperlink>
    </w:p>
  </w:footnote>
  <w:footnote w:id="88">
    <w:p w14:paraId="54162821" w14:textId="5CC2FC69" w:rsidR="003C0461" w:rsidRPr="00773E41" w:rsidRDefault="003C0461" w:rsidP="0011250F">
      <w:pPr>
        <w:pStyle w:val="FootnoteText"/>
        <w:rPr>
          <w:sz w:val="18"/>
        </w:rPr>
      </w:pPr>
      <w:r w:rsidRPr="00145E5A">
        <w:t>(</w:t>
      </w:r>
      <w:r w:rsidRPr="00145E5A">
        <w:rPr>
          <w:rStyle w:val="fnRefNo"/>
        </w:rPr>
        <w:footnoteRef/>
      </w:r>
      <w:r w:rsidRPr="00145E5A">
        <w:t>)</w:t>
      </w:r>
      <w:r w:rsidRPr="00773E41">
        <w:tab/>
      </w:r>
      <w:hyperlink r:id="rId41" w:history="1">
        <w:r w:rsidRPr="00011976">
          <w:rPr>
            <w:rStyle w:val="Hyperlink"/>
          </w:rPr>
          <w:t>https://ec.europa.eu/education/resources-and-tools/document-library/role-models-promoting-common-values_en</w:t>
        </w:r>
      </w:hyperlink>
    </w:p>
  </w:footnote>
  <w:footnote w:id="89">
    <w:p w14:paraId="5FFB85C9" w14:textId="66E6754C" w:rsidR="003C0461" w:rsidRPr="00773E41" w:rsidRDefault="003C0461">
      <w:pPr>
        <w:pStyle w:val="FootnoteText"/>
        <w:rPr>
          <w:sz w:val="18"/>
        </w:rPr>
      </w:pPr>
      <w:r w:rsidRPr="00145E5A">
        <w:t>(</w:t>
      </w:r>
      <w:r w:rsidRPr="00145E5A">
        <w:rPr>
          <w:rStyle w:val="fnRefNo"/>
        </w:rPr>
        <w:footnoteRef/>
      </w:r>
      <w:r w:rsidRPr="00145E5A">
        <w:t>)</w:t>
      </w:r>
      <w:r w:rsidRPr="00773E41">
        <w:tab/>
      </w:r>
      <w:hyperlink r:id="rId42" w:history="1">
        <w:r w:rsidRPr="00773E41">
          <w:rPr>
            <w:rStyle w:val="Hyperlink"/>
          </w:rPr>
          <w:t>https://ec.europa.eu/transparency/regdoc/rep/1/2018/EN/COM-2018-50-F1-EN-MAIN-PART-1.PDF</w:t>
        </w:r>
      </w:hyperlink>
    </w:p>
  </w:footnote>
  <w:footnote w:id="90">
    <w:p w14:paraId="1473811D" w14:textId="377F49AB" w:rsidR="003C0461" w:rsidRPr="00415BAF" w:rsidRDefault="003C0461" w:rsidP="001D028D">
      <w:pPr>
        <w:pStyle w:val="FootnoteText"/>
      </w:pPr>
      <w:r w:rsidRPr="00145E5A">
        <w:t>(</w:t>
      </w:r>
      <w:r w:rsidRPr="00145E5A">
        <w:rPr>
          <w:rStyle w:val="fnRefNo"/>
        </w:rPr>
        <w:footnoteRef/>
      </w:r>
      <w:r w:rsidRPr="00145E5A">
        <w:t>)</w:t>
      </w:r>
      <w:r w:rsidRPr="00A74585">
        <w:tab/>
      </w:r>
      <w:r w:rsidRPr="00415BAF">
        <w:t>European Court of Auditors,</w:t>
      </w:r>
      <w:r w:rsidRPr="00415BAF" w:rsidDel="00826E6A">
        <w:t xml:space="preserve"> </w:t>
      </w:r>
      <w:r w:rsidRPr="005A059D">
        <w:rPr>
          <w:i/>
        </w:rPr>
        <w:t>Mobility under Erasmus+: Millions of participants and multi-faceted European added value, however performance measurement needs to be further improved</w:t>
      </w:r>
      <w:r w:rsidRPr="00415BAF">
        <w:t xml:space="preserve"> — </w:t>
      </w:r>
      <w:r w:rsidRPr="00415BAF">
        <w:rPr>
          <w:i/>
        </w:rPr>
        <w:t xml:space="preserve">Special Report </w:t>
      </w:r>
      <w:r>
        <w:rPr>
          <w:i/>
        </w:rPr>
        <w:t xml:space="preserve">No </w:t>
      </w:r>
      <w:r w:rsidRPr="00415BAF">
        <w:rPr>
          <w:i/>
        </w:rPr>
        <w:t>22/2018</w:t>
      </w:r>
      <w:r w:rsidRPr="00415BAF">
        <w:t>.</w:t>
      </w:r>
    </w:p>
  </w:footnote>
  <w:footnote w:id="91">
    <w:p w14:paraId="6CDC3C8C" w14:textId="2A12E963" w:rsidR="003C0461" w:rsidRPr="00415BAF" w:rsidRDefault="003C0461" w:rsidP="00B513F6">
      <w:pPr>
        <w:pStyle w:val="FootnoteText"/>
      </w:pPr>
      <w:r w:rsidRPr="00145E5A">
        <w:t>(</w:t>
      </w:r>
      <w:r w:rsidRPr="00145E5A">
        <w:rPr>
          <w:rStyle w:val="fnRefNo"/>
        </w:rPr>
        <w:footnoteRef/>
      </w:r>
      <w:r w:rsidRPr="00145E5A">
        <w:t>)</w:t>
      </w:r>
      <w:r w:rsidRPr="00A74585">
        <w:tab/>
        <w:t>Proposal for a regulation of the European Parliament and of the Council establishing ‘Erasmus: the Union programme for education, training, youth and sport and repealing Regulation (EU) No</w:t>
      </w:r>
      <w:r w:rsidRPr="00533493">
        <w:rPr>
          <w:rFonts w:ascii="Arial" w:hAnsi="Arial" w:cs="Arial"/>
        </w:rPr>
        <w:t> </w:t>
      </w:r>
      <w:r w:rsidRPr="00A74585">
        <w:t xml:space="preserve">1288/2013, </w:t>
      </w:r>
      <w:r w:rsidRPr="00415BAF">
        <w:t>COM(2018) 367 final, 30.5.2018.</w:t>
      </w:r>
    </w:p>
  </w:footnote>
  <w:footnote w:id="92">
    <w:p w14:paraId="6A4A5573" w14:textId="59651487" w:rsidR="003C0461" w:rsidRPr="005C18C2" w:rsidRDefault="003C0461" w:rsidP="00B513F6">
      <w:pPr>
        <w:pStyle w:val="FootnoteText"/>
        <w:rPr>
          <w:sz w:val="18"/>
          <w:szCs w:val="18"/>
        </w:rPr>
      </w:pPr>
      <w:r w:rsidRPr="00145E5A">
        <w:t>(</w:t>
      </w:r>
      <w:r w:rsidRPr="00145E5A">
        <w:rPr>
          <w:rStyle w:val="fnRefNo"/>
        </w:rPr>
        <w:footnoteRef/>
      </w:r>
      <w:r w:rsidRPr="00145E5A">
        <w:t>)</w:t>
      </w:r>
      <w:r w:rsidRPr="00A74585">
        <w:tab/>
      </w:r>
      <w:r w:rsidRPr="00415BAF">
        <w:t>Regulation (EU) 2018/1475 of the European Parliament and of the Council of 2</w:t>
      </w:r>
      <w:r w:rsidRPr="00B907A6">
        <w:rPr>
          <w:rFonts w:cs="Calibri"/>
        </w:rPr>
        <w:t> </w:t>
      </w:r>
      <w:r w:rsidRPr="00415BAF">
        <w:t>October</w:t>
      </w:r>
      <w:r w:rsidRPr="00B907A6">
        <w:rPr>
          <w:rFonts w:cs="Calibri"/>
        </w:rPr>
        <w:t xml:space="preserve"> </w:t>
      </w:r>
      <w:r w:rsidRPr="00415BAF">
        <w:t>2018</w:t>
      </w:r>
      <w:r w:rsidRPr="00415BAF" w:rsidDel="00E9307F">
        <w:t xml:space="preserve"> </w:t>
      </w:r>
      <w:r w:rsidRPr="00415BAF">
        <w:t>laying down the legal framework of the European Solidarity Corps and amending Regulation (EU) No</w:t>
      </w:r>
      <w:r w:rsidRPr="00B907A6">
        <w:rPr>
          <w:rFonts w:cs="Calibri"/>
        </w:rPr>
        <w:t> </w:t>
      </w:r>
      <w:r w:rsidRPr="00415BAF">
        <w:t>1288/2013, Regulation (EU) No</w:t>
      </w:r>
      <w:r w:rsidRPr="00B907A6">
        <w:rPr>
          <w:rFonts w:cs="Calibri"/>
        </w:rPr>
        <w:t> </w:t>
      </w:r>
      <w:r w:rsidRPr="00415BAF">
        <w:t>1293/2013 and Decision No</w:t>
      </w:r>
      <w:r w:rsidRPr="00B907A6">
        <w:rPr>
          <w:rFonts w:cs="Calibri"/>
        </w:rPr>
        <w:t> </w:t>
      </w:r>
      <w:r w:rsidRPr="00415BAF">
        <w:t>1313/2013/EU (OJ L</w:t>
      </w:r>
      <w:r w:rsidRPr="00B907A6">
        <w:rPr>
          <w:rFonts w:cs="Calibri"/>
        </w:rPr>
        <w:t> </w:t>
      </w:r>
      <w:r w:rsidRPr="00415BAF">
        <w:t>250, 4.10.2018, pp.</w:t>
      </w:r>
      <w:r w:rsidRPr="00B907A6">
        <w:rPr>
          <w:rFonts w:cs="Calibri"/>
        </w:rPr>
        <w:t> </w:t>
      </w:r>
      <w:r w:rsidRPr="005C18C2">
        <w:t>1-20).</w:t>
      </w:r>
    </w:p>
  </w:footnote>
  <w:footnote w:id="93">
    <w:p w14:paraId="29D82883" w14:textId="77777777" w:rsidR="003C0461" w:rsidRPr="005C18C2" w:rsidRDefault="003C0461" w:rsidP="005C1953">
      <w:pPr>
        <w:pStyle w:val="FootnoteText"/>
        <w:rPr>
          <w:sz w:val="18"/>
          <w:szCs w:val="18"/>
        </w:rPr>
      </w:pPr>
      <w:r w:rsidRPr="00145E5A">
        <w:t>(</w:t>
      </w:r>
      <w:r w:rsidRPr="00145E5A">
        <w:rPr>
          <w:rStyle w:val="fnRefNo"/>
        </w:rPr>
        <w:footnoteRef/>
      </w:r>
      <w:r w:rsidRPr="00145E5A">
        <w:t>)</w:t>
      </w:r>
      <w:r w:rsidRPr="00A74585">
        <w:tab/>
      </w:r>
      <w:r w:rsidRPr="00415BAF">
        <w:t>Regulation (EU) 2018/1475 of the European Parliament and of the Council of 2</w:t>
      </w:r>
      <w:r w:rsidRPr="00B907A6">
        <w:rPr>
          <w:rFonts w:cs="Calibri"/>
        </w:rPr>
        <w:t> </w:t>
      </w:r>
      <w:r w:rsidRPr="00415BAF">
        <w:t>October</w:t>
      </w:r>
      <w:r w:rsidRPr="00B907A6">
        <w:rPr>
          <w:rFonts w:cs="Calibri"/>
        </w:rPr>
        <w:t xml:space="preserve"> </w:t>
      </w:r>
      <w:r w:rsidRPr="00415BAF">
        <w:t>2018</w:t>
      </w:r>
      <w:r w:rsidRPr="00415BAF" w:rsidDel="00E9307F">
        <w:t xml:space="preserve"> </w:t>
      </w:r>
      <w:r w:rsidRPr="00415BAF">
        <w:t>laying down the legal framework of the European Solidarity Corps and amending Regulation (EU) No</w:t>
      </w:r>
      <w:r w:rsidRPr="00B907A6">
        <w:rPr>
          <w:rFonts w:cs="Calibri"/>
        </w:rPr>
        <w:t> </w:t>
      </w:r>
      <w:r w:rsidRPr="00415BAF">
        <w:t>1288/2013, Regulation (EU) No</w:t>
      </w:r>
      <w:r w:rsidRPr="00B907A6">
        <w:rPr>
          <w:rFonts w:cs="Calibri"/>
        </w:rPr>
        <w:t> </w:t>
      </w:r>
      <w:r w:rsidRPr="00415BAF">
        <w:t>1293/2013 and Decision No</w:t>
      </w:r>
      <w:r w:rsidRPr="00B907A6">
        <w:rPr>
          <w:rFonts w:cs="Calibri"/>
        </w:rPr>
        <w:t> </w:t>
      </w:r>
      <w:r w:rsidRPr="00415BAF">
        <w:t>1313/2013/EU (OJ L</w:t>
      </w:r>
      <w:r w:rsidRPr="00B907A6">
        <w:rPr>
          <w:rFonts w:cs="Calibri"/>
        </w:rPr>
        <w:t> </w:t>
      </w:r>
      <w:r w:rsidRPr="00415BAF">
        <w:t>250, 4.10.2018, pp.</w:t>
      </w:r>
      <w:r w:rsidRPr="00B907A6">
        <w:rPr>
          <w:rFonts w:cs="Calibri"/>
        </w:rPr>
        <w:t> </w:t>
      </w:r>
      <w:r w:rsidRPr="005C18C2">
        <w:t>1-20).</w:t>
      </w:r>
    </w:p>
  </w:footnote>
  <w:footnote w:id="94">
    <w:p w14:paraId="2B30371D" w14:textId="32FBBB72" w:rsidR="003C0461" w:rsidRPr="005C18C2" w:rsidRDefault="003C0461" w:rsidP="00B513F6">
      <w:pPr>
        <w:pStyle w:val="FootnoteText"/>
        <w:rPr>
          <w:sz w:val="18"/>
          <w:szCs w:val="18"/>
        </w:rPr>
      </w:pPr>
      <w:r w:rsidRPr="00145E5A">
        <w:t>(</w:t>
      </w:r>
      <w:r w:rsidRPr="00145E5A">
        <w:rPr>
          <w:rStyle w:val="fnRefNo"/>
        </w:rPr>
        <w:footnoteRef/>
      </w:r>
      <w:r w:rsidRPr="00145E5A">
        <w:t>)</w:t>
      </w:r>
      <w:r w:rsidRPr="00A74585">
        <w:tab/>
      </w:r>
      <w:hyperlink r:id="rId43" w:history="1">
        <w:r w:rsidRPr="00011976">
          <w:rPr>
            <w:rStyle w:val="Hyperlink"/>
          </w:rPr>
          <w:t>https://europa.eu/youth/solidarity_en</w:t>
        </w:r>
      </w:hyperlink>
    </w:p>
  </w:footnote>
  <w:footnote w:id="95">
    <w:p w14:paraId="62B7EC1C" w14:textId="483C760F" w:rsidR="003C0461" w:rsidRPr="005C18C2" w:rsidRDefault="003C0461" w:rsidP="00DB40FA">
      <w:pPr>
        <w:pStyle w:val="FootnoteText"/>
        <w:rPr>
          <w:sz w:val="18"/>
          <w:szCs w:val="18"/>
        </w:rPr>
      </w:pPr>
      <w:r w:rsidRPr="00145E5A">
        <w:t>(</w:t>
      </w:r>
      <w:r w:rsidRPr="00145E5A">
        <w:rPr>
          <w:rStyle w:val="fnRefNo"/>
        </w:rPr>
        <w:footnoteRef/>
      </w:r>
      <w:r w:rsidRPr="00145E5A">
        <w:t>)</w:t>
      </w:r>
      <w:r w:rsidRPr="00A74585">
        <w:tab/>
      </w:r>
      <w:r w:rsidRPr="005C18C2">
        <w:t xml:space="preserve">SWD(2018) 317 final </w:t>
      </w:r>
      <w:hyperlink r:id="rId44" w:history="1">
        <w:r w:rsidRPr="005C18C2">
          <w:rPr>
            <w:rStyle w:val="Hyperlink"/>
          </w:rPr>
          <w:t>https://eur-lex.europa.eu/legal-content/EN/TXT/PDF/?uri=CELEX:52018SC0317&amp;from=EN</w:t>
        </w:r>
      </w:hyperlink>
    </w:p>
  </w:footnote>
  <w:footnote w:id="96">
    <w:p w14:paraId="186516CB" w14:textId="40F1DB03" w:rsidR="003C0461" w:rsidRPr="00415BAF" w:rsidRDefault="003C0461" w:rsidP="00DB40FA">
      <w:pPr>
        <w:pStyle w:val="FootnoteText"/>
        <w:rPr>
          <w:lang w:val="pt-PT"/>
        </w:rPr>
      </w:pPr>
      <w:r w:rsidRPr="0005798F">
        <w:rPr>
          <w:lang w:val="pt-PT"/>
        </w:rPr>
        <w:t>(</w:t>
      </w:r>
      <w:r w:rsidRPr="00145E5A">
        <w:rPr>
          <w:rStyle w:val="fnRefNo"/>
        </w:rPr>
        <w:footnoteRef/>
      </w:r>
      <w:r w:rsidRPr="0005798F">
        <w:rPr>
          <w:lang w:val="pt-PT"/>
        </w:rPr>
        <w:t>)</w:t>
      </w:r>
      <w:r w:rsidRPr="00A74585">
        <w:rPr>
          <w:lang w:val="pt-PT"/>
        </w:rPr>
        <w:tab/>
      </w:r>
      <w:r w:rsidRPr="00415BAF">
        <w:rPr>
          <w:lang w:val="pt-PT"/>
        </w:rPr>
        <w:t xml:space="preserve">COM(2018) 440 final </w:t>
      </w:r>
      <w:hyperlink r:id="rId45" w:history="1">
        <w:r w:rsidRPr="0005798F">
          <w:rPr>
            <w:rStyle w:val="Hyperlink"/>
            <w:lang w:val="pt-PT"/>
          </w:rPr>
          <w:t>https://eur-lex.europa.eu/resource.html?uri=cellar:f3d4ea2b-6e31-11e8-9483-01aa75ed71a1.0002.03/DOC_1&amp;format=PDF</w:t>
        </w:r>
      </w:hyperlink>
      <w:r>
        <w:rPr>
          <w:lang w:val="pt-PT"/>
        </w:rPr>
        <w:t>.</w:t>
      </w:r>
      <w:r w:rsidRPr="00415BAF">
        <w:rPr>
          <w:lang w:val="pt-PT"/>
        </w:rPr>
        <w:t xml:space="preserve"> </w:t>
      </w:r>
    </w:p>
  </w:footnote>
  <w:footnote w:id="97">
    <w:p w14:paraId="483F196A" w14:textId="77777777" w:rsidR="003C0461" w:rsidRPr="00415BAF" w:rsidRDefault="003C0461" w:rsidP="008F07D1">
      <w:pPr>
        <w:pStyle w:val="FootnoteText"/>
        <w:rPr>
          <w:rFonts w:cs="Arial"/>
          <w:sz w:val="18"/>
          <w:szCs w:val="18"/>
        </w:rPr>
      </w:pPr>
      <w:r w:rsidRPr="00145E5A">
        <w:t>(</w:t>
      </w:r>
      <w:r w:rsidRPr="00145E5A">
        <w:rPr>
          <w:rStyle w:val="fnRefNo"/>
        </w:rPr>
        <w:footnoteRef/>
      </w:r>
      <w:r w:rsidRPr="00145E5A">
        <w:t>)</w:t>
      </w:r>
      <w:r w:rsidRPr="00A74585">
        <w:tab/>
      </w:r>
      <w:r w:rsidRPr="0032611A">
        <w:rPr>
          <w:i/>
        </w:rPr>
        <w:t>Programme statement 2018</w:t>
      </w:r>
      <w:r w:rsidRPr="00547AC0">
        <w:t>.</w:t>
      </w:r>
    </w:p>
  </w:footnote>
  <w:footnote w:id="98">
    <w:p w14:paraId="37BEE4AE" w14:textId="77777777" w:rsidR="003C0461" w:rsidRPr="00415BAF" w:rsidRDefault="003C0461" w:rsidP="008F07D1">
      <w:pPr>
        <w:pStyle w:val="FootnoteText"/>
        <w:rPr>
          <w:sz w:val="18"/>
          <w:szCs w:val="18"/>
        </w:rPr>
      </w:pPr>
      <w:r w:rsidRPr="00145E5A">
        <w:t>(</w:t>
      </w:r>
      <w:r w:rsidRPr="00145E5A">
        <w:rPr>
          <w:rStyle w:val="fnRefNo"/>
        </w:rPr>
        <w:footnoteRef/>
      </w:r>
      <w:r w:rsidRPr="00145E5A">
        <w:t>)</w:t>
      </w:r>
      <w:r w:rsidRPr="00A74585">
        <w:tab/>
      </w:r>
      <w:r w:rsidRPr="0032611A">
        <w:rPr>
          <w:i/>
        </w:rPr>
        <w:t>Programme statement 2018</w:t>
      </w:r>
      <w:r w:rsidRPr="00415BAF">
        <w:t>.</w:t>
      </w:r>
    </w:p>
  </w:footnote>
  <w:footnote w:id="99">
    <w:p w14:paraId="2948B409" w14:textId="19B5EB25" w:rsidR="003C0461" w:rsidRPr="00533493" w:rsidRDefault="003C0461">
      <w:pPr>
        <w:pStyle w:val="FootnoteText"/>
        <w:rPr>
          <w:rStyle w:val="FootnoteReference"/>
          <w:rFonts w:eastAsiaTheme="minorHAnsi"/>
          <w:sz w:val="18"/>
          <w:szCs w:val="18"/>
          <w:lang w:eastAsia="en-US"/>
        </w:rPr>
      </w:pPr>
      <w:r w:rsidRPr="00145E5A">
        <w:t>(</w:t>
      </w:r>
      <w:r w:rsidRPr="00145E5A">
        <w:rPr>
          <w:rStyle w:val="fnRefNo"/>
        </w:rPr>
        <w:footnoteRef/>
      </w:r>
      <w:r w:rsidRPr="00145E5A">
        <w:t>)</w:t>
      </w:r>
      <w:r w:rsidRPr="00A74585">
        <w:tab/>
      </w:r>
      <w:r w:rsidRPr="00415BAF">
        <w:t>Regulation (EU) No 377/2014 of the European Parliament and of the Council of 3</w:t>
      </w:r>
      <w:r w:rsidRPr="00B907A6">
        <w:rPr>
          <w:rFonts w:cs="Calibri"/>
        </w:rPr>
        <w:t> </w:t>
      </w:r>
      <w:r w:rsidRPr="00415BAF">
        <w:t>April</w:t>
      </w:r>
      <w:r w:rsidRPr="00B907A6">
        <w:rPr>
          <w:rFonts w:cs="Calibri"/>
        </w:rPr>
        <w:t> </w:t>
      </w:r>
      <w:r w:rsidRPr="00415BAF">
        <w:t>2014</w:t>
      </w:r>
      <w:r w:rsidRPr="00415BAF" w:rsidDel="00E9307F">
        <w:t xml:space="preserve"> </w:t>
      </w:r>
      <w:r w:rsidRPr="00415BAF">
        <w:t>establishing the Copernicus Programme and repealing Regulation (EU) No 911/2010 Text with European Economic Area relevance.</w:t>
      </w:r>
    </w:p>
  </w:footnote>
  <w:footnote w:id="100">
    <w:p w14:paraId="3415B55A" w14:textId="2AE7DF65" w:rsidR="003C0461" w:rsidRPr="00E73086" w:rsidRDefault="003C0461">
      <w:pPr>
        <w:pStyle w:val="FootnoteText"/>
      </w:pPr>
      <w:r w:rsidRPr="00145E5A">
        <w:t>(</w:t>
      </w:r>
      <w:r w:rsidRPr="00145E5A">
        <w:rPr>
          <w:rStyle w:val="fnRefNo"/>
        </w:rPr>
        <w:footnoteRef/>
      </w:r>
      <w:r w:rsidRPr="00145E5A">
        <w:t>)</w:t>
      </w:r>
      <w:r w:rsidRPr="0032611A">
        <w:tab/>
      </w:r>
      <w:r w:rsidRPr="00E73086">
        <w:t xml:space="preserve">The Copernicus Services rely on a combination of satellite data and environmental measurements, collected by data providers external to Copernicus, from ground-based, sea-borne or air-borne monitoring systems. This includes, for example, data from sensors placed on the banks of rivers, tall towers, carried on weather balloons or airplanes, pulled through the sea by ships, and drifting in the ocean on floats or buoys. These non-space data are collectively referred to as 'in situ' data. (source: </w:t>
      </w:r>
      <w:hyperlink r:id="rId46" w:history="1">
        <w:r w:rsidRPr="004B50F3">
          <w:rPr>
            <w:rStyle w:val="Hyperlink"/>
          </w:rPr>
          <w:t>https://insitu.copernicus.eu/about</w:t>
        </w:r>
      </w:hyperlink>
      <w:r w:rsidRPr="00E73086">
        <w:t>)</w:t>
      </w:r>
    </w:p>
  </w:footnote>
  <w:footnote w:id="101">
    <w:p w14:paraId="7D136B59" w14:textId="77777777" w:rsidR="003C0461" w:rsidRPr="00533493" w:rsidRDefault="003C0461">
      <w:pPr>
        <w:pStyle w:val="FootnoteText"/>
        <w:rPr>
          <w:rStyle w:val="FootnoteReference"/>
          <w:rFonts w:eastAsiaTheme="minorHAnsi"/>
          <w:sz w:val="18"/>
          <w:szCs w:val="18"/>
          <w:lang w:eastAsia="en-US"/>
        </w:rPr>
      </w:pPr>
      <w:r w:rsidRPr="00145E5A">
        <w:t>(</w:t>
      </w:r>
      <w:r w:rsidRPr="00145E5A">
        <w:rPr>
          <w:rStyle w:val="fnRefNo"/>
        </w:rPr>
        <w:footnoteRef/>
      </w:r>
      <w:r w:rsidRPr="00145E5A">
        <w:t>)</w:t>
      </w:r>
      <w:r w:rsidRPr="00A74585">
        <w:tab/>
      </w:r>
      <w:r w:rsidRPr="00415BAF">
        <w:t>Regulation (EU) No</w:t>
      </w:r>
      <w:r w:rsidRPr="00B907A6">
        <w:rPr>
          <w:rFonts w:cs="Calibri"/>
        </w:rPr>
        <w:t> </w:t>
      </w:r>
      <w:r w:rsidRPr="00415BAF">
        <w:t>1285/2013 of the European Parliament and of the Council of 11</w:t>
      </w:r>
      <w:r w:rsidRPr="00B907A6">
        <w:rPr>
          <w:rFonts w:cs="Calibri"/>
        </w:rPr>
        <w:t> </w:t>
      </w:r>
      <w:r w:rsidRPr="00415BAF">
        <w:t>December 2013 on the implementation and exploitation of European satellite navigation systems and repealing Council Regulation (EC) No</w:t>
      </w:r>
      <w:r w:rsidRPr="00B907A6">
        <w:rPr>
          <w:rFonts w:cs="Calibri"/>
        </w:rPr>
        <w:t> </w:t>
      </w:r>
      <w:r w:rsidRPr="00415BAF">
        <w:t>876/2002 and Regulation (EC) No</w:t>
      </w:r>
      <w:r w:rsidRPr="00B907A6">
        <w:rPr>
          <w:rFonts w:cs="Calibri"/>
        </w:rPr>
        <w:t> </w:t>
      </w:r>
      <w:r w:rsidRPr="00415BAF">
        <w:t>683/2008 of the European Parliament and of the Council.</w:t>
      </w:r>
    </w:p>
  </w:footnote>
  <w:footnote w:id="102">
    <w:p w14:paraId="24A69F25" w14:textId="7CC2C797" w:rsidR="003C0461" w:rsidRDefault="003C0461">
      <w:pPr>
        <w:pStyle w:val="FootnoteText"/>
      </w:pPr>
      <w:r w:rsidRPr="00145E5A">
        <w:t>(</w:t>
      </w:r>
      <w:r w:rsidRPr="00145E5A">
        <w:rPr>
          <w:rStyle w:val="fnRefNo"/>
        </w:rPr>
        <w:footnoteRef/>
      </w:r>
      <w:r w:rsidRPr="00145E5A">
        <w:t>)</w:t>
      </w:r>
      <w:r w:rsidRPr="0032611A">
        <w:tab/>
      </w:r>
      <w:r w:rsidRPr="00415BAF">
        <w:t xml:space="preserve">Directorate-General for Internal Market, Industry, Entrepreneurship and SMEs, </w:t>
      </w:r>
      <w:r w:rsidRPr="00415BAF">
        <w:rPr>
          <w:i/>
        </w:rPr>
        <w:t>2018 Annual activity report</w:t>
      </w:r>
      <w:r>
        <w:rPr>
          <w:i/>
        </w:rPr>
        <w:t>, p. 23.</w:t>
      </w:r>
    </w:p>
  </w:footnote>
  <w:footnote w:id="103">
    <w:p w14:paraId="3D7A65C7" w14:textId="16F4C526" w:rsidR="003C0461" w:rsidRPr="00533493" w:rsidRDefault="003C0461" w:rsidP="009739CF">
      <w:pPr>
        <w:pStyle w:val="FootnoteText"/>
        <w:rPr>
          <w:rStyle w:val="FootnoteReference"/>
          <w:rFonts w:eastAsiaTheme="minorHAnsi"/>
          <w:sz w:val="18"/>
          <w:szCs w:val="18"/>
          <w:lang w:eastAsia="en-US"/>
        </w:rPr>
      </w:pPr>
      <w:r w:rsidRPr="00145E5A">
        <w:t>(</w:t>
      </w:r>
      <w:r w:rsidRPr="00145E5A">
        <w:rPr>
          <w:rStyle w:val="fnRefNo"/>
        </w:rPr>
        <w:footnoteRef/>
      </w:r>
      <w:r w:rsidRPr="00145E5A">
        <w:t>)</w:t>
      </w:r>
      <w:r w:rsidRPr="00A74585">
        <w:tab/>
      </w:r>
      <w:r w:rsidRPr="0032611A">
        <w:rPr>
          <w:i/>
        </w:rPr>
        <w:t>Programme statement 2018 on Copernicus</w:t>
      </w:r>
      <w:r>
        <w:rPr>
          <w:i/>
        </w:rPr>
        <w:t>,</w:t>
      </w:r>
      <w:r w:rsidRPr="00415BAF">
        <w:t xml:space="preserve"> p</w:t>
      </w:r>
      <w:r>
        <w:t>p</w:t>
      </w:r>
      <w:r w:rsidRPr="00415BAF">
        <w:t>. 2-3.</w:t>
      </w:r>
    </w:p>
  </w:footnote>
  <w:footnote w:id="104">
    <w:p w14:paraId="5D836976" w14:textId="7CC32FF1" w:rsidR="003C0461" w:rsidRDefault="003C0461">
      <w:pPr>
        <w:pStyle w:val="FootnoteText"/>
      </w:pPr>
      <w:r w:rsidRPr="00145E5A">
        <w:t>(</w:t>
      </w:r>
      <w:r w:rsidRPr="00145E5A">
        <w:rPr>
          <w:rStyle w:val="fnRefNo"/>
        </w:rPr>
        <w:footnoteRef/>
      </w:r>
      <w:r w:rsidRPr="00145E5A">
        <w:t>)</w:t>
      </w:r>
      <w:r w:rsidRPr="0032611A">
        <w:tab/>
      </w:r>
      <w:r w:rsidRPr="0032611A">
        <w:rPr>
          <w:i/>
        </w:rPr>
        <w:t>Programme statement 2018 on Galileo and the European Geostationary Navigation Overlay Service (EGNOS)</w:t>
      </w:r>
      <w:r>
        <w:rPr>
          <w:i/>
        </w:rPr>
        <w:t>,</w:t>
      </w:r>
      <w:r>
        <w:t xml:space="preserve"> </w:t>
      </w:r>
      <w:r w:rsidRPr="00415BAF">
        <w:t>p. 2</w:t>
      </w:r>
      <w:r>
        <w:t>.</w:t>
      </w:r>
    </w:p>
  </w:footnote>
  <w:footnote w:id="105">
    <w:p w14:paraId="4B04A307" w14:textId="6B6556D9" w:rsidR="003C0461" w:rsidRPr="003601F8" w:rsidRDefault="003C0461" w:rsidP="009C631B">
      <w:pPr>
        <w:pStyle w:val="FootnoteText"/>
        <w:rPr>
          <w:rStyle w:val="FootnoteReference"/>
          <w:rFonts w:asciiTheme="minorHAnsi" w:eastAsiaTheme="minorHAnsi" w:hAnsiTheme="minorHAnsi"/>
          <w:sz w:val="18"/>
          <w:szCs w:val="18"/>
          <w:lang w:eastAsia="en-US"/>
        </w:rPr>
      </w:pPr>
      <w:r w:rsidRPr="00145E5A">
        <w:t>(</w:t>
      </w:r>
      <w:r w:rsidRPr="00145E5A">
        <w:rPr>
          <w:rStyle w:val="fnRefNo"/>
        </w:rPr>
        <w:footnoteRef/>
      </w:r>
      <w:r w:rsidRPr="00145E5A">
        <w:t>)</w:t>
      </w:r>
      <w:r w:rsidRPr="00A74585">
        <w:tab/>
      </w:r>
      <w:r w:rsidRPr="0032611A">
        <w:rPr>
          <w:i/>
        </w:rPr>
        <w:t>Programme statement 2018 on Galileo and the European Geostationary Navigation Overlay Service</w:t>
      </w:r>
      <w:r w:rsidRPr="0032611A">
        <w:rPr>
          <w:rFonts w:cs="Calibri"/>
          <w:i/>
        </w:rPr>
        <w:t> (</w:t>
      </w:r>
      <w:r w:rsidRPr="0032611A">
        <w:rPr>
          <w:i/>
        </w:rPr>
        <w:t>EGNOS)</w:t>
      </w:r>
      <w:r>
        <w:t>,</w:t>
      </w:r>
      <w:r w:rsidRPr="00415BAF">
        <w:t xml:space="preserve"> p. 4.</w:t>
      </w:r>
    </w:p>
  </w:footnote>
  <w:footnote w:id="106">
    <w:p w14:paraId="16C827E9" w14:textId="688806CC" w:rsidR="003C0461" w:rsidRPr="00415BAF" w:rsidRDefault="003C0461" w:rsidP="00674C69">
      <w:pPr>
        <w:pStyle w:val="FootnoteText"/>
        <w:rPr>
          <w:sz w:val="18"/>
          <w:szCs w:val="18"/>
        </w:rPr>
      </w:pPr>
      <w:r w:rsidRPr="00145E5A">
        <w:t>(</w:t>
      </w:r>
      <w:r w:rsidRPr="00145E5A">
        <w:rPr>
          <w:rStyle w:val="fnRefNo"/>
        </w:rPr>
        <w:footnoteRef/>
      </w:r>
      <w:r w:rsidRPr="00145E5A">
        <w:t>)</w:t>
      </w:r>
      <w:r w:rsidRPr="00A74585">
        <w:tab/>
      </w:r>
      <w:r w:rsidRPr="00415BAF">
        <w:t xml:space="preserve">SWD(2017) 347, </w:t>
      </w:r>
      <w:hyperlink r:id="rId47" w:history="1">
        <w:r w:rsidRPr="00415BAF">
          <w:rPr>
            <w:rStyle w:val="Hyperlink"/>
          </w:rPr>
          <w:t>http://eur-lex.europa.eu/legal-content/EN/TXT/?uri=CELEX:52017SC0347</w:t>
        </w:r>
      </w:hyperlink>
    </w:p>
  </w:footnote>
  <w:footnote w:id="107">
    <w:p w14:paraId="3818A32F" w14:textId="7AED25C7" w:rsidR="003C0461" w:rsidRPr="00415BAF" w:rsidRDefault="003C0461" w:rsidP="005941EE">
      <w:pPr>
        <w:pStyle w:val="FootnoteText"/>
      </w:pPr>
      <w:r w:rsidRPr="00145E5A">
        <w:t>(</w:t>
      </w:r>
      <w:r w:rsidRPr="00145E5A">
        <w:rPr>
          <w:rStyle w:val="fnRefNo"/>
        </w:rPr>
        <w:footnoteRef/>
      </w:r>
      <w:r w:rsidRPr="00145E5A">
        <w:t>)</w:t>
      </w:r>
      <w:r w:rsidRPr="00A74585">
        <w:tab/>
      </w:r>
      <w:r w:rsidRPr="00415BAF">
        <w:t xml:space="preserve">SWD(2017) 346, </w:t>
      </w:r>
      <w:hyperlink r:id="rId48" w:history="1">
        <w:r w:rsidRPr="00415BAF">
          <w:rPr>
            <w:rStyle w:val="Hyperlink"/>
          </w:rPr>
          <w:t>http://eur-lex.europa.eu/legal-content/EN/TXT/?uri=CELEX:52017SC0346</w:t>
        </w:r>
      </w:hyperlink>
    </w:p>
  </w:footnote>
  <w:footnote w:id="108">
    <w:p w14:paraId="13DEBFBF" w14:textId="3BCAD9B5" w:rsidR="003C0461" w:rsidRPr="00107DA0" w:rsidRDefault="003C0461" w:rsidP="005941EE">
      <w:pPr>
        <w:pStyle w:val="FootnoteText"/>
      </w:pPr>
      <w:r w:rsidRPr="00145E5A">
        <w:t>(</w:t>
      </w:r>
      <w:r w:rsidRPr="00145E5A">
        <w:rPr>
          <w:rStyle w:val="fnRefNo"/>
        </w:rPr>
        <w:footnoteRef/>
      </w:r>
      <w:r w:rsidRPr="00145E5A">
        <w:t>)</w:t>
      </w:r>
      <w:r w:rsidRPr="00A74585">
        <w:tab/>
      </w:r>
      <w:r w:rsidRPr="00415BAF">
        <w:t>Proposal for a Regulation of the European Parliament and of the Council establishing the space programme of the Union and the European Union Agency for the space programme and repealing Regulations (EU) No 912/2010, (EU) No 1285/2013, (EU) No 377/2014 and Decision 541/2014/EU</w:t>
      </w:r>
      <w:r>
        <w:t xml:space="preserve">, </w:t>
      </w:r>
      <w:r w:rsidRPr="00F12B78">
        <w:t>COM/2018/447</w:t>
      </w:r>
      <w:r w:rsidRPr="00415BAF">
        <w:t>.</w:t>
      </w:r>
    </w:p>
  </w:footnote>
  <w:footnote w:id="109">
    <w:p w14:paraId="7C7D5B93" w14:textId="3EA3CE7A" w:rsidR="003C0461" w:rsidRPr="00107DA0" w:rsidRDefault="003C0461" w:rsidP="009B70A8">
      <w:pPr>
        <w:pStyle w:val="FootnoteText"/>
      </w:pPr>
      <w:r w:rsidRPr="00145E5A">
        <w:t>(</w:t>
      </w:r>
      <w:r w:rsidRPr="00145E5A">
        <w:rPr>
          <w:rStyle w:val="fnRefNo"/>
        </w:rPr>
        <w:footnoteRef/>
      </w:r>
      <w:r w:rsidRPr="00145E5A">
        <w:t>)</w:t>
      </w:r>
      <w:r w:rsidRPr="00A74585">
        <w:tab/>
      </w:r>
      <w:hyperlink r:id="rId49" w:history="1">
        <w:r w:rsidRPr="009134CA">
          <w:rPr>
            <w:rStyle w:val="Hyperlink"/>
          </w:rPr>
          <w:t>https://eur-lex.europa.eu/legal-content/EN/TXT/?uri=celex:52017SC0228</w:t>
        </w:r>
      </w:hyperlink>
    </w:p>
  </w:footnote>
  <w:footnote w:id="110">
    <w:p w14:paraId="5FD68BD2" w14:textId="52B85D65" w:rsidR="003C0461" w:rsidRPr="00533493" w:rsidRDefault="003C0461" w:rsidP="004C2555">
      <w:pPr>
        <w:pStyle w:val="FootnoteText"/>
        <w:rPr>
          <w:rStyle w:val="FootnoteReference"/>
          <w:rFonts w:eastAsiaTheme="minorHAnsi"/>
          <w:sz w:val="18"/>
          <w:vertAlign w:val="baseline"/>
          <w:lang w:eastAsia="en-US"/>
        </w:rPr>
      </w:pPr>
      <w:r w:rsidRPr="00145E5A">
        <w:t>(</w:t>
      </w:r>
      <w:r w:rsidRPr="00145E5A">
        <w:rPr>
          <w:rStyle w:val="fnRefNo"/>
        </w:rPr>
        <w:footnoteRef/>
      </w:r>
      <w:r w:rsidRPr="00145E5A">
        <w:t>)</w:t>
      </w:r>
      <w:r w:rsidRPr="00A74585">
        <w:tab/>
      </w:r>
      <w:hyperlink r:id="rId50" w:history="1">
        <w:r w:rsidRPr="00415BAF">
          <w:t>Regulation (EU) No 952/2013 of the European Parliament and of the Council of 9</w:t>
        </w:r>
        <w:r w:rsidRPr="00B907A6">
          <w:rPr>
            <w:rFonts w:cs="Calibri"/>
          </w:rPr>
          <w:t> </w:t>
        </w:r>
        <w:r w:rsidRPr="00415BAF">
          <w:t>October</w:t>
        </w:r>
        <w:r w:rsidRPr="00B907A6">
          <w:rPr>
            <w:rFonts w:cs="Calibri"/>
          </w:rPr>
          <w:t> </w:t>
        </w:r>
        <w:r w:rsidRPr="00415BAF">
          <w:t>2013</w:t>
        </w:r>
        <w:r w:rsidRPr="00415BAF" w:rsidDel="00E9307F">
          <w:t xml:space="preserve"> </w:t>
        </w:r>
        <w:r w:rsidRPr="00415BAF">
          <w:t>laying down the Union Customs Code</w:t>
        </w:r>
      </w:hyperlink>
      <w:r w:rsidRPr="00415BAF">
        <w:t>.</w:t>
      </w:r>
    </w:p>
  </w:footnote>
  <w:footnote w:id="111">
    <w:p w14:paraId="263E920B" w14:textId="1DC3751F" w:rsidR="003C0461" w:rsidRDefault="003C0461">
      <w:pPr>
        <w:pStyle w:val="FootnoteText"/>
      </w:pPr>
      <w:r w:rsidRPr="00145E5A">
        <w:t>(</w:t>
      </w:r>
      <w:r w:rsidRPr="00145E5A">
        <w:rPr>
          <w:rStyle w:val="fnRefNo"/>
        </w:rPr>
        <w:footnoteRef/>
      </w:r>
      <w:r w:rsidRPr="00145E5A">
        <w:t>)</w:t>
      </w:r>
      <w:r w:rsidRPr="0032611A">
        <w:tab/>
      </w:r>
      <w:hyperlink r:id="rId51" w:history="1">
        <w:r w:rsidRPr="0032611A">
          <w:rPr>
            <w:i/>
          </w:rPr>
          <w:t>Mid-term evaluation of the Customs 2020 programme</w:t>
        </w:r>
        <w:r w:rsidRPr="0032611A">
          <w:t xml:space="preserve"> </w:t>
        </w:r>
        <w:r>
          <w:t>—</w:t>
        </w:r>
        <w:r w:rsidRPr="0032611A">
          <w:t xml:space="preserve"> Final report</w:t>
        </w:r>
      </w:hyperlink>
      <w:r w:rsidRPr="0032611A">
        <w:t xml:space="preserve"> </w:t>
      </w:r>
      <w:hyperlink r:id="rId52" w:history="1">
        <w:r w:rsidRPr="0032611A">
          <w:t>SWD(2019)14</w:t>
        </w:r>
      </w:hyperlink>
      <w:r>
        <w:t>.</w:t>
      </w:r>
      <w:r w:rsidRPr="0032611A">
        <w:t xml:space="preserve"> </w:t>
      </w:r>
    </w:p>
  </w:footnote>
  <w:footnote w:id="112">
    <w:p w14:paraId="5015832C" w14:textId="23880102" w:rsidR="003C0461" w:rsidRPr="00415BAF" w:rsidRDefault="003C0461" w:rsidP="001B1278">
      <w:pPr>
        <w:pStyle w:val="FootnoteText"/>
        <w:rPr>
          <w:sz w:val="18"/>
          <w:szCs w:val="18"/>
        </w:rPr>
      </w:pPr>
      <w:r w:rsidRPr="00145E5A">
        <w:t>(</w:t>
      </w:r>
      <w:r w:rsidRPr="00145E5A">
        <w:rPr>
          <w:rStyle w:val="fnRefNo"/>
        </w:rPr>
        <w:footnoteRef/>
      </w:r>
      <w:r w:rsidRPr="00145E5A">
        <w:t>)</w:t>
      </w:r>
      <w:r w:rsidRPr="00A74585">
        <w:tab/>
      </w:r>
      <w:hyperlink r:id="rId53" w:history="1">
        <w:r w:rsidRPr="00415BAF">
          <w:rPr>
            <w:rStyle w:val="Hyperlink"/>
          </w:rPr>
          <w:t>http://ec.europa.eu/environment/enlarg/candidates.htm</w:t>
        </w:r>
      </w:hyperlink>
      <w:r w:rsidRPr="00415BAF">
        <w:rPr>
          <w:rStyle w:val="Hyperlink"/>
        </w:rPr>
        <w:t xml:space="preserve"> </w:t>
      </w:r>
    </w:p>
  </w:footnote>
  <w:footnote w:id="113">
    <w:p w14:paraId="2D192E97" w14:textId="064D12D7" w:rsidR="003C0461" w:rsidRPr="00415BAF" w:rsidRDefault="003C0461" w:rsidP="00AC2894">
      <w:pPr>
        <w:pStyle w:val="FootnoteText"/>
        <w:rPr>
          <w:sz w:val="18"/>
          <w:szCs w:val="18"/>
        </w:rPr>
      </w:pPr>
      <w:r w:rsidRPr="00145E5A">
        <w:t>(</w:t>
      </w:r>
      <w:r w:rsidRPr="00145E5A">
        <w:rPr>
          <w:rStyle w:val="fnRefNo"/>
        </w:rPr>
        <w:footnoteRef/>
      </w:r>
      <w:r w:rsidRPr="00145E5A">
        <w:t>)</w:t>
      </w:r>
      <w:r w:rsidRPr="00A74585">
        <w:tab/>
      </w:r>
      <w:hyperlink r:id="rId54" w:history="1">
        <w:r w:rsidRPr="00415BAF">
          <w:rPr>
            <w:i/>
          </w:rPr>
          <w:t xml:space="preserve">Mid-term evaluation of the Fiscalis 2020 programme </w:t>
        </w:r>
        <w:r w:rsidRPr="0032611A">
          <w:t>—</w:t>
        </w:r>
        <w:r w:rsidRPr="00415BAF">
          <w:rPr>
            <w:i/>
          </w:rPr>
          <w:t xml:space="preserve"> </w:t>
        </w:r>
        <w:r w:rsidRPr="0032611A">
          <w:t>Final</w:t>
        </w:r>
        <w:r w:rsidRPr="00415BAF">
          <w:rPr>
            <w:i/>
          </w:rPr>
          <w:t xml:space="preserve"> </w:t>
        </w:r>
        <w:r w:rsidRPr="0032611A">
          <w:t>report</w:t>
        </w:r>
      </w:hyperlink>
      <w:r w:rsidRPr="00415BAF">
        <w:t xml:space="preserve">, </w:t>
      </w:r>
      <w:hyperlink r:id="rId55" w:history="1">
        <w:r w:rsidRPr="00415BAF">
          <w:t>SWD(2019)15</w:t>
        </w:r>
      </w:hyperlink>
      <w:r w:rsidRPr="00415BAF">
        <w:t>.</w:t>
      </w:r>
    </w:p>
  </w:footnote>
  <w:footnote w:id="114">
    <w:p w14:paraId="37527715" w14:textId="07023FAC" w:rsidR="003C0461" w:rsidRPr="00415BAF" w:rsidRDefault="003C0461" w:rsidP="009B70A8">
      <w:pPr>
        <w:pStyle w:val="FootnoteText"/>
      </w:pPr>
      <w:r w:rsidRPr="00145E5A">
        <w:t>(</w:t>
      </w:r>
      <w:r w:rsidRPr="00145E5A">
        <w:rPr>
          <w:rStyle w:val="fnRefNo"/>
        </w:rPr>
        <w:footnoteRef/>
      </w:r>
      <w:r w:rsidRPr="00145E5A">
        <w:t>)</w:t>
      </w:r>
      <w:r w:rsidRPr="00A74585">
        <w:tab/>
      </w:r>
      <w:hyperlink r:id="rId56" w:history="1">
        <w:r w:rsidRPr="00C00420">
          <w:rPr>
            <w:rStyle w:val="Hyperlink"/>
          </w:rPr>
          <w:t>https://eur-lex.europa.eu/legal-content/EN/TXT/?uri=celex:32014R0250</w:t>
        </w:r>
      </w:hyperlink>
      <w:r w:rsidRPr="00415BAF">
        <w:t xml:space="preserve"> </w:t>
      </w:r>
    </w:p>
  </w:footnote>
  <w:footnote w:id="115">
    <w:p w14:paraId="2543C024" w14:textId="196BDFAE" w:rsidR="003C0461" w:rsidRPr="00415BAF" w:rsidRDefault="003C0461" w:rsidP="004C2555">
      <w:pPr>
        <w:pStyle w:val="FootnoteText"/>
        <w:rPr>
          <w:sz w:val="18"/>
          <w:szCs w:val="18"/>
          <w:lang w:val="pt-PT"/>
        </w:rPr>
      </w:pPr>
      <w:r w:rsidRPr="0005798F">
        <w:rPr>
          <w:lang w:val="pt-PT"/>
        </w:rPr>
        <w:t>(</w:t>
      </w:r>
      <w:r w:rsidRPr="00145E5A">
        <w:rPr>
          <w:rStyle w:val="fnRefNo"/>
        </w:rPr>
        <w:footnoteRef/>
      </w:r>
      <w:r w:rsidRPr="0005798F">
        <w:rPr>
          <w:lang w:val="pt-PT"/>
        </w:rPr>
        <w:t>)</w:t>
      </w:r>
      <w:r w:rsidRPr="00A74585">
        <w:rPr>
          <w:lang w:val="pt-PT"/>
        </w:rPr>
        <w:tab/>
      </w:r>
      <w:r w:rsidRPr="00415BAF">
        <w:rPr>
          <w:rStyle w:val="FootnoteTextChar"/>
          <w:lang w:val="pt-PT"/>
        </w:rPr>
        <w:t xml:space="preserve">COM(2018) 3, </w:t>
      </w:r>
      <w:hyperlink r:id="rId57" w:history="1">
        <w:r w:rsidRPr="0005798F">
          <w:rPr>
            <w:rStyle w:val="Hyperlink"/>
            <w:lang w:val="pt-PT"/>
          </w:rPr>
          <w:t>https://ec.europa.eu/anti-fraud/sites/antifraud/files/commission_report_mid_term_evaluation_hercule_iii_en.pdf</w:t>
        </w:r>
      </w:hyperlink>
      <w:r w:rsidRPr="00415BAF">
        <w:rPr>
          <w:sz w:val="18"/>
          <w:szCs w:val="18"/>
          <w:lang w:val="pt-PT"/>
        </w:rPr>
        <w:t xml:space="preserve"> </w:t>
      </w:r>
    </w:p>
  </w:footnote>
  <w:footnote w:id="116">
    <w:p w14:paraId="4DBC419C" w14:textId="67133758" w:rsidR="003C0461" w:rsidRDefault="003C0461">
      <w:pPr>
        <w:pStyle w:val="FootnoteText"/>
      </w:pPr>
      <w:r w:rsidRPr="00145E5A">
        <w:t>(</w:t>
      </w:r>
      <w:r w:rsidRPr="00145E5A">
        <w:rPr>
          <w:rStyle w:val="fnRefNo"/>
        </w:rPr>
        <w:footnoteRef/>
      </w:r>
      <w:r w:rsidRPr="00145E5A">
        <w:t>)</w:t>
      </w:r>
      <w:r>
        <w:tab/>
        <w:t xml:space="preserve">European Anti-fraud Office, </w:t>
      </w:r>
      <w:r w:rsidRPr="0032611A">
        <w:rPr>
          <w:i/>
        </w:rPr>
        <w:t>2018 Annual activity report</w:t>
      </w:r>
      <w:r>
        <w:rPr>
          <w:i/>
        </w:rPr>
        <w:t>,</w:t>
      </w:r>
      <w:r>
        <w:t xml:space="preserve"> p.24.</w:t>
      </w:r>
    </w:p>
  </w:footnote>
  <w:footnote w:id="117">
    <w:p w14:paraId="06ABAFAC" w14:textId="4FC608EF" w:rsidR="003C0461" w:rsidRDefault="003C0461">
      <w:pPr>
        <w:pStyle w:val="FootnoteText"/>
      </w:pPr>
      <w:r w:rsidRPr="00145E5A">
        <w:t>(</w:t>
      </w:r>
      <w:r w:rsidRPr="00145E5A">
        <w:rPr>
          <w:rStyle w:val="fnRefNo"/>
        </w:rPr>
        <w:footnoteRef/>
      </w:r>
      <w:r w:rsidRPr="00145E5A">
        <w:t>)</w:t>
      </w:r>
      <w:r w:rsidRPr="0032611A">
        <w:tab/>
      </w:r>
      <w:r w:rsidRPr="00CF0874">
        <w:t xml:space="preserve">Proposal for a </w:t>
      </w:r>
      <w:r>
        <w:t>R</w:t>
      </w:r>
      <w:r w:rsidRPr="00CF0874">
        <w:t>egulation establishing the EU Anti-Fraud Programme</w:t>
      </w:r>
      <w:r>
        <w:t xml:space="preserve">, </w:t>
      </w:r>
      <w:hyperlink r:id="rId58" w:history="1">
        <w:r w:rsidRPr="00CF0874">
          <w:rPr>
            <w:rStyle w:val="Hyperlink"/>
          </w:rPr>
          <w:t>COM(2018)386</w:t>
        </w:r>
      </w:hyperlink>
      <w:r>
        <w:t>, p 2.</w:t>
      </w:r>
    </w:p>
  </w:footnote>
  <w:footnote w:id="118">
    <w:p w14:paraId="5E59905B" w14:textId="7177E42D" w:rsidR="003C0461" w:rsidRPr="00BF6EC8" w:rsidRDefault="003C0461" w:rsidP="00D45AB0">
      <w:pPr>
        <w:pStyle w:val="FootnoteText"/>
        <w:rPr>
          <w:sz w:val="18"/>
          <w:szCs w:val="18"/>
        </w:rPr>
      </w:pPr>
      <w:r w:rsidRPr="00145E5A">
        <w:t>(</w:t>
      </w:r>
      <w:r w:rsidRPr="00145E5A">
        <w:rPr>
          <w:rStyle w:val="fnRefNo"/>
        </w:rPr>
        <w:footnoteRef/>
      </w:r>
      <w:r w:rsidRPr="00145E5A">
        <w:t>)</w:t>
      </w:r>
      <w:r w:rsidRPr="005F7A26">
        <w:tab/>
      </w:r>
      <w:r w:rsidRPr="00D45AB0">
        <w:rPr>
          <w:szCs w:val="16"/>
        </w:rPr>
        <w:t>The Commission Report announcing the interim evaluation’s final results will be available later this year (third quarter of 2019).</w:t>
      </w:r>
    </w:p>
  </w:footnote>
  <w:footnote w:id="119">
    <w:p w14:paraId="5379D627" w14:textId="70E54F13" w:rsidR="003C0461" w:rsidRPr="003601F8" w:rsidRDefault="003C0461" w:rsidP="004C2555">
      <w:pPr>
        <w:pStyle w:val="FootnoteText"/>
        <w:rPr>
          <w:sz w:val="18"/>
        </w:rPr>
      </w:pPr>
      <w:r w:rsidRPr="00145E5A">
        <w:t>(</w:t>
      </w:r>
      <w:r w:rsidRPr="00145E5A">
        <w:rPr>
          <w:rStyle w:val="fnRefNo"/>
        </w:rPr>
        <w:footnoteRef/>
      </w:r>
      <w:r w:rsidRPr="00145E5A">
        <w:t>)</w:t>
      </w:r>
      <w:r w:rsidRPr="003601F8">
        <w:tab/>
      </w:r>
      <w:r w:rsidRPr="003455BF">
        <w:t>Regulation (EU) 99/2013 of the European Parliament and of the Council of 15</w:t>
      </w:r>
      <w:r>
        <w:rPr>
          <w:rFonts w:ascii="Calibri" w:hAnsi="Calibri" w:cs="Calibri"/>
        </w:rPr>
        <w:t> </w:t>
      </w:r>
      <w:r w:rsidRPr="003455BF">
        <w:t>January</w:t>
      </w:r>
      <w:r>
        <w:rPr>
          <w:rFonts w:ascii="Calibri" w:hAnsi="Calibri" w:cs="Calibri"/>
        </w:rPr>
        <w:t> </w:t>
      </w:r>
      <w:r w:rsidRPr="003455BF">
        <w:t>2013 on the European statistical programme 2013-17, as last amended by Regulation (EU) 2017/1951 of 25</w:t>
      </w:r>
      <w:r>
        <w:rPr>
          <w:rFonts w:ascii="Calibri" w:hAnsi="Calibri" w:cs="Calibri"/>
        </w:rPr>
        <w:t> </w:t>
      </w:r>
      <w:r w:rsidRPr="003455BF">
        <w:t>October</w:t>
      </w:r>
      <w:r>
        <w:rPr>
          <w:rFonts w:ascii="Calibri" w:hAnsi="Calibri" w:cs="Calibri"/>
        </w:rPr>
        <w:t> </w:t>
      </w:r>
      <w:r w:rsidRPr="003455BF">
        <w:t>2017 amending Regulation (EU) No 99/2013 on the European statistical programme 2013-17, by extending it to 2020</w:t>
      </w:r>
      <w:r>
        <w:t>.</w:t>
      </w:r>
    </w:p>
  </w:footnote>
  <w:footnote w:id="120">
    <w:p w14:paraId="14BDD119" w14:textId="28177999" w:rsidR="003C0461" w:rsidRPr="00415BAF" w:rsidRDefault="003C0461" w:rsidP="00B513F6">
      <w:pPr>
        <w:pStyle w:val="FootnoteText"/>
        <w:rPr>
          <w:sz w:val="18"/>
          <w:szCs w:val="18"/>
        </w:rPr>
      </w:pPr>
      <w:r w:rsidRPr="00145E5A">
        <w:t>(</w:t>
      </w:r>
      <w:r w:rsidRPr="00145E5A">
        <w:rPr>
          <w:rStyle w:val="fnRefNo"/>
        </w:rPr>
        <w:footnoteRef/>
      </w:r>
      <w:r w:rsidRPr="00145E5A">
        <w:t>)</w:t>
      </w:r>
      <w:r w:rsidRPr="00A74585">
        <w:tab/>
      </w:r>
      <w:r w:rsidRPr="0032611A">
        <w:rPr>
          <w:i/>
        </w:rPr>
        <w:t>Programme statement 2018 Nuclear-decommissioning assistance programme in Bulgaria and Slovakia</w:t>
      </w:r>
      <w:r w:rsidRPr="00415BAF">
        <w:t>, p</w:t>
      </w:r>
      <w:r w:rsidRPr="00B907A6">
        <w:rPr>
          <w:rFonts w:cs="Calibri"/>
        </w:rPr>
        <w:t> </w:t>
      </w:r>
      <w:r w:rsidRPr="00415BAF">
        <w:t>1.</w:t>
      </w:r>
    </w:p>
  </w:footnote>
  <w:footnote w:id="121">
    <w:p w14:paraId="50DDEA42" w14:textId="27A0B96D" w:rsidR="003C0461" w:rsidRPr="00415BAF" w:rsidRDefault="003C0461" w:rsidP="00B513F6">
      <w:pPr>
        <w:pStyle w:val="FootnoteText"/>
        <w:rPr>
          <w:sz w:val="18"/>
          <w:szCs w:val="18"/>
        </w:rPr>
      </w:pPr>
      <w:r w:rsidRPr="00145E5A">
        <w:t>(</w:t>
      </w:r>
      <w:r w:rsidRPr="00145E5A">
        <w:rPr>
          <w:rStyle w:val="fnRefNo"/>
        </w:rPr>
        <w:footnoteRef/>
      </w:r>
      <w:r w:rsidRPr="00145E5A">
        <w:t>)</w:t>
      </w:r>
      <w:r w:rsidRPr="00A74585">
        <w:tab/>
      </w:r>
      <w:r w:rsidRPr="0032611A">
        <w:rPr>
          <w:i/>
        </w:rPr>
        <w:t>Programme statement 2018 Nuclear-decommissioning assistance programme in Bulgaria and Slovakia</w:t>
      </w:r>
      <w:r w:rsidRPr="00415BAF">
        <w:t>, p.</w:t>
      </w:r>
      <w:r w:rsidRPr="00B907A6">
        <w:rPr>
          <w:rFonts w:cs="Calibri"/>
        </w:rPr>
        <w:t> </w:t>
      </w:r>
      <w:r w:rsidRPr="00415BAF">
        <w:t>2.</w:t>
      </w:r>
    </w:p>
  </w:footnote>
  <w:footnote w:id="122">
    <w:p w14:paraId="1139389A" w14:textId="5BF65214" w:rsidR="003C0461" w:rsidRPr="00415BAF" w:rsidRDefault="003C0461" w:rsidP="00B513F6">
      <w:pPr>
        <w:pStyle w:val="FootnoteText"/>
        <w:rPr>
          <w:sz w:val="18"/>
          <w:szCs w:val="18"/>
        </w:rPr>
      </w:pPr>
      <w:r w:rsidRPr="00145E5A">
        <w:t>(</w:t>
      </w:r>
      <w:r w:rsidRPr="00145E5A">
        <w:rPr>
          <w:rStyle w:val="fnRefNo"/>
        </w:rPr>
        <w:footnoteRef/>
      </w:r>
      <w:r w:rsidRPr="00145E5A">
        <w:t>)</w:t>
      </w:r>
      <w:r w:rsidRPr="00A74585">
        <w:tab/>
      </w:r>
      <w:r w:rsidRPr="0032611A">
        <w:rPr>
          <w:i/>
        </w:rPr>
        <w:t>Programme statement 2018 Nuclear-decommissioning assistance programme in Lithuania</w:t>
      </w:r>
      <w:r w:rsidRPr="00415BAF">
        <w:t>, p.</w:t>
      </w:r>
      <w:r w:rsidRPr="00B907A6">
        <w:rPr>
          <w:rFonts w:cs="Calibri"/>
        </w:rPr>
        <w:t> </w:t>
      </w:r>
      <w:r w:rsidRPr="00415BAF">
        <w:t>1.</w:t>
      </w:r>
    </w:p>
  </w:footnote>
  <w:footnote w:id="123">
    <w:p w14:paraId="159DFEDA" w14:textId="13B7AE0C" w:rsidR="003C0461" w:rsidRPr="00415BAF" w:rsidRDefault="003C0461" w:rsidP="00B513F6">
      <w:pPr>
        <w:pStyle w:val="FootnoteText"/>
        <w:rPr>
          <w:sz w:val="18"/>
          <w:szCs w:val="18"/>
        </w:rPr>
      </w:pPr>
      <w:r w:rsidRPr="00145E5A">
        <w:t>(</w:t>
      </w:r>
      <w:r w:rsidRPr="00145E5A">
        <w:rPr>
          <w:rStyle w:val="fnRefNo"/>
        </w:rPr>
        <w:footnoteRef/>
      </w:r>
      <w:r w:rsidRPr="00145E5A">
        <w:t>)</w:t>
      </w:r>
      <w:r w:rsidRPr="00A74585">
        <w:tab/>
      </w:r>
      <w:r w:rsidRPr="00415BAF">
        <w:rPr>
          <w:i/>
        </w:rPr>
        <w:t>Nuclear</w:t>
      </w:r>
      <w:r>
        <w:rPr>
          <w:i/>
        </w:rPr>
        <w:t>-</w:t>
      </w:r>
      <w:r w:rsidRPr="00415BAF">
        <w:rPr>
          <w:i/>
        </w:rPr>
        <w:t>decommissioning assistance programme evaluation</w:t>
      </w:r>
      <w:r w:rsidRPr="00415BAF">
        <w:t xml:space="preserve">, </w:t>
      </w:r>
      <w:hyperlink r:id="rId59" w:history="1">
        <w:r w:rsidRPr="00415BAF">
          <w:t>SWD(2018) 344</w:t>
        </w:r>
      </w:hyperlink>
      <w:r w:rsidRPr="00415BAF">
        <w:t>.</w:t>
      </w:r>
    </w:p>
  </w:footnote>
  <w:footnote w:id="124">
    <w:p w14:paraId="0FAF6C76" w14:textId="089CC19A" w:rsidR="003C0461" w:rsidRPr="00415BAF" w:rsidRDefault="003C0461" w:rsidP="00B513F6">
      <w:pPr>
        <w:pStyle w:val="FootnoteText"/>
        <w:rPr>
          <w:sz w:val="18"/>
          <w:szCs w:val="18"/>
        </w:rPr>
      </w:pPr>
      <w:r w:rsidRPr="00145E5A">
        <w:t>(</w:t>
      </w:r>
      <w:r w:rsidRPr="00145E5A">
        <w:rPr>
          <w:rStyle w:val="fnRefNo"/>
        </w:rPr>
        <w:footnoteRef/>
      </w:r>
      <w:r w:rsidRPr="00145E5A">
        <w:t>)</w:t>
      </w:r>
      <w:r w:rsidRPr="00A74585">
        <w:tab/>
      </w:r>
      <w:r w:rsidRPr="0032611A">
        <w:rPr>
          <w:i/>
        </w:rPr>
        <w:t>Programme statement 2018 Nuclear-decommissioning assistance programme in Bulgaria and Slovakia</w:t>
      </w:r>
      <w:r w:rsidRPr="00415BAF">
        <w:t>, p.</w:t>
      </w:r>
      <w:r w:rsidRPr="00B907A6">
        <w:rPr>
          <w:rFonts w:cs="Calibri"/>
        </w:rPr>
        <w:t> </w:t>
      </w:r>
      <w:r w:rsidRPr="00415BAF">
        <w:t>1.</w:t>
      </w:r>
    </w:p>
  </w:footnote>
  <w:footnote w:id="125">
    <w:p w14:paraId="13B9BA8B" w14:textId="153B1E16" w:rsidR="003C0461" w:rsidRPr="0032611A" w:rsidRDefault="003C0461">
      <w:pPr>
        <w:pStyle w:val="FootnoteText"/>
        <w:rPr>
          <w:lang w:val="hu-HU"/>
        </w:rPr>
      </w:pPr>
      <w:r w:rsidRPr="00145E5A">
        <w:t>(</w:t>
      </w:r>
      <w:r w:rsidRPr="00145E5A">
        <w:rPr>
          <w:rStyle w:val="fnRefNo"/>
        </w:rPr>
        <w:footnoteRef/>
      </w:r>
      <w:r w:rsidRPr="00145E5A">
        <w:t>)</w:t>
      </w:r>
      <w:r>
        <w:tab/>
      </w:r>
      <w:r>
        <w:rPr>
          <w:lang w:val="hu-HU"/>
        </w:rPr>
        <w:t>Performance information for the budget heading 1B covers predominantly the year 2017 as 2018 infomation only becomes available from Member States in 2019 after the publication of this report,</w:t>
      </w:r>
    </w:p>
  </w:footnote>
  <w:footnote w:id="126">
    <w:p w14:paraId="6C7C2EE0" w14:textId="731F49D3" w:rsidR="003C0461" w:rsidRPr="00ED59D3" w:rsidRDefault="003C0461">
      <w:pPr>
        <w:pStyle w:val="FootnoteText"/>
        <w:rPr>
          <w:lang w:val="en-US"/>
        </w:rPr>
      </w:pPr>
      <w:r w:rsidRPr="00145E5A">
        <w:t>(</w:t>
      </w:r>
      <w:r w:rsidRPr="00145E5A">
        <w:rPr>
          <w:rStyle w:val="fnRefNo"/>
        </w:rPr>
        <w:footnoteRef/>
      </w:r>
      <w:r w:rsidRPr="00145E5A">
        <w:t>)</w:t>
      </w:r>
      <w:r>
        <w:tab/>
      </w:r>
      <w:r w:rsidRPr="00ED59D3">
        <w:t xml:space="preserve">European Commission, Seventh report on economic, social and territorial cohesion, page 176-177 </w:t>
      </w:r>
      <w:hyperlink r:id="rId60" w:history="1">
        <w:r w:rsidRPr="0096736F">
          <w:rPr>
            <w:rStyle w:val="Hyperlink"/>
          </w:rPr>
          <w:t>https://ec.europa.eu/regional_policy/sources/docoffic/official/reports/cohesion7/7cr.pdf</w:t>
        </w:r>
      </w:hyperlink>
    </w:p>
  </w:footnote>
  <w:footnote w:id="127">
    <w:p w14:paraId="7F334DD5" w14:textId="1A8555BA" w:rsidR="003C0461" w:rsidRPr="0005798F" w:rsidRDefault="003C0461" w:rsidP="008331F6">
      <w:pPr>
        <w:pStyle w:val="FootnoteText"/>
        <w:rPr>
          <w:lang w:val="en-US"/>
        </w:rPr>
      </w:pPr>
      <w:r w:rsidRPr="00145E5A">
        <w:t>(</w:t>
      </w:r>
      <w:r w:rsidRPr="00145E5A">
        <w:rPr>
          <w:rStyle w:val="fnRefNo"/>
        </w:rPr>
        <w:footnoteRef/>
      </w:r>
      <w:r w:rsidRPr="00145E5A">
        <w:t>)</w:t>
      </w:r>
      <w:r w:rsidRPr="0005798F">
        <w:rPr>
          <w:lang w:val="en-US"/>
        </w:rPr>
        <w:tab/>
        <w:t>Bulgaria, Croatia, Cyprus, Czechia, Estonia, Hungary, Latvia, Lithuania, Malta, Poland, Romania, Slovakia and Slovenia.</w:t>
      </w:r>
    </w:p>
  </w:footnote>
  <w:footnote w:id="128">
    <w:p w14:paraId="3A98AFFA" w14:textId="77777777" w:rsidR="003C0461" w:rsidRPr="00127AA7" w:rsidRDefault="003C0461" w:rsidP="002D6D6F">
      <w:pPr>
        <w:pStyle w:val="FootnoteText"/>
      </w:pPr>
      <w:r w:rsidRPr="00145E5A">
        <w:t>(</w:t>
      </w:r>
      <w:r w:rsidRPr="00145E5A">
        <w:rPr>
          <w:rStyle w:val="fnRefNo"/>
        </w:rPr>
        <w:footnoteRef/>
      </w:r>
      <w:r w:rsidRPr="00145E5A">
        <w:t>)</w:t>
      </w:r>
      <w:r w:rsidRPr="0032611A">
        <w:tab/>
      </w:r>
      <w:r>
        <w:t>For the 2007-13 programmes; but similar levels can be expected for the 2014-2020 programmes.</w:t>
      </w:r>
    </w:p>
  </w:footnote>
  <w:footnote w:id="129">
    <w:p w14:paraId="54AC1003" w14:textId="30786F35" w:rsidR="003C0461" w:rsidRPr="00EB773C" w:rsidRDefault="003C0461">
      <w:pPr>
        <w:pStyle w:val="FootnoteText"/>
        <w:rPr>
          <w:lang w:val="fr-BE"/>
        </w:rPr>
      </w:pPr>
      <w:r w:rsidRPr="00277538">
        <w:rPr>
          <w:lang w:val="fr-BE"/>
        </w:rPr>
        <w:t>(</w:t>
      </w:r>
      <w:r w:rsidRPr="00145E5A">
        <w:rPr>
          <w:rStyle w:val="fnRefNo"/>
        </w:rPr>
        <w:footnoteRef/>
      </w:r>
      <w:r w:rsidRPr="00277538">
        <w:rPr>
          <w:lang w:val="fr-BE"/>
        </w:rPr>
        <w:t>)</w:t>
      </w:r>
      <w:r w:rsidRPr="00EB773C">
        <w:rPr>
          <w:lang w:val="fr-BE"/>
        </w:rPr>
        <w:tab/>
        <w:t xml:space="preserve">2007-2013 </w:t>
      </w:r>
      <w:r w:rsidRPr="00EB773C">
        <w:rPr>
          <w:i/>
          <w:lang w:val="fr-BE"/>
        </w:rPr>
        <w:t>ex post</w:t>
      </w:r>
      <w:r w:rsidRPr="00EB773C">
        <w:rPr>
          <w:lang w:val="fr-BE"/>
        </w:rPr>
        <w:t xml:space="preserve"> evaluation</w:t>
      </w:r>
    </w:p>
  </w:footnote>
  <w:footnote w:id="130">
    <w:p w14:paraId="136DA39F" w14:textId="77777777" w:rsidR="003C0461" w:rsidRPr="00EB773C" w:rsidRDefault="003C0461" w:rsidP="00752F3C">
      <w:pPr>
        <w:pStyle w:val="FootnoteText"/>
        <w:rPr>
          <w:lang w:val="fr-BE"/>
        </w:rPr>
      </w:pPr>
      <w:r w:rsidRPr="00277538">
        <w:rPr>
          <w:lang w:val="fr-BE"/>
        </w:rPr>
        <w:t>(</w:t>
      </w:r>
      <w:r w:rsidRPr="00145E5A">
        <w:rPr>
          <w:rStyle w:val="fnRefNo"/>
        </w:rPr>
        <w:footnoteRef/>
      </w:r>
      <w:r w:rsidRPr="00277538">
        <w:rPr>
          <w:lang w:val="fr-BE"/>
        </w:rPr>
        <w:t>)</w:t>
      </w:r>
      <w:r w:rsidRPr="00EB773C">
        <w:rPr>
          <w:lang w:val="fr-BE"/>
        </w:rPr>
        <w:tab/>
      </w:r>
      <w:hyperlink r:id="rId61" w:history="1">
        <w:r w:rsidRPr="00525204">
          <w:rPr>
            <w:rStyle w:val="Hyperlink"/>
            <w:lang w:val="fr-BE"/>
          </w:rPr>
          <w:t>https://enrd.ec.europa.eu/action-plan-rural-broadband_en</w:t>
        </w:r>
      </w:hyperlink>
    </w:p>
  </w:footnote>
  <w:footnote w:id="131">
    <w:p w14:paraId="584310C4" w14:textId="26C4F18F" w:rsidR="003C0461" w:rsidRPr="00721BB9" w:rsidRDefault="003C0461" w:rsidP="008331F6">
      <w:pPr>
        <w:pStyle w:val="FootnoteText"/>
      </w:pPr>
      <w:r w:rsidRPr="00145E5A">
        <w:t>(</w:t>
      </w:r>
      <w:r w:rsidRPr="00145E5A">
        <w:rPr>
          <w:rStyle w:val="fnRefNo"/>
        </w:rPr>
        <w:footnoteRef/>
      </w:r>
      <w:r w:rsidRPr="00145E5A">
        <w:t>)</w:t>
      </w:r>
      <w:r w:rsidRPr="0032611A">
        <w:tab/>
      </w:r>
      <w:r w:rsidRPr="0032611A">
        <w:rPr>
          <w:i/>
        </w:rPr>
        <w:t>Ex post</w:t>
      </w:r>
      <w:r w:rsidRPr="00721BB9">
        <w:t xml:space="preserve"> evaluation of the European Regional Development Fund and Cohesion Fund 2007-13, SWD(2016) 318 final</w:t>
      </w:r>
      <w:r w:rsidRPr="00721BB9">
        <w:br/>
      </w:r>
      <w:hyperlink r:id="rId62" w:history="1">
        <w:r w:rsidRPr="00A81482">
          <w:rPr>
            <w:rStyle w:val="Hyperlink"/>
          </w:rPr>
          <w:t>https://ec.europa.eu/regional_policy/sources/docgener/evaluation/pdf/expost2013/wp1_swd_report_en.pdf</w:t>
        </w:r>
      </w:hyperlink>
    </w:p>
  </w:footnote>
  <w:footnote w:id="132">
    <w:p w14:paraId="1FE724EB" w14:textId="5A9DE8AE" w:rsidR="003C0461" w:rsidRPr="00721BB9" w:rsidRDefault="003C0461" w:rsidP="008331F6">
      <w:pPr>
        <w:pStyle w:val="FootnoteText"/>
      </w:pPr>
      <w:r w:rsidRPr="00145E5A">
        <w:t>(</w:t>
      </w:r>
      <w:r w:rsidRPr="00145E5A">
        <w:rPr>
          <w:rStyle w:val="fnRefNo"/>
        </w:rPr>
        <w:footnoteRef/>
      </w:r>
      <w:r w:rsidRPr="00145E5A">
        <w:t>)</w:t>
      </w:r>
      <w:r w:rsidRPr="00F774FE">
        <w:tab/>
      </w:r>
      <w:r w:rsidRPr="00721BB9">
        <w:t>Proposal for a regulation of the European Parliament and of the Council on the European Regional Development Fund and on the Cohesion Fund, COM(2018)372 final</w:t>
      </w:r>
      <w:r>
        <w:t xml:space="preserve"> — </w:t>
      </w:r>
      <w:hyperlink r:id="rId63" w:history="1">
        <w:r w:rsidRPr="00A81482">
          <w:rPr>
            <w:rStyle w:val="Hyperlink"/>
          </w:rPr>
          <w:t>https://ec.europa.eu/commission/sites/beta-political/files/budget-may2018-erdf-cohesion-funds-regulation_en.pdf</w:t>
        </w:r>
      </w:hyperlink>
    </w:p>
  </w:footnote>
  <w:footnote w:id="133">
    <w:p w14:paraId="01800C90" w14:textId="127E28ED" w:rsidR="003C0461" w:rsidRPr="00721BB9" w:rsidRDefault="003C0461" w:rsidP="008331F6">
      <w:pPr>
        <w:pStyle w:val="FootnoteText"/>
      </w:pPr>
      <w:r w:rsidRPr="00145E5A">
        <w:t>(</w:t>
      </w:r>
      <w:r w:rsidRPr="00145E5A">
        <w:rPr>
          <w:rStyle w:val="fnRefNo"/>
        </w:rPr>
        <w:footnoteRef/>
      </w:r>
      <w:r w:rsidRPr="00145E5A">
        <w:t>)</w:t>
      </w:r>
      <w:r w:rsidRPr="00F774FE">
        <w:tab/>
      </w:r>
      <w:r w:rsidRPr="00721BB9">
        <w:t>Proposal for a Regulation of the European Parliament and of the Council laying</w:t>
      </w:r>
      <w:r>
        <w:t xml:space="preserve"> down common provision on the</w:t>
      </w:r>
      <w:r w:rsidRPr="00721BB9">
        <w:t xml:space="preserve"> European Regional Development Fund, the European Social Fund Plus, the Cohesion Fund, and the European Maritime and Fisheries Fund and financial rules for those and for the Asylum and Migration Fund, the Internal Security Fund and the Border Management and Visa Instrument, COM(2018)375 final</w:t>
      </w:r>
      <w:r>
        <w:t xml:space="preserve"> — </w:t>
      </w:r>
      <w:hyperlink r:id="rId64" w:history="1">
        <w:r w:rsidRPr="00A81482">
          <w:rPr>
            <w:rStyle w:val="Hyperlink"/>
          </w:rPr>
          <w:t>https://ec.europa.eu/commission/sites/beta-political/files/budget-may2018-common-provisions_en.pdf</w:t>
        </w:r>
      </w:hyperlink>
      <w:r w:rsidRPr="00721BB9">
        <w:t xml:space="preserve"> </w:t>
      </w:r>
    </w:p>
  </w:footnote>
  <w:footnote w:id="134">
    <w:p w14:paraId="286EA4D7" w14:textId="0B74BA1B" w:rsidR="003C0461" w:rsidRPr="00C94A98" w:rsidRDefault="003C0461" w:rsidP="008331F6">
      <w:pPr>
        <w:pStyle w:val="FootnoteText"/>
      </w:pPr>
      <w:r w:rsidRPr="00145E5A">
        <w:t>(</w:t>
      </w:r>
      <w:r w:rsidRPr="00145E5A">
        <w:rPr>
          <w:rStyle w:val="fnRefNo"/>
        </w:rPr>
        <w:footnoteRef/>
      </w:r>
      <w:r w:rsidRPr="00145E5A">
        <w:t>)</w:t>
      </w:r>
      <w:r w:rsidRPr="00F774FE">
        <w:tab/>
        <w:t xml:space="preserve">New assessment of ESIF administrative costs and burden, </w:t>
      </w:r>
      <w:hyperlink r:id="rId65" w:history="1">
        <w:r w:rsidRPr="00F774FE">
          <w:rPr>
            <w:rStyle w:val="Hyperlink"/>
          </w:rPr>
          <w:t>https://ec.europa.eu/regional_policy/en/information/publications/studies/2018/new-assessment-of-esif-administrative-costs-and-burden</w:t>
        </w:r>
      </w:hyperlink>
      <w:r w:rsidRPr="00F774FE">
        <w:t xml:space="preserve"> </w:t>
      </w:r>
    </w:p>
  </w:footnote>
  <w:footnote w:id="135">
    <w:p w14:paraId="0A122DAF" w14:textId="23E2952C" w:rsidR="003C0461" w:rsidRPr="00BD51EE" w:rsidRDefault="003C0461" w:rsidP="004407A5">
      <w:pPr>
        <w:pStyle w:val="FootnoteText"/>
      </w:pPr>
      <w:r w:rsidRPr="00145E5A">
        <w:t>(</w:t>
      </w:r>
      <w:r w:rsidRPr="00145E5A">
        <w:rPr>
          <w:rStyle w:val="fnRefNo"/>
        </w:rPr>
        <w:footnoteRef/>
      </w:r>
      <w:r w:rsidRPr="00145E5A">
        <w:t>)</w:t>
      </w:r>
      <w:r w:rsidRPr="0037039F">
        <w:tab/>
      </w:r>
      <w:r w:rsidRPr="00BD51EE">
        <w:rPr>
          <w:rStyle w:val="FootnoteTextChar"/>
        </w:rPr>
        <w:t>E</w:t>
      </w:r>
      <w:r>
        <w:rPr>
          <w:rStyle w:val="FootnoteTextChar"/>
        </w:rPr>
        <w:t>uropean Court of Auditors,</w:t>
      </w:r>
      <w:r w:rsidRPr="00BD51EE">
        <w:rPr>
          <w:rStyle w:val="FootnoteTextChar"/>
        </w:rPr>
        <w:t xml:space="preserve"> </w:t>
      </w:r>
      <w:r w:rsidRPr="00BF14D8">
        <w:rPr>
          <w:rStyle w:val="FootnoteTextChar"/>
          <w:i/>
        </w:rPr>
        <w:t>Selection</w:t>
      </w:r>
      <w:r w:rsidRPr="00AC4116">
        <w:rPr>
          <w:rStyle w:val="FootnoteTextChar"/>
          <w:i/>
        </w:rPr>
        <w:t xml:space="preserve"> and monitoring for </w:t>
      </w:r>
      <w:r w:rsidRPr="004D4F6A">
        <w:rPr>
          <w:rStyle w:val="FootnoteTextChar"/>
          <w:i/>
        </w:rPr>
        <w:t>European Regional Development Fund</w:t>
      </w:r>
      <w:r w:rsidRPr="00AC4116">
        <w:rPr>
          <w:rStyle w:val="FootnoteTextChar"/>
          <w:i/>
        </w:rPr>
        <w:t xml:space="preserve"> and </w:t>
      </w:r>
      <w:r w:rsidRPr="004D4F6A">
        <w:rPr>
          <w:rStyle w:val="FootnoteTextChar"/>
          <w:i/>
        </w:rPr>
        <w:t>European Social Fund</w:t>
      </w:r>
      <w:r w:rsidRPr="00AC4116">
        <w:rPr>
          <w:rStyle w:val="FootnoteTextChar"/>
          <w:i/>
        </w:rPr>
        <w:t xml:space="preserve"> projects in the 2014</w:t>
      </w:r>
      <w:r>
        <w:rPr>
          <w:rStyle w:val="FootnoteTextChar"/>
          <w:i/>
        </w:rPr>
        <w:t>-</w:t>
      </w:r>
      <w:r w:rsidRPr="00AC4116">
        <w:rPr>
          <w:rStyle w:val="FootnoteTextChar"/>
          <w:i/>
        </w:rPr>
        <w:t>2020 period are still mainly outputs-oriented</w:t>
      </w:r>
      <w:r>
        <w:rPr>
          <w:rStyle w:val="FootnoteTextChar"/>
          <w:i/>
        </w:rPr>
        <w:t xml:space="preserve"> — Special report</w:t>
      </w:r>
      <w:r w:rsidRPr="00BD51EE">
        <w:rPr>
          <w:rStyle w:val="FootnoteTextChar"/>
        </w:rPr>
        <w:t xml:space="preserve"> </w:t>
      </w:r>
      <w:r w:rsidRPr="00F774FE">
        <w:rPr>
          <w:rStyle w:val="FootnoteTextChar"/>
          <w:i/>
        </w:rPr>
        <w:t>No 21/2018</w:t>
      </w:r>
      <w:r w:rsidRPr="00BD51EE">
        <w:rPr>
          <w:rStyle w:val="FootnoteTextChar"/>
        </w:rPr>
        <w:t xml:space="preserve">, </w:t>
      </w:r>
      <w:hyperlink r:id="rId66" w:history="1">
        <w:r w:rsidRPr="00EC12F5">
          <w:rPr>
            <w:rStyle w:val="Hyperlink"/>
          </w:rPr>
          <w:t>https://www.eca.europa.eu/lists/ecadocuments/sr18_21/sr_project_performance_en.pdf</w:t>
        </w:r>
      </w:hyperlink>
      <w:r w:rsidRPr="00BD51EE">
        <w:rPr>
          <w:rFonts w:cstheme="minorBidi"/>
          <w:sz w:val="18"/>
          <w:szCs w:val="18"/>
        </w:rPr>
        <w:t xml:space="preserve"> </w:t>
      </w:r>
    </w:p>
  </w:footnote>
  <w:footnote w:id="136">
    <w:p w14:paraId="766F55DB" w14:textId="0BF57F0A" w:rsidR="003C0461" w:rsidRPr="00721BB9" w:rsidRDefault="003C0461" w:rsidP="004407A5">
      <w:pPr>
        <w:pStyle w:val="FootnoteText"/>
        <w:rPr>
          <w:lang w:val="pt-PT"/>
        </w:rPr>
      </w:pPr>
      <w:r w:rsidRPr="0005798F">
        <w:rPr>
          <w:lang w:val="pt-PT"/>
        </w:rPr>
        <w:t>(</w:t>
      </w:r>
      <w:r w:rsidRPr="00145E5A">
        <w:rPr>
          <w:rStyle w:val="fnRefNo"/>
        </w:rPr>
        <w:footnoteRef/>
      </w:r>
      <w:r w:rsidRPr="0005798F">
        <w:rPr>
          <w:lang w:val="pt-PT"/>
        </w:rPr>
        <w:t>)</w:t>
      </w:r>
      <w:r w:rsidRPr="00721BB9" w:rsidDel="00C2288A">
        <w:rPr>
          <w:lang w:val="pt-PT"/>
        </w:rPr>
        <w:tab/>
      </w:r>
      <w:r w:rsidRPr="00721BB9">
        <w:rPr>
          <w:lang w:val="pt-PT"/>
        </w:rPr>
        <w:t xml:space="preserve">COM(2018)372 final </w:t>
      </w:r>
      <w:hyperlink r:id="rId67" w:history="1">
        <w:r w:rsidRPr="007C7039">
          <w:rPr>
            <w:rStyle w:val="Hyperlink"/>
            <w:lang w:val="pt-PT"/>
          </w:rPr>
          <w:t>https://eur-lex.europa.eu/legal-content/EN/TXT/?uri=SWD%3A2018%3A283%3AFIN</w:t>
        </w:r>
      </w:hyperlink>
    </w:p>
  </w:footnote>
  <w:footnote w:id="137">
    <w:p w14:paraId="283DB71C" w14:textId="51F37644" w:rsidR="003C0461" w:rsidRPr="0005798F" w:rsidRDefault="003C0461" w:rsidP="004407A5">
      <w:pPr>
        <w:pStyle w:val="FootnoteText"/>
      </w:pPr>
      <w:r w:rsidRPr="00145E5A">
        <w:t>(</w:t>
      </w:r>
      <w:r w:rsidRPr="00145E5A">
        <w:rPr>
          <w:rStyle w:val="fnRefNo"/>
        </w:rPr>
        <w:footnoteRef/>
      </w:r>
      <w:r w:rsidRPr="00145E5A">
        <w:t>)</w:t>
      </w:r>
      <w:r w:rsidRPr="0005798F">
        <w:tab/>
      </w:r>
      <w:hyperlink r:id="rId68" w:history="1">
        <w:r w:rsidRPr="0005798F">
          <w:rPr>
            <w:rStyle w:val="Hyperlink"/>
          </w:rPr>
          <w:t>https://cohesiondata.ec.europa.eu</w:t>
        </w:r>
      </w:hyperlink>
    </w:p>
  </w:footnote>
  <w:footnote w:id="138">
    <w:p w14:paraId="1060A384" w14:textId="0FBE5DB0"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A04E56">
        <w:t>D</w:t>
      </w:r>
      <w:r>
        <w:t>irectorate-</w:t>
      </w:r>
      <w:r w:rsidRPr="00A04E56">
        <w:t>G</w:t>
      </w:r>
      <w:r>
        <w:t>eneral</w:t>
      </w:r>
      <w:r w:rsidRPr="00BD51EE">
        <w:t xml:space="preserve"> </w:t>
      </w:r>
      <w:r>
        <w:t>Employment, Social Affairs and Inclusion,</w:t>
      </w:r>
      <w:r w:rsidRPr="00BD51EE">
        <w:t xml:space="preserve"> </w:t>
      </w:r>
      <w:r w:rsidRPr="006F71AB">
        <w:rPr>
          <w:i/>
        </w:rPr>
        <w:t xml:space="preserve">Annual </w:t>
      </w:r>
      <w:r w:rsidRPr="00BF14D8">
        <w:rPr>
          <w:i/>
        </w:rPr>
        <w:t>activity report</w:t>
      </w:r>
      <w:r>
        <w:rPr>
          <w:i/>
        </w:rPr>
        <w:t xml:space="preserve"> 2018</w:t>
      </w:r>
      <w:r>
        <w:t>, p.48.</w:t>
      </w:r>
    </w:p>
  </w:footnote>
  <w:footnote w:id="139">
    <w:p w14:paraId="666DC84E"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443EE2">
        <w:rPr>
          <w:i/>
        </w:rPr>
        <w:t xml:space="preserve">Draft joint employment report from the </w:t>
      </w:r>
      <w:r w:rsidRPr="00BF14D8">
        <w:rPr>
          <w:i/>
        </w:rPr>
        <w:t>Commission</w:t>
      </w:r>
      <w:r w:rsidRPr="00443EE2">
        <w:rPr>
          <w:i/>
        </w:rPr>
        <w:t xml:space="preserve"> and the </w:t>
      </w:r>
      <w:r w:rsidRPr="00BF14D8">
        <w:rPr>
          <w:i/>
        </w:rPr>
        <w:t>Council</w:t>
      </w:r>
      <w:r w:rsidRPr="00443EE2">
        <w:rPr>
          <w:i/>
        </w:rPr>
        <w:t xml:space="preserve"> accompanying the communication from the </w:t>
      </w:r>
      <w:r w:rsidRPr="00BF14D8">
        <w:rPr>
          <w:i/>
        </w:rPr>
        <w:t>Commission</w:t>
      </w:r>
      <w:r w:rsidRPr="00443EE2">
        <w:rPr>
          <w:i/>
        </w:rPr>
        <w:t xml:space="preserve"> on the annual growth survey 2019</w:t>
      </w:r>
      <w:r>
        <w:t>, COM(2018) 761 final, 21.11.2018, pp. </w:t>
      </w:r>
      <w:r w:rsidRPr="00BD51EE">
        <w:t>85-86, 114</w:t>
      </w:r>
      <w:r>
        <w:t>.</w:t>
      </w:r>
    </w:p>
  </w:footnote>
  <w:footnote w:id="140">
    <w:p w14:paraId="1CAA51DF"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706E7C">
        <w:rPr>
          <w:i/>
        </w:rPr>
        <w:t xml:space="preserve">Impact </w:t>
      </w:r>
      <w:r w:rsidRPr="00BF14D8">
        <w:rPr>
          <w:i/>
        </w:rPr>
        <w:t>assessment</w:t>
      </w:r>
      <w:r w:rsidRPr="00706E7C">
        <w:rPr>
          <w:i/>
        </w:rPr>
        <w:t xml:space="preserve"> accompanying the document — Proposal for a </w:t>
      </w:r>
      <w:r w:rsidRPr="00BF14D8">
        <w:rPr>
          <w:i/>
        </w:rPr>
        <w:t>regulation</w:t>
      </w:r>
      <w:r w:rsidRPr="00706E7C">
        <w:rPr>
          <w:i/>
        </w:rPr>
        <w:t xml:space="preserve"> of the European Parliament and the Council on the European Social Fund Plus (ESF+) — Proposal for a </w:t>
      </w:r>
      <w:r w:rsidRPr="00BF14D8">
        <w:rPr>
          <w:i/>
        </w:rPr>
        <w:t>regulation</w:t>
      </w:r>
      <w:r w:rsidRPr="00706E7C">
        <w:rPr>
          <w:i/>
        </w:rPr>
        <w:t xml:space="preserve"> of the European Parliament and the Council on the European Globalisation Adjustment Fund (EGF)</w:t>
      </w:r>
      <w:r>
        <w:t>,</w:t>
      </w:r>
      <w:r w:rsidRPr="00706E7C">
        <w:t xml:space="preserve"> </w:t>
      </w:r>
      <w:r w:rsidRPr="00BD51EE">
        <w:t xml:space="preserve">SWD(2018) 289 final, </w:t>
      </w:r>
      <w:r>
        <w:t xml:space="preserve">30.5.2018, </w:t>
      </w:r>
      <w:r w:rsidRPr="00BD51EE">
        <w:t>p.</w:t>
      </w:r>
      <w:r>
        <w:rPr>
          <w:rFonts w:ascii="Calibri" w:hAnsi="Calibri" w:cs="Calibri"/>
        </w:rPr>
        <w:t> </w:t>
      </w:r>
      <w:r w:rsidRPr="00BD51EE">
        <w:t>9</w:t>
      </w:r>
      <w:r>
        <w:t>.</w:t>
      </w:r>
    </w:p>
  </w:footnote>
  <w:footnote w:id="141">
    <w:p w14:paraId="4D13A350"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32611A">
        <w:rPr>
          <w:i/>
        </w:rPr>
        <w:t>Programme statement 2018</w:t>
      </w:r>
      <w:r w:rsidRPr="00BD51EE">
        <w:t>, p.</w:t>
      </w:r>
      <w:r>
        <w:rPr>
          <w:rFonts w:ascii="Calibri" w:hAnsi="Calibri" w:cs="Calibri"/>
        </w:rPr>
        <w:t> </w:t>
      </w:r>
      <w:r w:rsidRPr="00BD51EE">
        <w:t>3</w:t>
      </w:r>
      <w:r>
        <w:t>.</w:t>
      </w:r>
    </w:p>
  </w:footnote>
  <w:footnote w:id="142">
    <w:p w14:paraId="056D22F6" w14:textId="5A1D286A"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BD51EE">
        <w:t>SWD(2018) 289 final</w:t>
      </w:r>
      <w:r>
        <w:t>, 30.5.2018, A</w:t>
      </w:r>
      <w:r w:rsidRPr="00BD51EE">
        <w:t>nnex</w:t>
      </w:r>
      <w:r>
        <w:rPr>
          <w:rFonts w:ascii="Calibri" w:hAnsi="Calibri" w:cs="Calibri"/>
        </w:rPr>
        <w:t> </w:t>
      </w:r>
      <w:r>
        <w:t>3.</w:t>
      </w:r>
    </w:p>
  </w:footnote>
  <w:footnote w:id="143">
    <w:p w14:paraId="46E2E440" w14:textId="77777777" w:rsidR="003C0461" w:rsidRPr="0032611A" w:rsidRDefault="003C0461" w:rsidP="008331F6">
      <w:pPr>
        <w:pStyle w:val="FootnoteText"/>
      </w:pPr>
      <w:r w:rsidRPr="00145E5A">
        <w:t>(</w:t>
      </w:r>
      <w:r w:rsidRPr="00145E5A">
        <w:rPr>
          <w:rStyle w:val="fnRefNo"/>
        </w:rPr>
        <w:footnoteRef/>
      </w:r>
      <w:r w:rsidRPr="00145E5A">
        <w:t>)</w:t>
      </w:r>
      <w:r w:rsidRPr="0032611A">
        <w:tab/>
        <w:t>COM(2018) 761 final, 21.11.2018, p.</w:t>
      </w:r>
      <w:r w:rsidRPr="0032611A">
        <w:rPr>
          <w:rFonts w:ascii="Calibri" w:hAnsi="Calibri" w:cs="Calibri"/>
        </w:rPr>
        <w:t> </w:t>
      </w:r>
      <w:r w:rsidRPr="0032611A">
        <w:t>86.</w:t>
      </w:r>
    </w:p>
  </w:footnote>
  <w:footnote w:id="144">
    <w:p w14:paraId="095B3D86"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32611A">
        <w:rPr>
          <w:i/>
        </w:rPr>
        <w:t>Programme statement 2018,</w:t>
      </w:r>
      <w:r w:rsidRPr="00BD51EE">
        <w:t xml:space="preserve"> p.</w:t>
      </w:r>
      <w:r>
        <w:rPr>
          <w:rFonts w:ascii="Calibri" w:hAnsi="Calibri" w:cs="Calibri"/>
        </w:rPr>
        <w:t> </w:t>
      </w:r>
      <w:r w:rsidRPr="00BD51EE">
        <w:t>1</w:t>
      </w:r>
      <w:r>
        <w:t>.</w:t>
      </w:r>
    </w:p>
  </w:footnote>
  <w:footnote w:id="145">
    <w:p w14:paraId="0C540218" w14:textId="61D0076F"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hyperlink r:id="rId69" w:history="1">
        <w:r w:rsidRPr="007C7039">
          <w:rPr>
            <w:rStyle w:val="Hyperlink"/>
          </w:rPr>
          <w:t>https://publications.europa.eu/en/publication-detail/-/publication/0e03aa7b-025f-11e8-b8f5-01aa75ed71a1</w:t>
        </w:r>
      </w:hyperlink>
    </w:p>
  </w:footnote>
  <w:footnote w:id="146">
    <w:p w14:paraId="0DE0FFFB" w14:textId="77777777" w:rsidR="003C0461" w:rsidRPr="0067180B" w:rsidRDefault="003C0461" w:rsidP="008331F6">
      <w:pPr>
        <w:pStyle w:val="FootnoteText"/>
      </w:pPr>
      <w:r w:rsidRPr="00145E5A">
        <w:t>(</w:t>
      </w:r>
      <w:r w:rsidRPr="00145E5A">
        <w:rPr>
          <w:rStyle w:val="fnRefNo"/>
        </w:rPr>
        <w:footnoteRef/>
      </w:r>
      <w:r w:rsidRPr="00145E5A">
        <w:t>)</w:t>
      </w:r>
      <w:r w:rsidRPr="00721BB9">
        <w:tab/>
      </w:r>
      <w:r>
        <w:t xml:space="preserve">European Court of Auditors, </w:t>
      </w:r>
      <w:r w:rsidRPr="00F774FE">
        <w:rPr>
          <w:i/>
        </w:rPr>
        <w:t>FEAD-Fund for European Aid to the Most Deprived: Valuable support but its contribution to reducing poverty is not yet established — Special report No 05/2019</w:t>
      </w:r>
      <w:r>
        <w:t xml:space="preserve">. </w:t>
      </w:r>
    </w:p>
  </w:footnote>
  <w:footnote w:id="147">
    <w:p w14:paraId="48EBDF85" w14:textId="2B2C2163" w:rsidR="003C0461" w:rsidRPr="00940506" w:rsidRDefault="003C0461" w:rsidP="00857B90">
      <w:pPr>
        <w:pStyle w:val="FootnoteText"/>
        <w:rPr>
          <w:lang w:val="hu-HU"/>
        </w:rPr>
      </w:pPr>
      <w:r w:rsidRPr="00145E5A">
        <w:t>(</w:t>
      </w:r>
      <w:r w:rsidRPr="00145E5A">
        <w:rPr>
          <w:rStyle w:val="fnRefNo"/>
        </w:rPr>
        <w:footnoteRef/>
      </w:r>
      <w:r w:rsidRPr="00145E5A">
        <w:t>)</w:t>
      </w:r>
      <w:r>
        <w:tab/>
      </w:r>
      <w:r>
        <w:rPr>
          <w:lang w:val="hu-HU"/>
        </w:rPr>
        <w:t>Performance information for the budget heading 2 covers predominantly the year 2017 for shared management programmes as 2018 infomation only becomes available from Member States in 2019 after the finalisation of this report.</w:t>
      </w:r>
    </w:p>
  </w:footnote>
  <w:footnote w:id="148">
    <w:p w14:paraId="0BC8E893" w14:textId="218BE988" w:rsidR="003C0461" w:rsidRDefault="003C0461" w:rsidP="008331F6">
      <w:pPr>
        <w:pStyle w:val="FootnoteText"/>
      </w:pPr>
      <w:r w:rsidRPr="00145E5A">
        <w:t>(</w:t>
      </w:r>
      <w:r w:rsidRPr="00145E5A">
        <w:rPr>
          <w:rStyle w:val="fnRefNo"/>
        </w:rPr>
        <w:footnoteRef/>
      </w:r>
      <w:r w:rsidRPr="00145E5A">
        <w:t>)</w:t>
      </w:r>
      <w:r w:rsidRPr="0037039F">
        <w:tab/>
      </w:r>
      <w:r w:rsidRPr="00A04E56">
        <w:t>D</w:t>
      </w:r>
      <w:r>
        <w:t>irectorate-</w:t>
      </w:r>
      <w:r w:rsidRPr="00A04E56">
        <w:t>G</w:t>
      </w:r>
      <w:r>
        <w:t xml:space="preserve">eneral Agriculture and Rural Development, </w:t>
      </w:r>
      <w:r w:rsidRPr="00F774FE">
        <w:rPr>
          <w:i/>
        </w:rPr>
        <w:t>Annual activity report 2018</w:t>
      </w:r>
      <w:r>
        <w:t xml:space="preserve">. </w:t>
      </w:r>
    </w:p>
  </w:footnote>
  <w:footnote w:id="149">
    <w:p w14:paraId="358EFF35" w14:textId="77777777" w:rsidR="003C0461" w:rsidRPr="00BD51EE" w:rsidRDefault="003C0461" w:rsidP="008331F6">
      <w:pPr>
        <w:pStyle w:val="FootnoteText"/>
      </w:pPr>
      <w:r w:rsidRPr="00145E5A">
        <w:t>(</w:t>
      </w:r>
      <w:r w:rsidRPr="00145E5A">
        <w:rPr>
          <w:rStyle w:val="fnRefNo"/>
        </w:rPr>
        <w:footnoteRef/>
      </w:r>
      <w:r w:rsidRPr="00145E5A">
        <w:t>)</w:t>
      </w:r>
      <w:r w:rsidRPr="0037039F">
        <w:tab/>
      </w:r>
      <w:r w:rsidRPr="00BD51EE">
        <w:t>Estimated on the basis of agricultural entrepreneurial income.</w:t>
      </w:r>
    </w:p>
  </w:footnote>
  <w:footnote w:id="150">
    <w:p w14:paraId="49E169BF" w14:textId="77777777" w:rsidR="003C0461" w:rsidRDefault="003C0461" w:rsidP="008331F6">
      <w:pPr>
        <w:pStyle w:val="FootnoteText"/>
      </w:pPr>
      <w:r w:rsidRPr="00145E5A">
        <w:t>(</w:t>
      </w:r>
      <w:r w:rsidRPr="00145E5A">
        <w:rPr>
          <w:rStyle w:val="fnRefNo"/>
        </w:rPr>
        <w:footnoteRef/>
      </w:r>
      <w:r w:rsidRPr="00145E5A">
        <w:t>)</w:t>
      </w:r>
      <w:r w:rsidRPr="0037039F">
        <w:tab/>
      </w:r>
      <w:r>
        <w:t>Although to a lesser extent than for the land.</w:t>
      </w:r>
    </w:p>
  </w:footnote>
  <w:footnote w:id="151">
    <w:p w14:paraId="67A2A7E4"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BD51EE">
        <w:t>Regulation (EU) 2017/2393 of the European Parliament and of the Council of 13</w:t>
      </w:r>
      <w:r>
        <w:rPr>
          <w:rFonts w:ascii="Calibri" w:hAnsi="Calibri" w:cs="Calibri"/>
        </w:rPr>
        <w:t> </w:t>
      </w:r>
      <w:r w:rsidRPr="00BD51EE">
        <w:t>December</w:t>
      </w:r>
      <w:r>
        <w:rPr>
          <w:rFonts w:ascii="Calibri" w:hAnsi="Calibri" w:cs="Calibri"/>
        </w:rPr>
        <w:t xml:space="preserve"> </w:t>
      </w:r>
      <w:r w:rsidRPr="00BD51EE">
        <w:t>2017 amending Regulations (EU) No</w:t>
      </w:r>
      <w:r>
        <w:rPr>
          <w:rFonts w:ascii="Calibri" w:hAnsi="Calibri" w:cs="Calibri"/>
        </w:rPr>
        <w:t> </w:t>
      </w:r>
      <w:r w:rsidRPr="00BD51EE">
        <w:t>1305/2013 on support for rural development by the European Agricultural Fund for Rural Development (EAFRD), (EU) No</w:t>
      </w:r>
      <w:r>
        <w:rPr>
          <w:rFonts w:ascii="Calibri" w:hAnsi="Calibri" w:cs="Calibri"/>
        </w:rPr>
        <w:t> </w:t>
      </w:r>
      <w:r w:rsidRPr="00BD51EE">
        <w:t>1306/2013 on the financing, management and monitoring of the common agricultural policy, (EU) No</w:t>
      </w:r>
      <w:r>
        <w:rPr>
          <w:rFonts w:ascii="Calibri" w:hAnsi="Calibri" w:cs="Calibri"/>
        </w:rPr>
        <w:t> </w:t>
      </w:r>
      <w:r w:rsidRPr="00BD51EE">
        <w:t>1307/2013 establishing rules for direct payments to farmers under support schemes within the framework of the common agricultural policy, (EU) No</w:t>
      </w:r>
      <w:r>
        <w:rPr>
          <w:rFonts w:ascii="Calibri" w:hAnsi="Calibri" w:cs="Calibri"/>
        </w:rPr>
        <w:t> </w:t>
      </w:r>
      <w:r w:rsidRPr="00BD51EE">
        <w:t>1308/2013 establishing a common organisation of the markets in agricultural products and (EU) No</w:t>
      </w:r>
      <w:r>
        <w:rPr>
          <w:rFonts w:ascii="Calibri" w:hAnsi="Calibri" w:cs="Calibri"/>
        </w:rPr>
        <w:t> </w:t>
      </w:r>
      <w:r w:rsidRPr="00BD51EE">
        <w:t>652/2014 laying down provisions for the management of expenditure relating to the food chain, animal health and animal welfare, and relating to plant health and plant reproductive material (OJ L</w:t>
      </w:r>
      <w:r>
        <w:rPr>
          <w:rFonts w:ascii="Calibri" w:hAnsi="Calibri" w:cs="Calibri"/>
        </w:rPr>
        <w:t> </w:t>
      </w:r>
      <w:r w:rsidRPr="00BD51EE">
        <w:t>350, 29.12.2017, p</w:t>
      </w:r>
      <w:r>
        <w:t>p</w:t>
      </w:r>
      <w:r w:rsidRPr="00BD51EE">
        <w:t>.</w:t>
      </w:r>
      <w:r>
        <w:rPr>
          <w:rFonts w:ascii="Calibri" w:hAnsi="Calibri" w:cs="Calibri"/>
        </w:rPr>
        <w:t> </w:t>
      </w:r>
      <w:r w:rsidRPr="00BD51EE">
        <w:t>15</w:t>
      </w:r>
      <w:r>
        <w:t>-</w:t>
      </w:r>
      <w:r w:rsidRPr="00BD51EE">
        <w:t>49).</w:t>
      </w:r>
    </w:p>
  </w:footnote>
  <w:footnote w:id="152">
    <w:p w14:paraId="660FB80F" w14:textId="77777777" w:rsidR="003C0461" w:rsidRDefault="003C0461" w:rsidP="008331F6">
      <w:pPr>
        <w:pStyle w:val="FootnoteText"/>
      </w:pPr>
      <w:r w:rsidRPr="00145E5A">
        <w:t>(</w:t>
      </w:r>
      <w:r w:rsidRPr="00145E5A">
        <w:rPr>
          <w:rStyle w:val="fnRefNo"/>
        </w:rPr>
        <w:footnoteRef/>
      </w:r>
      <w:r w:rsidRPr="00145E5A">
        <w:t>)</w:t>
      </w:r>
      <w:r w:rsidRPr="0037039F">
        <w:tab/>
      </w:r>
      <w:r w:rsidRPr="0032611A">
        <w:rPr>
          <w:i/>
        </w:rPr>
        <w:t>Programme statement 2018</w:t>
      </w:r>
      <w:r>
        <w:t>.</w:t>
      </w:r>
    </w:p>
  </w:footnote>
  <w:footnote w:id="153">
    <w:p w14:paraId="0414F650" w14:textId="77777777" w:rsidR="003C0461" w:rsidRPr="00BD51EE" w:rsidRDefault="003C0461" w:rsidP="008331F6">
      <w:pPr>
        <w:pStyle w:val="FootnoteText"/>
      </w:pPr>
      <w:r w:rsidRPr="00145E5A">
        <w:t>(</w:t>
      </w:r>
      <w:r w:rsidRPr="00145E5A">
        <w:rPr>
          <w:rStyle w:val="fnRefNo"/>
        </w:rPr>
        <w:footnoteRef/>
      </w:r>
      <w:r w:rsidRPr="00145E5A">
        <w:t>)</w:t>
      </w:r>
      <w:r w:rsidRPr="0037039F">
        <w:tab/>
      </w:r>
      <w:r w:rsidRPr="00BD51EE">
        <w:t>Commission Implementing Regulation (EU) 2018/746 of 18</w:t>
      </w:r>
      <w:r>
        <w:rPr>
          <w:rFonts w:ascii="Calibri" w:hAnsi="Calibri" w:cs="Calibri"/>
        </w:rPr>
        <w:t> </w:t>
      </w:r>
      <w:r w:rsidRPr="00BD51EE">
        <w:t>May</w:t>
      </w:r>
      <w:r>
        <w:rPr>
          <w:rFonts w:ascii="Calibri" w:hAnsi="Calibri" w:cs="Calibri"/>
        </w:rPr>
        <w:t xml:space="preserve"> </w:t>
      </w:r>
      <w:r w:rsidRPr="00BD51EE">
        <w:t>2018 amending Implementing Regulation (EU) No</w:t>
      </w:r>
      <w:r>
        <w:rPr>
          <w:rFonts w:ascii="Calibri" w:hAnsi="Calibri" w:cs="Calibri"/>
        </w:rPr>
        <w:t> </w:t>
      </w:r>
      <w:r w:rsidRPr="00BD51EE">
        <w:t xml:space="preserve">809/2014 as regards modification of single applications and payment claims and checks </w:t>
      </w:r>
      <w:r>
        <w:t>(</w:t>
      </w:r>
      <w:r w:rsidRPr="00BD51EE">
        <w:t>OJ L</w:t>
      </w:r>
      <w:r>
        <w:rPr>
          <w:rFonts w:ascii="Calibri" w:hAnsi="Calibri" w:cs="Calibri"/>
        </w:rPr>
        <w:t> </w:t>
      </w:r>
      <w:r w:rsidRPr="00BD51EE">
        <w:t>125, 22.5.2018, p</w:t>
      </w:r>
      <w:r>
        <w:t>p</w:t>
      </w:r>
      <w:r w:rsidRPr="00BD51EE">
        <w:t>.</w:t>
      </w:r>
      <w:r>
        <w:rPr>
          <w:rFonts w:ascii="Calibri" w:hAnsi="Calibri" w:cs="Calibri"/>
        </w:rPr>
        <w:t> </w:t>
      </w:r>
      <w:r w:rsidRPr="00BD51EE">
        <w:t>1</w:t>
      </w:r>
      <w:r>
        <w:t>-</w:t>
      </w:r>
      <w:r w:rsidRPr="00BD51EE">
        <w:t>7</w:t>
      </w:r>
      <w:r>
        <w:t>)</w:t>
      </w:r>
      <w:r w:rsidRPr="00BD51EE">
        <w:t>.</w:t>
      </w:r>
    </w:p>
  </w:footnote>
  <w:footnote w:id="154">
    <w:p w14:paraId="333A0CE4" w14:textId="77777777" w:rsidR="003C0461" w:rsidRDefault="003C0461" w:rsidP="008331F6">
      <w:pPr>
        <w:pStyle w:val="FootnoteText"/>
      </w:pPr>
      <w:r w:rsidRPr="00145E5A">
        <w:t>(</w:t>
      </w:r>
      <w:r w:rsidRPr="00145E5A">
        <w:rPr>
          <w:rStyle w:val="fnRefNo"/>
        </w:rPr>
        <w:footnoteRef/>
      </w:r>
      <w:r w:rsidRPr="00145E5A">
        <w:t>)</w:t>
      </w:r>
      <w:r w:rsidRPr="0037039F">
        <w:tab/>
      </w:r>
      <w:r w:rsidRPr="0032611A">
        <w:rPr>
          <w:i/>
        </w:rPr>
        <w:t>Programme statement 2018</w:t>
      </w:r>
      <w:r>
        <w:t>.</w:t>
      </w:r>
    </w:p>
  </w:footnote>
  <w:footnote w:id="155">
    <w:p w14:paraId="550D58A6" w14:textId="71E594B0"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hyperlink r:id="rId70" w:history="1">
        <w:r w:rsidRPr="00BD51EE">
          <w:t>Factsheet</w:t>
        </w:r>
        <w:r>
          <w:t>,</w:t>
        </w:r>
        <w:r w:rsidRPr="00BD51EE">
          <w:t xml:space="preserve"> </w:t>
        </w:r>
        <w:r w:rsidRPr="0032611A">
          <w:rPr>
            <w:i/>
          </w:rPr>
          <w:t>Managing the EU dairy market 2014-2019</w:t>
        </w:r>
      </w:hyperlink>
      <w:r>
        <w:t>.</w:t>
      </w:r>
    </w:p>
  </w:footnote>
  <w:footnote w:id="156">
    <w:p w14:paraId="7C0EBFA1" w14:textId="0F8622A5" w:rsidR="003C0461" w:rsidRPr="00BD51EE" w:rsidRDefault="003C0461" w:rsidP="008331F6">
      <w:pPr>
        <w:pStyle w:val="FootnoteText"/>
      </w:pPr>
      <w:r w:rsidRPr="00145E5A">
        <w:t>(</w:t>
      </w:r>
      <w:r w:rsidRPr="00145E5A">
        <w:rPr>
          <w:rStyle w:val="fnRefNo"/>
        </w:rPr>
        <w:footnoteRef/>
      </w:r>
      <w:r w:rsidRPr="00145E5A">
        <w:t>)</w:t>
      </w:r>
      <w:r w:rsidRPr="0037039F">
        <w:tab/>
      </w:r>
      <w:r w:rsidRPr="00F774FE">
        <w:rPr>
          <w:i/>
        </w:rPr>
        <w:t>Source:</w:t>
      </w:r>
      <w:r w:rsidRPr="00BD51EE">
        <w:t xml:space="preserve"> Member States’ monitoring reports due by 31</w:t>
      </w:r>
      <w:r>
        <w:t>.</w:t>
      </w:r>
      <w:r w:rsidRPr="00BD51EE">
        <w:t>1</w:t>
      </w:r>
      <w:r>
        <w:t>.</w:t>
      </w:r>
      <w:r w:rsidRPr="00BD51EE">
        <w:t xml:space="preserve">2019. </w:t>
      </w:r>
    </w:p>
  </w:footnote>
  <w:footnote w:id="157">
    <w:p w14:paraId="5CDA6FD5"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BD51EE">
        <w:t>Evaluation staff working document to be finalised in 2019</w:t>
      </w:r>
      <w:r>
        <w:t>.</w:t>
      </w:r>
    </w:p>
  </w:footnote>
  <w:footnote w:id="158">
    <w:p w14:paraId="43013165" w14:textId="77777777" w:rsidR="003C0461" w:rsidRDefault="003C0461" w:rsidP="008331F6">
      <w:pPr>
        <w:pStyle w:val="FootnoteText"/>
      </w:pPr>
      <w:r w:rsidRPr="00145E5A">
        <w:t>(</w:t>
      </w:r>
      <w:r w:rsidRPr="00145E5A">
        <w:rPr>
          <w:rStyle w:val="fnRefNo"/>
        </w:rPr>
        <w:footnoteRef/>
      </w:r>
      <w:r w:rsidRPr="00145E5A">
        <w:t>)</w:t>
      </w:r>
      <w:r w:rsidRPr="0037039F">
        <w:tab/>
      </w:r>
      <w:r w:rsidRPr="007B1583">
        <w:t>European Court of Auditors</w:t>
      </w:r>
      <w:r>
        <w:t xml:space="preserve">, </w:t>
      </w:r>
      <w:r w:rsidRPr="00F774FE">
        <w:rPr>
          <w:i/>
        </w:rPr>
        <w:t>Basic Payment Scheme for farmers — operationally on track, but limited impact on simplification, targeting and the convergence of aid levels — Special report No 10/2018</w:t>
      </w:r>
      <w:r>
        <w:t>.</w:t>
      </w:r>
    </w:p>
  </w:footnote>
  <w:footnote w:id="159">
    <w:p w14:paraId="1FD0C290" w14:textId="77777777" w:rsidR="003C0461" w:rsidRPr="00BD51EE" w:rsidRDefault="003C0461" w:rsidP="008331F6">
      <w:pPr>
        <w:pStyle w:val="FootnoteText"/>
      </w:pPr>
      <w:r w:rsidRPr="00145E5A">
        <w:t>(</w:t>
      </w:r>
      <w:r w:rsidRPr="00145E5A">
        <w:rPr>
          <w:rStyle w:val="fnRefNo"/>
        </w:rPr>
        <w:footnoteRef/>
      </w:r>
      <w:r w:rsidRPr="00145E5A">
        <w:t>)</w:t>
      </w:r>
      <w:r w:rsidRPr="0037039F">
        <w:tab/>
      </w:r>
      <w:r w:rsidRPr="00BD51EE">
        <w:t>Evaluation staff working document to be finalised in 2019</w:t>
      </w:r>
      <w:r>
        <w:t>.</w:t>
      </w:r>
    </w:p>
  </w:footnote>
  <w:footnote w:id="160">
    <w:p w14:paraId="26C4E41B" w14:textId="77777777" w:rsidR="003C0461" w:rsidRDefault="003C0461" w:rsidP="008331F6">
      <w:pPr>
        <w:pStyle w:val="FootnoteText"/>
      </w:pPr>
      <w:r w:rsidRPr="00145E5A">
        <w:t>(</w:t>
      </w:r>
      <w:r w:rsidRPr="00145E5A">
        <w:rPr>
          <w:rStyle w:val="fnRefNo"/>
        </w:rPr>
        <w:footnoteRef/>
      </w:r>
      <w:r w:rsidRPr="00145E5A">
        <w:t>)</w:t>
      </w:r>
      <w:r w:rsidRPr="0037039F">
        <w:tab/>
      </w:r>
      <w:hyperlink r:id="rId71" w:history="1">
        <w:r w:rsidRPr="005D080B">
          <w:rPr>
            <w:rStyle w:val="Hyperlink"/>
          </w:rPr>
          <w:t>https://ec.europa.eu/agriculture/evaluation/market-and-income-reports/greening-of-direct-payments_en</w:t>
        </w:r>
      </w:hyperlink>
      <w:r>
        <w:t xml:space="preserve"> </w:t>
      </w:r>
    </w:p>
  </w:footnote>
  <w:footnote w:id="161">
    <w:p w14:paraId="6A6FB8D2" w14:textId="77777777" w:rsidR="003C0461" w:rsidRPr="00BD51EE" w:rsidRDefault="003C0461" w:rsidP="008331F6">
      <w:pPr>
        <w:pStyle w:val="FootnoteText"/>
      </w:pPr>
      <w:r w:rsidRPr="00145E5A">
        <w:t>(</w:t>
      </w:r>
      <w:r w:rsidRPr="00145E5A">
        <w:rPr>
          <w:rStyle w:val="fnRefNo"/>
        </w:rPr>
        <w:footnoteRef/>
      </w:r>
      <w:r w:rsidRPr="00145E5A">
        <w:t>)</w:t>
      </w:r>
      <w:r w:rsidRPr="0037039F">
        <w:tab/>
      </w:r>
      <w:r>
        <w:t xml:space="preserve">Commission staff working document — Executive summary of the evaluation of the Regulation (EU) No 1307/2013 of the European Parliament and of the Council on 17 December 2013 establishing rules for direct payments to farmers under support schemes within the framework of the common agricultural policy and repealing Council Regulation (EC) No 637/2008 and Council Regulation (EC) No 73/2009 concerning the greening in direct payments, </w:t>
      </w:r>
      <w:r w:rsidRPr="00BD51EE">
        <w:t>SWD(2018) 479 final</w:t>
      </w:r>
      <w:r>
        <w:t>, 22.11.2018.</w:t>
      </w:r>
    </w:p>
  </w:footnote>
  <w:footnote w:id="162">
    <w:p w14:paraId="5B124866" w14:textId="77777777" w:rsidR="003C0461" w:rsidRDefault="003C0461" w:rsidP="008331F6">
      <w:pPr>
        <w:pStyle w:val="FootnoteText"/>
      </w:pPr>
      <w:r w:rsidRPr="00145E5A">
        <w:t>(</w:t>
      </w:r>
      <w:r w:rsidRPr="00145E5A">
        <w:rPr>
          <w:rStyle w:val="fnRefNo"/>
        </w:rPr>
        <w:footnoteRef/>
      </w:r>
      <w:r w:rsidRPr="00145E5A">
        <w:t>)</w:t>
      </w:r>
      <w:r w:rsidRPr="0037039F">
        <w:tab/>
      </w:r>
      <w:r w:rsidRPr="0032611A">
        <w:rPr>
          <w:i/>
        </w:rPr>
        <w:t>Programme statement 2018</w:t>
      </w:r>
      <w:r>
        <w:t>.</w:t>
      </w:r>
    </w:p>
  </w:footnote>
  <w:footnote w:id="163">
    <w:p w14:paraId="67705169"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t xml:space="preserve">Report from the Commission to the European Parliament, the Council, the European Economic and Social Committee and the Committee of the Regions — European Structural and Investment Funds 2014-2020 — </w:t>
      </w:r>
      <w:r w:rsidRPr="00BD51EE">
        <w:t xml:space="preserve">2018 </w:t>
      </w:r>
      <w:r>
        <w:t>s</w:t>
      </w:r>
      <w:r w:rsidRPr="00BD51EE">
        <w:t xml:space="preserve">ummary report </w:t>
      </w:r>
      <w:r>
        <w:t xml:space="preserve">of the programme annual implementation reports covering </w:t>
      </w:r>
      <w:r w:rsidRPr="00BD51EE">
        <w:t xml:space="preserve">implementation </w:t>
      </w:r>
      <w:r>
        <w:t xml:space="preserve">in 2014-2017, </w:t>
      </w:r>
      <w:r w:rsidRPr="00BD51EE">
        <w:t>COM(2018) 816 final</w:t>
      </w:r>
      <w:r>
        <w:t>, 19.12.2018.</w:t>
      </w:r>
    </w:p>
  </w:footnote>
  <w:footnote w:id="164">
    <w:p w14:paraId="5AF0199C" w14:textId="1C341B33" w:rsidR="003C0461" w:rsidRPr="0032611A" w:rsidRDefault="003C0461" w:rsidP="008331F6">
      <w:pPr>
        <w:pStyle w:val="FootnoteText"/>
      </w:pPr>
      <w:r w:rsidRPr="00145E5A">
        <w:t>(</w:t>
      </w:r>
      <w:r w:rsidRPr="00145E5A">
        <w:rPr>
          <w:rStyle w:val="fnRefNo"/>
        </w:rPr>
        <w:footnoteRef/>
      </w:r>
      <w:r w:rsidRPr="00145E5A">
        <w:t>)</w:t>
      </w:r>
      <w:r w:rsidRPr="0032611A">
        <w:tab/>
        <w:t>COM(2018) 816 final, p.</w:t>
      </w:r>
      <w:r w:rsidRPr="0032611A">
        <w:rPr>
          <w:rFonts w:ascii="Calibri" w:hAnsi="Calibri" w:cs="Calibri"/>
        </w:rPr>
        <w:t> </w:t>
      </w:r>
      <w:r w:rsidRPr="0032611A">
        <w:t>7 Updated figures (Jan 2019).</w:t>
      </w:r>
    </w:p>
  </w:footnote>
  <w:footnote w:id="165">
    <w:p w14:paraId="4813682A" w14:textId="77777777" w:rsidR="003C0461" w:rsidRPr="0005798F" w:rsidRDefault="003C0461" w:rsidP="008331F6">
      <w:pPr>
        <w:pStyle w:val="FootnoteText"/>
        <w:rPr>
          <w:lang w:val="pt-PT"/>
        </w:rPr>
      </w:pPr>
      <w:r w:rsidRPr="0005798F">
        <w:rPr>
          <w:lang w:val="pt-PT"/>
        </w:rPr>
        <w:t>(</w:t>
      </w:r>
      <w:r w:rsidRPr="00145E5A">
        <w:rPr>
          <w:rStyle w:val="fnRefNo"/>
        </w:rPr>
        <w:footnoteRef/>
      </w:r>
      <w:r w:rsidRPr="0005798F">
        <w:rPr>
          <w:lang w:val="pt-PT"/>
        </w:rPr>
        <w:t>)</w:t>
      </w:r>
      <w:r w:rsidRPr="0005798F">
        <w:rPr>
          <w:lang w:val="pt-PT"/>
        </w:rPr>
        <w:tab/>
      </w:r>
      <w:r w:rsidRPr="0005798F">
        <w:rPr>
          <w:i/>
          <w:lang w:val="pt-PT"/>
        </w:rPr>
        <w:t>Programme statement 2018</w:t>
      </w:r>
      <w:r w:rsidRPr="0005798F">
        <w:rPr>
          <w:lang w:val="pt-PT"/>
        </w:rPr>
        <w:t>.</w:t>
      </w:r>
    </w:p>
  </w:footnote>
  <w:footnote w:id="166">
    <w:p w14:paraId="2B8FDBB7" w14:textId="77777777" w:rsidR="003C0461" w:rsidRPr="0005798F" w:rsidRDefault="003C0461" w:rsidP="008331F6">
      <w:pPr>
        <w:pStyle w:val="FootnoteText"/>
        <w:rPr>
          <w:lang w:val="pt-PT"/>
        </w:rPr>
      </w:pPr>
      <w:r w:rsidRPr="0005798F">
        <w:rPr>
          <w:lang w:val="pt-PT"/>
        </w:rPr>
        <w:t>(</w:t>
      </w:r>
      <w:r w:rsidRPr="00145E5A">
        <w:rPr>
          <w:rStyle w:val="fnRefNo"/>
        </w:rPr>
        <w:footnoteRef/>
      </w:r>
      <w:r w:rsidRPr="0005798F">
        <w:rPr>
          <w:lang w:val="pt-PT"/>
        </w:rPr>
        <w:t>)</w:t>
      </w:r>
      <w:r w:rsidRPr="0005798F">
        <w:rPr>
          <w:lang w:val="pt-PT"/>
        </w:rPr>
        <w:tab/>
        <w:t>COM(2018) 816 final, p.</w:t>
      </w:r>
      <w:r w:rsidRPr="0005798F">
        <w:rPr>
          <w:rFonts w:ascii="Calibri" w:hAnsi="Calibri" w:cs="Calibri"/>
          <w:lang w:val="pt-PT"/>
        </w:rPr>
        <w:t> </w:t>
      </w:r>
      <w:r w:rsidRPr="0005798F">
        <w:rPr>
          <w:lang w:val="pt-PT"/>
        </w:rPr>
        <w:t>6.</w:t>
      </w:r>
    </w:p>
  </w:footnote>
  <w:footnote w:id="167">
    <w:p w14:paraId="48ECC7C2" w14:textId="77777777" w:rsidR="003C0461" w:rsidRPr="00721BB9" w:rsidRDefault="003C0461" w:rsidP="008331F6">
      <w:pPr>
        <w:pStyle w:val="FootnoteText"/>
        <w:rPr>
          <w:lang w:val="pt-PT"/>
        </w:rPr>
      </w:pPr>
      <w:r w:rsidRPr="0005798F">
        <w:rPr>
          <w:lang w:val="pt-PT"/>
        </w:rPr>
        <w:t>(</w:t>
      </w:r>
      <w:r w:rsidRPr="00145E5A">
        <w:rPr>
          <w:rStyle w:val="fnRefNo"/>
        </w:rPr>
        <w:footnoteRef/>
      </w:r>
      <w:r w:rsidRPr="0005798F">
        <w:rPr>
          <w:lang w:val="pt-PT"/>
        </w:rPr>
        <w:t>)</w:t>
      </w:r>
      <w:r w:rsidRPr="00721BB9">
        <w:rPr>
          <w:lang w:val="pt-PT"/>
        </w:rPr>
        <w:tab/>
        <w:t>COM(2018) 816 final, pp. 11-12.</w:t>
      </w:r>
    </w:p>
  </w:footnote>
  <w:footnote w:id="168">
    <w:p w14:paraId="3EB833DF" w14:textId="3A84C424" w:rsidR="003C0461" w:rsidRPr="00721BB9" w:rsidRDefault="003C0461" w:rsidP="008331F6">
      <w:pPr>
        <w:pStyle w:val="FootnoteText"/>
        <w:rPr>
          <w:lang w:val="pt-PT"/>
        </w:rPr>
      </w:pPr>
      <w:r w:rsidRPr="0005798F">
        <w:rPr>
          <w:lang w:val="pt-PT"/>
        </w:rPr>
        <w:t>(</w:t>
      </w:r>
      <w:r w:rsidRPr="00145E5A">
        <w:rPr>
          <w:rStyle w:val="fnRefNo"/>
        </w:rPr>
        <w:footnoteRef/>
      </w:r>
      <w:r w:rsidRPr="0005798F">
        <w:rPr>
          <w:lang w:val="pt-PT"/>
        </w:rPr>
        <w:t>)</w:t>
      </w:r>
      <w:r w:rsidRPr="00721BB9">
        <w:rPr>
          <w:lang w:val="pt-PT"/>
        </w:rPr>
        <w:tab/>
      </w:r>
      <w:hyperlink r:id="rId72" w:history="1">
        <w:r w:rsidRPr="009F2495">
          <w:rPr>
            <w:rStyle w:val="Hyperlink"/>
            <w:lang w:val="pt-PT"/>
          </w:rPr>
          <w:t>https://ec.europa.eu/eip/agriculture/en/publications/eip-agri-operational-groups-assessment-2018</w:t>
        </w:r>
      </w:hyperlink>
    </w:p>
  </w:footnote>
  <w:footnote w:id="169">
    <w:p w14:paraId="3BAAB60C" w14:textId="77777777" w:rsidR="003C0461" w:rsidRPr="007707CE" w:rsidRDefault="003C0461" w:rsidP="008331F6">
      <w:pPr>
        <w:pStyle w:val="FootnoteText"/>
        <w:rPr>
          <w:lang w:val="pt-PT"/>
        </w:rPr>
      </w:pPr>
      <w:r w:rsidRPr="001824A4">
        <w:rPr>
          <w:lang w:val="pt-PT"/>
        </w:rPr>
        <w:t>(</w:t>
      </w:r>
      <w:r w:rsidRPr="00145E5A">
        <w:rPr>
          <w:rStyle w:val="fnRefNo"/>
        </w:rPr>
        <w:footnoteRef/>
      </w:r>
      <w:r w:rsidRPr="001824A4">
        <w:rPr>
          <w:lang w:val="pt-PT"/>
        </w:rPr>
        <w:t>)</w:t>
      </w:r>
      <w:r w:rsidRPr="007707CE">
        <w:rPr>
          <w:lang w:val="pt-PT"/>
        </w:rPr>
        <w:tab/>
      </w:r>
      <w:hyperlink r:id="rId73" w:history="1">
        <w:r w:rsidRPr="007707CE">
          <w:rPr>
            <w:rStyle w:val="Hyperlink"/>
            <w:lang w:val="pt-PT"/>
          </w:rPr>
          <w:t>https://ec.europa.eu/eip/agriculture/en/publications/eip-agri-operational-groups-assessment-2018</w:t>
        </w:r>
      </w:hyperlink>
    </w:p>
  </w:footnote>
  <w:footnote w:id="170">
    <w:p w14:paraId="1F16C181" w14:textId="137378C4" w:rsidR="003C0461" w:rsidRPr="007707CE" w:rsidRDefault="003C0461" w:rsidP="008331F6">
      <w:pPr>
        <w:pStyle w:val="FootnoteText"/>
        <w:rPr>
          <w:lang w:val="pt-PT"/>
        </w:rPr>
      </w:pPr>
      <w:r w:rsidRPr="001824A4">
        <w:rPr>
          <w:lang w:val="pt-PT"/>
        </w:rPr>
        <w:t>(</w:t>
      </w:r>
      <w:r w:rsidRPr="00145E5A">
        <w:rPr>
          <w:rStyle w:val="fnRefNo"/>
        </w:rPr>
        <w:footnoteRef/>
      </w:r>
      <w:r w:rsidRPr="001824A4">
        <w:rPr>
          <w:lang w:val="pt-PT"/>
        </w:rPr>
        <w:t>)</w:t>
      </w:r>
      <w:r w:rsidRPr="007707CE">
        <w:rPr>
          <w:lang w:val="pt-PT"/>
        </w:rPr>
        <w:tab/>
      </w:r>
      <w:hyperlink r:id="rId74" w:history="1">
        <w:r w:rsidRPr="009F2495">
          <w:rPr>
            <w:rStyle w:val="Hyperlink"/>
            <w:lang w:val="pt-PT"/>
          </w:rPr>
          <w:t>https://ec.europa.eu/agriculture/external-studies/2017-risk-management-eu-agriculture_en</w:t>
        </w:r>
      </w:hyperlink>
    </w:p>
  </w:footnote>
  <w:footnote w:id="171">
    <w:p w14:paraId="470A2EDB" w14:textId="77777777" w:rsidR="003C0461" w:rsidRDefault="003C0461" w:rsidP="008331F6">
      <w:pPr>
        <w:pStyle w:val="FootnoteText"/>
      </w:pPr>
      <w:r w:rsidRPr="00145E5A">
        <w:t>(</w:t>
      </w:r>
      <w:r w:rsidRPr="00145E5A">
        <w:rPr>
          <w:rStyle w:val="fnRefNo"/>
        </w:rPr>
        <w:footnoteRef/>
      </w:r>
      <w:r w:rsidRPr="00145E5A">
        <w:t>)</w:t>
      </w:r>
      <w:r w:rsidRPr="0037039F">
        <w:tab/>
      </w:r>
      <w:r>
        <w:t>Special Report 11/2018: New options for financing rural development projects: simpler but not focused on results, European Court of Auditors.</w:t>
      </w:r>
    </w:p>
  </w:footnote>
  <w:footnote w:id="172">
    <w:p w14:paraId="6CB45BDA" w14:textId="16043624"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BD51EE">
        <w:rPr>
          <w:rStyle w:val="FootnoteTextChar"/>
        </w:rPr>
        <w:t>Regulation (EU) No 508/2014 of the European Parliament and of the Council of 15</w:t>
      </w:r>
      <w:r>
        <w:rPr>
          <w:rStyle w:val="FootnoteTextChar"/>
          <w:rFonts w:ascii="Calibri" w:hAnsi="Calibri" w:cs="Calibri"/>
        </w:rPr>
        <w:t> </w:t>
      </w:r>
      <w:r w:rsidRPr="00BD51EE">
        <w:rPr>
          <w:rStyle w:val="FootnoteTextChar"/>
        </w:rPr>
        <w:t>May</w:t>
      </w:r>
      <w:r>
        <w:rPr>
          <w:rStyle w:val="FootnoteTextChar"/>
          <w:rFonts w:ascii="Calibri" w:hAnsi="Calibri" w:cs="Calibri"/>
        </w:rPr>
        <w:t> </w:t>
      </w:r>
      <w:r w:rsidRPr="00BD51EE">
        <w:rPr>
          <w:rStyle w:val="FootnoteTextChar"/>
        </w:rPr>
        <w:t>2014 on the European Maritime and Fisheries Fund and repealing Council Regulations (EC) No 2328/2003, (EC) No 861/2006, (EC) No 1198/2006 and (EC) No</w:t>
      </w:r>
      <w:r>
        <w:rPr>
          <w:rStyle w:val="FootnoteTextChar"/>
          <w:rFonts w:ascii="Calibri" w:hAnsi="Calibri" w:cs="Calibri"/>
        </w:rPr>
        <w:t> </w:t>
      </w:r>
      <w:r w:rsidRPr="00BD51EE">
        <w:rPr>
          <w:rStyle w:val="FootnoteTextChar"/>
        </w:rPr>
        <w:t>791/2007 and Regulation (EU) No 1255/2011 of the European Parliament and of the Council</w:t>
      </w:r>
    </w:p>
  </w:footnote>
  <w:footnote w:id="173">
    <w:p w14:paraId="5E34A14C"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32611A">
        <w:rPr>
          <w:i/>
        </w:rPr>
        <w:t>European Maritime and Fisheries Fund final programme statement</w:t>
      </w:r>
      <w:r w:rsidRPr="00BD51EE">
        <w:t>, p.2.</w:t>
      </w:r>
    </w:p>
  </w:footnote>
  <w:footnote w:id="174">
    <w:p w14:paraId="241CB80D" w14:textId="6363B07B" w:rsidR="003C0461" w:rsidRPr="00BD51EE" w:rsidRDefault="003C0461" w:rsidP="008331F6">
      <w:pPr>
        <w:pStyle w:val="FootnoteText"/>
        <w:rPr>
          <w:sz w:val="17"/>
          <w:szCs w:val="17"/>
        </w:rPr>
      </w:pPr>
      <w:r w:rsidRPr="00145E5A">
        <w:t>(</w:t>
      </w:r>
      <w:r w:rsidRPr="00145E5A">
        <w:rPr>
          <w:rStyle w:val="fnRefNo"/>
        </w:rPr>
        <w:footnoteRef/>
      </w:r>
      <w:r w:rsidRPr="00145E5A">
        <w:t>)</w:t>
      </w:r>
      <w:r w:rsidRPr="0037039F">
        <w:tab/>
      </w:r>
      <w:r w:rsidRPr="00BD51EE">
        <w:t>The latest data is made available by Member States on 31</w:t>
      </w:r>
      <w:r>
        <w:rPr>
          <w:rFonts w:ascii="Calibri" w:hAnsi="Calibri" w:cs="Calibri"/>
        </w:rPr>
        <w:t> </w:t>
      </w:r>
      <w:r w:rsidRPr="00BD51EE">
        <w:t>May each year in their annual implementation reports. It corresponds to the state of implementation at the end of the preceding year.</w:t>
      </w:r>
      <w:r w:rsidRPr="00BD51EE">
        <w:rPr>
          <w:rStyle w:val="FootnoteReference"/>
          <w:szCs w:val="16"/>
        </w:rPr>
        <w:t xml:space="preserve"> </w:t>
      </w:r>
    </w:p>
  </w:footnote>
  <w:footnote w:id="175">
    <w:p w14:paraId="7CCDA396" w14:textId="337F23F1"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hyperlink r:id="rId75" w:history="1">
        <w:r w:rsidRPr="009F2495">
          <w:rPr>
            <w:rStyle w:val="Hyperlink"/>
          </w:rPr>
          <w:t>https://ec.europa.eu/fisheries/sites/fisheries/files/2019-fresh-fish-from-vienna_en.pdf</w:t>
        </w:r>
      </w:hyperlink>
    </w:p>
  </w:footnote>
  <w:footnote w:id="176">
    <w:p w14:paraId="78099BAA" w14:textId="77777777"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BD51EE">
        <w:t>Maximum Sustainable Yield means the highest theoretical equilibrium yield that can be continuously taken on average from a stock under existing average environmental conditions without significantly affecting the reproduction process (Article 4 of CFP Regulation 1380/2013).</w:t>
      </w:r>
    </w:p>
  </w:footnote>
  <w:footnote w:id="177">
    <w:p w14:paraId="23A5B16F" w14:textId="6151CFF2"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32611A">
        <w:rPr>
          <w:i/>
        </w:rPr>
        <w:t>2018 Annual economic report on the EU fishing fleet</w:t>
      </w:r>
      <w:r w:rsidRPr="00BD51EE">
        <w:t xml:space="preserve"> (STECF 18-07), </w:t>
      </w:r>
      <w:hyperlink r:id="rId76" w:history="1">
        <w:r w:rsidRPr="00B57288">
          <w:rPr>
            <w:rStyle w:val="Hyperlink"/>
          </w:rPr>
          <w:t>https://ec.europa.eu/jrc/en/publication/eur-scientific-and-technical-research-reports/2018-annual-economic-report-eu-fishing-fleet-stecf-18-07</w:t>
        </w:r>
      </w:hyperlink>
    </w:p>
  </w:footnote>
  <w:footnote w:id="178">
    <w:p w14:paraId="2694BFB9" w14:textId="0437E0CC"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r w:rsidRPr="00BD51EE">
        <w:t>Proposal for a Regulation of the European Parliament and of the Council on the European Maritime and Fisheries Fund and repealing Regulation (EU) No 508/2014 of the European Parliament and of the Council, COM/2018/390 final</w:t>
      </w:r>
      <w:r>
        <w:t>.</w:t>
      </w:r>
    </w:p>
  </w:footnote>
  <w:footnote w:id="179">
    <w:p w14:paraId="338BF23A" w14:textId="77777777" w:rsidR="003C0461" w:rsidRPr="00BD51EE" w:rsidRDefault="003C0461" w:rsidP="008331F6">
      <w:pPr>
        <w:pStyle w:val="FootnoteText"/>
      </w:pPr>
      <w:r w:rsidRPr="00145E5A">
        <w:t>(</w:t>
      </w:r>
      <w:r w:rsidRPr="00145E5A">
        <w:rPr>
          <w:rStyle w:val="fnRefNo"/>
        </w:rPr>
        <w:footnoteRef/>
      </w:r>
      <w:r w:rsidRPr="00145E5A">
        <w:t>)</w:t>
      </w:r>
      <w:r w:rsidRPr="0037039F">
        <w:tab/>
      </w:r>
      <w:r w:rsidRPr="00BD51EE">
        <w:rPr>
          <w:rStyle w:val="FootnoteTextChar"/>
        </w:rPr>
        <w:t>Regional Fisheries Management Organisations are international bodies set up to ensure the conservation and sustainability of straddling and highly migratory fish stocks. They are the main vehicle for multilateral cooperation, providing a legal framework that can take into account the specific features and characteristics of each zone and species concerned.</w:t>
      </w:r>
      <w:r w:rsidRPr="00BD51EE">
        <w:rPr>
          <w:rStyle w:val="FootnoteReference"/>
          <w:rFonts w:cstheme="minorBidi"/>
          <w:sz w:val="18"/>
          <w:szCs w:val="18"/>
        </w:rPr>
        <w:t xml:space="preserve"> </w:t>
      </w:r>
    </w:p>
  </w:footnote>
  <w:footnote w:id="180">
    <w:p w14:paraId="1AD862A1" w14:textId="2E60CDAD" w:rsidR="003C0461" w:rsidRPr="00403327" w:rsidRDefault="003C0461" w:rsidP="008331F6">
      <w:pPr>
        <w:pStyle w:val="FootnoteText"/>
      </w:pPr>
      <w:r w:rsidRPr="00145E5A">
        <w:t>(</w:t>
      </w:r>
      <w:r w:rsidRPr="00145E5A">
        <w:rPr>
          <w:rStyle w:val="fnRefNo"/>
        </w:rPr>
        <w:footnoteRef/>
      </w:r>
      <w:r w:rsidRPr="00145E5A">
        <w:t>)</w:t>
      </w:r>
      <w:r w:rsidRPr="0037039F">
        <w:tab/>
      </w:r>
      <w:r w:rsidRPr="00A04E56">
        <w:t>D</w:t>
      </w:r>
      <w:r>
        <w:t>irectorate-</w:t>
      </w:r>
      <w:r w:rsidRPr="00A04E56">
        <w:t>G</w:t>
      </w:r>
      <w:r>
        <w:t>eneral</w:t>
      </w:r>
      <w:r w:rsidRPr="00ED5F69">
        <w:t xml:space="preserve"> Maritime Affairs and Fisheries</w:t>
      </w:r>
      <w:r>
        <w:t xml:space="preserve">, </w:t>
      </w:r>
      <w:r w:rsidRPr="00ED5F69">
        <w:rPr>
          <w:i/>
        </w:rPr>
        <w:t>Annual activity report 2018</w:t>
      </w:r>
      <w:r w:rsidRPr="00403327">
        <w:t>, p.2</w:t>
      </w:r>
      <w:r>
        <w:t>6.</w:t>
      </w:r>
    </w:p>
  </w:footnote>
  <w:footnote w:id="181">
    <w:p w14:paraId="7A4C7FDE" w14:textId="6B797F7E" w:rsidR="003C0461" w:rsidRPr="00403327" w:rsidRDefault="003C0461" w:rsidP="008331F6">
      <w:pPr>
        <w:pStyle w:val="FootnoteText"/>
      </w:pPr>
      <w:r w:rsidRPr="00145E5A">
        <w:t>(</w:t>
      </w:r>
      <w:r w:rsidRPr="00145E5A">
        <w:rPr>
          <w:rStyle w:val="fnRefNo"/>
        </w:rPr>
        <w:footnoteRef/>
      </w:r>
      <w:r w:rsidRPr="00145E5A">
        <w:t>)</w:t>
      </w:r>
      <w:r w:rsidRPr="0037039F">
        <w:tab/>
      </w:r>
      <w:r w:rsidRPr="00A04E56">
        <w:t>D</w:t>
      </w:r>
      <w:r>
        <w:t>irectorate-</w:t>
      </w:r>
      <w:r w:rsidRPr="00A04E56">
        <w:t>G</w:t>
      </w:r>
      <w:r>
        <w:t>eneral</w:t>
      </w:r>
      <w:r w:rsidRPr="00ED5F69">
        <w:t xml:space="preserve"> Maritime Affairs and Fisheries</w:t>
      </w:r>
      <w:r>
        <w:t xml:space="preserve">, </w:t>
      </w:r>
      <w:r w:rsidRPr="00ED5F69">
        <w:rPr>
          <w:i/>
        </w:rPr>
        <w:t>Annual activity report 2018</w:t>
      </w:r>
      <w:r w:rsidRPr="00403327">
        <w:t>, p.2</w:t>
      </w:r>
      <w:r>
        <w:t>8.</w:t>
      </w:r>
    </w:p>
  </w:footnote>
  <w:footnote w:id="182">
    <w:p w14:paraId="63D26F7E" w14:textId="2542BD9A" w:rsidR="003C0461" w:rsidRPr="00BD51EE" w:rsidRDefault="003C0461" w:rsidP="008331F6">
      <w:pPr>
        <w:pStyle w:val="FootnoteText"/>
      </w:pPr>
      <w:r w:rsidRPr="00145E5A">
        <w:t>(</w:t>
      </w:r>
      <w:r w:rsidRPr="00145E5A">
        <w:rPr>
          <w:rStyle w:val="fnRefNo"/>
        </w:rPr>
        <w:footnoteRef/>
      </w:r>
      <w:r w:rsidRPr="00145E5A">
        <w:t>)</w:t>
      </w:r>
      <w:r w:rsidRPr="0037039F">
        <w:tab/>
      </w:r>
      <w:r w:rsidRPr="0032611A">
        <w:rPr>
          <w:i/>
        </w:rPr>
        <w:t>Programme statement 2018</w:t>
      </w:r>
      <w:r w:rsidRPr="00BD51EE">
        <w:t>, p.2</w:t>
      </w:r>
      <w:r>
        <w:t>.</w:t>
      </w:r>
    </w:p>
  </w:footnote>
  <w:footnote w:id="183">
    <w:p w14:paraId="1B0C1AC1" w14:textId="1F1F3893" w:rsidR="003C0461" w:rsidRPr="00BD51EE" w:rsidRDefault="003C0461" w:rsidP="008331F6">
      <w:pPr>
        <w:pStyle w:val="FootnoteText"/>
      </w:pPr>
      <w:r w:rsidRPr="00145E5A">
        <w:t>(</w:t>
      </w:r>
      <w:r w:rsidRPr="00145E5A">
        <w:rPr>
          <w:rStyle w:val="fnRefNo"/>
        </w:rPr>
        <w:footnoteRef/>
      </w:r>
      <w:r w:rsidRPr="00145E5A">
        <w:t>)</w:t>
      </w:r>
      <w:r w:rsidRPr="0037039F">
        <w:tab/>
      </w:r>
      <w:r w:rsidRPr="007B1583">
        <w:t>European Court of Auditors</w:t>
      </w:r>
      <w:r>
        <w:t>,</w:t>
      </w:r>
      <w:r w:rsidRPr="00BD51EE">
        <w:t xml:space="preserve"> </w:t>
      </w:r>
      <w:r w:rsidRPr="0032611A">
        <w:rPr>
          <w:i/>
        </w:rPr>
        <w:t>Special Report No 11/2015</w:t>
      </w:r>
      <w:r w:rsidRPr="00BD51EE">
        <w:t xml:space="preserve">, </w:t>
      </w:r>
      <w:hyperlink r:id="rId77" w:history="1">
        <w:r w:rsidRPr="00963103">
          <w:rPr>
            <w:rStyle w:val="Hyperlink"/>
          </w:rPr>
          <w:t>https://www.eca.europa.eu/lists/ecadocuments/sr15_11/sr_fisheries_en.pdf</w:t>
        </w:r>
      </w:hyperlink>
      <w:r w:rsidRPr="00BD51EE">
        <w:t xml:space="preserve"> </w:t>
      </w:r>
    </w:p>
  </w:footnote>
  <w:footnote w:id="184">
    <w:p w14:paraId="3A6B19C2" w14:textId="52F6DA15" w:rsidR="003C0461" w:rsidRPr="00107DA0" w:rsidRDefault="003C0461" w:rsidP="008331F6">
      <w:pPr>
        <w:pStyle w:val="FootnoteText"/>
        <w:rPr>
          <w:rStyle w:val="FootnoteTextChar"/>
        </w:rPr>
      </w:pPr>
      <w:r w:rsidRPr="00145E5A">
        <w:t>(</w:t>
      </w:r>
      <w:r w:rsidRPr="00145E5A">
        <w:rPr>
          <w:rStyle w:val="fnRefNo"/>
        </w:rPr>
        <w:footnoteRef/>
      </w:r>
      <w:r w:rsidRPr="00145E5A">
        <w:t>)</w:t>
      </w:r>
      <w:r w:rsidRPr="0037039F">
        <w:tab/>
      </w:r>
      <w:r w:rsidRPr="00BD51EE">
        <w:t>Regulation (EU) No 1293/2013 of the European Parliament and of the Council of 11</w:t>
      </w:r>
      <w:r>
        <w:rPr>
          <w:rFonts w:ascii="Calibri" w:hAnsi="Calibri" w:cs="Calibri"/>
        </w:rPr>
        <w:t> </w:t>
      </w:r>
      <w:r w:rsidRPr="00BD51EE">
        <w:t>December</w:t>
      </w:r>
      <w:r>
        <w:rPr>
          <w:rFonts w:ascii="Calibri" w:hAnsi="Calibri" w:cs="Calibri"/>
        </w:rPr>
        <w:t> </w:t>
      </w:r>
      <w:r w:rsidRPr="00BD51EE">
        <w:t>2013 on the establishment of a Programme for the Environment and Climate Action (LIFE) and repealing Regulation (EC) No 614/2007</w:t>
      </w:r>
      <w:r w:rsidRPr="00107DA0">
        <w:rPr>
          <w:rStyle w:val="FootnoteTextChar"/>
        </w:rPr>
        <w:t>.</w:t>
      </w:r>
    </w:p>
  </w:footnote>
  <w:footnote w:id="185">
    <w:p w14:paraId="39C7F16E" w14:textId="30379808" w:rsidR="003C0461" w:rsidRDefault="003C0461" w:rsidP="008331F6">
      <w:pPr>
        <w:pStyle w:val="FootnoteText"/>
      </w:pPr>
      <w:r w:rsidRPr="00145E5A">
        <w:t>(</w:t>
      </w:r>
      <w:r w:rsidRPr="00145E5A">
        <w:rPr>
          <w:rStyle w:val="fnRefNo"/>
        </w:rPr>
        <w:footnoteRef/>
      </w:r>
      <w:r w:rsidRPr="00145E5A">
        <w:t>)</w:t>
      </w:r>
      <w:r w:rsidRPr="0032611A">
        <w:tab/>
      </w:r>
      <w:r>
        <w:t>P</w:t>
      </w:r>
      <w:r w:rsidRPr="00BD51EE">
        <w:t>rogramme statement</w:t>
      </w:r>
      <w:r>
        <w:t xml:space="preserve"> 2018,</w:t>
      </w:r>
      <w:r w:rsidRPr="00BD51EE">
        <w:t xml:space="preserve"> p. 2</w:t>
      </w:r>
      <w:r>
        <w:t>.</w:t>
      </w:r>
    </w:p>
  </w:footnote>
  <w:footnote w:id="186">
    <w:p w14:paraId="4685ED84" w14:textId="06102396" w:rsidR="003C0461" w:rsidRPr="00BD51EE" w:rsidRDefault="003C0461" w:rsidP="008331F6">
      <w:pPr>
        <w:pStyle w:val="FootnoteText"/>
        <w:rPr>
          <w:sz w:val="18"/>
          <w:szCs w:val="18"/>
        </w:rPr>
      </w:pPr>
      <w:r w:rsidRPr="00145E5A">
        <w:t>(</w:t>
      </w:r>
      <w:r w:rsidRPr="00145E5A">
        <w:rPr>
          <w:rStyle w:val="fnRefNo"/>
        </w:rPr>
        <w:footnoteRef/>
      </w:r>
      <w:r w:rsidRPr="00145E5A">
        <w:t>)</w:t>
      </w:r>
      <w:r w:rsidRPr="0037039F">
        <w:tab/>
      </w:r>
      <w:hyperlink r:id="rId78" w:history="1">
        <w:r w:rsidRPr="00BD51EE">
          <w:t xml:space="preserve">European Commission (2017) </w:t>
        </w:r>
        <w:r w:rsidRPr="0032611A">
          <w:rPr>
            <w:i/>
          </w:rPr>
          <w:t>Report on the midterm evaluation of the programme for environment and climate</w:t>
        </w:r>
      </w:hyperlink>
      <w:r w:rsidRPr="00BD51EE">
        <w:t xml:space="preserve">; </w:t>
      </w:r>
      <w:hyperlink r:id="rId79" w:history="1">
        <w:r w:rsidRPr="00BD51EE">
          <w:t>SWD(2017) 355 final</w:t>
        </w:r>
      </w:hyperlink>
      <w:r w:rsidRPr="00BD51EE">
        <w:t xml:space="preserve">; Ecorys (2017) </w:t>
      </w:r>
      <w:r w:rsidRPr="0032611A">
        <w:rPr>
          <w:i/>
        </w:rPr>
        <w:t>Support for an external and independent LIFE mid-term evaluation report</w:t>
      </w:r>
      <w:r>
        <w:rPr>
          <w:sz w:val="18"/>
          <w:szCs w:val="18"/>
        </w:rPr>
        <w:t>.</w:t>
      </w:r>
    </w:p>
  </w:footnote>
  <w:footnote w:id="187">
    <w:p w14:paraId="1AF5B1A7" w14:textId="77777777" w:rsidR="003C0461" w:rsidRPr="00721BB9" w:rsidRDefault="003C0461" w:rsidP="008331F6">
      <w:pPr>
        <w:pStyle w:val="FootnoteText"/>
        <w:rPr>
          <w:lang w:val="pt-PT"/>
        </w:rPr>
      </w:pPr>
      <w:r w:rsidRPr="0005798F">
        <w:rPr>
          <w:lang w:val="pt-PT"/>
        </w:rPr>
        <w:t>(</w:t>
      </w:r>
      <w:r w:rsidRPr="00145E5A">
        <w:rPr>
          <w:rStyle w:val="fnRefNo"/>
        </w:rPr>
        <w:footnoteRef/>
      </w:r>
      <w:r w:rsidRPr="0005798F">
        <w:rPr>
          <w:lang w:val="pt-PT"/>
        </w:rPr>
        <w:t>)</w:t>
      </w:r>
      <w:r w:rsidRPr="00721BB9">
        <w:rPr>
          <w:lang w:val="pt-PT"/>
        </w:rPr>
        <w:tab/>
        <w:t xml:space="preserve">COM(2018) 385 final </w:t>
      </w:r>
      <w:hyperlink r:id="rId80" w:history="1">
        <w:r w:rsidRPr="00721BB9">
          <w:rPr>
            <w:rStyle w:val="Hyperlink"/>
            <w:lang w:val="pt-PT"/>
          </w:rPr>
          <w:t>https://eur-lex.europa.eu/resource.html?uri=cellar:ad186f8e-6587-11e8-ab9c-01aa75ed71a1.0001.02/DOC_1&amp;format=PDF</w:t>
        </w:r>
      </w:hyperlink>
    </w:p>
  </w:footnote>
  <w:footnote w:id="188">
    <w:p w14:paraId="771A600E" w14:textId="673F227A" w:rsidR="003C0461" w:rsidRPr="00126EB7" w:rsidRDefault="003C0461">
      <w:pPr>
        <w:pStyle w:val="FootnoteText"/>
      </w:pPr>
      <w:r w:rsidRPr="00145E5A">
        <w:t>(</w:t>
      </w:r>
      <w:r w:rsidRPr="00145E5A">
        <w:rPr>
          <w:rStyle w:val="fnRefNo"/>
        </w:rPr>
        <w:footnoteRef/>
      </w:r>
      <w:r w:rsidRPr="00145E5A">
        <w:t>)</w:t>
      </w:r>
      <w:r>
        <w:tab/>
        <w:t>Data source: Hellenic police</w:t>
      </w:r>
    </w:p>
  </w:footnote>
  <w:footnote w:id="189">
    <w:p w14:paraId="29AC903A" w14:textId="148ABE06" w:rsidR="003C0461" w:rsidRPr="008C1832" w:rsidRDefault="003C0461" w:rsidP="005D36C6">
      <w:pPr>
        <w:pStyle w:val="FootnoteText"/>
      </w:pPr>
      <w:r w:rsidRPr="00145E5A">
        <w:t>(</w:t>
      </w:r>
      <w:r w:rsidRPr="00145E5A">
        <w:rPr>
          <w:rStyle w:val="fnRefNo"/>
        </w:rPr>
        <w:footnoteRef/>
      </w:r>
      <w:r w:rsidRPr="00145E5A">
        <w:t>)</w:t>
      </w:r>
      <w:r w:rsidRPr="0032611A">
        <w:tab/>
      </w:r>
      <w:r>
        <w:t>Between</w:t>
      </w:r>
      <w:r w:rsidRPr="008C1832">
        <w:t xml:space="preserve"> 21</w:t>
      </w:r>
      <w:r>
        <w:rPr>
          <w:rFonts w:ascii="Calibri" w:hAnsi="Calibri" w:cs="Calibri"/>
        </w:rPr>
        <w:t> </w:t>
      </w:r>
      <w:r w:rsidRPr="008C1832">
        <w:t>March</w:t>
      </w:r>
      <w:r>
        <w:rPr>
          <w:rFonts w:ascii="Calibri" w:hAnsi="Calibri" w:cs="Calibri"/>
        </w:rPr>
        <w:t> </w:t>
      </w:r>
      <w:r w:rsidRPr="008C1832">
        <w:t>2016, 1 8</w:t>
      </w:r>
      <w:r>
        <w:t>0</w:t>
      </w:r>
      <w:r w:rsidRPr="008C1832">
        <w:t xml:space="preserve">6 migrants have been returned from Greece to Turkey under the EU-Turkey </w:t>
      </w:r>
      <w:r>
        <w:t>s</w:t>
      </w:r>
      <w:r w:rsidRPr="008C1832">
        <w:t>tatement and 601 under the Greece-Turkey bilateral protocol.</w:t>
      </w:r>
    </w:p>
  </w:footnote>
  <w:footnote w:id="190">
    <w:p w14:paraId="6775827E" w14:textId="50EF0B8D" w:rsidR="003C0461" w:rsidRPr="00381556" w:rsidRDefault="003C0461">
      <w:pPr>
        <w:pStyle w:val="FootnoteText"/>
      </w:pPr>
      <w:r w:rsidRPr="00145E5A">
        <w:t>(</w:t>
      </w:r>
      <w:r w:rsidRPr="00145E5A">
        <w:rPr>
          <w:rStyle w:val="fnRefNo"/>
        </w:rPr>
        <w:footnoteRef/>
      </w:r>
      <w:r w:rsidRPr="00145E5A">
        <w:t>)</w:t>
      </w:r>
      <w:r>
        <w:tab/>
        <w:t>Data source: Hellenic police</w:t>
      </w:r>
    </w:p>
  </w:footnote>
  <w:footnote w:id="191">
    <w:p w14:paraId="5C25D42A" w14:textId="77777777" w:rsidR="003C0461" w:rsidRPr="007F0831" w:rsidRDefault="003C0461" w:rsidP="005D36C6">
      <w:pPr>
        <w:pStyle w:val="FootnoteText"/>
        <w:rPr>
          <w:rStyle w:val="FootnoteReference"/>
          <w:vertAlign w:val="baseline"/>
        </w:rPr>
      </w:pPr>
      <w:r w:rsidRPr="00145E5A">
        <w:t>(</w:t>
      </w:r>
      <w:r w:rsidRPr="00145E5A">
        <w:rPr>
          <w:rStyle w:val="fnRefNo"/>
        </w:rPr>
        <w:footnoteRef/>
      </w:r>
      <w:r w:rsidRPr="00145E5A">
        <w:t>)</w:t>
      </w:r>
      <w:r w:rsidRPr="008C4F9C">
        <w:tab/>
      </w:r>
      <w:r w:rsidRPr="008C4F9C">
        <w:rPr>
          <w:rStyle w:val="FootnoteReference"/>
          <w:vertAlign w:val="baseline"/>
        </w:rPr>
        <w:t>Regulation (EU) No 516/2014 of the European Parliament and of the Council of 16</w:t>
      </w:r>
      <w:r w:rsidRPr="008A6BD6">
        <w:rPr>
          <w:rFonts w:ascii="Calibri" w:hAnsi="Calibri" w:cs="Calibri"/>
          <w:sz w:val="22"/>
          <w:szCs w:val="22"/>
          <w:lang w:val="en-US"/>
        </w:rPr>
        <w:t> </w:t>
      </w:r>
      <w:r w:rsidRPr="008C4F9C">
        <w:rPr>
          <w:rStyle w:val="FootnoteReference"/>
          <w:vertAlign w:val="baseline"/>
        </w:rPr>
        <w:t>April</w:t>
      </w:r>
      <w:r w:rsidRPr="008A6BD6">
        <w:rPr>
          <w:rFonts w:ascii="Calibri" w:hAnsi="Calibri" w:cs="Calibri"/>
          <w:sz w:val="22"/>
          <w:szCs w:val="22"/>
          <w:lang w:val="en-US"/>
        </w:rPr>
        <w:t> </w:t>
      </w:r>
      <w:r w:rsidRPr="008C4F9C">
        <w:rPr>
          <w:rStyle w:val="FootnoteReference"/>
          <w:vertAlign w:val="baseline"/>
        </w:rPr>
        <w:t>2014 establishing the Asylum,</w:t>
      </w:r>
      <w:r w:rsidRPr="008C4F9C">
        <w:t xml:space="preserve"> Migration and Integration Fund, amending Council Decision 2008/381/EC and repealing Decisions No 573/2007/EC and No 575/2007/EC of the European Parliament and of the Council and Council Dec</w:t>
      </w:r>
      <w:r w:rsidRPr="007F0831">
        <w:t>ision 2007/435/EC</w:t>
      </w:r>
      <w:r>
        <w:t>.</w:t>
      </w:r>
      <w:r w:rsidRPr="007F0831">
        <w:t xml:space="preserve"> </w:t>
      </w:r>
    </w:p>
  </w:footnote>
  <w:footnote w:id="192">
    <w:p w14:paraId="324939F5" w14:textId="77777777" w:rsidR="003C0461" w:rsidRPr="008C4F9C" w:rsidRDefault="003C0461" w:rsidP="005D36C6">
      <w:pPr>
        <w:pStyle w:val="FootnoteText"/>
      </w:pPr>
      <w:r w:rsidRPr="00145E5A">
        <w:t>(</w:t>
      </w:r>
      <w:r w:rsidRPr="00145E5A">
        <w:rPr>
          <w:rStyle w:val="fnRefNo"/>
        </w:rPr>
        <w:footnoteRef/>
      </w:r>
      <w:r w:rsidRPr="00145E5A">
        <w:t>)</w:t>
      </w:r>
      <w:r w:rsidRPr="00E66A9F">
        <w:tab/>
      </w:r>
      <w:r w:rsidRPr="0032611A">
        <w:rPr>
          <w:i/>
        </w:rPr>
        <w:t>Report on budgetary and financial management of the European Commission for the financial year 2018,</w:t>
      </w:r>
      <w:r w:rsidRPr="008C4F9C">
        <w:t xml:space="preserve"> 29</w:t>
      </w:r>
      <w:r>
        <w:rPr>
          <w:rFonts w:ascii="Calibri" w:hAnsi="Calibri" w:cs="Calibri"/>
        </w:rPr>
        <w:t> </w:t>
      </w:r>
      <w:r w:rsidRPr="008C4F9C">
        <w:t>March</w:t>
      </w:r>
      <w:r>
        <w:rPr>
          <w:rFonts w:ascii="Calibri" w:hAnsi="Calibri" w:cs="Calibri"/>
        </w:rPr>
        <w:t> </w:t>
      </w:r>
      <w:r w:rsidRPr="008C4F9C">
        <w:t>2019</w:t>
      </w:r>
      <w:r>
        <w:t>.</w:t>
      </w:r>
    </w:p>
  </w:footnote>
  <w:footnote w:id="193">
    <w:p w14:paraId="3E4138A8" w14:textId="498CA707" w:rsidR="003C0461" w:rsidRDefault="003C0461" w:rsidP="005D36C6">
      <w:pPr>
        <w:pStyle w:val="FootnoteText"/>
      </w:pPr>
      <w:r w:rsidRPr="00145E5A">
        <w:t>(</w:t>
      </w:r>
      <w:r w:rsidRPr="00145E5A">
        <w:rPr>
          <w:rStyle w:val="fnRefNo"/>
        </w:rPr>
        <w:footnoteRef/>
      </w:r>
      <w:r w:rsidRPr="00145E5A">
        <w:t>)</w:t>
      </w:r>
      <w:r w:rsidRPr="0032611A">
        <w:tab/>
      </w:r>
      <w:hyperlink r:id="rId81" w:history="1">
        <w:r w:rsidRPr="002C2B80">
          <w:rPr>
            <w:rStyle w:val="Hyperlink"/>
          </w:rPr>
          <w:t>https://www.consilium.europa.eu/en/press/press-releases/2016/03/18/eu-turkey-statement</w:t>
        </w:r>
      </w:hyperlink>
    </w:p>
  </w:footnote>
  <w:footnote w:id="194">
    <w:p w14:paraId="672757E6" w14:textId="37B82596" w:rsidR="003C0461" w:rsidRDefault="003C0461" w:rsidP="005D36C6">
      <w:pPr>
        <w:pStyle w:val="FootnoteText"/>
      </w:pPr>
      <w:r w:rsidRPr="00145E5A">
        <w:t>(</w:t>
      </w:r>
      <w:r w:rsidRPr="00145E5A">
        <w:rPr>
          <w:rStyle w:val="fnRefNo"/>
        </w:rPr>
        <w:footnoteRef/>
      </w:r>
      <w:r w:rsidRPr="00145E5A">
        <w:t>)</w:t>
      </w:r>
      <w:r w:rsidRPr="0032611A">
        <w:tab/>
      </w:r>
      <w:hyperlink r:id="rId82" w:history="1">
        <w:r w:rsidRPr="003B771A">
          <w:rPr>
            <w:rStyle w:val="Hyperlink"/>
          </w:rPr>
          <w:t>https://ec.europa.eu/home-affairs/content/resettlement_en</w:t>
        </w:r>
      </w:hyperlink>
    </w:p>
  </w:footnote>
  <w:footnote w:id="195">
    <w:p w14:paraId="796112F2" w14:textId="0C6E8074" w:rsidR="003C0461" w:rsidRDefault="003C0461" w:rsidP="005011A7">
      <w:pPr>
        <w:pStyle w:val="FootnoteText"/>
      </w:pPr>
      <w:r w:rsidRPr="00145E5A">
        <w:t>(</w:t>
      </w:r>
      <w:r w:rsidRPr="00145E5A">
        <w:rPr>
          <w:rStyle w:val="fnRefNo"/>
        </w:rPr>
        <w:footnoteRef/>
      </w:r>
      <w:r w:rsidRPr="00145E5A">
        <w:t>)</w:t>
      </w:r>
      <w:r w:rsidRPr="0032611A">
        <w:tab/>
      </w:r>
      <w:r>
        <w:t>In the period 9</w:t>
      </w:r>
      <w:r>
        <w:rPr>
          <w:rFonts w:ascii="Calibri" w:hAnsi="Calibri" w:cs="Calibri"/>
        </w:rPr>
        <w:t> </w:t>
      </w:r>
      <w:r>
        <w:t>December</w:t>
      </w:r>
      <w:r>
        <w:rPr>
          <w:rFonts w:ascii="Calibri" w:hAnsi="Calibri" w:cs="Calibri"/>
        </w:rPr>
        <w:t> </w:t>
      </w:r>
      <w:r>
        <w:t>2017-31</w:t>
      </w:r>
      <w:r>
        <w:rPr>
          <w:rFonts w:ascii="Calibri" w:hAnsi="Calibri" w:cs="Calibri"/>
        </w:rPr>
        <w:t> </w:t>
      </w:r>
      <w:r>
        <w:t>December</w:t>
      </w:r>
      <w:r>
        <w:rPr>
          <w:rFonts w:ascii="Calibri" w:hAnsi="Calibri" w:cs="Calibri"/>
        </w:rPr>
        <w:t> </w:t>
      </w:r>
      <w:r>
        <w:t>2018.</w:t>
      </w:r>
    </w:p>
  </w:footnote>
  <w:footnote w:id="196">
    <w:p w14:paraId="6B640EB5" w14:textId="220372B8" w:rsidR="003C0461" w:rsidRDefault="003C0461" w:rsidP="005D36C6">
      <w:pPr>
        <w:pStyle w:val="FootnoteText"/>
      </w:pPr>
      <w:r w:rsidRPr="00145E5A">
        <w:t>(</w:t>
      </w:r>
      <w:r w:rsidRPr="00145E5A">
        <w:rPr>
          <w:rStyle w:val="fnRefNo"/>
        </w:rPr>
        <w:footnoteRef/>
      </w:r>
      <w:r w:rsidRPr="00145E5A">
        <w:t>)</w:t>
      </w:r>
      <w:r w:rsidRPr="0032611A">
        <w:tab/>
      </w:r>
      <w:hyperlink r:id="rId83" w:history="1">
        <w:r w:rsidRPr="003B771A">
          <w:rPr>
            <w:rStyle w:val="Hyperlink"/>
          </w:rPr>
          <w:t>https://ec.europa.eu/home-affairs/content/relocation_en</w:t>
        </w:r>
      </w:hyperlink>
    </w:p>
  </w:footnote>
  <w:footnote w:id="197">
    <w:p w14:paraId="5CB89E3C" w14:textId="65DEE40E" w:rsidR="003C0461" w:rsidRDefault="003C0461" w:rsidP="00E83CEA">
      <w:pPr>
        <w:pStyle w:val="FootnoteText"/>
      </w:pPr>
      <w:r w:rsidRPr="00145E5A">
        <w:t>(</w:t>
      </w:r>
      <w:r w:rsidRPr="00145E5A">
        <w:rPr>
          <w:rStyle w:val="fnRefNo"/>
        </w:rPr>
        <w:footnoteRef/>
      </w:r>
      <w:r w:rsidRPr="00145E5A">
        <w:t>)</w:t>
      </w:r>
      <w:r w:rsidRPr="0032611A">
        <w:tab/>
      </w:r>
      <w:r>
        <w:t xml:space="preserve">Data source: </w:t>
      </w:r>
      <w:r w:rsidRPr="0032611A">
        <w:rPr>
          <w:i/>
        </w:rPr>
        <w:t xml:space="preserve">2018 Annual </w:t>
      </w:r>
      <w:r w:rsidRPr="001045AB">
        <w:rPr>
          <w:i/>
        </w:rPr>
        <w:t>implementation reports</w:t>
      </w:r>
      <w:r>
        <w:t>. The 2018 figure includes all Member States except Greece. Greece has not yet provided its report. The figure for 2017 includes all Member States.</w:t>
      </w:r>
    </w:p>
  </w:footnote>
  <w:footnote w:id="198">
    <w:p w14:paraId="78953521" w14:textId="713E7560" w:rsidR="003C0461" w:rsidRPr="007F0831" w:rsidRDefault="003C0461" w:rsidP="005D36C6">
      <w:pPr>
        <w:pStyle w:val="FootnoteText"/>
      </w:pPr>
      <w:r w:rsidRPr="00145E5A">
        <w:t>(</w:t>
      </w:r>
      <w:r w:rsidRPr="00145E5A">
        <w:rPr>
          <w:rStyle w:val="fnRefNo"/>
        </w:rPr>
        <w:footnoteRef/>
      </w:r>
      <w:r w:rsidRPr="00145E5A">
        <w:t>)</w:t>
      </w:r>
      <w:r w:rsidRPr="008C4F9C">
        <w:tab/>
        <w:t xml:space="preserve">A target of </w:t>
      </w:r>
      <w:r>
        <w:t>340</w:t>
      </w:r>
      <w:r w:rsidRPr="008C4F9C">
        <w:t xml:space="preserve"> 698 voluntary returns by the end of </w:t>
      </w:r>
      <w:r w:rsidRPr="00A477EA">
        <w:t>2020</w:t>
      </w:r>
      <w:r w:rsidRPr="008C4F9C">
        <w:t xml:space="preserve"> was set. </w:t>
      </w:r>
    </w:p>
  </w:footnote>
  <w:footnote w:id="199">
    <w:p w14:paraId="0F242B1A" w14:textId="77777777" w:rsidR="003C0461" w:rsidRPr="007F0831" w:rsidRDefault="003C0461" w:rsidP="005D36C6">
      <w:pPr>
        <w:pStyle w:val="FootnoteText"/>
      </w:pPr>
      <w:r w:rsidRPr="00145E5A">
        <w:t>(</w:t>
      </w:r>
      <w:r w:rsidRPr="00145E5A">
        <w:rPr>
          <w:rStyle w:val="fnRefNo"/>
        </w:rPr>
        <w:footnoteRef/>
      </w:r>
      <w:r w:rsidRPr="00145E5A">
        <w:t>)</w:t>
      </w:r>
      <w:r w:rsidRPr="008C4F9C">
        <w:tab/>
        <w:t>Directive 2008/115/EC of the European Parl</w:t>
      </w:r>
      <w:r w:rsidRPr="007F0831">
        <w:t>iament and of the Council of 16</w:t>
      </w:r>
      <w:r>
        <w:rPr>
          <w:rFonts w:ascii="Calibri" w:hAnsi="Calibri" w:cs="Calibri"/>
        </w:rPr>
        <w:t> </w:t>
      </w:r>
      <w:r w:rsidRPr="007F0831">
        <w:t>December</w:t>
      </w:r>
      <w:r>
        <w:rPr>
          <w:rFonts w:ascii="Calibri" w:hAnsi="Calibri" w:cs="Calibri"/>
        </w:rPr>
        <w:t> </w:t>
      </w:r>
      <w:r w:rsidRPr="007F0831">
        <w:t>2008 on common standards and procedures in Member States for returning illegally staying third-country nationals.</w:t>
      </w:r>
    </w:p>
  </w:footnote>
  <w:footnote w:id="200">
    <w:p w14:paraId="79963E83" w14:textId="77777777" w:rsidR="003C0461" w:rsidRPr="007F0831" w:rsidRDefault="003C0461" w:rsidP="005D36C6">
      <w:pPr>
        <w:pStyle w:val="FootnoteText"/>
      </w:pPr>
      <w:r w:rsidRPr="00145E5A">
        <w:t>(</w:t>
      </w:r>
      <w:r w:rsidRPr="00145E5A">
        <w:rPr>
          <w:rStyle w:val="fnRefNo"/>
        </w:rPr>
        <w:footnoteRef/>
      </w:r>
      <w:r w:rsidRPr="00145E5A">
        <w:t>)</w:t>
      </w:r>
      <w:r w:rsidRPr="008C4F9C">
        <w:tab/>
      </w:r>
      <w:r w:rsidRPr="00F1348D">
        <w:rPr>
          <w:i/>
        </w:rPr>
        <w:t>Ex post</w:t>
      </w:r>
      <w:r w:rsidRPr="007F0831">
        <w:t xml:space="preserve"> evaluation reports for the period 2011 to 2013 of actions co-financed by the four funds under the framework programme 'Solidarity and Management of Migration Flows', COM(2018) 456.</w:t>
      </w:r>
    </w:p>
  </w:footnote>
  <w:footnote w:id="201">
    <w:p w14:paraId="13E91F07" w14:textId="77777777" w:rsidR="003C0461" w:rsidRPr="007F0831" w:rsidRDefault="003C0461" w:rsidP="005D36C6">
      <w:pPr>
        <w:pStyle w:val="FootnoteText"/>
        <w:rPr>
          <w:rStyle w:val="FootnoteReference"/>
          <w:rFonts w:eastAsiaTheme="minorHAnsi"/>
          <w:noProof w:val="0"/>
          <w:vertAlign w:val="baseline"/>
          <w:lang w:eastAsia="en-US"/>
        </w:rPr>
      </w:pPr>
      <w:r w:rsidRPr="00145E5A">
        <w:t>(</w:t>
      </w:r>
      <w:r w:rsidRPr="00145E5A">
        <w:rPr>
          <w:rStyle w:val="fnRefNo"/>
        </w:rPr>
        <w:footnoteRef/>
      </w:r>
      <w:r w:rsidRPr="00145E5A">
        <w:t>)</w:t>
      </w:r>
      <w:r w:rsidRPr="008C4F9C">
        <w:tab/>
      </w:r>
      <w:r w:rsidRPr="007F0831">
        <w:t>The European Refugee Fund, the European Fund for the Integration of third-country nationals, the European Return Fund.</w:t>
      </w:r>
      <w:r w:rsidRPr="007F0831">
        <w:rPr>
          <w:rStyle w:val="FootnoteReference"/>
          <w:vertAlign w:val="baseline"/>
        </w:rPr>
        <w:t xml:space="preserve"> </w:t>
      </w:r>
    </w:p>
  </w:footnote>
  <w:footnote w:id="202">
    <w:p w14:paraId="715817B2" w14:textId="46DF1721" w:rsidR="003C0461" w:rsidRPr="007F0831" w:rsidRDefault="003C0461" w:rsidP="005D36C6">
      <w:pPr>
        <w:pStyle w:val="FootnoteText"/>
      </w:pPr>
      <w:r w:rsidRPr="00145E5A">
        <w:t>(</w:t>
      </w:r>
      <w:r w:rsidRPr="00145E5A">
        <w:rPr>
          <w:rStyle w:val="fnRefNo"/>
        </w:rPr>
        <w:footnoteRef/>
      </w:r>
      <w:r w:rsidRPr="00145E5A">
        <w:t>)</w:t>
      </w:r>
      <w:r w:rsidRPr="008C4F9C">
        <w:tab/>
      </w:r>
      <w:r w:rsidRPr="007F0831">
        <w:t xml:space="preserve">SWD(2018) 339, </w:t>
      </w:r>
      <w:hyperlink r:id="rId84" w:history="1">
        <w:r w:rsidRPr="003B771A">
          <w:rPr>
            <w:rStyle w:val="Hyperlink"/>
          </w:rPr>
          <w:t>https://eur-lex.europa.eu/legal-content/EN/TXT/?uri=CELEX:52018SC0339</w:t>
        </w:r>
      </w:hyperlink>
    </w:p>
  </w:footnote>
  <w:footnote w:id="203">
    <w:p w14:paraId="5B9204CB" w14:textId="77777777" w:rsidR="003C0461" w:rsidRPr="007F0831" w:rsidRDefault="003C0461" w:rsidP="005D36C6">
      <w:pPr>
        <w:pStyle w:val="FootnoteText"/>
      </w:pPr>
      <w:r w:rsidRPr="00145E5A">
        <w:t>(</w:t>
      </w:r>
      <w:r w:rsidRPr="00145E5A">
        <w:rPr>
          <w:rStyle w:val="fnRefNo"/>
        </w:rPr>
        <w:footnoteRef/>
      </w:r>
      <w:r w:rsidRPr="00145E5A">
        <w:t>)</w:t>
      </w:r>
      <w:r w:rsidRPr="00E66A9F">
        <w:tab/>
      </w:r>
      <w:r w:rsidRPr="008C4F9C">
        <w:t>President Jucker during the State of the Union address, September 2018</w:t>
      </w:r>
      <w:r>
        <w:t>.</w:t>
      </w:r>
    </w:p>
  </w:footnote>
  <w:footnote w:id="204">
    <w:p w14:paraId="0BCEC6C7" w14:textId="77777777" w:rsidR="003C0461" w:rsidRPr="007F0831" w:rsidRDefault="003C0461" w:rsidP="005D36C6">
      <w:pPr>
        <w:pStyle w:val="FootnoteText"/>
        <w:rPr>
          <w:rStyle w:val="FootnoteReference"/>
          <w:rFonts w:eastAsiaTheme="minorHAnsi"/>
          <w:noProof w:val="0"/>
          <w:sz w:val="18"/>
          <w:szCs w:val="18"/>
          <w:vertAlign w:val="baseline"/>
          <w:lang w:eastAsia="en-US"/>
        </w:rPr>
      </w:pPr>
      <w:r w:rsidRPr="00145E5A">
        <w:t>(</w:t>
      </w:r>
      <w:r w:rsidRPr="00145E5A">
        <w:rPr>
          <w:rStyle w:val="fnRefNo"/>
        </w:rPr>
        <w:footnoteRef/>
      </w:r>
      <w:r w:rsidRPr="00145E5A">
        <w:t>)</w:t>
      </w:r>
      <w:r w:rsidRPr="008C4F9C">
        <w:tab/>
      </w:r>
      <w:r w:rsidRPr="007F0831">
        <w:t xml:space="preserve">Audit preview: </w:t>
      </w:r>
      <w:r w:rsidRPr="00F1348D">
        <w:rPr>
          <w:i/>
        </w:rPr>
        <w:t>EU Migration management: Hotspots and beyond</w:t>
      </w:r>
      <w:r w:rsidRPr="007F0831">
        <w:t xml:space="preserve">, </w:t>
      </w:r>
      <w:hyperlink r:id="rId85" w:history="1">
        <w:r w:rsidRPr="007F0831">
          <w:rPr>
            <w:rStyle w:val="Hyperlink"/>
          </w:rPr>
          <w:t>https://www.eca.europa.eu/Lists/ECADocuments/AP19_MIGRATION/AP_MIGRATION_EN.pdf</w:t>
        </w:r>
      </w:hyperlink>
      <w:r w:rsidRPr="008C4F9C">
        <w:t xml:space="preserve"> </w:t>
      </w:r>
    </w:p>
  </w:footnote>
  <w:footnote w:id="205">
    <w:p w14:paraId="16AC6A68" w14:textId="77777777" w:rsidR="003C0461" w:rsidRPr="007F0831" w:rsidRDefault="003C0461" w:rsidP="005D36C6">
      <w:pPr>
        <w:pStyle w:val="FootnoteText"/>
        <w:rPr>
          <w:rStyle w:val="FootnoteReference"/>
          <w:rFonts w:eastAsiaTheme="minorHAnsi"/>
          <w:noProof w:val="0"/>
          <w:sz w:val="18"/>
          <w:szCs w:val="18"/>
          <w:vertAlign w:val="baseline"/>
          <w:lang w:eastAsia="en-US"/>
        </w:rPr>
      </w:pPr>
      <w:r w:rsidRPr="00145E5A">
        <w:t>(</w:t>
      </w:r>
      <w:r w:rsidRPr="00145E5A">
        <w:rPr>
          <w:rStyle w:val="fnRefNo"/>
        </w:rPr>
        <w:footnoteRef/>
      </w:r>
      <w:r w:rsidRPr="00145E5A">
        <w:t>)</w:t>
      </w:r>
      <w:r w:rsidRPr="008C4F9C">
        <w:tab/>
      </w:r>
      <w:r w:rsidRPr="007F0831">
        <w:t>Proposal for a Regulation COM(2018) 471 of the European Parliament and of the Council establishing the Asylum and Migration Fund</w:t>
      </w:r>
      <w:r>
        <w:t>.</w:t>
      </w:r>
    </w:p>
  </w:footnote>
  <w:footnote w:id="206">
    <w:p w14:paraId="6F7ACE67" w14:textId="77777777" w:rsidR="003C0461" w:rsidRPr="007F0831" w:rsidRDefault="003C0461" w:rsidP="005D36C6">
      <w:pPr>
        <w:pStyle w:val="FootnoteText"/>
        <w:rPr>
          <w:sz w:val="18"/>
          <w:szCs w:val="18"/>
        </w:rPr>
      </w:pPr>
      <w:r w:rsidRPr="00145E5A">
        <w:t>(</w:t>
      </w:r>
      <w:r w:rsidRPr="00145E5A">
        <w:rPr>
          <w:rStyle w:val="fnRefNo"/>
        </w:rPr>
        <w:footnoteRef/>
      </w:r>
      <w:r w:rsidRPr="00145E5A">
        <w:t>)</w:t>
      </w:r>
      <w:r w:rsidRPr="008C4F9C">
        <w:tab/>
      </w:r>
      <w:r w:rsidRPr="007F0831">
        <w:t>The mid</w:t>
      </w:r>
      <w:r>
        <w:t>term</w:t>
      </w:r>
      <w:r w:rsidRPr="007F0831">
        <w:t xml:space="preserve"> review carried out for the current </w:t>
      </w:r>
      <w:r>
        <w:t>f</w:t>
      </w:r>
      <w:r w:rsidRPr="007F0831">
        <w:t>und has led to the identification of funding gaps for a number of countries, leading to a</w:t>
      </w:r>
      <w:r>
        <w:t>n additional</w:t>
      </w:r>
      <w:r w:rsidRPr="007F0831">
        <w:t xml:space="preserve"> </w:t>
      </w:r>
      <w:r>
        <w:t>EUR </w:t>
      </w:r>
      <w:r w:rsidRPr="007F0831">
        <w:t>175</w:t>
      </w:r>
      <w:r>
        <w:rPr>
          <w:rFonts w:ascii="Calibri" w:hAnsi="Calibri" w:cs="Calibri"/>
        </w:rPr>
        <w:t> </w:t>
      </w:r>
      <w:r w:rsidRPr="007F0831">
        <w:t xml:space="preserve">million </w:t>
      </w:r>
      <w:r>
        <w:t xml:space="preserve">being made available </w:t>
      </w:r>
      <w:r w:rsidRPr="007F0831">
        <w:t>in 2019</w:t>
      </w:r>
      <w:r>
        <w:t>.</w:t>
      </w:r>
    </w:p>
  </w:footnote>
  <w:footnote w:id="207">
    <w:p w14:paraId="554D2F37" w14:textId="77777777" w:rsidR="003C0461" w:rsidRPr="007F0831" w:rsidRDefault="003C0461" w:rsidP="005D36C6">
      <w:pPr>
        <w:pStyle w:val="FootnoteText"/>
        <w:rPr>
          <w:rStyle w:val="FootnoteReference"/>
          <w:rFonts w:eastAsiaTheme="minorHAnsi"/>
          <w:noProof w:val="0"/>
          <w:vertAlign w:val="baseline"/>
          <w:lang w:eastAsia="en-US"/>
        </w:rPr>
      </w:pPr>
      <w:r w:rsidRPr="00145E5A">
        <w:t>(</w:t>
      </w:r>
      <w:r w:rsidRPr="00145E5A">
        <w:rPr>
          <w:rStyle w:val="fnRefNo"/>
        </w:rPr>
        <w:footnoteRef/>
      </w:r>
      <w:r w:rsidRPr="00145E5A">
        <w:t>)</w:t>
      </w:r>
      <w:r w:rsidRPr="008C4F9C">
        <w:tab/>
      </w:r>
      <w:r w:rsidRPr="007F0831">
        <w:t>Regulation (EU) No 513/2014 of the European Parliament and of the Council of 16</w:t>
      </w:r>
      <w:r>
        <w:rPr>
          <w:rFonts w:ascii="Calibri" w:hAnsi="Calibri" w:cs="Calibri"/>
        </w:rPr>
        <w:t> </w:t>
      </w:r>
      <w:r w:rsidRPr="007F0831">
        <w:t>April</w:t>
      </w:r>
      <w:r>
        <w:rPr>
          <w:rFonts w:ascii="Calibri" w:hAnsi="Calibri" w:cs="Calibri"/>
        </w:rPr>
        <w:t> </w:t>
      </w:r>
      <w:r w:rsidRPr="007F0831">
        <w:t>2014 establishing, as part of the Internal Security Fund, the instrument for financial support for police cooperation, preventing and combating crime, and crisis management and repealing Council Decision 2007/125/JHA (OJ L 150 of 20</w:t>
      </w:r>
      <w:r>
        <w:rPr>
          <w:rFonts w:ascii="Calibri" w:hAnsi="Calibri" w:cs="Calibri"/>
        </w:rPr>
        <w:t> </w:t>
      </w:r>
      <w:r w:rsidRPr="007F0831">
        <w:t>May</w:t>
      </w:r>
      <w:r>
        <w:rPr>
          <w:rFonts w:ascii="Calibri" w:hAnsi="Calibri" w:cs="Calibri"/>
        </w:rPr>
        <w:t> </w:t>
      </w:r>
      <w:r w:rsidRPr="007F0831">
        <w:t>2014).</w:t>
      </w:r>
      <w:r w:rsidRPr="007F0831" w:rsidDel="00A52AB9">
        <w:t xml:space="preserve"> </w:t>
      </w:r>
      <w:r w:rsidRPr="007F0831">
        <w:t>Regulation (EU) No 515/2014 of the European Parliament and of the Council of 16</w:t>
      </w:r>
      <w:r>
        <w:rPr>
          <w:rFonts w:ascii="Calibri" w:hAnsi="Calibri" w:cs="Calibri"/>
        </w:rPr>
        <w:t> </w:t>
      </w:r>
      <w:r w:rsidRPr="007F0831">
        <w:t>April</w:t>
      </w:r>
      <w:r>
        <w:rPr>
          <w:rFonts w:ascii="Calibri" w:hAnsi="Calibri" w:cs="Calibri"/>
        </w:rPr>
        <w:t> </w:t>
      </w:r>
      <w:r w:rsidRPr="007F0831">
        <w:t>2014 establishing, as part of the Internal Security Fund, the instrument for financial support for external borders and visa and repealing Decision No 574/2007/EC (OJ L 150 of 20</w:t>
      </w:r>
      <w:r>
        <w:rPr>
          <w:rFonts w:ascii="Calibri" w:hAnsi="Calibri" w:cs="Calibri"/>
        </w:rPr>
        <w:t> </w:t>
      </w:r>
      <w:r w:rsidRPr="007F0831">
        <w:t>May</w:t>
      </w:r>
      <w:r>
        <w:rPr>
          <w:rFonts w:ascii="Calibri" w:hAnsi="Calibri" w:cs="Calibri"/>
        </w:rPr>
        <w:t> </w:t>
      </w:r>
      <w:r w:rsidRPr="007F0831">
        <w:t>2014).</w:t>
      </w:r>
    </w:p>
  </w:footnote>
  <w:footnote w:id="208">
    <w:p w14:paraId="0D193D1B" w14:textId="1EF83CC3" w:rsidR="003C0461" w:rsidRPr="00F1348D" w:rsidRDefault="003C0461" w:rsidP="005D36C6">
      <w:pPr>
        <w:pStyle w:val="FootnoteText"/>
      </w:pPr>
      <w:r w:rsidRPr="00145E5A">
        <w:t>(</w:t>
      </w:r>
      <w:r w:rsidRPr="00145E5A">
        <w:rPr>
          <w:rStyle w:val="fnRefNo"/>
        </w:rPr>
        <w:footnoteRef/>
      </w:r>
      <w:r w:rsidRPr="00145E5A">
        <w:t>)</w:t>
      </w:r>
      <w:r w:rsidRPr="007F0831">
        <w:tab/>
      </w:r>
      <w:r w:rsidRPr="00670960">
        <w:t>Directorate-General for Migration and Home Affairs</w:t>
      </w:r>
      <w:r>
        <w:t xml:space="preserve">, </w:t>
      </w:r>
      <w:r w:rsidRPr="0032611A">
        <w:rPr>
          <w:i/>
        </w:rPr>
        <w:t>Annual activity report</w:t>
      </w:r>
      <w:r>
        <w:t>,</w:t>
      </w:r>
      <w:r w:rsidRPr="00337106">
        <w:t xml:space="preserve"> 2018</w:t>
      </w:r>
      <w:r>
        <w:t>.</w:t>
      </w:r>
    </w:p>
  </w:footnote>
  <w:footnote w:id="209">
    <w:p w14:paraId="1C49EC68" w14:textId="5947719D" w:rsidR="003C0461" w:rsidRDefault="003C0461" w:rsidP="005D36C6">
      <w:pPr>
        <w:pStyle w:val="FootnoteText"/>
      </w:pPr>
      <w:r w:rsidRPr="00145E5A">
        <w:t>(</w:t>
      </w:r>
      <w:r w:rsidRPr="00145E5A">
        <w:rPr>
          <w:rStyle w:val="fnRefNo"/>
        </w:rPr>
        <w:footnoteRef/>
      </w:r>
      <w:r w:rsidRPr="00145E5A">
        <w:t>)</w:t>
      </w:r>
      <w:r w:rsidRPr="0032611A">
        <w:tab/>
      </w:r>
      <w:hyperlink r:id="rId86" w:history="1">
        <w:r w:rsidRPr="00D1082E">
          <w:rPr>
            <w:rStyle w:val="Hyperlink"/>
          </w:rPr>
          <w:t>https://ec.europa.eu/home-affairs/what-we-do/policies/borders-and-visas/border-crossing/eurosur_en</w:t>
        </w:r>
      </w:hyperlink>
    </w:p>
  </w:footnote>
  <w:footnote w:id="210">
    <w:p w14:paraId="4DEE096B" w14:textId="650699E6" w:rsidR="003C0461" w:rsidRPr="00F1348D" w:rsidRDefault="003C0461" w:rsidP="005D36C6">
      <w:pPr>
        <w:pStyle w:val="FootnoteText"/>
      </w:pPr>
      <w:r w:rsidRPr="00145E5A">
        <w:t>(</w:t>
      </w:r>
      <w:r w:rsidRPr="00145E5A">
        <w:rPr>
          <w:rStyle w:val="fnRefNo"/>
        </w:rPr>
        <w:footnoteRef/>
      </w:r>
      <w:r w:rsidRPr="00145E5A">
        <w:t>)</w:t>
      </w:r>
      <w:r w:rsidRPr="00E66A9F">
        <w:tab/>
      </w:r>
      <w:r w:rsidRPr="007F0831">
        <w:t>Examples in this box are selected from the</w:t>
      </w:r>
      <w:r>
        <w:t xml:space="preserve"> Directorate-General for Migration and Home Affairs </w:t>
      </w:r>
      <w:r w:rsidRPr="0032611A">
        <w:rPr>
          <w:i/>
        </w:rPr>
        <w:t>Annual activity report 2018</w:t>
      </w:r>
      <w:r>
        <w:t>.</w:t>
      </w:r>
    </w:p>
  </w:footnote>
  <w:footnote w:id="211">
    <w:p w14:paraId="4118D250" w14:textId="77777777" w:rsidR="003C0461" w:rsidRPr="003268AB" w:rsidRDefault="003C0461" w:rsidP="007862BE">
      <w:pPr>
        <w:pStyle w:val="FootnoteText"/>
      </w:pPr>
      <w:r w:rsidRPr="00145E5A">
        <w:t>(</w:t>
      </w:r>
      <w:r w:rsidRPr="00145E5A">
        <w:rPr>
          <w:rStyle w:val="fnRefNo"/>
        </w:rPr>
        <w:footnoteRef/>
      </w:r>
      <w:r w:rsidRPr="00145E5A">
        <w:t>)</w:t>
      </w:r>
      <w:r w:rsidRPr="008C4F9C">
        <w:tab/>
      </w:r>
      <w:r w:rsidRPr="003268AB">
        <w:t>Regulation (EU) 2018/1240 of the European Parliament and of the Council of 12</w:t>
      </w:r>
      <w:r w:rsidRPr="003268AB">
        <w:rPr>
          <w:rFonts w:ascii="Calibri" w:hAnsi="Calibri" w:cs="Calibri"/>
        </w:rPr>
        <w:t> </w:t>
      </w:r>
      <w:r w:rsidRPr="003268AB">
        <w:t>September</w:t>
      </w:r>
      <w:r w:rsidRPr="003268AB">
        <w:rPr>
          <w:rFonts w:ascii="Calibri" w:hAnsi="Calibri" w:cs="Calibri"/>
        </w:rPr>
        <w:t> </w:t>
      </w:r>
      <w:r w:rsidRPr="003268AB">
        <w:t>2018 establishing a European Travel Information and Authorisation System (ETIAS) and amending Regulations (EU) No 1077/2011, (EU) No 515/2014, (EU) 2016/399, (EU) 2016/1624 and (EU) 2017/2226 and 2018/1241, OJ L 236; and Regulation (EU) 2018/1241 of the European Parliament and of the Council of 12</w:t>
      </w:r>
      <w:r w:rsidRPr="003268AB">
        <w:rPr>
          <w:rFonts w:ascii="Calibri" w:hAnsi="Calibri" w:cs="Calibri"/>
        </w:rPr>
        <w:t> </w:t>
      </w:r>
      <w:r w:rsidRPr="003268AB">
        <w:t>September</w:t>
      </w:r>
      <w:r w:rsidRPr="003268AB">
        <w:rPr>
          <w:rFonts w:ascii="Calibri" w:hAnsi="Calibri" w:cs="Calibri"/>
        </w:rPr>
        <w:t> </w:t>
      </w:r>
      <w:r w:rsidRPr="003268AB">
        <w:t>2018 amending Regulation (EU) 2016/794 for the purpose of establishing a European Travel Information and Authorisation System (ETIAS).</w:t>
      </w:r>
    </w:p>
  </w:footnote>
  <w:footnote w:id="212">
    <w:p w14:paraId="36A8082E" w14:textId="77777777" w:rsidR="003C0461" w:rsidRPr="00E66A9F" w:rsidRDefault="003C0461" w:rsidP="005D36C6">
      <w:pPr>
        <w:pStyle w:val="FootnoteText"/>
        <w:rPr>
          <w:rStyle w:val="FootnoteReference"/>
          <w:rFonts w:eastAsiaTheme="minorHAnsi"/>
          <w:noProof w:val="0"/>
          <w:sz w:val="18"/>
          <w:szCs w:val="18"/>
          <w:lang w:val="pt-PT" w:eastAsia="en-US"/>
        </w:rPr>
      </w:pPr>
      <w:r w:rsidRPr="0005798F">
        <w:rPr>
          <w:lang w:val="pt-PT"/>
        </w:rPr>
        <w:t>(</w:t>
      </w:r>
      <w:r w:rsidRPr="00145E5A">
        <w:rPr>
          <w:rStyle w:val="fnRefNo"/>
        </w:rPr>
        <w:footnoteRef/>
      </w:r>
      <w:r w:rsidRPr="0005798F">
        <w:rPr>
          <w:lang w:val="pt-PT"/>
        </w:rPr>
        <w:t>)</w:t>
      </w:r>
      <w:r w:rsidRPr="00160433">
        <w:rPr>
          <w:lang w:val="pt-PT"/>
        </w:rPr>
        <w:tab/>
      </w:r>
      <w:r w:rsidRPr="00E66A9F">
        <w:rPr>
          <w:lang w:val="pt-PT"/>
        </w:rPr>
        <w:t xml:space="preserve">COM (2018) 464, </w:t>
      </w:r>
      <w:hyperlink r:id="rId87" w:history="1">
        <w:r w:rsidRPr="00891D4D">
          <w:rPr>
            <w:rStyle w:val="Hyperlink"/>
            <w:lang w:val="pt-PT"/>
          </w:rPr>
          <w:t>https://ec.europa.eu/</w:t>
        </w:r>
        <w:r w:rsidRPr="00160433">
          <w:rPr>
            <w:rStyle w:val="Hyperlink"/>
            <w:lang w:val="pt-PT"/>
          </w:rPr>
          <w:t>home</w:t>
        </w:r>
        <w:r w:rsidRPr="00891D4D">
          <w:rPr>
            <w:rStyle w:val="Hyperlink"/>
            <w:lang w:val="pt-PT"/>
          </w:rPr>
          <w:t>-affairs/sites/homeaffairs/files/what-we-do/policies/european-agenda-migration/20180612_com-2018-464-report_en.pdf</w:t>
        </w:r>
      </w:hyperlink>
    </w:p>
  </w:footnote>
  <w:footnote w:id="213">
    <w:p w14:paraId="674E9697" w14:textId="494AF109" w:rsidR="003C0461" w:rsidRPr="00337106" w:rsidRDefault="003C0461" w:rsidP="005D36C6">
      <w:pPr>
        <w:pStyle w:val="FootnoteText"/>
        <w:rPr>
          <w:sz w:val="18"/>
          <w:szCs w:val="18"/>
        </w:rPr>
      </w:pPr>
      <w:r w:rsidRPr="00145E5A">
        <w:t>(</w:t>
      </w:r>
      <w:r w:rsidRPr="00145E5A">
        <w:rPr>
          <w:rStyle w:val="fnRefNo"/>
        </w:rPr>
        <w:footnoteRef/>
      </w:r>
      <w:r w:rsidRPr="00145E5A">
        <w:t>)</w:t>
      </w:r>
      <w:r w:rsidRPr="008C4F9C">
        <w:tab/>
      </w:r>
      <w:r w:rsidRPr="007F0831">
        <w:t>During the mid</w:t>
      </w:r>
      <w:r>
        <w:t>term</w:t>
      </w:r>
      <w:r w:rsidRPr="007F0831">
        <w:t xml:space="preserve"> review dialogues with the Member States, the Commission reassess their funding priorities and the corresponding allocations. An additional amount equal to EUR</w:t>
      </w:r>
      <w:r>
        <w:rPr>
          <w:rFonts w:ascii="Calibri" w:hAnsi="Calibri" w:cs="Calibri"/>
        </w:rPr>
        <w:t> </w:t>
      </w:r>
      <w:r w:rsidRPr="007F0831">
        <w:t>158.6</w:t>
      </w:r>
      <w:r>
        <w:rPr>
          <w:rFonts w:ascii="Calibri" w:hAnsi="Calibri" w:cs="Calibri"/>
        </w:rPr>
        <w:t> </w:t>
      </w:r>
      <w:r w:rsidRPr="007F0831">
        <w:t>million was added to the revised national programmes, under the Internal Security Fund</w:t>
      </w:r>
      <w:r>
        <w:t xml:space="preserve"> — </w:t>
      </w:r>
      <w:r w:rsidRPr="007F0831">
        <w:t>borders and visa, programme statement 2018.</w:t>
      </w:r>
    </w:p>
  </w:footnote>
  <w:footnote w:id="214">
    <w:p w14:paraId="4CF3FC71" w14:textId="77777777" w:rsidR="003C0461" w:rsidRPr="00160433"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t xml:space="preserve">COM(2018) 472, </w:t>
      </w:r>
      <w:hyperlink r:id="rId88" w:history="1">
        <w:r w:rsidRPr="00160433">
          <w:rPr>
            <w:rStyle w:val="Hyperlink"/>
            <w:lang w:val="pt-PT"/>
          </w:rPr>
          <w:t>https://eur-lex.europa.eu/legal-content/EN/TXT/?qid=1540391576418&amp;uri=CELEX%3A52018PC0472</w:t>
        </w:r>
      </w:hyperlink>
      <w:r w:rsidRPr="00160433">
        <w:rPr>
          <w:lang w:val="pt-PT"/>
        </w:rPr>
        <w:t xml:space="preserve"> </w:t>
      </w:r>
    </w:p>
  </w:footnote>
  <w:footnote w:id="215">
    <w:p w14:paraId="47284FDF" w14:textId="77777777" w:rsidR="003C0461" w:rsidRPr="00160433"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t xml:space="preserve">COM(2018) 473, </w:t>
      </w:r>
      <w:hyperlink r:id="rId89" w:history="1">
        <w:r w:rsidRPr="00160433">
          <w:rPr>
            <w:rStyle w:val="Hyperlink"/>
            <w:lang w:val="pt-PT"/>
          </w:rPr>
          <w:t>https://eur-lex.europa.eu/legal-content/EN/TXT/?qid=1540390917212&amp;uri=CELEX%3A52018PC0473</w:t>
        </w:r>
      </w:hyperlink>
    </w:p>
  </w:footnote>
  <w:footnote w:id="216">
    <w:p w14:paraId="708CE92A" w14:textId="77777777" w:rsidR="003C0461" w:rsidRPr="008C4F9C" w:rsidRDefault="003C0461" w:rsidP="005D36C6">
      <w:pPr>
        <w:pStyle w:val="FootnoteText"/>
      </w:pPr>
      <w:r w:rsidRPr="00145E5A">
        <w:t>(</w:t>
      </w:r>
      <w:r w:rsidRPr="00145E5A">
        <w:rPr>
          <w:rStyle w:val="fnRefNo"/>
        </w:rPr>
        <w:footnoteRef/>
      </w:r>
      <w:r w:rsidRPr="00145E5A">
        <w:t>)</w:t>
      </w:r>
      <w:r w:rsidRPr="008C4F9C">
        <w:tab/>
      </w:r>
      <w:r w:rsidRPr="0032611A">
        <w:rPr>
          <w:i/>
        </w:rPr>
        <w:t>Programme statement 2018</w:t>
      </w:r>
      <w:r>
        <w:t>.</w:t>
      </w:r>
    </w:p>
  </w:footnote>
  <w:footnote w:id="217">
    <w:p w14:paraId="68D9D136" w14:textId="614DDC73" w:rsidR="003C0461" w:rsidRPr="008C4F9C" w:rsidRDefault="003C0461" w:rsidP="005D36C6">
      <w:pPr>
        <w:pStyle w:val="FootnoteText"/>
      </w:pPr>
      <w:r w:rsidRPr="00145E5A">
        <w:t>(</w:t>
      </w:r>
      <w:r w:rsidRPr="00145E5A">
        <w:rPr>
          <w:rStyle w:val="fnRefNo"/>
        </w:rPr>
        <w:footnoteRef/>
      </w:r>
      <w:r w:rsidRPr="00145E5A">
        <w:t>)</w:t>
      </w:r>
      <w:r>
        <w:tab/>
      </w:r>
      <w:r w:rsidRPr="00A04E56">
        <w:t>D</w:t>
      </w:r>
      <w:r>
        <w:t>irectorate-</w:t>
      </w:r>
      <w:r w:rsidRPr="00A04E56">
        <w:t>G</w:t>
      </w:r>
      <w:r>
        <w:t xml:space="preserve">eneral Health and Food Safety, </w:t>
      </w:r>
      <w:r w:rsidRPr="0032611A">
        <w:rPr>
          <w:i/>
        </w:rPr>
        <w:t>Annual activity report 2018</w:t>
      </w:r>
      <w:r>
        <w:t>.</w:t>
      </w:r>
    </w:p>
  </w:footnote>
  <w:footnote w:id="218">
    <w:p w14:paraId="073C069F" w14:textId="77777777" w:rsidR="003C0461" w:rsidRPr="008C4F9C" w:rsidRDefault="003C0461" w:rsidP="005D36C6">
      <w:pPr>
        <w:pStyle w:val="FootnoteText"/>
      </w:pPr>
      <w:r w:rsidRPr="00145E5A">
        <w:t>(</w:t>
      </w:r>
      <w:r w:rsidRPr="00145E5A">
        <w:rPr>
          <w:rStyle w:val="fnRefNo"/>
        </w:rPr>
        <w:footnoteRef/>
      </w:r>
      <w:r w:rsidRPr="00145E5A">
        <w:t>)</w:t>
      </w:r>
      <w:r w:rsidRPr="008C4F9C">
        <w:tab/>
      </w:r>
      <w:r w:rsidRPr="0032611A">
        <w:rPr>
          <w:i/>
        </w:rPr>
        <w:t>Programme statement 2018</w:t>
      </w:r>
      <w:r>
        <w:t>.</w:t>
      </w:r>
    </w:p>
  </w:footnote>
  <w:footnote w:id="219">
    <w:p w14:paraId="24D6BADC" w14:textId="17014D7A" w:rsidR="003C0461" w:rsidRPr="008C4F9C" w:rsidRDefault="003C0461" w:rsidP="005D36C6">
      <w:pPr>
        <w:pStyle w:val="FootnoteText"/>
      </w:pPr>
      <w:r w:rsidRPr="00145E5A">
        <w:t>(</w:t>
      </w:r>
      <w:r w:rsidRPr="00145E5A">
        <w:rPr>
          <w:rStyle w:val="fnRefNo"/>
        </w:rPr>
        <w:footnoteRef/>
      </w:r>
      <w:r w:rsidRPr="00145E5A">
        <w:t>)</w:t>
      </w:r>
      <w:r w:rsidRPr="008C4F9C">
        <w:tab/>
      </w:r>
      <w:r w:rsidRPr="00A04E56">
        <w:t>D</w:t>
      </w:r>
      <w:r>
        <w:t>irectorate-</w:t>
      </w:r>
      <w:r w:rsidRPr="00A04E56">
        <w:t>G</w:t>
      </w:r>
      <w:r>
        <w:t xml:space="preserve">eneral Health and Food Safety, </w:t>
      </w:r>
      <w:r w:rsidRPr="0032611A">
        <w:rPr>
          <w:i/>
        </w:rPr>
        <w:t>Annual activity report 2018</w:t>
      </w:r>
      <w:r>
        <w:t>.</w:t>
      </w:r>
    </w:p>
  </w:footnote>
  <w:footnote w:id="220">
    <w:p w14:paraId="5CCB4D22" w14:textId="77777777" w:rsidR="003C0461" w:rsidRPr="007F0831" w:rsidRDefault="003C0461" w:rsidP="005D36C6">
      <w:pPr>
        <w:pStyle w:val="FootnoteText"/>
      </w:pPr>
      <w:r w:rsidRPr="00145E5A">
        <w:t>(</w:t>
      </w:r>
      <w:r w:rsidRPr="00145E5A">
        <w:rPr>
          <w:rStyle w:val="fnRefNo"/>
        </w:rPr>
        <w:footnoteRef/>
      </w:r>
      <w:r w:rsidRPr="00145E5A">
        <w:t>)</w:t>
      </w:r>
      <w:r w:rsidRPr="008C4F9C">
        <w:tab/>
      </w:r>
      <w:r w:rsidRPr="007F0831">
        <w:t>COM(2018) 382 final</w:t>
      </w:r>
      <w:r>
        <w:t>.</w:t>
      </w:r>
    </w:p>
  </w:footnote>
  <w:footnote w:id="221">
    <w:p w14:paraId="7E5AE891" w14:textId="565C71E2" w:rsidR="003C0461" w:rsidRPr="006202E6" w:rsidRDefault="003C0461" w:rsidP="005D36C6">
      <w:pPr>
        <w:pStyle w:val="FootnoteText"/>
      </w:pPr>
      <w:r w:rsidRPr="00145E5A">
        <w:t>(</w:t>
      </w:r>
      <w:r w:rsidRPr="00145E5A">
        <w:rPr>
          <w:rStyle w:val="fnRefNo"/>
        </w:rPr>
        <w:footnoteRef/>
      </w:r>
      <w:r w:rsidRPr="00145E5A">
        <w:t>)</w:t>
      </w:r>
      <w:r w:rsidRPr="008C4F9C">
        <w:tab/>
      </w:r>
      <w:r w:rsidRPr="0032611A">
        <w:rPr>
          <w:i/>
        </w:rPr>
        <w:t>Programme statement 2018</w:t>
      </w:r>
      <w:r>
        <w:t>. Amount of EUR 282.2 million includes EUR 4.5 million for European Chemicals Agency.</w:t>
      </w:r>
    </w:p>
  </w:footnote>
  <w:footnote w:id="222">
    <w:p w14:paraId="0098ED01" w14:textId="65BE2934" w:rsidR="003C0461" w:rsidRPr="008C4F9C" w:rsidRDefault="003C0461" w:rsidP="005D36C6">
      <w:pPr>
        <w:pStyle w:val="FootnoteText"/>
      </w:pPr>
      <w:r w:rsidRPr="00145E5A">
        <w:t>(</w:t>
      </w:r>
      <w:r w:rsidRPr="00145E5A">
        <w:rPr>
          <w:rStyle w:val="fnRefNo"/>
        </w:rPr>
        <w:footnoteRef/>
      </w:r>
      <w:r w:rsidRPr="00145E5A">
        <w:t>)</w:t>
      </w:r>
      <w:r w:rsidRPr="008C4F9C">
        <w:tab/>
      </w:r>
      <w:r w:rsidRPr="00A04E56">
        <w:t>D</w:t>
      </w:r>
      <w:r>
        <w:t>irectorate-</w:t>
      </w:r>
      <w:r w:rsidRPr="00A04E56">
        <w:t>G</w:t>
      </w:r>
      <w:r>
        <w:t xml:space="preserve">eneral Health and Food Safety, </w:t>
      </w:r>
      <w:r w:rsidRPr="0032611A">
        <w:rPr>
          <w:i/>
        </w:rPr>
        <w:t>Annual activity report 2018</w:t>
      </w:r>
      <w:r>
        <w:t>.</w:t>
      </w:r>
      <w:r w:rsidRPr="006202E6">
        <w:t xml:space="preserve"> </w:t>
      </w:r>
    </w:p>
  </w:footnote>
  <w:footnote w:id="223">
    <w:p w14:paraId="05C8E941" w14:textId="5B0DAFFF" w:rsidR="003C0461" w:rsidRPr="008C4F9C" w:rsidRDefault="003C0461" w:rsidP="005D36C6">
      <w:pPr>
        <w:pStyle w:val="FootnoteText"/>
      </w:pPr>
      <w:r w:rsidRPr="00145E5A">
        <w:t>(</w:t>
      </w:r>
      <w:r w:rsidRPr="00145E5A">
        <w:rPr>
          <w:rStyle w:val="fnRefNo"/>
        </w:rPr>
        <w:footnoteRef/>
      </w:r>
      <w:r w:rsidRPr="00145E5A">
        <w:t>)</w:t>
      </w:r>
      <w:r w:rsidRPr="008C4F9C">
        <w:tab/>
      </w:r>
      <w:r w:rsidRPr="0032611A">
        <w:rPr>
          <w:i/>
        </w:rPr>
        <w:t>Programme statement 2018</w:t>
      </w:r>
      <w:r>
        <w:t>.</w:t>
      </w:r>
    </w:p>
  </w:footnote>
  <w:footnote w:id="224">
    <w:p w14:paraId="76C7EAF9" w14:textId="79543D8F" w:rsidR="003C0461" w:rsidRPr="00AE5EB7" w:rsidRDefault="003C0461">
      <w:pPr>
        <w:pStyle w:val="FootnoteText"/>
      </w:pPr>
      <w:r>
        <w:t>(</w:t>
      </w:r>
      <w:r>
        <w:rPr>
          <w:rStyle w:val="FootnoteReference"/>
        </w:rPr>
        <w:footnoteRef/>
      </w:r>
      <w:r>
        <w:t xml:space="preserve">) </w:t>
      </w:r>
      <w:r>
        <w:tab/>
        <w:t>Includes surveys and emergency measures</w:t>
      </w:r>
    </w:p>
  </w:footnote>
  <w:footnote w:id="225">
    <w:p w14:paraId="07A90456" w14:textId="466F7A2A" w:rsidR="003C0461" w:rsidRPr="007F0831" w:rsidRDefault="003C0461" w:rsidP="005D36C6">
      <w:pPr>
        <w:pStyle w:val="FootnoteText"/>
      </w:pPr>
      <w:r w:rsidRPr="00145E5A">
        <w:t>(</w:t>
      </w:r>
      <w:r w:rsidRPr="00145E5A">
        <w:rPr>
          <w:rStyle w:val="fnRefNo"/>
        </w:rPr>
        <w:footnoteRef/>
      </w:r>
      <w:r w:rsidRPr="00145E5A">
        <w:t>)</w:t>
      </w:r>
      <w:r w:rsidRPr="008C4F9C">
        <w:tab/>
      </w:r>
      <w:r w:rsidRPr="00A04E56">
        <w:t>D</w:t>
      </w:r>
      <w:r>
        <w:t>irectorate-</w:t>
      </w:r>
      <w:r w:rsidRPr="00A04E56">
        <w:t>G</w:t>
      </w:r>
      <w:r>
        <w:t xml:space="preserve">eneral Health and Food Safety, </w:t>
      </w:r>
      <w:r w:rsidRPr="0032611A">
        <w:rPr>
          <w:i/>
        </w:rPr>
        <w:t>Annual activity report 2018</w:t>
      </w:r>
      <w:r>
        <w:t>. Amount of EUR 74.6 million includes two years of financing of EU reference laboratories.</w:t>
      </w:r>
    </w:p>
  </w:footnote>
  <w:footnote w:id="226">
    <w:p w14:paraId="7A180C2C" w14:textId="77777777" w:rsidR="003C0461" w:rsidRPr="008C4F9C" w:rsidRDefault="003C0461" w:rsidP="005D36C6">
      <w:pPr>
        <w:pStyle w:val="FootnoteText"/>
      </w:pPr>
      <w:r w:rsidRPr="00145E5A">
        <w:t>(</w:t>
      </w:r>
      <w:r w:rsidRPr="00145E5A">
        <w:rPr>
          <w:rStyle w:val="fnRefNo"/>
        </w:rPr>
        <w:footnoteRef/>
      </w:r>
      <w:r w:rsidRPr="00145E5A">
        <w:t>)</w:t>
      </w:r>
      <w:r w:rsidRPr="008C4F9C">
        <w:tab/>
      </w:r>
      <w:hyperlink r:id="rId90" w:history="1">
        <w:r w:rsidRPr="007F0831">
          <w:rPr>
            <w:rStyle w:val="Hyperlink"/>
          </w:rPr>
          <w:t>https://ec.europa.eu/food/plant/plant_health_biosecurity/legislation/emergency_measures/xylella-fastidiosa_en</w:t>
        </w:r>
      </w:hyperlink>
    </w:p>
  </w:footnote>
  <w:footnote w:id="227">
    <w:p w14:paraId="0797E603" w14:textId="77777777" w:rsidR="003C0461" w:rsidRPr="00160433"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t>COM(2018) 441 (</w:t>
      </w:r>
      <w:hyperlink r:id="rId91" w:history="1">
        <w:r w:rsidRPr="00160433">
          <w:rPr>
            <w:rStyle w:val="Hyperlink"/>
            <w:lang w:val="pt-PT"/>
          </w:rPr>
          <w:t>https://eur-lex.europa.eu/legal-content/EN/TXT/?uri=CELEX%3A52018PC0441</w:t>
        </w:r>
      </w:hyperlink>
      <w:r w:rsidRPr="00160433">
        <w:rPr>
          <w:lang w:val="pt-PT"/>
        </w:rPr>
        <w:t>).</w:t>
      </w:r>
    </w:p>
  </w:footnote>
  <w:footnote w:id="228">
    <w:p w14:paraId="695FA7AD" w14:textId="77777777" w:rsidR="003C0461" w:rsidRPr="00160433" w:rsidRDefault="003C0461" w:rsidP="005D36C6">
      <w:pPr>
        <w:pStyle w:val="FootnoteText"/>
        <w:ind w:left="425" w:hanging="425"/>
        <w:rPr>
          <w:lang w:val="pt-PT"/>
        </w:rPr>
      </w:pPr>
      <w:r w:rsidRPr="0005798F">
        <w:rPr>
          <w:lang w:val="pt-PT"/>
        </w:rPr>
        <w:t>(</w:t>
      </w:r>
      <w:r w:rsidRPr="00145E5A">
        <w:rPr>
          <w:rStyle w:val="fnRefNo"/>
        </w:rPr>
        <w:footnoteRef/>
      </w:r>
      <w:r w:rsidRPr="0005798F">
        <w:rPr>
          <w:lang w:val="pt-PT"/>
        </w:rPr>
        <w:t>)</w:t>
      </w:r>
      <w:r w:rsidRPr="00160433">
        <w:rPr>
          <w:lang w:val="pt-PT"/>
        </w:rPr>
        <w:tab/>
      </w:r>
      <w:hyperlink r:id="rId92" w:history="1">
        <w:r w:rsidRPr="00160433">
          <w:rPr>
            <w:rStyle w:val="Hyperlink"/>
            <w:lang w:val="pt-PT"/>
          </w:rPr>
          <w:t>https://ec.europa.eu/transparency/regdoc/rep/1/2017/EN/COM-2017-546-F1-EN-MAIN-PART-1.PDF</w:t>
        </w:r>
      </w:hyperlink>
    </w:p>
  </w:footnote>
  <w:footnote w:id="229">
    <w:p w14:paraId="15B08698" w14:textId="77777777" w:rsidR="003C0461" w:rsidRPr="00160433" w:rsidRDefault="003C0461" w:rsidP="005D36C6">
      <w:pPr>
        <w:pStyle w:val="FootnoteText"/>
        <w:rPr>
          <w:lang w:val="pt-PT"/>
        </w:rPr>
      </w:pPr>
      <w:r w:rsidRPr="001824A4">
        <w:rPr>
          <w:lang w:val="pt-PT"/>
        </w:rPr>
        <w:t>(</w:t>
      </w:r>
      <w:r w:rsidRPr="00145E5A">
        <w:rPr>
          <w:rStyle w:val="fnRefNo"/>
        </w:rPr>
        <w:footnoteRef/>
      </w:r>
      <w:r w:rsidRPr="001824A4">
        <w:rPr>
          <w:lang w:val="pt-PT"/>
        </w:rPr>
        <w:t>)</w:t>
      </w:r>
      <w:r w:rsidRPr="00160433">
        <w:rPr>
          <w:lang w:val="pt-PT"/>
        </w:rPr>
        <w:tab/>
      </w:r>
      <w:hyperlink r:id="rId93" w:history="1">
        <w:r w:rsidRPr="00160433">
          <w:rPr>
            <w:rStyle w:val="Hyperlink"/>
            <w:lang w:val="pt-PT"/>
          </w:rPr>
          <w:t>https://eur-lex.europa.eu/legal-content/EN/TXT/?uri=CELEX:32014R0254</w:t>
        </w:r>
      </w:hyperlink>
    </w:p>
  </w:footnote>
  <w:footnote w:id="230">
    <w:p w14:paraId="30283A87" w14:textId="77777777" w:rsidR="003C0461" w:rsidRPr="007F0831" w:rsidRDefault="003C0461" w:rsidP="005D36C6">
      <w:pPr>
        <w:pStyle w:val="FootnoteText"/>
        <w:ind w:left="425" w:hanging="425"/>
      </w:pPr>
      <w:r w:rsidRPr="00145E5A">
        <w:t>(</w:t>
      </w:r>
      <w:r w:rsidRPr="00145E5A">
        <w:rPr>
          <w:rStyle w:val="fnRefNo"/>
        </w:rPr>
        <w:footnoteRef/>
      </w:r>
      <w:r w:rsidRPr="00145E5A">
        <w:t>)</w:t>
      </w:r>
      <w:r w:rsidRPr="008C4F9C">
        <w:tab/>
      </w:r>
      <w:r w:rsidRPr="007F0831">
        <w:t>The mid</w:t>
      </w:r>
      <w:r>
        <w:t>term</w:t>
      </w:r>
      <w:r w:rsidRPr="007F0831">
        <w:t xml:space="preserve"> evaluation is finalised but the report is not yet adopted and published.</w:t>
      </w:r>
    </w:p>
  </w:footnote>
  <w:footnote w:id="231">
    <w:p w14:paraId="125A278F" w14:textId="77777777" w:rsidR="003C0461" w:rsidRPr="007F0831" w:rsidRDefault="003C0461" w:rsidP="005D36C6">
      <w:pPr>
        <w:pStyle w:val="FootnoteText"/>
      </w:pPr>
      <w:r w:rsidRPr="00145E5A">
        <w:t>(</w:t>
      </w:r>
      <w:r w:rsidRPr="00145E5A">
        <w:rPr>
          <w:rStyle w:val="fnRefNo"/>
        </w:rPr>
        <w:footnoteRef/>
      </w:r>
      <w:r w:rsidRPr="00145E5A">
        <w:t>)</w:t>
      </w:r>
      <w:r w:rsidRPr="008C4F9C">
        <w:tab/>
      </w:r>
      <w:hyperlink r:id="rId94" w:history="1">
        <w:r w:rsidRPr="007F0831">
          <w:rPr>
            <w:rStyle w:val="Hyperlink"/>
          </w:rPr>
          <w:t>http://europa.eu/rapid/press-release_IP-18-3041_en.htm</w:t>
        </w:r>
      </w:hyperlink>
      <w:r w:rsidRPr="008C4F9C">
        <w:t xml:space="preserve"> </w:t>
      </w:r>
    </w:p>
  </w:footnote>
  <w:footnote w:id="232">
    <w:p w14:paraId="27AC5C9C" w14:textId="77777777" w:rsidR="003C0461" w:rsidRPr="008C4F9C" w:rsidRDefault="003C0461" w:rsidP="005D36C6">
      <w:pPr>
        <w:pStyle w:val="FootnoteText"/>
      </w:pPr>
      <w:r w:rsidRPr="00145E5A">
        <w:t>(</w:t>
      </w:r>
      <w:r w:rsidRPr="00145E5A">
        <w:rPr>
          <w:rStyle w:val="fnRefNo"/>
        </w:rPr>
        <w:footnoteRef/>
      </w:r>
      <w:r w:rsidRPr="00145E5A">
        <w:t>)</w:t>
      </w:r>
      <w:r w:rsidRPr="008C4F9C">
        <w:tab/>
      </w:r>
      <w:hyperlink r:id="rId95" w:history="1">
        <w:r w:rsidRPr="007F0831">
          <w:rPr>
            <w:rStyle w:val="Hyperlink"/>
          </w:rPr>
          <w:t>https://ec.europa.eu/culture/sites/culture/files/commission_communication_-_a_new_european_agenda_for_culture_2018.pdf</w:t>
        </w:r>
      </w:hyperlink>
    </w:p>
  </w:footnote>
  <w:footnote w:id="233">
    <w:p w14:paraId="1A69A756" w14:textId="77777777" w:rsidR="003C0461" w:rsidRPr="00160433" w:rsidRDefault="003C0461" w:rsidP="005D36C6">
      <w:pPr>
        <w:pStyle w:val="FootnoteText"/>
      </w:pPr>
      <w:r w:rsidRPr="00145E5A">
        <w:t>(</w:t>
      </w:r>
      <w:r w:rsidRPr="00145E5A">
        <w:rPr>
          <w:rStyle w:val="fnRefNo"/>
        </w:rPr>
        <w:footnoteRef/>
      </w:r>
      <w:r w:rsidRPr="00145E5A">
        <w:t>)</w:t>
      </w:r>
      <w:r w:rsidRPr="00E66A9F">
        <w:tab/>
      </w:r>
      <w:r w:rsidRPr="00160433">
        <w:rPr>
          <w:rStyle w:val="Hyperlink"/>
        </w:rPr>
        <w:t>This designation is without prejudice to positions on status, and is in line with UNSCR 1244/1999 and the ICJ Opinion on the Kosovo declaration of independence.</w:t>
      </w:r>
    </w:p>
  </w:footnote>
  <w:footnote w:id="234">
    <w:p w14:paraId="62455FD6" w14:textId="3725BFA6" w:rsidR="003C0461" w:rsidRPr="007F0831" w:rsidRDefault="003C0461" w:rsidP="005D36C6">
      <w:pPr>
        <w:pStyle w:val="FootnoteText"/>
      </w:pPr>
      <w:r w:rsidRPr="00145E5A">
        <w:t>(</w:t>
      </w:r>
      <w:r w:rsidRPr="00145E5A">
        <w:rPr>
          <w:rStyle w:val="fnRefNo"/>
        </w:rPr>
        <w:footnoteRef/>
      </w:r>
      <w:r w:rsidRPr="00145E5A">
        <w:t>)</w:t>
      </w:r>
      <w:r w:rsidRPr="008C4F9C">
        <w:tab/>
      </w:r>
      <w:r w:rsidRPr="007F0831">
        <w:rPr>
          <w:rStyle w:val="Hyperlink"/>
        </w:rPr>
        <w:t xml:space="preserve">SWD(2018) 159 final </w:t>
      </w:r>
      <w:hyperlink r:id="rId96" w:history="1">
        <w:r w:rsidRPr="007F0831">
          <w:rPr>
            <w:rStyle w:val="Hyperlink"/>
          </w:rPr>
          <w:t>https://eur-lex.europa.eu/legal-content/EN/TXT/PDF/?uri=SWD:2018:159:FIN</w:t>
        </w:r>
      </w:hyperlink>
      <w:r w:rsidRPr="008C4F9C">
        <w:t xml:space="preserve"> (p. 39)</w:t>
      </w:r>
      <w:r>
        <w:t>.</w:t>
      </w:r>
    </w:p>
  </w:footnote>
  <w:footnote w:id="235">
    <w:p w14:paraId="028040A4" w14:textId="77777777" w:rsidR="003C0461" w:rsidRPr="00160433" w:rsidRDefault="003C0461" w:rsidP="002609B1">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t xml:space="preserve">COM(2018) 366 final </w:t>
      </w:r>
      <w:hyperlink r:id="rId97" w:history="1">
        <w:r w:rsidRPr="00160433">
          <w:rPr>
            <w:rStyle w:val="Hyperlink"/>
            <w:lang w:val="pt-PT"/>
          </w:rPr>
          <w:t>https://eur-lex.europa.eu/resource.html?uri=cellar:509e1bcb-63f0-11e8-ab9c-01aa75ed71a1.0003.02/DOC_1&amp;format=PDF</w:t>
        </w:r>
      </w:hyperlink>
    </w:p>
  </w:footnote>
  <w:footnote w:id="236">
    <w:p w14:paraId="6A944663" w14:textId="77777777" w:rsidR="003C0461" w:rsidRPr="00631027" w:rsidRDefault="003C0461" w:rsidP="005D36C6">
      <w:pPr>
        <w:pStyle w:val="FootnoteText"/>
        <w:rPr>
          <w:lang w:val="pt-PT"/>
        </w:rPr>
      </w:pPr>
      <w:r w:rsidRPr="001824A4">
        <w:rPr>
          <w:lang w:val="pt-PT"/>
        </w:rPr>
        <w:t>(</w:t>
      </w:r>
      <w:r w:rsidRPr="00145E5A">
        <w:rPr>
          <w:rStyle w:val="fnRefNo"/>
        </w:rPr>
        <w:footnoteRef/>
      </w:r>
      <w:r w:rsidRPr="001824A4">
        <w:rPr>
          <w:lang w:val="pt-PT"/>
        </w:rPr>
        <w:t>)</w:t>
      </w:r>
      <w:r w:rsidRPr="00160433">
        <w:rPr>
          <w:lang w:val="pt-PT"/>
        </w:rPr>
        <w:tab/>
      </w:r>
      <w:r w:rsidRPr="00631027">
        <w:rPr>
          <w:rStyle w:val="Hyperlink"/>
          <w:lang w:val="pt-PT"/>
        </w:rPr>
        <w:t>https://eur-lex.europa.eu/legal-content/EN/TXT/?uri=CELEX:32013R1381</w:t>
      </w:r>
    </w:p>
  </w:footnote>
  <w:footnote w:id="237">
    <w:p w14:paraId="555D35B4" w14:textId="20C76273" w:rsidR="003C0461" w:rsidRPr="00160433" w:rsidRDefault="003C0461" w:rsidP="005D36C6">
      <w:pPr>
        <w:pStyle w:val="FootnoteText"/>
        <w:rPr>
          <w:lang w:val="pt-PT"/>
        </w:rPr>
      </w:pPr>
      <w:r w:rsidRPr="001824A4">
        <w:rPr>
          <w:lang w:val="pt-PT"/>
        </w:rPr>
        <w:t>(</w:t>
      </w:r>
      <w:r w:rsidRPr="00145E5A">
        <w:rPr>
          <w:rStyle w:val="fnRefNo"/>
        </w:rPr>
        <w:footnoteRef/>
      </w:r>
      <w:r w:rsidRPr="001824A4">
        <w:rPr>
          <w:lang w:val="pt-PT"/>
        </w:rPr>
        <w:t>)</w:t>
      </w:r>
      <w:r w:rsidRPr="00160433">
        <w:rPr>
          <w:lang w:val="pt-PT"/>
        </w:rPr>
        <w:tab/>
      </w:r>
      <w:hyperlink r:id="rId98" w:history="1">
        <w:r w:rsidRPr="000A6829">
          <w:rPr>
            <w:rStyle w:val="Hyperlink"/>
            <w:lang w:val="pt-PT"/>
          </w:rPr>
          <w:t>https://ec.europa.eu/newsroom/just/item-detail.cfm?item_id=634080</w:t>
        </w:r>
      </w:hyperlink>
    </w:p>
  </w:footnote>
  <w:footnote w:id="238">
    <w:p w14:paraId="73E23040" w14:textId="77777777" w:rsidR="003C0461" w:rsidRPr="007F0831" w:rsidRDefault="003C0461" w:rsidP="005D36C6">
      <w:pPr>
        <w:pStyle w:val="FootnoteText"/>
        <w:rPr>
          <w:szCs w:val="16"/>
        </w:rPr>
      </w:pPr>
      <w:r w:rsidRPr="00145E5A">
        <w:t>(</w:t>
      </w:r>
      <w:r w:rsidRPr="00145E5A">
        <w:rPr>
          <w:rStyle w:val="fnRefNo"/>
        </w:rPr>
        <w:footnoteRef/>
      </w:r>
      <w:r w:rsidRPr="00145E5A">
        <w:t>)</w:t>
      </w:r>
      <w:r w:rsidRPr="008C4F9C">
        <w:tab/>
      </w:r>
      <w:r w:rsidRPr="007F0831">
        <w:rPr>
          <w:szCs w:val="16"/>
        </w:rPr>
        <w:t>General Data Protection Regulation (GDPR) entered into application in May 2018.</w:t>
      </w:r>
    </w:p>
  </w:footnote>
  <w:footnote w:id="239">
    <w:p w14:paraId="4761FCBD" w14:textId="77777777" w:rsidR="003C0461" w:rsidRPr="00337106" w:rsidRDefault="003C0461" w:rsidP="005D36C6">
      <w:pPr>
        <w:pStyle w:val="FootnoteText"/>
      </w:pPr>
      <w:r w:rsidRPr="00145E5A">
        <w:t>(</w:t>
      </w:r>
      <w:r w:rsidRPr="00145E5A">
        <w:rPr>
          <w:rStyle w:val="fnRefNo"/>
        </w:rPr>
        <w:footnoteRef/>
      </w:r>
      <w:r w:rsidRPr="00145E5A">
        <w:t>)</w:t>
      </w:r>
      <w:r w:rsidRPr="008C4F9C">
        <w:tab/>
      </w:r>
      <w:hyperlink r:id="rId99" w:history="1">
        <w:r w:rsidRPr="007F0831">
          <w:t>Report COM/2018/508</w:t>
        </w:r>
      </w:hyperlink>
      <w:r w:rsidRPr="008C4F9C">
        <w:t xml:space="preserve"> on the interim</w:t>
      </w:r>
      <w:r w:rsidRPr="007F0831">
        <w:t xml:space="preserve"> evaluation of the implementation of the Rights, Equality and Citizenship Programme 2014-2020</w:t>
      </w:r>
      <w:r>
        <w:t>.</w:t>
      </w:r>
    </w:p>
  </w:footnote>
  <w:footnote w:id="240">
    <w:p w14:paraId="1529B14F" w14:textId="77777777" w:rsidR="003C0461" w:rsidRPr="00160433"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t>COM(2018) 383.</w:t>
      </w:r>
    </w:p>
  </w:footnote>
  <w:footnote w:id="241">
    <w:p w14:paraId="7B83E495" w14:textId="196E8BE4" w:rsidR="003C0461" w:rsidRPr="007F7BF3"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r>
      <w:r w:rsidRPr="00E66A9F">
        <w:rPr>
          <w:lang w:val="pt-PT"/>
        </w:rPr>
        <w:t xml:space="preserve">COM(2018) 383, </w:t>
      </w:r>
      <w:hyperlink r:id="rId100" w:history="1">
        <w:r w:rsidRPr="000A6829">
          <w:rPr>
            <w:rStyle w:val="Hyperlink"/>
            <w:lang w:val="pt-PT"/>
          </w:rPr>
          <w:t>https://eur-lex.europa.eu/legal-content/EN/TXT/?uri=COM%3A2018%3A383%3AREV1</w:t>
        </w:r>
      </w:hyperlink>
      <w:r w:rsidRPr="00E66A9F">
        <w:rPr>
          <w:szCs w:val="16"/>
          <w:lang w:val="pt-PT"/>
        </w:rPr>
        <w:t xml:space="preserve"> </w:t>
      </w:r>
    </w:p>
  </w:footnote>
  <w:footnote w:id="242">
    <w:p w14:paraId="0DE533E0" w14:textId="77777777" w:rsidR="003C0461" w:rsidRPr="00E66A9F" w:rsidRDefault="003C0461" w:rsidP="005D36C6">
      <w:pPr>
        <w:pStyle w:val="FootnoteText"/>
        <w:rPr>
          <w:lang w:val="pt-PT"/>
        </w:rPr>
      </w:pPr>
      <w:r w:rsidRPr="001824A4">
        <w:rPr>
          <w:lang w:val="pt-PT"/>
        </w:rPr>
        <w:t>(</w:t>
      </w:r>
      <w:r w:rsidRPr="00145E5A">
        <w:rPr>
          <w:rStyle w:val="fnRefNo"/>
        </w:rPr>
        <w:footnoteRef/>
      </w:r>
      <w:r w:rsidRPr="001824A4">
        <w:rPr>
          <w:lang w:val="pt-PT"/>
        </w:rPr>
        <w:t>)</w:t>
      </w:r>
      <w:r w:rsidRPr="00E66A9F">
        <w:rPr>
          <w:lang w:val="pt-PT"/>
        </w:rPr>
        <w:tab/>
      </w:r>
      <w:r w:rsidRPr="007F7BF3">
        <w:rPr>
          <w:lang w:val="pt-PT"/>
        </w:rPr>
        <w:t>COM(2018) 384</w:t>
      </w:r>
      <w:r w:rsidRPr="00160433">
        <w:rPr>
          <w:lang w:val="pt-PT"/>
        </w:rPr>
        <w:t>.</w:t>
      </w:r>
    </w:p>
  </w:footnote>
  <w:footnote w:id="243">
    <w:p w14:paraId="2D03C2B6" w14:textId="0A4B98BB" w:rsidR="003C0461" w:rsidRPr="007F7BF3" w:rsidRDefault="003C0461" w:rsidP="005D36C6">
      <w:pPr>
        <w:pStyle w:val="FootnoteText"/>
        <w:rPr>
          <w:lang w:val="pt-PT"/>
        </w:rPr>
      </w:pPr>
      <w:r w:rsidRPr="001824A4">
        <w:rPr>
          <w:lang w:val="pt-PT"/>
        </w:rPr>
        <w:t>(</w:t>
      </w:r>
      <w:r w:rsidRPr="00145E5A">
        <w:rPr>
          <w:rStyle w:val="fnRefNo"/>
        </w:rPr>
        <w:footnoteRef/>
      </w:r>
      <w:r w:rsidRPr="001824A4">
        <w:rPr>
          <w:lang w:val="pt-PT"/>
        </w:rPr>
        <w:t>)</w:t>
      </w:r>
      <w:r w:rsidRPr="00E66A9F">
        <w:rPr>
          <w:lang w:val="pt-PT"/>
        </w:rPr>
        <w:tab/>
      </w:r>
      <w:hyperlink r:id="rId101" w:history="1">
        <w:r w:rsidRPr="006E5890">
          <w:rPr>
            <w:rStyle w:val="Hyperlink"/>
            <w:lang w:val="pt-PT"/>
          </w:rPr>
          <w:t>https://eur-lex.europa.eu/legal-content/EN/TXT/?uri=CELEX%3A32013R1382</w:t>
        </w:r>
      </w:hyperlink>
      <w:r w:rsidRPr="00E66A9F">
        <w:rPr>
          <w:szCs w:val="16"/>
          <w:lang w:val="pt-PT"/>
        </w:rPr>
        <w:t xml:space="preserve"> </w:t>
      </w:r>
    </w:p>
  </w:footnote>
  <w:footnote w:id="244">
    <w:p w14:paraId="04518BA6" w14:textId="77777777" w:rsidR="003C0461" w:rsidRPr="00E66A9F" w:rsidRDefault="003C0461" w:rsidP="005D36C6">
      <w:pPr>
        <w:pStyle w:val="FootnoteText"/>
        <w:rPr>
          <w:lang w:val="pt-PT"/>
        </w:rPr>
      </w:pPr>
      <w:r w:rsidRPr="001824A4">
        <w:rPr>
          <w:lang w:val="pt-PT"/>
        </w:rPr>
        <w:t>(</w:t>
      </w:r>
      <w:r w:rsidRPr="00145E5A">
        <w:rPr>
          <w:rStyle w:val="fnRefNo"/>
        </w:rPr>
        <w:footnoteRef/>
      </w:r>
      <w:r w:rsidRPr="001824A4">
        <w:rPr>
          <w:lang w:val="pt-PT"/>
        </w:rPr>
        <w:t>)</w:t>
      </w:r>
      <w:r w:rsidRPr="00E66A9F">
        <w:rPr>
          <w:lang w:val="pt-PT"/>
        </w:rPr>
        <w:tab/>
      </w:r>
      <w:hyperlink r:id="rId102" w:history="1">
        <w:r w:rsidRPr="00B7055E">
          <w:rPr>
            <w:rStyle w:val="Hyperlink"/>
            <w:lang w:val="pt-PT"/>
          </w:rPr>
          <w:t>https://eur-lex.europa.eu/legal-content/EN/TXT/?uri=CELEX%3A12012P%2FTXT</w:t>
        </w:r>
      </w:hyperlink>
    </w:p>
  </w:footnote>
  <w:footnote w:id="245">
    <w:p w14:paraId="02872199" w14:textId="77777777" w:rsidR="003C0461" w:rsidRPr="00EB773C" w:rsidRDefault="003C0461" w:rsidP="00FA29F9">
      <w:pPr>
        <w:pStyle w:val="FootnoteText"/>
        <w:rPr>
          <w:lang w:val="pt-PT"/>
        </w:rPr>
      </w:pPr>
      <w:r w:rsidRPr="001824A4">
        <w:rPr>
          <w:lang w:val="pt-PT"/>
        </w:rPr>
        <w:t>(</w:t>
      </w:r>
      <w:r w:rsidRPr="00145E5A">
        <w:rPr>
          <w:rStyle w:val="fnRefNo"/>
        </w:rPr>
        <w:footnoteRef/>
      </w:r>
      <w:r w:rsidRPr="001824A4">
        <w:rPr>
          <w:lang w:val="pt-PT"/>
        </w:rPr>
        <w:t>)</w:t>
      </w:r>
      <w:r w:rsidRPr="00EB773C">
        <w:rPr>
          <w:lang w:val="pt-PT"/>
        </w:rPr>
        <w:tab/>
      </w:r>
      <w:r w:rsidRPr="00EB773C">
        <w:rPr>
          <w:i/>
          <w:lang w:val="pt-PT"/>
        </w:rPr>
        <w:t>Programme statement</w:t>
      </w:r>
      <w:r w:rsidRPr="00EB773C">
        <w:rPr>
          <w:i/>
          <w:szCs w:val="16"/>
          <w:lang w:val="pt-PT"/>
        </w:rPr>
        <w:t xml:space="preserve"> 2018</w:t>
      </w:r>
      <w:r w:rsidRPr="00EB773C">
        <w:rPr>
          <w:szCs w:val="16"/>
          <w:lang w:val="pt-PT"/>
        </w:rPr>
        <w:t>.</w:t>
      </w:r>
    </w:p>
  </w:footnote>
  <w:footnote w:id="246">
    <w:p w14:paraId="20790A53" w14:textId="77777777" w:rsidR="003C0461" w:rsidRPr="00EB773C" w:rsidRDefault="003C0461" w:rsidP="00FA29F9">
      <w:pPr>
        <w:pStyle w:val="FootnoteText"/>
        <w:rPr>
          <w:lang w:val="pt-PT"/>
        </w:rPr>
      </w:pPr>
      <w:r w:rsidRPr="001824A4">
        <w:rPr>
          <w:lang w:val="pt-PT"/>
        </w:rPr>
        <w:t>(</w:t>
      </w:r>
      <w:r w:rsidRPr="00145E5A">
        <w:rPr>
          <w:rStyle w:val="fnRefNo"/>
        </w:rPr>
        <w:footnoteRef/>
      </w:r>
      <w:r w:rsidRPr="001824A4">
        <w:rPr>
          <w:lang w:val="pt-PT"/>
        </w:rPr>
        <w:t>)</w:t>
      </w:r>
      <w:r w:rsidRPr="00EB773C">
        <w:rPr>
          <w:lang w:val="pt-PT"/>
        </w:rPr>
        <w:tab/>
      </w:r>
      <w:r w:rsidRPr="00EB773C">
        <w:rPr>
          <w:szCs w:val="16"/>
          <w:lang w:val="pt-PT"/>
        </w:rPr>
        <w:t xml:space="preserve">European judicial training network </w:t>
      </w:r>
      <w:hyperlink r:id="rId103" w:history="1">
        <w:r w:rsidRPr="00EB773C">
          <w:rPr>
            <w:rStyle w:val="Hyperlink"/>
            <w:szCs w:val="16"/>
            <w:lang w:val="pt-PT"/>
          </w:rPr>
          <w:t>http://www.ejtn.eu/About-us</w:t>
        </w:r>
      </w:hyperlink>
    </w:p>
  </w:footnote>
  <w:footnote w:id="247">
    <w:p w14:paraId="4A6F94E6" w14:textId="17EA8E8B" w:rsidR="003C0461" w:rsidRPr="00EB773C" w:rsidRDefault="003C0461" w:rsidP="00FA29F9">
      <w:pPr>
        <w:pStyle w:val="FootnoteText"/>
        <w:rPr>
          <w:lang w:val="pt-PT"/>
        </w:rPr>
      </w:pPr>
      <w:r w:rsidRPr="001824A4">
        <w:rPr>
          <w:lang w:val="pt-PT"/>
        </w:rPr>
        <w:t>(</w:t>
      </w:r>
      <w:r w:rsidRPr="00145E5A">
        <w:rPr>
          <w:rStyle w:val="fnRefNo"/>
        </w:rPr>
        <w:footnoteRef/>
      </w:r>
      <w:r w:rsidRPr="001824A4">
        <w:rPr>
          <w:lang w:val="pt-PT"/>
        </w:rPr>
        <w:t>)</w:t>
      </w:r>
      <w:r w:rsidRPr="00EB773C">
        <w:rPr>
          <w:lang w:val="pt-PT"/>
        </w:rPr>
        <w:tab/>
      </w:r>
      <w:hyperlink r:id="rId104" w:history="1">
        <w:r w:rsidRPr="002A22B5">
          <w:rPr>
            <w:rStyle w:val="Hyperlink"/>
            <w:lang w:val="pt-PT"/>
          </w:rPr>
          <w:t>https://e-justice.europa.eu/home.do?plang=en&amp;action=home</w:t>
        </w:r>
      </w:hyperlink>
      <w:r w:rsidRPr="00EB773C">
        <w:rPr>
          <w:szCs w:val="16"/>
          <w:lang w:val="pt-PT"/>
        </w:rPr>
        <w:t xml:space="preserve"> </w:t>
      </w:r>
    </w:p>
  </w:footnote>
  <w:footnote w:id="248">
    <w:p w14:paraId="1F317DB1" w14:textId="77777777" w:rsidR="003C0461" w:rsidRPr="00337106" w:rsidRDefault="003C0461" w:rsidP="005D36C6">
      <w:pPr>
        <w:pStyle w:val="FootnoteText"/>
      </w:pPr>
      <w:r w:rsidRPr="00145E5A">
        <w:t>(</w:t>
      </w:r>
      <w:r w:rsidRPr="00145E5A">
        <w:rPr>
          <w:rStyle w:val="fnRefNo"/>
        </w:rPr>
        <w:footnoteRef/>
      </w:r>
      <w:r w:rsidRPr="00145E5A">
        <w:t>)</w:t>
      </w:r>
      <w:r w:rsidRPr="007F0831">
        <w:tab/>
        <w:t>Report from the Commission to the European Parliament, the Council, the European Economi</w:t>
      </w:r>
      <w:r w:rsidRPr="00337106">
        <w:t>c and Social Committee and the Committee of the Regions on the interim evaluation of the implementation of the Justice Programme 2014-2020, COM/2018/507</w:t>
      </w:r>
      <w:r>
        <w:t>.</w:t>
      </w:r>
      <w:r w:rsidRPr="00337106">
        <w:rPr>
          <w:szCs w:val="16"/>
        </w:rPr>
        <w:t xml:space="preserve"> </w:t>
      </w:r>
    </w:p>
  </w:footnote>
  <w:footnote w:id="249">
    <w:p w14:paraId="48AFC3AB" w14:textId="77777777" w:rsidR="003C0461" w:rsidRPr="00E66A9F"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r>
      <w:r w:rsidRPr="00E66A9F">
        <w:rPr>
          <w:lang w:val="pt-PT"/>
        </w:rPr>
        <w:t xml:space="preserve">COM(2018) 384, </w:t>
      </w:r>
      <w:hyperlink r:id="rId105" w:history="1">
        <w:r w:rsidRPr="00B7055E">
          <w:rPr>
            <w:rStyle w:val="Hyperlink"/>
            <w:lang w:val="pt-PT"/>
          </w:rPr>
          <w:t>https://eur-lex.europa.eu/legal-content/EN/TXT/?uri=COM%3A2018%3A384%3AFIN</w:t>
        </w:r>
      </w:hyperlink>
    </w:p>
  </w:footnote>
  <w:footnote w:id="250">
    <w:p w14:paraId="19F26532" w14:textId="4C85045C" w:rsidR="003C0461" w:rsidRPr="00E66A9F"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r>
      <w:hyperlink r:id="rId106" w:history="1">
        <w:r w:rsidRPr="002A22B5">
          <w:rPr>
            <w:rStyle w:val="Hyperlink"/>
            <w:lang w:val="pt-PT"/>
          </w:rPr>
          <w:t>https://eur-lex.europa.eu/legal-content/EN/TXT/?uri=OJ%3AJOL_2014_115_R_0002</w:t>
        </w:r>
      </w:hyperlink>
    </w:p>
  </w:footnote>
  <w:footnote w:id="251">
    <w:p w14:paraId="0320DC20" w14:textId="15D86EF2" w:rsidR="003C0461" w:rsidRPr="006E5F11" w:rsidRDefault="003C0461" w:rsidP="005D36C6">
      <w:pPr>
        <w:pStyle w:val="FootnoteText"/>
      </w:pPr>
      <w:r w:rsidRPr="00145E5A">
        <w:t>(</w:t>
      </w:r>
      <w:r w:rsidRPr="00145E5A">
        <w:rPr>
          <w:rStyle w:val="fnRefNo"/>
        </w:rPr>
        <w:footnoteRef/>
      </w:r>
      <w:r w:rsidRPr="00145E5A">
        <w:t>)</w:t>
      </w:r>
      <w:r w:rsidRPr="006E5F11">
        <w:tab/>
      </w:r>
      <w:r w:rsidRPr="0032611A">
        <w:rPr>
          <w:i/>
        </w:rPr>
        <w:t>Programme statement 2018</w:t>
      </w:r>
      <w:r>
        <w:t xml:space="preserve"> </w:t>
      </w:r>
      <w:r w:rsidRPr="006E5F11">
        <w:t xml:space="preserve">and </w:t>
      </w:r>
      <w:r w:rsidRPr="00A04E56">
        <w:t>D</w:t>
      </w:r>
      <w:r>
        <w:t>irectorate-</w:t>
      </w:r>
      <w:r w:rsidRPr="00A04E56">
        <w:t>G</w:t>
      </w:r>
      <w:r>
        <w:t xml:space="preserve">eneral Migration and Home Affairs, </w:t>
      </w:r>
      <w:r w:rsidRPr="00CA10BB">
        <w:rPr>
          <w:i/>
        </w:rPr>
        <w:t>Annual activity report 2018</w:t>
      </w:r>
      <w:r w:rsidRPr="006E5F11">
        <w:t>.</w:t>
      </w:r>
    </w:p>
  </w:footnote>
  <w:footnote w:id="252">
    <w:p w14:paraId="21B06B4C" w14:textId="2803A08C" w:rsidR="003C0461" w:rsidRPr="00916BD5" w:rsidRDefault="003C0461">
      <w:pPr>
        <w:pStyle w:val="FootnoteText"/>
      </w:pPr>
      <w:r w:rsidRPr="00145E5A">
        <w:t>(</w:t>
      </w:r>
      <w:r w:rsidRPr="00145E5A">
        <w:rPr>
          <w:rStyle w:val="fnRefNo"/>
        </w:rPr>
        <w:footnoteRef/>
      </w:r>
      <w:r w:rsidRPr="00145E5A">
        <w:t>)</w:t>
      </w:r>
      <w:r>
        <w:tab/>
        <w:t xml:space="preserve">Amounts as per legal basis. In the mean time, additional resources have been assigned to the Europe for Citizens programme. </w:t>
      </w:r>
    </w:p>
  </w:footnote>
  <w:footnote w:id="253">
    <w:p w14:paraId="32FB0E2E" w14:textId="77777777" w:rsidR="003C0461" w:rsidRPr="006E5F11" w:rsidRDefault="003C0461" w:rsidP="00BF4752">
      <w:pPr>
        <w:pStyle w:val="FootnoteText"/>
      </w:pPr>
      <w:r w:rsidRPr="00145E5A">
        <w:t>(</w:t>
      </w:r>
      <w:r w:rsidRPr="00145E5A">
        <w:rPr>
          <w:rStyle w:val="fnRefNo"/>
        </w:rPr>
        <w:footnoteRef/>
      </w:r>
      <w:r w:rsidRPr="00145E5A">
        <w:t>)</w:t>
      </w:r>
      <w:r w:rsidRPr="004F79AF">
        <w:tab/>
      </w:r>
      <w:r w:rsidRPr="006E5F11">
        <w:t>Museum of the History of Polish Jews</w:t>
      </w:r>
      <w:r>
        <w:t xml:space="preserve"> </w:t>
      </w:r>
      <w:hyperlink r:id="rId107" w:history="1">
        <w:r w:rsidRPr="0086295F">
          <w:rPr>
            <w:rStyle w:val="Hyperlink"/>
          </w:rPr>
          <w:t>https://www.polin.pl/en/about-museum</w:t>
        </w:r>
      </w:hyperlink>
    </w:p>
  </w:footnote>
  <w:footnote w:id="254">
    <w:p w14:paraId="7FF295A4" w14:textId="77777777" w:rsidR="003C0461" w:rsidRPr="006E5F11" w:rsidRDefault="003C0461" w:rsidP="00BF4752">
      <w:pPr>
        <w:pStyle w:val="FootnoteText"/>
      </w:pPr>
      <w:r w:rsidRPr="00145E5A">
        <w:t>(</w:t>
      </w:r>
      <w:r w:rsidRPr="00145E5A">
        <w:rPr>
          <w:rStyle w:val="fnRefNo"/>
        </w:rPr>
        <w:footnoteRef/>
      </w:r>
      <w:r w:rsidRPr="00145E5A">
        <w:t>)</w:t>
      </w:r>
      <w:r w:rsidRPr="004F79AF">
        <w:tab/>
      </w:r>
      <w:r w:rsidRPr="006E5F11">
        <w:t>Museum of the History of Polish Jews</w:t>
      </w:r>
      <w:r>
        <w:t xml:space="preserve"> </w:t>
      </w:r>
      <w:hyperlink r:id="rId108" w:history="1">
        <w:r w:rsidRPr="0086295F">
          <w:rPr>
            <w:rStyle w:val="Hyperlink"/>
          </w:rPr>
          <w:t>https://www.polin.pl/en/about-museum</w:t>
        </w:r>
      </w:hyperlink>
    </w:p>
  </w:footnote>
  <w:footnote w:id="255">
    <w:p w14:paraId="64679727" w14:textId="3604DCF3" w:rsidR="003C0461" w:rsidRPr="006E5F11" w:rsidRDefault="003C0461" w:rsidP="005D36C6">
      <w:pPr>
        <w:pStyle w:val="FootnoteText"/>
        <w:rPr>
          <w:szCs w:val="16"/>
        </w:rPr>
      </w:pPr>
      <w:r w:rsidRPr="00145E5A">
        <w:t>(</w:t>
      </w:r>
      <w:r w:rsidRPr="00145E5A">
        <w:rPr>
          <w:rStyle w:val="fnRefNo"/>
        </w:rPr>
        <w:footnoteRef/>
      </w:r>
      <w:r w:rsidRPr="00145E5A">
        <w:t>)</w:t>
      </w:r>
      <w:r w:rsidRPr="006E5F11">
        <w:tab/>
      </w:r>
      <w:hyperlink r:id="rId109" w:history="1">
        <w:r w:rsidRPr="00F25260">
          <w:rPr>
            <w:rStyle w:val="Hyperlink"/>
          </w:rPr>
          <w:t>https://ec.europa.eu/home-affairs/sites/homeaffairs/files/what-we-do/policies/citizenship-programme/docs/com-2018-170-f1-report-from-commission-en-v4-p1-967238.pdf</w:t>
        </w:r>
      </w:hyperlink>
    </w:p>
  </w:footnote>
  <w:footnote w:id="256">
    <w:p w14:paraId="751E9E2A" w14:textId="77777777" w:rsidR="003C0461" w:rsidRPr="00E66A9F"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r>
      <w:r w:rsidRPr="00E66A9F">
        <w:rPr>
          <w:lang w:val="pt-PT"/>
        </w:rPr>
        <w:t>COM(2018) 38</w:t>
      </w:r>
      <w:r w:rsidRPr="007F7BF3">
        <w:rPr>
          <w:lang w:val="pt-PT"/>
        </w:rPr>
        <w:t xml:space="preserve">3, </w:t>
      </w:r>
      <w:hyperlink r:id="rId110" w:history="1">
        <w:r w:rsidRPr="006202E6">
          <w:rPr>
            <w:rStyle w:val="Hyperlink"/>
            <w:lang w:val="pt-PT"/>
          </w:rPr>
          <w:t>https://eur-lex.europa.eu/legal-content/EN/TXT/?uri=COM%3A2018%3A383%3AREV1</w:t>
        </w:r>
      </w:hyperlink>
    </w:p>
  </w:footnote>
  <w:footnote w:id="257">
    <w:p w14:paraId="32A699C9"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2611A">
        <w:rPr>
          <w:i/>
        </w:rPr>
        <w:t>Programme statement Union Civil Protection Mechanism</w:t>
      </w:r>
      <w:r w:rsidRPr="007F0831">
        <w:t>,</w:t>
      </w:r>
      <w:r>
        <w:t xml:space="preserve"> p.</w:t>
      </w:r>
      <w:r>
        <w:rPr>
          <w:rFonts w:ascii="Calibri" w:hAnsi="Calibri" w:cs="Calibri"/>
        </w:rPr>
        <w:t> </w:t>
      </w:r>
      <w:r w:rsidRPr="007F0831">
        <w:t>2</w:t>
      </w:r>
      <w:r>
        <w:t>.</w:t>
      </w:r>
    </w:p>
  </w:footnote>
  <w:footnote w:id="258">
    <w:p w14:paraId="3C66767B" w14:textId="3BE29D6A" w:rsidR="003C0461" w:rsidRPr="00337106" w:rsidRDefault="003C0461" w:rsidP="005D36C6">
      <w:pPr>
        <w:pStyle w:val="FootnoteText"/>
      </w:pPr>
      <w:r w:rsidRPr="00145E5A">
        <w:t>(</w:t>
      </w:r>
      <w:r w:rsidRPr="00145E5A">
        <w:rPr>
          <w:rStyle w:val="fnRefNo"/>
        </w:rPr>
        <w:footnoteRef/>
      </w:r>
      <w:r w:rsidRPr="00145E5A">
        <w:t>)</w:t>
      </w:r>
      <w:r w:rsidRPr="007F0831">
        <w:tab/>
      </w:r>
      <w:r w:rsidRPr="00543D90">
        <w:t>Directorate-General for European Civil Protection and Humanitarian Aid Operations</w:t>
      </w:r>
      <w:r>
        <w:t xml:space="preserve">, </w:t>
      </w:r>
      <w:r w:rsidRPr="0032611A">
        <w:rPr>
          <w:i/>
        </w:rPr>
        <w:t>2018</w:t>
      </w:r>
      <w:r w:rsidRPr="0032611A" w:rsidDel="00543D90">
        <w:rPr>
          <w:i/>
        </w:rPr>
        <w:t xml:space="preserve"> </w:t>
      </w:r>
      <w:r w:rsidRPr="003D55F2">
        <w:rPr>
          <w:i/>
        </w:rPr>
        <w:t>A</w:t>
      </w:r>
      <w:r w:rsidRPr="0032611A">
        <w:rPr>
          <w:i/>
        </w:rPr>
        <w:t>nnual activity report</w:t>
      </w:r>
      <w:r w:rsidRPr="00337106">
        <w:t>,</w:t>
      </w:r>
      <w:r>
        <w:t xml:space="preserve"> p.</w:t>
      </w:r>
      <w:r>
        <w:rPr>
          <w:rFonts w:ascii="Calibri" w:hAnsi="Calibri" w:cs="Calibri"/>
        </w:rPr>
        <w:t> </w:t>
      </w:r>
      <w:r>
        <w:t>10.</w:t>
      </w:r>
    </w:p>
  </w:footnote>
  <w:footnote w:id="259">
    <w:p w14:paraId="41DC2AF2" w14:textId="2FB8A874" w:rsidR="003C0461" w:rsidRPr="00A51D71" w:rsidRDefault="003C0461" w:rsidP="005D36C6">
      <w:pPr>
        <w:pStyle w:val="FootnoteText"/>
        <w:ind w:left="425" w:hanging="425"/>
        <w:rPr>
          <w:rFonts w:asciiTheme="minorHAnsi" w:hAnsiTheme="minorHAnsi"/>
          <w:szCs w:val="16"/>
        </w:rPr>
      </w:pPr>
      <w:r w:rsidRPr="00145E5A">
        <w:t>(</w:t>
      </w:r>
      <w:r w:rsidRPr="00145E5A">
        <w:rPr>
          <w:rStyle w:val="fnRefNo"/>
        </w:rPr>
        <w:footnoteRef/>
      </w:r>
      <w:r w:rsidRPr="00145E5A">
        <w:t>)</w:t>
      </w:r>
      <w:r w:rsidRPr="0032611A">
        <w:tab/>
      </w:r>
      <w:r w:rsidRPr="0032611A">
        <w:rPr>
          <w:rFonts w:asciiTheme="minorHAnsi" w:hAnsiTheme="minorHAnsi"/>
          <w:i/>
          <w:szCs w:val="16"/>
        </w:rPr>
        <w:t>Interim Evaluation of the Union Civil Protection Mechanism (2014-2016),</w:t>
      </w:r>
      <w:r w:rsidRPr="00A51D71">
        <w:rPr>
          <w:rFonts w:asciiTheme="minorHAnsi" w:hAnsiTheme="minorHAnsi"/>
          <w:szCs w:val="16"/>
        </w:rPr>
        <w:t xml:space="preserve"> </w:t>
      </w:r>
      <w:hyperlink r:id="rId111" w:history="1">
        <w:r>
          <w:rPr>
            <w:rStyle w:val="Hyperlink"/>
            <w:rFonts w:asciiTheme="minorHAnsi" w:hAnsiTheme="minorHAnsi"/>
            <w:szCs w:val="16"/>
          </w:rPr>
          <w:t>SWD(2017)</w:t>
        </w:r>
        <w:r w:rsidRPr="00A51D71">
          <w:rPr>
            <w:rStyle w:val="Hyperlink"/>
            <w:rFonts w:asciiTheme="minorHAnsi" w:hAnsiTheme="minorHAnsi"/>
            <w:szCs w:val="16"/>
          </w:rPr>
          <w:t>287</w:t>
        </w:r>
      </w:hyperlink>
      <w:r>
        <w:rPr>
          <w:rFonts w:asciiTheme="minorHAnsi" w:hAnsiTheme="minorHAnsi"/>
          <w:szCs w:val="16"/>
        </w:rPr>
        <w:t>.</w:t>
      </w:r>
    </w:p>
  </w:footnote>
  <w:footnote w:id="260">
    <w:p w14:paraId="36684CB9" w14:textId="5A2326E8" w:rsidR="003C0461" w:rsidRPr="00E8440E" w:rsidRDefault="003C0461" w:rsidP="005D36C6">
      <w:pPr>
        <w:pStyle w:val="FootnoteText"/>
        <w:ind w:left="425" w:hanging="425"/>
        <w:rPr>
          <w:rFonts w:asciiTheme="minorHAnsi" w:hAnsiTheme="minorHAnsi"/>
          <w:sz w:val="18"/>
          <w:szCs w:val="18"/>
        </w:rPr>
      </w:pPr>
      <w:r w:rsidRPr="00145E5A">
        <w:t>(</w:t>
      </w:r>
      <w:r w:rsidRPr="00145E5A">
        <w:rPr>
          <w:rStyle w:val="fnRefNo"/>
        </w:rPr>
        <w:footnoteRef/>
      </w:r>
      <w:r w:rsidRPr="00145E5A">
        <w:t>)</w:t>
      </w:r>
      <w:r w:rsidRPr="0032611A">
        <w:tab/>
      </w:r>
      <w:r w:rsidRPr="00C15D22">
        <w:rPr>
          <w:rFonts w:asciiTheme="minorHAnsi" w:hAnsiTheme="minorHAnsi"/>
          <w:szCs w:val="16"/>
        </w:rPr>
        <w:t xml:space="preserve">Proposal for a </w:t>
      </w:r>
      <w:r>
        <w:rPr>
          <w:rFonts w:asciiTheme="minorHAnsi" w:hAnsiTheme="minorHAnsi"/>
          <w:szCs w:val="16"/>
        </w:rPr>
        <w:t>D</w:t>
      </w:r>
      <w:r w:rsidRPr="00C15D22">
        <w:rPr>
          <w:rFonts w:asciiTheme="minorHAnsi" w:hAnsiTheme="minorHAnsi"/>
          <w:szCs w:val="16"/>
        </w:rPr>
        <w:t>ecision amending Decision No 1313/2013/EU on a Union Civil Protection Mechanism</w:t>
      </w:r>
      <w:r>
        <w:rPr>
          <w:rFonts w:asciiTheme="minorHAnsi" w:hAnsiTheme="minorHAnsi"/>
          <w:szCs w:val="16"/>
        </w:rPr>
        <w:t xml:space="preserve">, </w:t>
      </w:r>
      <w:r w:rsidRPr="00A51D71">
        <w:rPr>
          <w:rFonts w:asciiTheme="minorHAnsi" w:hAnsiTheme="minorHAnsi"/>
          <w:szCs w:val="16"/>
        </w:rPr>
        <w:t>COM(2017)772</w:t>
      </w:r>
      <w:r>
        <w:rPr>
          <w:rFonts w:asciiTheme="minorHAnsi" w:hAnsiTheme="minorHAnsi"/>
          <w:szCs w:val="16"/>
        </w:rPr>
        <w:t>.</w:t>
      </w:r>
    </w:p>
  </w:footnote>
  <w:footnote w:id="261">
    <w:p w14:paraId="5A5421A2" w14:textId="11987809" w:rsidR="003C0461" w:rsidRDefault="003C0461" w:rsidP="005D36C6">
      <w:pPr>
        <w:pStyle w:val="FootnoteText"/>
      </w:pPr>
      <w:r w:rsidRPr="00145E5A">
        <w:t>(</w:t>
      </w:r>
      <w:r w:rsidRPr="00145E5A">
        <w:rPr>
          <w:rStyle w:val="fnRefNo"/>
        </w:rPr>
        <w:footnoteRef/>
      </w:r>
      <w:r w:rsidRPr="00145E5A">
        <w:t>)</w:t>
      </w:r>
      <w:r w:rsidRPr="0032611A">
        <w:tab/>
      </w:r>
      <w:r w:rsidRPr="00C15D22">
        <w:t>Decision (EU) 2019/420 amending Decision No 1313/2013/EU on a Union Civil Protection Mechanism</w:t>
      </w:r>
      <w:r>
        <w:t>.</w:t>
      </w:r>
    </w:p>
  </w:footnote>
  <w:footnote w:id="262">
    <w:p w14:paraId="689B282E"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t>Regulation (EU) No 231/2014 of the European Parliament and of the Council of 11</w:t>
      </w:r>
      <w:r>
        <w:rPr>
          <w:rFonts w:ascii="Calibri" w:hAnsi="Calibri" w:cs="Calibri"/>
        </w:rPr>
        <w:t> </w:t>
      </w:r>
      <w:r w:rsidRPr="007F0831">
        <w:t>March</w:t>
      </w:r>
      <w:r>
        <w:rPr>
          <w:rFonts w:ascii="Calibri" w:hAnsi="Calibri" w:cs="Calibri"/>
        </w:rPr>
        <w:t> </w:t>
      </w:r>
      <w:r w:rsidRPr="007F0831">
        <w:t xml:space="preserve">2014 </w:t>
      </w:r>
      <w:r w:rsidRPr="00337106">
        <w:t>establishing an Instrument for Pre-</w:t>
      </w:r>
      <w:r>
        <w:t>A</w:t>
      </w:r>
      <w:r w:rsidRPr="00337106">
        <w:t>ccession Assistance (IPA II)</w:t>
      </w:r>
      <w:r w:rsidRPr="00337106" w:rsidDel="00A52AB9">
        <w:t xml:space="preserve"> </w:t>
      </w:r>
      <w:hyperlink r:id="rId112" w:history="1">
        <w:r w:rsidRPr="004B172B">
          <w:rPr>
            <w:rStyle w:val="Hyperlink"/>
          </w:rPr>
          <w:t>https://ec.europa.eu/neighbourhood-enlargement/sites/near/files/pdf/financial_assistance/ipa/2014/231-2014_ipa-2-reg.pdf</w:t>
        </w:r>
      </w:hyperlink>
    </w:p>
  </w:footnote>
  <w:footnote w:id="263">
    <w:p w14:paraId="23614EDE" w14:textId="77777777" w:rsidR="003C0461" w:rsidRPr="007F0831" w:rsidRDefault="003C0461" w:rsidP="005D36C6">
      <w:pPr>
        <w:pStyle w:val="FootnoteText"/>
      </w:pPr>
      <w:r w:rsidRPr="00145E5A">
        <w:t>(</w:t>
      </w:r>
      <w:r w:rsidRPr="00145E5A">
        <w:rPr>
          <w:rStyle w:val="fnRefNo"/>
        </w:rPr>
        <w:footnoteRef/>
      </w:r>
      <w:r w:rsidRPr="00145E5A">
        <w:t>)</w:t>
      </w:r>
      <w:r w:rsidRPr="007F0831">
        <w:tab/>
      </w:r>
      <w:r>
        <w:t>Current beneficiaries</w:t>
      </w:r>
      <w:r w:rsidRPr="007F0831">
        <w:t xml:space="preserve"> are: </w:t>
      </w:r>
      <w:hyperlink r:id="rId113" w:history="1">
        <w:r w:rsidRPr="007F0831">
          <w:t>Albania</w:t>
        </w:r>
      </w:hyperlink>
      <w:r w:rsidRPr="007F0831">
        <w:t xml:space="preserve">, </w:t>
      </w:r>
      <w:hyperlink r:id="rId114" w:history="1">
        <w:r w:rsidRPr="007F0831">
          <w:t>Bosnia and Herzegovina</w:t>
        </w:r>
      </w:hyperlink>
      <w:r w:rsidRPr="007F0831">
        <w:t>,</w:t>
      </w:r>
      <w:r w:rsidRPr="007F0831">
        <w:rPr>
          <w:rFonts w:ascii="Calibri" w:hAnsi="Calibri" w:cs="Calibri"/>
        </w:rPr>
        <w:t> </w:t>
      </w:r>
      <w:hyperlink r:id="rId115" w:history="1">
        <w:r w:rsidRPr="007F0831">
          <w:t>the North Macedonia</w:t>
        </w:r>
      </w:hyperlink>
      <w:r w:rsidRPr="007F0831">
        <w:t xml:space="preserve">, </w:t>
      </w:r>
      <w:hyperlink r:id="rId116" w:tooltip="*This designation is without prejudice to positions on status, and is in line with UNSCR 1244/99 and the ICJ Opinion on the Kosovo declaration of independence." w:history="1">
        <w:r w:rsidRPr="007F0831">
          <w:t>Kosovo</w:t>
        </w:r>
      </w:hyperlink>
      <w:r>
        <w:t>*</w:t>
      </w:r>
      <w:r w:rsidRPr="007F0831">
        <w:t xml:space="preserve">, </w:t>
      </w:r>
      <w:hyperlink r:id="rId117" w:history="1">
        <w:r w:rsidRPr="007F0831">
          <w:t>Montenegro</w:t>
        </w:r>
      </w:hyperlink>
      <w:r w:rsidRPr="007F0831">
        <w:t xml:space="preserve">, </w:t>
      </w:r>
      <w:hyperlink r:id="rId118" w:history="1">
        <w:r w:rsidRPr="007F0831">
          <w:t>Serbia</w:t>
        </w:r>
      </w:hyperlink>
      <w:r w:rsidRPr="007F0831">
        <w:t xml:space="preserve"> and </w:t>
      </w:r>
      <w:hyperlink r:id="rId119" w:history="1">
        <w:r w:rsidRPr="007F0831">
          <w:t>Turkey</w:t>
        </w:r>
      </w:hyperlink>
      <w:r>
        <w:t>. (</w:t>
      </w:r>
      <w:r w:rsidRPr="00E5002C">
        <w:t>* This designation is without prejudice to positions on status, and is in line with UNSCR 1244/1999 and the ICJ Opinion on the Kosovo declaration of independence.</w:t>
      </w:r>
      <w:r>
        <w:t>)</w:t>
      </w:r>
    </w:p>
  </w:footnote>
  <w:footnote w:id="264">
    <w:p w14:paraId="6B2DD037" w14:textId="40C33FE5" w:rsidR="003C0461" w:rsidRPr="0032611A" w:rsidRDefault="003C0461">
      <w:pPr>
        <w:pStyle w:val="FootnoteText"/>
        <w:rPr>
          <w:lang w:val="en-US"/>
        </w:rPr>
      </w:pPr>
      <w:r w:rsidRPr="00145E5A">
        <w:t>(</w:t>
      </w:r>
      <w:r w:rsidRPr="00145E5A">
        <w:rPr>
          <w:rStyle w:val="fnRefNo"/>
        </w:rPr>
        <w:footnoteRef/>
      </w:r>
      <w:r w:rsidRPr="00145E5A">
        <w:t>)</w:t>
      </w:r>
      <w:r w:rsidRPr="0032611A">
        <w:tab/>
      </w:r>
      <w:r w:rsidRPr="002079F4">
        <w:t>COM(2018)65final</w:t>
      </w:r>
      <w:r>
        <w:t>.</w:t>
      </w:r>
    </w:p>
  </w:footnote>
  <w:footnote w:id="265">
    <w:p w14:paraId="671B728A" w14:textId="7BD389B8" w:rsidR="003C0461" w:rsidRPr="00337106" w:rsidRDefault="003C0461" w:rsidP="005D36C6">
      <w:pPr>
        <w:pStyle w:val="FootnoteText"/>
      </w:pPr>
      <w:r w:rsidRPr="00145E5A">
        <w:t>(</w:t>
      </w:r>
      <w:r w:rsidRPr="00145E5A">
        <w:rPr>
          <w:rStyle w:val="fnRefNo"/>
        </w:rPr>
        <w:footnoteRef/>
      </w:r>
      <w:r w:rsidRPr="00145E5A">
        <w:t>)</w:t>
      </w:r>
      <w:r w:rsidRPr="007F0831">
        <w:tab/>
        <w:t xml:space="preserve">See </w:t>
      </w:r>
      <w:r>
        <w:rPr>
          <w:i/>
        </w:rPr>
        <w:t>C</w:t>
      </w:r>
      <w:r w:rsidRPr="007F0954">
        <w:rPr>
          <w:i/>
        </w:rPr>
        <w:t xml:space="preserve">onnectivity </w:t>
      </w:r>
      <w:r>
        <w:rPr>
          <w:i/>
        </w:rPr>
        <w:t>a</w:t>
      </w:r>
      <w:r w:rsidRPr="00DD055B">
        <w:rPr>
          <w:i/>
        </w:rPr>
        <w:t xml:space="preserve">genda co-financing of investment projects in the </w:t>
      </w:r>
      <w:r>
        <w:rPr>
          <w:i/>
        </w:rPr>
        <w:t>Western Balkans</w:t>
      </w:r>
      <w:r w:rsidRPr="007F0954">
        <w:rPr>
          <w:i/>
        </w:rPr>
        <w:t xml:space="preserve"> 2018</w:t>
      </w:r>
      <w:r w:rsidRPr="007F0831">
        <w:t xml:space="preserve"> </w:t>
      </w:r>
      <w:hyperlink r:id="rId120" w:history="1">
        <w:r w:rsidRPr="004B172B">
          <w:rPr>
            <w:rStyle w:val="Hyperlink"/>
          </w:rPr>
          <w:t>https://ec.europa.eu/neighbourhood-enlargement/sites/near/files/connectivity-agenda-2018-sofia-summit.pdf</w:t>
        </w:r>
      </w:hyperlink>
    </w:p>
  </w:footnote>
  <w:footnote w:id="266">
    <w:p w14:paraId="42B60A2D" w14:textId="00CE8307" w:rsidR="003C0461" w:rsidRPr="00337106" w:rsidRDefault="003C0461" w:rsidP="0032611A">
      <w:pPr>
        <w:pStyle w:val="FootnoteText"/>
        <w:jc w:val="both"/>
      </w:pPr>
      <w:r w:rsidRPr="00145E5A">
        <w:t>(</w:t>
      </w:r>
      <w:r w:rsidRPr="00145E5A">
        <w:rPr>
          <w:rStyle w:val="fnRefNo"/>
        </w:rPr>
        <w:footnoteRef/>
      </w:r>
      <w:r w:rsidRPr="00145E5A">
        <w:t>)</w:t>
      </w:r>
      <w:r w:rsidRPr="007F0831">
        <w:tab/>
      </w:r>
      <w:r w:rsidRPr="001E2F68">
        <w:t>The Regional Housing Programme is a joint initiative by Bosnia and Herzegovina, Croatia, Montenegro and Serbia.</w:t>
      </w:r>
      <w:r>
        <w:t xml:space="preserve"> </w:t>
      </w:r>
      <w:hyperlink r:id="rId121" w:history="1">
        <w:r w:rsidRPr="000D223D">
          <w:rPr>
            <w:rStyle w:val="Hyperlink"/>
          </w:rPr>
          <w:t>http://regionalhousingprogramme.org/</w:t>
        </w:r>
      </w:hyperlink>
    </w:p>
  </w:footnote>
  <w:footnote w:id="267">
    <w:p w14:paraId="651C2FFC" w14:textId="5709AE74" w:rsidR="003C0461" w:rsidRDefault="003C0461">
      <w:pPr>
        <w:pStyle w:val="FootnoteText"/>
      </w:pPr>
      <w:r w:rsidRPr="00145E5A">
        <w:t>(</w:t>
      </w:r>
      <w:r w:rsidRPr="00145E5A">
        <w:rPr>
          <w:rStyle w:val="fnRefNo"/>
        </w:rPr>
        <w:footnoteRef/>
      </w:r>
      <w:r w:rsidRPr="00145E5A">
        <w:t>)</w:t>
      </w:r>
      <w:r>
        <w:tab/>
      </w:r>
      <w:hyperlink r:id="rId122" w:history="1">
        <w:r w:rsidRPr="00CF545A">
          <w:rPr>
            <w:rStyle w:val="Hyperlink"/>
          </w:rPr>
          <w:t>https://ec.europa.eu/commission/news/strategy-western-balkans-2018-feb-06_en</w:t>
        </w:r>
      </w:hyperlink>
      <w:r>
        <w:t xml:space="preserve"> </w:t>
      </w:r>
    </w:p>
  </w:footnote>
  <w:footnote w:id="268">
    <w:p w14:paraId="74E52BE3" w14:textId="297669AA" w:rsidR="003C0461" w:rsidRDefault="003C0461">
      <w:pPr>
        <w:pStyle w:val="FootnoteText"/>
      </w:pPr>
      <w:r w:rsidRPr="00145E5A">
        <w:t>(</w:t>
      </w:r>
      <w:r w:rsidRPr="00145E5A">
        <w:rPr>
          <w:rStyle w:val="fnRefNo"/>
        </w:rPr>
        <w:footnoteRef/>
      </w:r>
      <w:r w:rsidRPr="00145E5A">
        <w:t>)</w:t>
      </w:r>
      <w:r>
        <w:tab/>
      </w:r>
      <w:hyperlink r:id="rId123" w:history="1">
        <w:r w:rsidRPr="00CF545A">
          <w:rPr>
            <w:rStyle w:val="Hyperlink"/>
          </w:rPr>
          <w:t>https://www.consilium.europa.eu/media/34776/sofia-declaration_en.pdf</w:t>
        </w:r>
      </w:hyperlink>
      <w:r>
        <w:t xml:space="preserve"> </w:t>
      </w:r>
    </w:p>
  </w:footnote>
  <w:footnote w:id="269">
    <w:p w14:paraId="2305F472"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t xml:space="preserve">Regulation (EU) No </w:t>
      </w:r>
      <w:hyperlink r:id="rId124" w:history="1">
        <w:r w:rsidRPr="00337106">
          <w:t>232</w:t>
        </w:r>
      </w:hyperlink>
      <w:r w:rsidRPr="007F0831">
        <w:t>/2014 of 11</w:t>
      </w:r>
      <w:r>
        <w:rPr>
          <w:rFonts w:ascii="Calibri" w:hAnsi="Calibri" w:cs="Calibri"/>
        </w:rPr>
        <w:t> </w:t>
      </w:r>
      <w:r w:rsidRPr="007F0831">
        <w:t>March</w:t>
      </w:r>
      <w:r>
        <w:rPr>
          <w:rFonts w:ascii="Calibri" w:hAnsi="Calibri" w:cs="Calibri"/>
        </w:rPr>
        <w:t> </w:t>
      </w:r>
      <w:r w:rsidRPr="007F0831">
        <w:t>2014 establishing a European Neighbourhood Instrument</w:t>
      </w:r>
      <w:r>
        <w:t>.</w:t>
      </w:r>
    </w:p>
  </w:footnote>
  <w:footnote w:id="270">
    <w:p w14:paraId="367F8ADD" w14:textId="77777777" w:rsidR="003C0461" w:rsidRPr="007F0831" w:rsidRDefault="003C0461" w:rsidP="005D36C6">
      <w:pPr>
        <w:pStyle w:val="FootnoteText"/>
      </w:pPr>
      <w:r w:rsidRPr="00145E5A">
        <w:t>(</w:t>
      </w:r>
      <w:r w:rsidRPr="00145E5A">
        <w:rPr>
          <w:rStyle w:val="fnRefNo"/>
        </w:rPr>
        <w:footnoteRef/>
      </w:r>
      <w:r w:rsidRPr="00145E5A">
        <w:t>)</w:t>
      </w:r>
      <w:r w:rsidRPr="007F0831">
        <w:tab/>
      </w:r>
      <w:r w:rsidRPr="00757CB8">
        <w:rPr>
          <w:lang w:eastAsia="en-GB"/>
        </w:rPr>
        <w:t>Thro</w:t>
      </w:r>
      <w:r w:rsidRPr="00F42621">
        <w:rPr>
          <w:lang w:eastAsia="en-GB"/>
        </w:rPr>
        <w:t xml:space="preserve">ugh its European Neighbourhood </w:t>
      </w:r>
      <w:r w:rsidRPr="007F0831">
        <w:t>Policy</w:t>
      </w:r>
      <w:r w:rsidRPr="00757CB8">
        <w:rPr>
          <w:lang w:eastAsia="en-GB"/>
        </w:rPr>
        <w:t xml:space="preserve"> (ENP), which has been revised in November 2015, the EU works with</w:t>
      </w:r>
      <w:r w:rsidRPr="00A254CA">
        <w:rPr>
          <w:lang w:eastAsia="en-GB"/>
        </w:rPr>
        <w:t xml:space="preserve"> its southern and eastern neighbours </w:t>
      </w:r>
      <w:r w:rsidRPr="00757CB8">
        <w:rPr>
          <w:lang w:eastAsia="en-GB"/>
        </w:rPr>
        <w:t xml:space="preserve">to </w:t>
      </w:r>
      <w:r w:rsidRPr="007F0831">
        <w:t>foster</w:t>
      </w:r>
      <w:r w:rsidRPr="00757CB8">
        <w:rPr>
          <w:lang w:eastAsia="en-GB"/>
        </w:rPr>
        <w:t xml:space="preserve"> stabilisation, security and prosperity, in line with the Global Strategy for the European Union's Foreign </w:t>
      </w:r>
      <w:r w:rsidRPr="00F42621">
        <w:rPr>
          <w:lang w:eastAsia="en-GB"/>
        </w:rPr>
        <w:t>and Security Policy.</w:t>
      </w:r>
    </w:p>
  </w:footnote>
  <w:footnote w:id="271">
    <w:p w14:paraId="55FF04C5"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rPr>
          <w:lang w:eastAsia="en-GB"/>
        </w:rPr>
        <w:t>Partner countries are: Algeria, Armenia, Azerbaijan, Belarus, Egypt, Georgia, Israel, Jordan, Lebanon, Libya, Moldova, Morocco, Syria, Palestine</w:t>
      </w:r>
      <w:r>
        <w:rPr>
          <w:lang w:eastAsia="en-GB"/>
        </w:rPr>
        <w:t>**</w:t>
      </w:r>
      <w:r w:rsidRPr="00337106">
        <w:rPr>
          <w:lang w:eastAsia="en-GB"/>
        </w:rPr>
        <w:t>, Tunisia</w:t>
      </w:r>
      <w:r>
        <w:rPr>
          <w:lang w:eastAsia="en-GB"/>
        </w:rPr>
        <w:t xml:space="preserve"> and</w:t>
      </w:r>
      <w:r w:rsidRPr="00337106">
        <w:rPr>
          <w:lang w:eastAsia="en-GB"/>
        </w:rPr>
        <w:t xml:space="preserve"> Ukraine</w:t>
      </w:r>
      <w:r>
        <w:rPr>
          <w:lang w:eastAsia="en-GB"/>
        </w:rPr>
        <w:t>. (</w:t>
      </w:r>
      <w:r w:rsidRPr="000257CE">
        <w:rPr>
          <w:lang w:eastAsia="en-GB"/>
        </w:rPr>
        <w:t>** This designation shall not be construed as recognition of a State of Palestine and is without prejudice to the individual positions of the Member States on this issue.</w:t>
      </w:r>
      <w:r>
        <w:rPr>
          <w:lang w:eastAsia="en-GB"/>
        </w:rPr>
        <w:t>)</w:t>
      </w:r>
    </w:p>
  </w:footnote>
  <w:footnote w:id="272">
    <w:p w14:paraId="3366D428" w14:textId="77777777" w:rsidR="003C0461" w:rsidRPr="007F0831" w:rsidRDefault="003C0461" w:rsidP="005D36C6">
      <w:pPr>
        <w:pStyle w:val="FootnoteText"/>
      </w:pPr>
      <w:r w:rsidRPr="00145E5A">
        <w:t>(</w:t>
      </w:r>
      <w:r w:rsidRPr="00145E5A">
        <w:rPr>
          <w:rStyle w:val="fnRefNo"/>
        </w:rPr>
        <w:footnoteRef/>
      </w:r>
      <w:r w:rsidRPr="00145E5A">
        <w:t>)</w:t>
      </w:r>
      <w:r w:rsidRPr="007F0831">
        <w:tab/>
      </w:r>
      <w:r w:rsidRPr="00757CB8">
        <w:t>Review of the European Neighbourhood Policy (</w:t>
      </w:r>
      <w:hyperlink w:history="1">
        <w:r w:rsidRPr="008C4F9C">
          <w:t xml:space="preserve">JOIN(2015) 50 </w:t>
        </w:r>
        <w:r>
          <w:t>final,</w:t>
        </w:r>
        <w:r w:rsidRPr="008C4F9C">
          <w:t xml:space="preserve"> 18.11.2015</w:t>
        </w:r>
      </w:hyperlink>
      <w:r w:rsidRPr="00757CB8">
        <w:t>).</w:t>
      </w:r>
    </w:p>
  </w:footnote>
  <w:footnote w:id="273">
    <w:p w14:paraId="0AE5CD2A" w14:textId="7D5753EC" w:rsidR="003C0461" w:rsidRDefault="003C0461" w:rsidP="005D36C6">
      <w:pPr>
        <w:pStyle w:val="FootnoteText"/>
      </w:pPr>
      <w:r w:rsidRPr="00145E5A">
        <w:t>(</w:t>
      </w:r>
      <w:r w:rsidRPr="00145E5A">
        <w:rPr>
          <w:rStyle w:val="fnRefNo"/>
        </w:rPr>
        <w:footnoteRef/>
      </w:r>
      <w:r w:rsidRPr="00145E5A">
        <w:t>)</w:t>
      </w:r>
      <w:r w:rsidRPr="0032611A">
        <w:tab/>
      </w:r>
      <w:hyperlink r:id="rId125" w:history="1">
        <w:r w:rsidRPr="00475FD5">
          <w:rPr>
            <w:rStyle w:val="Hyperlink"/>
          </w:rPr>
          <w:t>https://ec.europa.eu/trustfundforafrica/region/north-africa_en</w:t>
        </w:r>
      </w:hyperlink>
    </w:p>
  </w:footnote>
  <w:footnote w:id="274">
    <w:p w14:paraId="2CFC7470" w14:textId="03895FC2"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37106">
        <w:t>European Court of Auditors</w:t>
      </w:r>
      <w:r>
        <w:t>,</w:t>
      </w:r>
      <w:r w:rsidRPr="00337106">
        <w:t xml:space="preserve"> </w:t>
      </w:r>
      <w:r w:rsidRPr="008D41C6">
        <w:rPr>
          <w:i/>
        </w:rPr>
        <w:t>European Union Emergency Trust Fund for Africa: Flexible but lacking focus</w:t>
      </w:r>
      <w:r>
        <w:rPr>
          <w:i/>
        </w:rPr>
        <w:t>,</w:t>
      </w:r>
      <w:r w:rsidRPr="00337106">
        <w:t xml:space="preserve"> </w:t>
      </w:r>
      <w:r w:rsidRPr="0032611A">
        <w:rPr>
          <w:i/>
        </w:rPr>
        <w:t>Special Report 32/2018</w:t>
      </w:r>
      <w:r>
        <w:t>.</w:t>
      </w:r>
    </w:p>
  </w:footnote>
  <w:footnote w:id="275">
    <w:p w14:paraId="01E899C1" w14:textId="7B53A772" w:rsidR="003C0461" w:rsidRDefault="003C0461">
      <w:pPr>
        <w:pStyle w:val="FootnoteText"/>
      </w:pPr>
      <w:r w:rsidRPr="00145E5A">
        <w:t>(</w:t>
      </w:r>
      <w:r w:rsidRPr="00145E5A">
        <w:rPr>
          <w:rStyle w:val="fnRefNo"/>
        </w:rPr>
        <w:footnoteRef/>
      </w:r>
      <w:r w:rsidRPr="00145E5A">
        <w:t>)</w:t>
      </w:r>
      <w:r>
        <w:tab/>
      </w:r>
      <w:hyperlink r:id="rId126" w:history="1">
        <w:r w:rsidRPr="00CF545A">
          <w:rPr>
            <w:rStyle w:val="Hyperlink"/>
          </w:rPr>
          <w:t>https://ec.europa.eu/neighbourhood-enlargement/news_corner/news/eu-identifies-20-key-deliverables-2020-eastern-partnership_en</w:t>
        </w:r>
      </w:hyperlink>
      <w:r>
        <w:t xml:space="preserve"> </w:t>
      </w:r>
    </w:p>
  </w:footnote>
  <w:footnote w:id="276">
    <w:p w14:paraId="6C0BBEA8" w14:textId="285813B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t>SWD(2017)</w:t>
      </w:r>
      <w:r w:rsidRPr="00337106">
        <w:t xml:space="preserve"> 602 </w:t>
      </w:r>
      <w:hyperlink r:id="rId127" w:history="1">
        <w:r w:rsidRPr="00F25260">
          <w:rPr>
            <w:rStyle w:val="Hyperlink"/>
          </w:rPr>
          <w:t>https://ec.europa.eu/europeaid/sites/devco/files/swd-mid-term-review-eni_en_0.pdf</w:t>
        </w:r>
      </w:hyperlink>
      <w:r w:rsidRPr="007F0831">
        <w:t xml:space="preserve"> p. 32</w:t>
      </w:r>
      <w:r>
        <w:t>.</w:t>
      </w:r>
      <w:r w:rsidRPr="007F0831">
        <w:rPr>
          <w:sz w:val="18"/>
          <w:szCs w:val="18"/>
        </w:rPr>
        <w:t xml:space="preserve"> </w:t>
      </w:r>
    </w:p>
  </w:footnote>
  <w:footnote w:id="277">
    <w:p w14:paraId="199E284C"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t>SWD(2018) 337</w:t>
      </w:r>
      <w:r w:rsidRPr="00337106" w:rsidDel="00A52AB9">
        <w:t xml:space="preserve"> </w:t>
      </w:r>
      <w:hyperlink r:id="rId128" w:history="1">
        <w:r w:rsidRPr="00657CD7">
          <w:rPr>
            <w:rStyle w:val="Hyperlink"/>
          </w:rPr>
          <w:t>http://ec.europa.eu/transparency/regdoc/rep/10102/2018/EN/SWD-2018-337-F1-EN-MAIN-PART-1.PDF</w:t>
        </w:r>
      </w:hyperlink>
      <w:r>
        <w:t xml:space="preserve"> </w:t>
      </w:r>
    </w:p>
  </w:footnote>
  <w:footnote w:id="278">
    <w:p w14:paraId="637CA96C" w14:textId="77777777" w:rsidR="003C0461" w:rsidRPr="00160433"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160433">
        <w:rPr>
          <w:lang w:val="pt-PT"/>
        </w:rPr>
        <w:tab/>
        <w:t xml:space="preserve">COM(2018) 460 </w:t>
      </w:r>
      <w:hyperlink r:id="rId129" w:history="1">
        <w:r w:rsidRPr="00160433">
          <w:rPr>
            <w:rStyle w:val="Hyperlink"/>
            <w:lang w:val="pt-PT"/>
          </w:rPr>
          <w:t>https://ec.europa.eu/commission/sites/beta-political/files/budget-may2018-neighbourhood-development-international-regulation_en.pdf</w:t>
        </w:r>
      </w:hyperlink>
      <w:r w:rsidRPr="00160433">
        <w:rPr>
          <w:lang w:val="pt-PT"/>
        </w:rPr>
        <w:t xml:space="preserve"> </w:t>
      </w:r>
    </w:p>
  </w:footnote>
  <w:footnote w:id="279">
    <w:p w14:paraId="407C8ED1" w14:textId="77777777" w:rsidR="003C0461" w:rsidRPr="00337106" w:rsidRDefault="003C0461" w:rsidP="005D36C6">
      <w:pPr>
        <w:pStyle w:val="FootnoteText"/>
        <w:rPr>
          <w:sz w:val="18"/>
        </w:rPr>
      </w:pPr>
      <w:r w:rsidRPr="00145E5A">
        <w:t>(</w:t>
      </w:r>
      <w:r w:rsidRPr="00145E5A">
        <w:rPr>
          <w:rStyle w:val="fnRefNo"/>
        </w:rPr>
        <w:footnoteRef/>
      </w:r>
      <w:r w:rsidRPr="00145E5A">
        <w:t>)</w:t>
      </w:r>
      <w:r w:rsidRPr="007F0831">
        <w:tab/>
      </w:r>
      <w:r w:rsidRPr="00337106">
        <w:t>Regulation (EU) No 233/2014 of the European Parliament and of the Council of 11</w:t>
      </w:r>
      <w:r>
        <w:rPr>
          <w:rFonts w:ascii="Calibri" w:hAnsi="Calibri" w:cs="Calibri"/>
        </w:rPr>
        <w:t> </w:t>
      </w:r>
      <w:r w:rsidRPr="00337106">
        <w:t>March</w:t>
      </w:r>
      <w:r>
        <w:rPr>
          <w:rFonts w:ascii="Calibri" w:hAnsi="Calibri" w:cs="Calibri"/>
        </w:rPr>
        <w:t> </w:t>
      </w:r>
      <w:r w:rsidRPr="00337106">
        <w:t>2014 establishing a financing instrument for development cooperation for the period 2014-2020</w:t>
      </w:r>
      <w:r>
        <w:t>.</w:t>
      </w:r>
    </w:p>
  </w:footnote>
  <w:footnote w:id="280">
    <w:p w14:paraId="057FC810" w14:textId="6EC3E1EE" w:rsidR="003C0461" w:rsidRPr="00337106" w:rsidRDefault="003C0461" w:rsidP="005D36C6">
      <w:pPr>
        <w:pStyle w:val="FootnoteText"/>
      </w:pPr>
      <w:r w:rsidRPr="00145E5A">
        <w:t>(</w:t>
      </w:r>
      <w:r w:rsidRPr="00145E5A">
        <w:rPr>
          <w:rStyle w:val="fnRefNo"/>
        </w:rPr>
        <w:footnoteRef/>
      </w:r>
      <w:r w:rsidRPr="00145E5A">
        <w:t>)</w:t>
      </w:r>
      <w:r w:rsidRPr="007F0831">
        <w:tab/>
      </w:r>
      <w:r w:rsidRPr="0032611A">
        <w:rPr>
          <w:i/>
        </w:rPr>
        <w:t>Programme statement 2018</w:t>
      </w:r>
      <w:r>
        <w:t>,</w:t>
      </w:r>
      <w:r w:rsidRPr="00337106">
        <w:t xml:space="preserve"> p.</w:t>
      </w:r>
      <w:r>
        <w:rPr>
          <w:rFonts w:ascii="Calibri" w:hAnsi="Calibri" w:cs="Calibri"/>
        </w:rPr>
        <w:t> </w:t>
      </w:r>
      <w:r w:rsidRPr="00337106">
        <w:t>21</w:t>
      </w:r>
      <w:r>
        <w:t>.</w:t>
      </w:r>
    </w:p>
  </w:footnote>
  <w:footnote w:id="281">
    <w:p w14:paraId="122AC304" w14:textId="43A25220" w:rsidR="003C0461" w:rsidRPr="00337106" w:rsidRDefault="003C0461" w:rsidP="005D36C6">
      <w:pPr>
        <w:pStyle w:val="FootnoteText"/>
      </w:pPr>
      <w:r w:rsidRPr="00145E5A">
        <w:t>(</w:t>
      </w:r>
      <w:r w:rsidRPr="00145E5A">
        <w:rPr>
          <w:rStyle w:val="fnRefNo"/>
        </w:rPr>
        <w:footnoteRef/>
      </w:r>
      <w:r w:rsidRPr="00145E5A">
        <w:t>)</w:t>
      </w:r>
      <w:r w:rsidRPr="007F0831">
        <w:tab/>
      </w:r>
      <w:r w:rsidRPr="00A04E56">
        <w:t>D</w:t>
      </w:r>
      <w:r>
        <w:t>irectorate-</w:t>
      </w:r>
      <w:r w:rsidRPr="00A04E56">
        <w:t>G</w:t>
      </w:r>
      <w:r>
        <w:t>eneral</w:t>
      </w:r>
      <w:r w:rsidRPr="0017517F">
        <w:t xml:space="preserve"> for International Cooperation and Development</w:t>
      </w:r>
      <w:r>
        <w:t>,</w:t>
      </w:r>
      <w:r w:rsidRPr="00337106">
        <w:t xml:space="preserve"> </w:t>
      </w:r>
      <w:r>
        <w:t>A</w:t>
      </w:r>
      <w:r w:rsidRPr="006202E6">
        <w:rPr>
          <w:i/>
        </w:rPr>
        <w:t xml:space="preserve">nnual </w:t>
      </w:r>
      <w:r>
        <w:rPr>
          <w:i/>
        </w:rPr>
        <w:t>a</w:t>
      </w:r>
      <w:r w:rsidRPr="006202E6">
        <w:rPr>
          <w:i/>
        </w:rPr>
        <w:t xml:space="preserve">ctivity </w:t>
      </w:r>
      <w:r>
        <w:rPr>
          <w:i/>
        </w:rPr>
        <w:t>r</w:t>
      </w:r>
      <w:r w:rsidRPr="006202E6">
        <w:rPr>
          <w:i/>
        </w:rPr>
        <w:t>eport</w:t>
      </w:r>
      <w:r>
        <w:rPr>
          <w:i/>
        </w:rPr>
        <w:t xml:space="preserve"> 2018,</w:t>
      </w:r>
      <w:r w:rsidRPr="00337106">
        <w:t xml:space="preserve"> p. 47</w:t>
      </w:r>
      <w:r>
        <w:t>.</w:t>
      </w:r>
    </w:p>
  </w:footnote>
  <w:footnote w:id="282">
    <w:p w14:paraId="0D882295" w14:textId="3F917D46" w:rsidR="003C0461" w:rsidRPr="007F7BF3" w:rsidRDefault="003C0461" w:rsidP="005D36C6">
      <w:pPr>
        <w:pStyle w:val="FootnoteText"/>
        <w:rPr>
          <w:sz w:val="18"/>
          <w:szCs w:val="18"/>
          <w:lang w:val="pt-PT"/>
        </w:rPr>
      </w:pPr>
      <w:r w:rsidRPr="0005798F">
        <w:rPr>
          <w:lang w:val="pt-PT"/>
        </w:rPr>
        <w:t>(</w:t>
      </w:r>
      <w:r w:rsidRPr="00145E5A">
        <w:rPr>
          <w:rStyle w:val="fnRefNo"/>
        </w:rPr>
        <w:footnoteRef/>
      </w:r>
      <w:r w:rsidRPr="0005798F">
        <w:rPr>
          <w:lang w:val="pt-PT"/>
        </w:rPr>
        <w:t>)</w:t>
      </w:r>
      <w:r w:rsidRPr="00160433">
        <w:rPr>
          <w:lang w:val="pt-PT"/>
        </w:rPr>
        <w:tab/>
      </w:r>
      <w:r w:rsidRPr="00E66A9F">
        <w:rPr>
          <w:lang w:val="pt-PT"/>
        </w:rPr>
        <w:t xml:space="preserve">COM (2018) 643 final, </w:t>
      </w:r>
      <w:hyperlink r:id="rId130" w:history="1">
        <w:r w:rsidRPr="00F25260">
          <w:rPr>
            <w:rStyle w:val="Hyperlink"/>
            <w:lang w:val="pt-PT"/>
          </w:rPr>
          <w:t>http://ec.europa.eu/transparency/regdoc/rep/1/2018/FR/COM-2018-643-F1-FR-MAIN-PART-1.PDF</w:t>
        </w:r>
      </w:hyperlink>
      <w:r w:rsidRPr="00E66A9F">
        <w:rPr>
          <w:lang w:val="pt-PT"/>
        </w:rPr>
        <w:t xml:space="preserve"> </w:t>
      </w:r>
    </w:p>
  </w:footnote>
  <w:footnote w:id="283">
    <w:p w14:paraId="3AA37576" w14:textId="60ADDCE2" w:rsidR="003C0461" w:rsidRPr="00337106" w:rsidRDefault="003C0461" w:rsidP="005D36C6">
      <w:pPr>
        <w:pStyle w:val="FootnoteText"/>
      </w:pPr>
      <w:r w:rsidRPr="00145E5A">
        <w:t>(</w:t>
      </w:r>
      <w:r w:rsidRPr="00145E5A">
        <w:rPr>
          <w:rStyle w:val="fnRefNo"/>
        </w:rPr>
        <w:footnoteRef/>
      </w:r>
      <w:r w:rsidRPr="00145E5A">
        <w:t>)</w:t>
      </w:r>
      <w:r w:rsidRPr="007F0831">
        <w:tab/>
      </w:r>
      <w:r w:rsidRPr="00A04E56">
        <w:t>D</w:t>
      </w:r>
      <w:r>
        <w:t>irectorate-</w:t>
      </w:r>
      <w:r w:rsidRPr="00A04E56">
        <w:t>G</w:t>
      </w:r>
      <w:r>
        <w:t>eneral</w:t>
      </w:r>
      <w:r w:rsidRPr="0017517F">
        <w:t xml:space="preserve"> for International Cooperation and Development</w:t>
      </w:r>
      <w:r>
        <w:t>,</w:t>
      </w:r>
      <w:r w:rsidRPr="00337106">
        <w:t xml:space="preserve"> </w:t>
      </w:r>
      <w:r>
        <w:t>A</w:t>
      </w:r>
      <w:r w:rsidRPr="006202E6">
        <w:rPr>
          <w:i/>
        </w:rPr>
        <w:t xml:space="preserve">nnual </w:t>
      </w:r>
      <w:r>
        <w:rPr>
          <w:i/>
        </w:rPr>
        <w:t>a</w:t>
      </w:r>
      <w:r w:rsidRPr="006202E6">
        <w:rPr>
          <w:i/>
        </w:rPr>
        <w:t xml:space="preserve">ctivity </w:t>
      </w:r>
      <w:r>
        <w:rPr>
          <w:i/>
        </w:rPr>
        <w:t>r</w:t>
      </w:r>
      <w:r w:rsidRPr="006202E6">
        <w:rPr>
          <w:i/>
        </w:rPr>
        <w:t>eport</w:t>
      </w:r>
      <w:r>
        <w:rPr>
          <w:i/>
        </w:rPr>
        <w:t xml:space="preserve"> 2018</w:t>
      </w:r>
      <w:r>
        <w:t>,</w:t>
      </w:r>
      <w:r w:rsidRPr="0017517F">
        <w:t xml:space="preserve"> </w:t>
      </w:r>
      <w:r w:rsidRPr="00337106">
        <w:t>p. 16</w:t>
      </w:r>
      <w:r>
        <w:t>.</w:t>
      </w:r>
    </w:p>
  </w:footnote>
  <w:footnote w:id="284">
    <w:p w14:paraId="2BDE06B6" w14:textId="7C1A97A8" w:rsidR="003C0461" w:rsidRPr="0032611A" w:rsidRDefault="003C0461" w:rsidP="005D36C6">
      <w:pPr>
        <w:pStyle w:val="FootnoteText"/>
        <w:rPr>
          <w:lang w:val="fr-BE"/>
        </w:rPr>
      </w:pPr>
      <w:r w:rsidRPr="00277538">
        <w:rPr>
          <w:lang w:val="fr-BE"/>
        </w:rPr>
        <w:t>(</w:t>
      </w:r>
      <w:r w:rsidRPr="00145E5A">
        <w:rPr>
          <w:rStyle w:val="fnRefNo"/>
        </w:rPr>
        <w:footnoteRef/>
      </w:r>
      <w:r w:rsidRPr="00277538">
        <w:rPr>
          <w:lang w:val="fr-BE"/>
        </w:rPr>
        <w:t>)</w:t>
      </w:r>
      <w:r>
        <w:rPr>
          <w:lang w:val="fr-BE"/>
        </w:rPr>
        <w:tab/>
      </w:r>
      <w:hyperlink r:id="rId131" w:history="1">
        <w:r w:rsidRPr="00F25260">
          <w:rPr>
            <w:rStyle w:val="Hyperlink"/>
            <w:lang w:val="fr-BE"/>
          </w:rPr>
          <w:t>http://www.gcca.eu</w:t>
        </w:r>
      </w:hyperlink>
    </w:p>
  </w:footnote>
  <w:footnote w:id="285">
    <w:p w14:paraId="7FB43B98" w14:textId="541CA42F" w:rsidR="003C0461" w:rsidRPr="00293FF2" w:rsidRDefault="003C0461" w:rsidP="0032611A">
      <w:pPr>
        <w:pStyle w:val="FootnoteText"/>
        <w:jc w:val="both"/>
      </w:pPr>
      <w:r w:rsidRPr="00277538">
        <w:rPr>
          <w:lang w:val="fr-BE"/>
        </w:rPr>
        <w:t>(</w:t>
      </w:r>
      <w:r w:rsidRPr="00145E5A">
        <w:rPr>
          <w:rStyle w:val="fnRefNo"/>
        </w:rPr>
        <w:footnoteRef/>
      </w:r>
      <w:r w:rsidRPr="00277538">
        <w:rPr>
          <w:lang w:val="fr-BE"/>
        </w:rPr>
        <w:t>)</w:t>
      </w:r>
      <w:r w:rsidRPr="00FD33C2">
        <w:rPr>
          <w:lang w:val="fr-BE"/>
        </w:rPr>
        <w:tab/>
        <w:t xml:space="preserve">Global Climate Change Alliance Plus (GCCA+). </w:t>
      </w:r>
      <w:r w:rsidRPr="0032611A">
        <w:t xml:space="preserve">The chart shows that EU support largely </w:t>
      </w:r>
      <w:r w:rsidRPr="002B5F47">
        <w:t>targets least</w:t>
      </w:r>
      <w:r>
        <w:t>-developed</w:t>
      </w:r>
      <w:r w:rsidRPr="002B5F47">
        <w:t xml:space="preserve"> countries </w:t>
      </w:r>
      <w:r w:rsidRPr="0032611A">
        <w:t xml:space="preserve">(LDCs) and </w:t>
      </w:r>
      <w:r w:rsidRPr="002B5F47">
        <w:t xml:space="preserve">small island developing states </w:t>
      </w:r>
      <w:r w:rsidRPr="0032611A">
        <w:t>(SIDSs). Those countries that are both, an LDC and a SIDS, are counted and portrayed in a specific category as their vulnerability to climate change is even higher and in line with the Agenda 2030 principle to leave no one behind.</w:t>
      </w:r>
    </w:p>
  </w:footnote>
  <w:footnote w:id="286">
    <w:p w14:paraId="405F415C" w14:textId="4D6AFD39" w:rsidR="003C0461" w:rsidRPr="00337106" w:rsidRDefault="003C0461" w:rsidP="005D36C6">
      <w:pPr>
        <w:pStyle w:val="FootnoteText"/>
      </w:pPr>
      <w:r w:rsidRPr="00145E5A">
        <w:t>(</w:t>
      </w:r>
      <w:r w:rsidRPr="00145E5A">
        <w:rPr>
          <w:rStyle w:val="fnRefNo"/>
        </w:rPr>
        <w:footnoteRef/>
      </w:r>
      <w:r w:rsidRPr="00145E5A">
        <w:t>)</w:t>
      </w:r>
      <w:r w:rsidRPr="001353E7">
        <w:tab/>
      </w:r>
      <w:r w:rsidRPr="00A04E56">
        <w:t>D</w:t>
      </w:r>
      <w:r>
        <w:t>irectorate-</w:t>
      </w:r>
      <w:r w:rsidRPr="00A04E56">
        <w:t>G</w:t>
      </w:r>
      <w:r>
        <w:t>eneral</w:t>
      </w:r>
      <w:r w:rsidRPr="0017517F">
        <w:t xml:space="preserve"> for International Cooperation and Development</w:t>
      </w:r>
      <w:r>
        <w:t>,</w:t>
      </w:r>
      <w:r w:rsidRPr="00337106">
        <w:t xml:space="preserve"> </w:t>
      </w:r>
      <w:r>
        <w:t>A</w:t>
      </w:r>
      <w:r w:rsidRPr="006202E6">
        <w:rPr>
          <w:i/>
        </w:rPr>
        <w:t xml:space="preserve">nnual </w:t>
      </w:r>
      <w:r>
        <w:rPr>
          <w:i/>
        </w:rPr>
        <w:t>a</w:t>
      </w:r>
      <w:r w:rsidRPr="006202E6">
        <w:rPr>
          <w:i/>
        </w:rPr>
        <w:t xml:space="preserve">ctivity </w:t>
      </w:r>
      <w:r>
        <w:rPr>
          <w:i/>
        </w:rPr>
        <w:t>r</w:t>
      </w:r>
      <w:r w:rsidRPr="006202E6">
        <w:rPr>
          <w:i/>
        </w:rPr>
        <w:t>eport</w:t>
      </w:r>
      <w:r>
        <w:rPr>
          <w:i/>
        </w:rPr>
        <w:t xml:space="preserve"> 2018</w:t>
      </w:r>
      <w:r>
        <w:t>,</w:t>
      </w:r>
      <w:r w:rsidRPr="00337106">
        <w:t xml:space="preserve"> p. 17</w:t>
      </w:r>
      <w:r>
        <w:t>.</w:t>
      </w:r>
    </w:p>
  </w:footnote>
  <w:footnote w:id="287">
    <w:p w14:paraId="24DE396A" w14:textId="25201D80" w:rsidR="003C0461" w:rsidRPr="002930A6" w:rsidRDefault="003C0461" w:rsidP="00CD0A77">
      <w:pPr>
        <w:pStyle w:val="FootnoteText"/>
      </w:pPr>
      <w:r w:rsidRPr="00145E5A">
        <w:t>(</w:t>
      </w:r>
      <w:r w:rsidRPr="00145E5A">
        <w:rPr>
          <w:rStyle w:val="fnRefNo"/>
        </w:rPr>
        <w:footnoteRef/>
      </w:r>
      <w:r w:rsidRPr="00145E5A">
        <w:t>)</w:t>
      </w:r>
      <w:r w:rsidRPr="0032611A">
        <w:tab/>
      </w:r>
      <w:hyperlink r:id="rId132" w:history="1">
        <w:r w:rsidRPr="00311FA5">
          <w:rPr>
            <w:rStyle w:val="Hyperlink"/>
          </w:rPr>
          <w:t>https://europa.eu/capacity4dev/public-environment-climate/documents/scp-evaluation-full-package-publications</w:t>
        </w:r>
      </w:hyperlink>
    </w:p>
  </w:footnote>
  <w:footnote w:id="288">
    <w:p w14:paraId="7C4D6C79" w14:textId="4D472A39" w:rsidR="003C0461" w:rsidRPr="002930A6" w:rsidRDefault="003C0461" w:rsidP="00CD0A77">
      <w:pPr>
        <w:pStyle w:val="FootnoteText"/>
      </w:pPr>
      <w:r w:rsidRPr="00145E5A">
        <w:t>(</w:t>
      </w:r>
      <w:r w:rsidRPr="00145E5A">
        <w:rPr>
          <w:rStyle w:val="fnRefNo"/>
        </w:rPr>
        <w:footnoteRef/>
      </w:r>
      <w:r w:rsidRPr="00145E5A">
        <w:t>)</w:t>
      </w:r>
      <w:r w:rsidRPr="0032611A">
        <w:tab/>
      </w:r>
      <w:r w:rsidRPr="00A04E56">
        <w:t>D</w:t>
      </w:r>
      <w:r>
        <w:t>irectorate-</w:t>
      </w:r>
      <w:r w:rsidRPr="00A04E56">
        <w:t>G</w:t>
      </w:r>
      <w:r>
        <w:t>eneral</w:t>
      </w:r>
      <w:r w:rsidRPr="0017517F">
        <w:t xml:space="preserve"> for International Cooperation and Development</w:t>
      </w:r>
      <w:r>
        <w:t>,</w:t>
      </w:r>
      <w:r w:rsidRPr="00337106">
        <w:t xml:space="preserve"> </w:t>
      </w:r>
      <w:r>
        <w:t>A</w:t>
      </w:r>
      <w:r w:rsidRPr="006202E6">
        <w:rPr>
          <w:i/>
        </w:rPr>
        <w:t xml:space="preserve">nnual </w:t>
      </w:r>
      <w:r>
        <w:rPr>
          <w:i/>
        </w:rPr>
        <w:t>a</w:t>
      </w:r>
      <w:r w:rsidRPr="006202E6">
        <w:rPr>
          <w:i/>
        </w:rPr>
        <w:t xml:space="preserve">ctivity </w:t>
      </w:r>
      <w:r>
        <w:rPr>
          <w:i/>
        </w:rPr>
        <w:t>r</w:t>
      </w:r>
      <w:r w:rsidRPr="006202E6">
        <w:rPr>
          <w:i/>
        </w:rPr>
        <w:t>eport</w:t>
      </w:r>
      <w:r>
        <w:rPr>
          <w:i/>
        </w:rPr>
        <w:t xml:space="preserve"> 2018</w:t>
      </w:r>
      <w:r>
        <w:t>,</w:t>
      </w:r>
      <w:r w:rsidRPr="0017517F">
        <w:t xml:space="preserve"> </w:t>
      </w:r>
      <w:r w:rsidRPr="00337106">
        <w:t>p. 1</w:t>
      </w:r>
      <w:r>
        <w:t>7</w:t>
      </w:r>
    </w:p>
  </w:footnote>
  <w:footnote w:id="289">
    <w:p w14:paraId="355DD334" w14:textId="0F65AEF1" w:rsidR="003C0461" w:rsidRPr="00337106" w:rsidRDefault="003C0461" w:rsidP="005D36C6">
      <w:pPr>
        <w:pStyle w:val="FootnoteText"/>
      </w:pPr>
      <w:r w:rsidRPr="00145E5A">
        <w:t>(</w:t>
      </w:r>
      <w:r w:rsidRPr="00145E5A">
        <w:rPr>
          <w:rStyle w:val="fnRefNo"/>
        </w:rPr>
        <w:footnoteRef/>
      </w:r>
      <w:r w:rsidRPr="00145E5A">
        <w:t>)</w:t>
      </w:r>
      <w:r w:rsidRPr="007F0831">
        <w:tab/>
      </w:r>
      <w:r w:rsidRPr="00337106">
        <w:t xml:space="preserve">SWD(2017) 600 final </w:t>
      </w:r>
      <w:hyperlink r:id="rId133" w:history="1">
        <w:r w:rsidRPr="00311FA5">
          <w:rPr>
            <w:rStyle w:val="Hyperlink"/>
          </w:rPr>
          <w:t>https://ec.europa.eu/europeaid/sites/devco/files/swd-mid-term-review-dci_en_0.pdf</w:t>
        </w:r>
      </w:hyperlink>
      <w:r w:rsidRPr="00337106">
        <w:rPr>
          <w:sz w:val="18"/>
          <w:szCs w:val="18"/>
        </w:rPr>
        <w:t xml:space="preserve"> </w:t>
      </w:r>
    </w:p>
  </w:footnote>
  <w:footnote w:id="290">
    <w:p w14:paraId="6B7C54F2"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t>COM(2018) 460</w:t>
      </w:r>
      <w:r>
        <w:t>.</w:t>
      </w:r>
    </w:p>
  </w:footnote>
  <w:footnote w:id="291">
    <w:p w14:paraId="1BD3A6B3"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37106">
        <w:t>Regulation (EU) No 2017/1601 of the European Parliament and of the Council of 26</w:t>
      </w:r>
      <w:r>
        <w:rPr>
          <w:rFonts w:ascii="Calibri" w:hAnsi="Calibri" w:cs="Calibri"/>
        </w:rPr>
        <w:t> </w:t>
      </w:r>
      <w:r w:rsidRPr="00337106">
        <w:t>September</w:t>
      </w:r>
      <w:r>
        <w:rPr>
          <w:rFonts w:ascii="Calibri" w:hAnsi="Calibri" w:cs="Calibri"/>
        </w:rPr>
        <w:t> </w:t>
      </w:r>
      <w:r w:rsidRPr="00337106">
        <w:t>2017 establishing the European Fund for Sustainable Development (EFSD), the EFSD Guarantee and the EFSD Guarantee Fund</w:t>
      </w:r>
      <w:r>
        <w:t>.</w:t>
      </w:r>
    </w:p>
  </w:footnote>
  <w:footnote w:id="292">
    <w:p w14:paraId="21AEF254" w14:textId="0B90D9BC" w:rsidR="003C0461" w:rsidRDefault="003C0461" w:rsidP="005D36C6">
      <w:pPr>
        <w:pStyle w:val="FootnoteText"/>
      </w:pPr>
      <w:r w:rsidRPr="00145E5A">
        <w:t>(</w:t>
      </w:r>
      <w:r w:rsidRPr="00145E5A">
        <w:rPr>
          <w:rStyle w:val="fnRefNo"/>
        </w:rPr>
        <w:footnoteRef/>
      </w:r>
      <w:r w:rsidRPr="00145E5A">
        <w:t>)</w:t>
      </w:r>
      <w:r w:rsidRPr="0032611A">
        <w:tab/>
      </w:r>
      <w:r w:rsidRPr="00A04E56">
        <w:t>D</w:t>
      </w:r>
      <w:r>
        <w:t>irectorate-</w:t>
      </w:r>
      <w:r w:rsidRPr="00A04E56">
        <w:t>G</w:t>
      </w:r>
      <w:r>
        <w:t>eneral</w:t>
      </w:r>
      <w:r w:rsidRPr="0017517F">
        <w:t xml:space="preserve"> for International Cooperation and Development</w:t>
      </w:r>
      <w:r>
        <w:t>,</w:t>
      </w:r>
      <w:r w:rsidRPr="00337106">
        <w:t xml:space="preserve"> </w:t>
      </w:r>
      <w:r>
        <w:t>A</w:t>
      </w:r>
      <w:r w:rsidRPr="006202E6">
        <w:rPr>
          <w:i/>
        </w:rPr>
        <w:t xml:space="preserve">nnual </w:t>
      </w:r>
      <w:r>
        <w:rPr>
          <w:i/>
        </w:rPr>
        <w:t>a</w:t>
      </w:r>
      <w:r w:rsidRPr="006202E6">
        <w:rPr>
          <w:i/>
        </w:rPr>
        <w:t xml:space="preserve">ctivity </w:t>
      </w:r>
      <w:r>
        <w:rPr>
          <w:i/>
        </w:rPr>
        <w:t>r</w:t>
      </w:r>
      <w:r w:rsidRPr="006202E6">
        <w:rPr>
          <w:i/>
        </w:rPr>
        <w:t>eport</w:t>
      </w:r>
      <w:r>
        <w:rPr>
          <w:i/>
        </w:rPr>
        <w:t xml:space="preserve"> 2018</w:t>
      </w:r>
      <w:r>
        <w:t>,</w:t>
      </w:r>
      <w:r w:rsidRPr="0017517F">
        <w:t xml:space="preserve"> </w:t>
      </w:r>
      <w:r w:rsidRPr="00337106">
        <w:t xml:space="preserve">p. </w:t>
      </w:r>
      <w:r>
        <w:t>32.</w:t>
      </w:r>
    </w:p>
  </w:footnote>
  <w:footnote w:id="293">
    <w:p w14:paraId="4F933710" w14:textId="77777777" w:rsidR="003C0461" w:rsidRPr="007F0831" w:rsidRDefault="003C0461" w:rsidP="005D36C6">
      <w:pPr>
        <w:pStyle w:val="FootnoteText"/>
      </w:pPr>
      <w:r w:rsidRPr="00145E5A">
        <w:t>(</w:t>
      </w:r>
      <w:r w:rsidRPr="00145E5A">
        <w:rPr>
          <w:rStyle w:val="fnRefNo"/>
        </w:rPr>
        <w:footnoteRef/>
      </w:r>
      <w:r w:rsidRPr="00145E5A">
        <w:t>)</w:t>
      </w:r>
      <w:r w:rsidRPr="007F7BF3">
        <w:tab/>
      </w:r>
      <w:r w:rsidRPr="00F42621">
        <w:t>For more information on N</w:t>
      </w:r>
      <w:r>
        <w:t>asira</w:t>
      </w:r>
      <w:r w:rsidRPr="00F42621">
        <w:t xml:space="preserve">, please visit: </w:t>
      </w:r>
      <w:hyperlink r:id="rId134" w:history="1">
        <w:r w:rsidRPr="00F42621">
          <w:rPr>
            <w:rStyle w:val="Hyperlink"/>
          </w:rPr>
          <w:t>www.nasira.info</w:t>
        </w:r>
      </w:hyperlink>
    </w:p>
  </w:footnote>
  <w:footnote w:id="294">
    <w:p w14:paraId="5DB443A4" w14:textId="1518807A" w:rsidR="003C0461" w:rsidRPr="007F7BF3" w:rsidRDefault="003C0461" w:rsidP="005D36C6">
      <w:pPr>
        <w:pStyle w:val="FootnoteText"/>
      </w:pPr>
      <w:r w:rsidRPr="00145E5A">
        <w:t>(</w:t>
      </w:r>
      <w:r w:rsidRPr="00145E5A">
        <w:rPr>
          <w:rStyle w:val="fnRefNo"/>
        </w:rPr>
        <w:footnoteRef/>
      </w:r>
      <w:r w:rsidRPr="00145E5A">
        <w:t>)</w:t>
      </w:r>
      <w:r w:rsidRPr="007F7BF3">
        <w:tab/>
        <w:t>N</w:t>
      </w:r>
      <w:r>
        <w:t>asira</w:t>
      </w:r>
      <w:r w:rsidRPr="007F7BF3">
        <w:t xml:space="preserve"> will address the high risks, both perceived and real, involved in lending to under</w:t>
      </w:r>
      <w:r>
        <w:t>served</w:t>
      </w:r>
      <w:r w:rsidRPr="007F7BF3">
        <w:t xml:space="preserve"> entrepreneurs in countries neighbouring the EU and in Sub-Saharan Africa, many of whom have been forced to flee their homes. It will give them access to investment loans by offering local financial institutions, such as banks and microfinance institutions, portfolio guarantees containing loans to entrepreneurs. </w:t>
      </w:r>
      <w:hyperlink r:id="rId135" w:history="1">
        <w:r w:rsidRPr="00311FA5">
          <w:rPr>
            <w:rStyle w:val="Hyperlink"/>
          </w:rPr>
          <w:t>https://ec.europa.eu/europeaid/sites/devco/files/181213-eip-28-guarantees-brochure-final.pdf</w:t>
        </w:r>
      </w:hyperlink>
      <w:r w:rsidRPr="007F7BF3">
        <w:t xml:space="preserve"> </w:t>
      </w:r>
    </w:p>
  </w:footnote>
  <w:footnote w:id="295">
    <w:p w14:paraId="6793DAD2" w14:textId="194AB191" w:rsidR="003C0461" w:rsidRPr="00F42621" w:rsidRDefault="003C0461" w:rsidP="005D36C6">
      <w:pPr>
        <w:pStyle w:val="FootnoteText"/>
        <w:rPr>
          <w:sz w:val="18"/>
          <w:szCs w:val="18"/>
        </w:rPr>
      </w:pPr>
      <w:r w:rsidRPr="00145E5A">
        <w:t>(</w:t>
      </w:r>
      <w:r w:rsidRPr="00145E5A">
        <w:rPr>
          <w:rStyle w:val="fnRefNo"/>
        </w:rPr>
        <w:footnoteRef/>
      </w:r>
      <w:r w:rsidRPr="00145E5A">
        <w:t>)</w:t>
      </w:r>
      <w:r w:rsidRPr="00DE2776">
        <w:tab/>
        <w:t>Reference</w:t>
      </w:r>
      <w:r w:rsidRPr="005868FF">
        <w:t xml:space="preserve"> to the current EFSD in the MFF proposal COM(2018) 460 final </w:t>
      </w:r>
      <w:hyperlink r:id="rId136" w:history="1">
        <w:r w:rsidRPr="00311FA5">
          <w:rPr>
            <w:rStyle w:val="Hyperlink"/>
          </w:rPr>
          <w:t>https://eur-lex.europa.eu/resource.html?uri=cellar:d2c24540-6fb9-11e8-9483-01aa75ed71a1.0002.02/DOC_1&amp;format=PDF</w:t>
        </w:r>
      </w:hyperlink>
      <w:r w:rsidRPr="005868FF">
        <w:t xml:space="preserve"> page 7</w:t>
      </w:r>
    </w:p>
  </w:footnote>
  <w:footnote w:id="296">
    <w:p w14:paraId="2E3E87E0" w14:textId="0351A1EB" w:rsidR="003C0461" w:rsidRPr="00337106" w:rsidRDefault="003C0461" w:rsidP="005D36C6">
      <w:pPr>
        <w:pStyle w:val="FootnoteText"/>
        <w:rPr>
          <w:sz w:val="18"/>
          <w:szCs w:val="18"/>
        </w:rPr>
      </w:pPr>
      <w:r w:rsidRPr="00145E5A">
        <w:t>(</w:t>
      </w:r>
      <w:r w:rsidRPr="00145E5A">
        <w:rPr>
          <w:rStyle w:val="fnRefNo"/>
        </w:rPr>
        <w:footnoteRef/>
      </w:r>
      <w:r w:rsidRPr="00145E5A">
        <w:t>)</w:t>
      </w:r>
      <w:r w:rsidRPr="00E53889">
        <w:tab/>
      </w:r>
      <w:r w:rsidRPr="005868FF">
        <w:t xml:space="preserve">See SWD(2018) 337 final </w:t>
      </w:r>
      <w:hyperlink r:id="rId137" w:history="1">
        <w:r w:rsidRPr="00311FA5">
          <w:rPr>
            <w:rStyle w:val="Hyperlink"/>
          </w:rPr>
          <w:t>https://eur-lex.europa.eu/legal-content/EN/TXT/PDF/?uri=CELEX:52018SC0337&amp;from=EN</w:t>
        </w:r>
      </w:hyperlink>
      <w:r w:rsidRPr="005868FF">
        <w:t xml:space="preserve"> p24</w:t>
      </w:r>
      <w:r>
        <w:t>.</w:t>
      </w:r>
    </w:p>
  </w:footnote>
  <w:footnote w:id="297">
    <w:p w14:paraId="2FEF7132"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t>P</w:t>
      </w:r>
      <w:r w:rsidRPr="00337106">
        <w:t xml:space="preserve">rogramme statement ECHO </w:t>
      </w:r>
      <w:r>
        <w:t>Humanitarian Aid</w:t>
      </w:r>
      <w:r w:rsidRPr="00337106">
        <w:t>,</w:t>
      </w:r>
      <w:r>
        <w:t xml:space="preserve"> p.</w:t>
      </w:r>
      <w:r>
        <w:rPr>
          <w:rFonts w:ascii="Calibri" w:hAnsi="Calibri" w:cs="Calibri"/>
        </w:rPr>
        <w:t> </w:t>
      </w:r>
      <w:r w:rsidRPr="00337106">
        <w:t>2</w:t>
      </w:r>
      <w:r>
        <w:t>.</w:t>
      </w:r>
    </w:p>
  </w:footnote>
  <w:footnote w:id="298">
    <w:p w14:paraId="62FE09E0" w14:textId="7EE5017D" w:rsidR="003C0461" w:rsidRPr="0082290D" w:rsidRDefault="003C0461">
      <w:pPr>
        <w:pStyle w:val="FootnoteText"/>
      </w:pPr>
      <w:r>
        <w:t>(</w:t>
      </w:r>
      <w:r>
        <w:rPr>
          <w:rStyle w:val="FootnoteReference"/>
        </w:rPr>
        <w:footnoteRef/>
      </w:r>
      <w:r>
        <w:t xml:space="preserve">) </w:t>
      </w:r>
      <w:r>
        <w:tab/>
      </w:r>
      <w:r w:rsidRPr="0082290D">
        <w:t xml:space="preserve">In 2018, the </w:t>
      </w:r>
      <w:r>
        <w:t>EU budget</w:t>
      </w:r>
      <w:r w:rsidRPr="0082290D">
        <w:t xml:space="preserve"> provided EUR 1.4 billion in humanitarian aid (excluding European Development Fund and externally assigned revenue). Taking account also the external assigned revenue from Member States committed for the Facility for Refugees in Turkey, operations in Central and West Africa, the European Development Fund appropriations (EUR 45.6 million) as well as Emergency Support in the EU (EUR 199 million), the EU, in 2018, managed a total amount of EUR 1.6 billion for humanitarian aid.</w:t>
      </w:r>
    </w:p>
  </w:footnote>
  <w:footnote w:id="299">
    <w:p w14:paraId="0FD65652"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37106">
        <w:t>These statistical data are based on the aggregation of the estimated number of 'action beneficiaries' as declared by the partners implementing humanitarian projects funded by ECHO. One single individual beneficiary in need of humanitarian assistance can benefit from more than one humanitarian action and from more than one project</w:t>
      </w:r>
      <w:r>
        <w:t>.</w:t>
      </w:r>
    </w:p>
  </w:footnote>
  <w:footnote w:id="300">
    <w:p w14:paraId="2CBA4262" w14:textId="33D64770" w:rsidR="003C0461" w:rsidRPr="00337106" w:rsidRDefault="003C0461" w:rsidP="005D36C6">
      <w:pPr>
        <w:pStyle w:val="FootnoteText"/>
      </w:pPr>
      <w:r w:rsidRPr="00145E5A">
        <w:t>(</w:t>
      </w:r>
      <w:r w:rsidRPr="00145E5A">
        <w:rPr>
          <w:rStyle w:val="fnRefNo"/>
        </w:rPr>
        <w:footnoteRef/>
      </w:r>
      <w:r w:rsidRPr="00145E5A">
        <w:t>)</w:t>
      </w:r>
      <w:r w:rsidRPr="007F0831">
        <w:tab/>
      </w:r>
      <w:r w:rsidRPr="0032611A">
        <w:rPr>
          <w:i/>
        </w:rPr>
        <w:t xml:space="preserve">Programme statement ECHO Humanitarian </w:t>
      </w:r>
      <w:r w:rsidRPr="001D7803">
        <w:rPr>
          <w:i/>
        </w:rPr>
        <w:t>a</w:t>
      </w:r>
      <w:r w:rsidRPr="0032611A">
        <w:rPr>
          <w:i/>
        </w:rPr>
        <w:t>id</w:t>
      </w:r>
      <w:r w:rsidRPr="00337106">
        <w:t>,</w:t>
      </w:r>
      <w:r>
        <w:t xml:space="preserve"> p.</w:t>
      </w:r>
      <w:r>
        <w:rPr>
          <w:rFonts w:ascii="Calibri" w:hAnsi="Calibri" w:cs="Calibri"/>
        </w:rPr>
        <w:t> </w:t>
      </w:r>
      <w:r w:rsidRPr="00337106">
        <w:t>2</w:t>
      </w:r>
      <w:r>
        <w:t>.</w:t>
      </w:r>
    </w:p>
  </w:footnote>
  <w:footnote w:id="301">
    <w:p w14:paraId="00918518" w14:textId="6B882EFB" w:rsidR="003C0461" w:rsidRPr="00337106" w:rsidRDefault="003C0461" w:rsidP="005D36C6">
      <w:pPr>
        <w:pStyle w:val="FootnoteText"/>
      </w:pPr>
      <w:r w:rsidRPr="00145E5A">
        <w:t>(</w:t>
      </w:r>
      <w:r w:rsidRPr="00145E5A">
        <w:rPr>
          <w:rStyle w:val="fnRefNo"/>
        </w:rPr>
        <w:footnoteRef/>
      </w:r>
      <w:r w:rsidRPr="00145E5A">
        <w:t>)</w:t>
      </w:r>
      <w:r w:rsidRPr="007F0831">
        <w:tab/>
      </w:r>
      <w:r w:rsidRPr="0032611A">
        <w:rPr>
          <w:i/>
        </w:rPr>
        <w:t>Programme statement ECHO Humanitarian</w:t>
      </w:r>
      <w:r w:rsidRPr="001D7803">
        <w:rPr>
          <w:i/>
        </w:rPr>
        <w:t xml:space="preserve"> aid</w:t>
      </w:r>
      <w:r w:rsidRPr="00337106">
        <w:t>,</w:t>
      </w:r>
      <w:r>
        <w:t xml:space="preserve"> p.</w:t>
      </w:r>
      <w:r>
        <w:rPr>
          <w:rFonts w:ascii="Calibri" w:hAnsi="Calibri" w:cs="Calibri"/>
        </w:rPr>
        <w:t> </w:t>
      </w:r>
      <w:r w:rsidRPr="00337106">
        <w:t>2</w:t>
      </w:r>
      <w:r>
        <w:t>.</w:t>
      </w:r>
    </w:p>
  </w:footnote>
  <w:footnote w:id="302">
    <w:p w14:paraId="536A995E" w14:textId="622B34E3" w:rsidR="003C0461" w:rsidRPr="00337106" w:rsidRDefault="003C0461" w:rsidP="00225378">
      <w:pPr>
        <w:pStyle w:val="FootnoteText"/>
      </w:pPr>
      <w:r w:rsidRPr="00145E5A">
        <w:t>(</w:t>
      </w:r>
      <w:r w:rsidRPr="00145E5A">
        <w:rPr>
          <w:rStyle w:val="fnRefNo"/>
        </w:rPr>
        <w:footnoteRef/>
      </w:r>
      <w:r w:rsidRPr="00145E5A">
        <w:t>)</w:t>
      </w:r>
      <w:r w:rsidRPr="007F0831">
        <w:tab/>
      </w:r>
      <w:r w:rsidRPr="00543D90">
        <w:t>Directorate-General for European Civil Protection and Humanitarian Aid Operations</w:t>
      </w:r>
      <w:r>
        <w:t xml:space="preserve">, </w:t>
      </w:r>
      <w:r w:rsidRPr="0032611A">
        <w:rPr>
          <w:i/>
        </w:rPr>
        <w:t>2018</w:t>
      </w:r>
      <w:r w:rsidRPr="0032611A" w:rsidDel="00543D90">
        <w:rPr>
          <w:i/>
        </w:rPr>
        <w:t xml:space="preserve"> </w:t>
      </w:r>
      <w:r w:rsidRPr="003D55F2">
        <w:rPr>
          <w:i/>
        </w:rPr>
        <w:t>A</w:t>
      </w:r>
      <w:r w:rsidRPr="0032611A">
        <w:rPr>
          <w:i/>
        </w:rPr>
        <w:t>nnual activity report</w:t>
      </w:r>
      <w:r w:rsidRPr="00337106">
        <w:t>,</w:t>
      </w:r>
      <w:r>
        <w:t xml:space="preserve"> p.</w:t>
      </w:r>
      <w:r>
        <w:rPr>
          <w:rFonts w:ascii="Calibri" w:hAnsi="Calibri" w:cs="Calibri"/>
        </w:rPr>
        <w:t> </w:t>
      </w:r>
      <w:r w:rsidRPr="00337106">
        <w:t>1</w:t>
      </w:r>
      <w:r>
        <w:t>9.</w:t>
      </w:r>
    </w:p>
  </w:footnote>
  <w:footnote w:id="303">
    <w:p w14:paraId="767B4730" w14:textId="4BE43523" w:rsidR="003C0461" w:rsidRPr="00337106" w:rsidRDefault="003C0461" w:rsidP="005D36C6">
      <w:pPr>
        <w:pStyle w:val="FootnoteText"/>
      </w:pPr>
      <w:r w:rsidRPr="00145E5A">
        <w:t>(</w:t>
      </w:r>
      <w:r w:rsidRPr="00145E5A">
        <w:rPr>
          <w:rStyle w:val="fnRefNo"/>
        </w:rPr>
        <w:footnoteRef/>
      </w:r>
      <w:r w:rsidRPr="00145E5A">
        <w:t>)</w:t>
      </w:r>
      <w:r w:rsidRPr="007F0831">
        <w:tab/>
      </w:r>
      <w:r w:rsidRPr="0032611A">
        <w:rPr>
          <w:i/>
        </w:rPr>
        <w:t>Comprehensive evaluation of EU</w:t>
      </w:r>
      <w:r w:rsidRPr="00DF0116">
        <w:rPr>
          <w:i/>
        </w:rPr>
        <w:t xml:space="preserve"> humanitarian aid in </w:t>
      </w:r>
      <w:r w:rsidRPr="0032611A">
        <w:rPr>
          <w:i/>
        </w:rPr>
        <w:t>the period 2012-2016</w:t>
      </w:r>
      <w:r w:rsidRPr="00337106">
        <w:t xml:space="preserve">, </w:t>
      </w:r>
      <w:hyperlink r:id="rId138" w:history="1">
        <w:r w:rsidRPr="00337106">
          <w:t>SWD(2019) 3</w:t>
        </w:r>
      </w:hyperlink>
      <w:r w:rsidRPr="007F0831">
        <w:t>,</w:t>
      </w:r>
      <w:r>
        <w:t xml:space="preserve"> p.</w:t>
      </w:r>
      <w:r>
        <w:rPr>
          <w:rFonts w:ascii="Calibri" w:hAnsi="Calibri" w:cs="Calibri"/>
        </w:rPr>
        <w:t> </w:t>
      </w:r>
      <w:r w:rsidRPr="007F0831">
        <w:t>74</w:t>
      </w:r>
      <w:r>
        <w:t>.</w:t>
      </w:r>
    </w:p>
  </w:footnote>
  <w:footnote w:id="304">
    <w:p w14:paraId="726704BB" w14:textId="567011C4" w:rsidR="003C0461" w:rsidRPr="00337106" w:rsidRDefault="003C0461" w:rsidP="005D36C6">
      <w:pPr>
        <w:pStyle w:val="FootnoteText"/>
        <w:rPr>
          <w:sz w:val="18"/>
          <w:szCs w:val="18"/>
        </w:rPr>
      </w:pPr>
      <w:r w:rsidRPr="00145E5A">
        <w:t>(</w:t>
      </w:r>
      <w:r w:rsidRPr="00145E5A">
        <w:rPr>
          <w:rStyle w:val="fnRefNo"/>
        </w:rPr>
        <w:footnoteRef/>
      </w:r>
      <w:r w:rsidRPr="00145E5A">
        <w:t>)</w:t>
      </w:r>
      <w:r w:rsidRPr="00337106">
        <w:tab/>
      </w:r>
      <w:r w:rsidRPr="0032611A">
        <w:rPr>
          <w:i/>
        </w:rPr>
        <w:t xml:space="preserve">Comprehensive evaluation of EU </w:t>
      </w:r>
      <w:r w:rsidRPr="00DF0116">
        <w:rPr>
          <w:i/>
        </w:rPr>
        <w:t xml:space="preserve">humanitarian aid in </w:t>
      </w:r>
      <w:r w:rsidRPr="0032611A">
        <w:rPr>
          <w:i/>
        </w:rPr>
        <w:t>the period 2012-2016</w:t>
      </w:r>
      <w:r w:rsidRPr="00337106">
        <w:t xml:space="preserve">, </w:t>
      </w:r>
      <w:hyperlink r:id="rId139" w:history="1">
        <w:r w:rsidRPr="00337106">
          <w:t>SWD(2019) 3</w:t>
        </w:r>
      </w:hyperlink>
      <w:r w:rsidRPr="007F0831">
        <w:t>,</w:t>
      </w:r>
      <w:r>
        <w:t xml:space="preserve"> p.</w:t>
      </w:r>
      <w:r>
        <w:rPr>
          <w:rFonts w:ascii="Calibri" w:hAnsi="Calibri" w:cs="Calibri"/>
        </w:rPr>
        <w:t> </w:t>
      </w:r>
      <w:r w:rsidRPr="007F0831">
        <w:t>80</w:t>
      </w:r>
      <w:r>
        <w:t>.</w:t>
      </w:r>
    </w:p>
  </w:footnote>
  <w:footnote w:id="305">
    <w:p w14:paraId="752D635B" w14:textId="3FCCF86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A04E56">
        <w:t>D</w:t>
      </w:r>
      <w:r>
        <w:t>irectorate-</w:t>
      </w:r>
      <w:r w:rsidRPr="00A04E56">
        <w:t>G</w:t>
      </w:r>
      <w:r>
        <w:t>eneral European Civil Protection and Humanitarian Aid Operations,</w:t>
      </w:r>
      <w:r w:rsidRPr="00337106">
        <w:t xml:space="preserve"> </w:t>
      </w:r>
      <w:r w:rsidRPr="00B93B0A">
        <w:rPr>
          <w:i/>
        </w:rPr>
        <w:t>Annual activity report 2018</w:t>
      </w:r>
      <w:r w:rsidRPr="00337106">
        <w:t>, p</w:t>
      </w:r>
      <w:r>
        <w:t>.</w:t>
      </w:r>
      <w:r w:rsidRPr="00337106">
        <w:t xml:space="preserve"> 3</w:t>
      </w:r>
      <w:r>
        <w:t>7.</w:t>
      </w:r>
    </w:p>
  </w:footnote>
  <w:footnote w:id="306">
    <w:p w14:paraId="694989C6" w14:textId="6FA97FD2"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hyperlink r:id="rId140" w:history="1">
        <w:r w:rsidRPr="00311FA5">
          <w:rPr>
            <w:rStyle w:val="Hyperlink"/>
          </w:rPr>
          <w:t>https://webgate.ec.europa.eu/echo/eu-aid-volunteers_en</w:t>
        </w:r>
      </w:hyperlink>
      <w:r w:rsidRPr="007F0831">
        <w:rPr>
          <w:sz w:val="18"/>
          <w:szCs w:val="18"/>
        </w:rPr>
        <w:t xml:space="preserve"> </w:t>
      </w:r>
    </w:p>
  </w:footnote>
  <w:footnote w:id="307">
    <w:p w14:paraId="45376A8A" w14:textId="6697099C" w:rsidR="003C0461" w:rsidRPr="00337106" w:rsidRDefault="003C0461" w:rsidP="005D36C6">
      <w:pPr>
        <w:pStyle w:val="FootnoteText"/>
      </w:pPr>
      <w:r w:rsidRPr="00145E5A">
        <w:t>(</w:t>
      </w:r>
      <w:r w:rsidRPr="00145E5A">
        <w:rPr>
          <w:rStyle w:val="fnRefNo"/>
        </w:rPr>
        <w:footnoteRef/>
      </w:r>
      <w:r w:rsidRPr="00145E5A">
        <w:t>)</w:t>
      </w:r>
      <w:r w:rsidRPr="007F0831">
        <w:tab/>
      </w:r>
      <w:r w:rsidRPr="00A04E56">
        <w:t>D</w:t>
      </w:r>
      <w:r>
        <w:t>irectorate-</w:t>
      </w:r>
      <w:r w:rsidRPr="00A04E56">
        <w:t>G</w:t>
      </w:r>
      <w:r>
        <w:t>eneral European Civil Protection and Humanitarian Aid Operations,</w:t>
      </w:r>
      <w:r w:rsidRPr="00337106">
        <w:t xml:space="preserve"> </w:t>
      </w:r>
      <w:r w:rsidRPr="00B93B0A">
        <w:rPr>
          <w:i/>
        </w:rPr>
        <w:t>Annual activity report 2018</w:t>
      </w:r>
      <w:r w:rsidRPr="00337106">
        <w:t xml:space="preserve">, </w:t>
      </w:r>
      <w:r>
        <w:t>p.</w:t>
      </w:r>
      <w:r>
        <w:rPr>
          <w:rFonts w:ascii="Calibri" w:hAnsi="Calibri" w:cs="Calibri"/>
        </w:rPr>
        <w:t> </w:t>
      </w:r>
      <w:r w:rsidRPr="00337106">
        <w:t>3</w:t>
      </w:r>
      <w:r>
        <w:t>7.</w:t>
      </w:r>
    </w:p>
  </w:footnote>
  <w:footnote w:id="308">
    <w:p w14:paraId="79FF0267"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t>COM(2018) 440</w:t>
      </w:r>
      <w:r>
        <w:t>.</w:t>
      </w:r>
    </w:p>
  </w:footnote>
  <w:footnote w:id="309">
    <w:p w14:paraId="470C1431" w14:textId="21FDFD91" w:rsidR="003C0461" w:rsidRDefault="003C0461" w:rsidP="005D36C6">
      <w:pPr>
        <w:pStyle w:val="FootnoteText"/>
      </w:pPr>
      <w:r w:rsidRPr="00145E5A">
        <w:t>(</w:t>
      </w:r>
      <w:r w:rsidRPr="00145E5A">
        <w:rPr>
          <w:rStyle w:val="fnRefNo"/>
        </w:rPr>
        <w:footnoteRef/>
      </w:r>
      <w:r w:rsidRPr="00145E5A">
        <w:t>)</w:t>
      </w:r>
      <w:r w:rsidRPr="0032611A">
        <w:tab/>
      </w:r>
      <w:r w:rsidRPr="006F5727">
        <w:t>Participants in the EU aid volunteers initiative must be citizen</w:t>
      </w:r>
      <w:r>
        <w:t>s</w:t>
      </w:r>
      <w:r w:rsidRPr="006F5727">
        <w:t xml:space="preserve"> of an EU Member State or </w:t>
      </w:r>
      <w:r>
        <w:t xml:space="preserve">long-term residents </w:t>
      </w:r>
      <w:r w:rsidRPr="006F5727">
        <w:t>in the EU</w:t>
      </w:r>
      <w:r>
        <w:t xml:space="preserve"> </w:t>
      </w:r>
      <w:hyperlink r:id="rId141" w:history="1">
        <w:r w:rsidRPr="009B237F">
          <w:rPr>
            <w:rStyle w:val="Hyperlink"/>
          </w:rPr>
          <w:t>https://ec.europa.eu/echo/what/humanitarian-aid/eu-aid-volunteers_en</w:t>
        </w:r>
      </w:hyperlink>
    </w:p>
  </w:footnote>
  <w:footnote w:id="310">
    <w:p w14:paraId="356F6F7F"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37106">
        <w:t>Regulation (EU) No 235/2014 of the European Parliament and of the Council of 11</w:t>
      </w:r>
      <w:r>
        <w:rPr>
          <w:rFonts w:ascii="Calibri" w:hAnsi="Calibri" w:cs="Calibri"/>
        </w:rPr>
        <w:t> </w:t>
      </w:r>
      <w:r w:rsidRPr="00337106">
        <w:t>March</w:t>
      </w:r>
      <w:r>
        <w:rPr>
          <w:rFonts w:ascii="Calibri" w:hAnsi="Calibri" w:cs="Calibri"/>
        </w:rPr>
        <w:t> </w:t>
      </w:r>
      <w:r w:rsidRPr="00337106">
        <w:t>2014 establishing a financing instrument for democracy and human rights worldwide</w:t>
      </w:r>
      <w:r>
        <w:t>.</w:t>
      </w:r>
    </w:p>
  </w:footnote>
  <w:footnote w:id="311">
    <w:p w14:paraId="0F1530DC" w14:textId="3BAE78E9"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2611A">
        <w:rPr>
          <w:i/>
        </w:rPr>
        <w:t>Programme statement 2018</w:t>
      </w:r>
      <w:r>
        <w:t>,</w:t>
      </w:r>
      <w:r w:rsidRPr="00337106">
        <w:t xml:space="preserve"> p. </w:t>
      </w:r>
      <w:r>
        <w:t>6.</w:t>
      </w:r>
    </w:p>
  </w:footnote>
  <w:footnote w:id="312">
    <w:p w14:paraId="3B00139B" w14:textId="0A29AB3B" w:rsidR="003C0461" w:rsidRDefault="003C0461" w:rsidP="005D36C6">
      <w:pPr>
        <w:pStyle w:val="FootnoteText"/>
      </w:pPr>
      <w:r w:rsidRPr="00145E5A">
        <w:t>(</w:t>
      </w:r>
      <w:r w:rsidRPr="00145E5A">
        <w:rPr>
          <w:rStyle w:val="fnRefNo"/>
        </w:rPr>
        <w:footnoteRef/>
      </w:r>
      <w:r w:rsidRPr="00145E5A">
        <w:t>)</w:t>
      </w:r>
      <w:r w:rsidRPr="0032611A">
        <w:tab/>
      </w:r>
      <w:hyperlink r:id="rId142" w:history="1">
        <w:r w:rsidRPr="009B237F">
          <w:rPr>
            <w:rStyle w:val="Hyperlink"/>
          </w:rPr>
          <w:t>https://www.eiuc.org</w:t>
        </w:r>
      </w:hyperlink>
    </w:p>
  </w:footnote>
  <w:footnote w:id="313">
    <w:p w14:paraId="0CFCF72E" w14:textId="3EC06A36" w:rsidR="003C0461" w:rsidRPr="00107DA0" w:rsidRDefault="003C0461" w:rsidP="005D36C6">
      <w:pPr>
        <w:pStyle w:val="FootnoteText"/>
      </w:pPr>
      <w:r w:rsidRPr="00145E5A">
        <w:t>(</w:t>
      </w:r>
      <w:r w:rsidRPr="00145E5A">
        <w:rPr>
          <w:rStyle w:val="fnRefNo"/>
        </w:rPr>
        <w:footnoteRef/>
      </w:r>
      <w:r w:rsidRPr="00145E5A">
        <w:t>)</w:t>
      </w:r>
      <w:r w:rsidRPr="007F0831">
        <w:tab/>
      </w:r>
      <w:r w:rsidRPr="00337106">
        <w:t xml:space="preserve">SWD(2017) 604 final, </w:t>
      </w:r>
      <w:hyperlink r:id="rId143" w:history="1">
        <w:r w:rsidRPr="009B237F">
          <w:rPr>
            <w:rStyle w:val="Hyperlink"/>
          </w:rPr>
          <w:t>https://ec.europa.eu/europeaid/sites/devco/files/swd-mid-term-review-eidhr_en_0.pdf</w:t>
        </w:r>
      </w:hyperlink>
    </w:p>
  </w:footnote>
  <w:footnote w:id="314">
    <w:p w14:paraId="5FA35954"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t>COM(2018) 460</w:t>
      </w:r>
      <w:r>
        <w:t>.</w:t>
      </w:r>
    </w:p>
  </w:footnote>
  <w:footnote w:id="315">
    <w:p w14:paraId="18A6DF82"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37106">
        <w:rPr>
          <w:szCs w:val="16"/>
        </w:rPr>
        <w:t xml:space="preserve">As included in the Treaty on the European Union (Article 28), </w:t>
      </w:r>
      <w:hyperlink r:id="rId144" w:history="1">
        <w:r w:rsidRPr="004B172B">
          <w:rPr>
            <w:rStyle w:val="Hyperlink"/>
            <w:szCs w:val="16"/>
          </w:rPr>
          <w:t>https://eur-lex.europa.eu/legal-content/EN/TXT/?uri=CELEX%3A12016M028</w:t>
        </w:r>
      </w:hyperlink>
    </w:p>
  </w:footnote>
  <w:footnote w:id="316">
    <w:p w14:paraId="54D93898"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hyperlink r:id="rId145" w:history="1">
        <w:r w:rsidRPr="004B172B">
          <w:rPr>
            <w:rStyle w:val="Hyperlink"/>
            <w:szCs w:val="16"/>
          </w:rPr>
          <w:t>https://eeas.europa.eu/headquarters/headquarters-homepage/4369/european-security-and-defence-college-esdc_en</w:t>
        </w:r>
      </w:hyperlink>
    </w:p>
  </w:footnote>
  <w:footnote w:id="317">
    <w:p w14:paraId="2C5D0C2A"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Programme statement Common Foreign and Security Policy,</w:t>
      </w:r>
      <w:r>
        <w:rPr>
          <w:szCs w:val="16"/>
        </w:rPr>
        <w:t xml:space="preserve"> p.</w:t>
      </w:r>
      <w:r>
        <w:rPr>
          <w:rFonts w:ascii="Calibri" w:hAnsi="Calibri" w:cs="Calibri"/>
          <w:szCs w:val="16"/>
        </w:rPr>
        <w:t> </w:t>
      </w:r>
      <w:r w:rsidRPr="00337106">
        <w:rPr>
          <w:szCs w:val="16"/>
        </w:rPr>
        <w:t>2</w:t>
      </w:r>
      <w:r>
        <w:rPr>
          <w:szCs w:val="16"/>
        </w:rPr>
        <w:t>.</w:t>
      </w:r>
    </w:p>
  </w:footnote>
  <w:footnote w:id="318">
    <w:p w14:paraId="08A88526"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Programme statement Common Foreign and Security Policy</w:t>
      </w:r>
      <w:r w:rsidRPr="00337106">
        <w:rPr>
          <w:szCs w:val="16"/>
        </w:rPr>
        <w:t>,</w:t>
      </w:r>
      <w:r>
        <w:rPr>
          <w:szCs w:val="16"/>
        </w:rPr>
        <w:t xml:space="preserve"> p.</w:t>
      </w:r>
      <w:r>
        <w:rPr>
          <w:rFonts w:ascii="Calibri" w:hAnsi="Calibri" w:cs="Calibri"/>
          <w:szCs w:val="16"/>
        </w:rPr>
        <w:t> </w:t>
      </w:r>
      <w:r w:rsidRPr="00337106">
        <w:rPr>
          <w:szCs w:val="16"/>
        </w:rPr>
        <w:t>4</w:t>
      </w:r>
      <w:r>
        <w:rPr>
          <w:szCs w:val="16"/>
        </w:rPr>
        <w:t>.</w:t>
      </w:r>
    </w:p>
  </w:footnote>
  <w:footnote w:id="319">
    <w:p w14:paraId="4408A6C5" w14:textId="2462B2C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Programme statement Common Foreign and Security Policy</w:t>
      </w:r>
      <w:r w:rsidRPr="00337106">
        <w:rPr>
          <w:szCs w:val="16"/>
        </w:rPr>
        <w:t>,</w:t>
      </w:r>
      <w:r>
        <w:rPr>
          <w:szCs w:val="16"/>
        </w:rPr>
        <w:t xml:space="preserve"> p.</w:t>
      </w:r>
      <w:r>
        <w:rPr>
          <w:rFonts w:ascii="Calibri" w:hAnsi="Calibri" w:cs="Calibri"/>
          <w:szCs w:val="16"/>
        </w:rPr>
        <w:t> </w:t>
      </w:r>
      <w:r w:rsidRPr="00337106">
        <w:rPr>
          <w:szCs w:val="16"/>
        </w:rPr>
        <w:t>2</w:t>
      </w:r>
      <w:r>
        <w:rPr>
          <w:szCs w:val="16"/>
        </w:rPr>
        <w:t>.</w:t>
      </w:r>
    </w:p>
  </w:footnote>
  <w:footnote w:id="320">
    <w:p w14:paraId="1AF2B49A" w14:textId="77777777" w:rsidR="003C0461" w:rsidRPr="007F0831" w:rsidRDefault="003C0461" w:rsidP="005D36C6">
      <w:pPr>
        <w:pStyle w:val="FootnoteText"/>
        <w:rPr>
          <w:szCs w:val="16"/>
        </w:rPr>
      </w:pPr>
      <w:r w:rsidRPr="00145E5A">
        <w:t>(</w:t>
      </w:r>
      <w:r w:rsidRPr="00145E5A">
        <w:rPr>
          <w:rStyle w:val="fnRefNo"/>
        </w:rPr>
        <w:footnoteRef/>
      </w:r>
      <w:r w:rsidRPr="00145E5A">
        <w:t>)</w:t>
      </w:r>
      <w:r w:rsidRPr="007F0831">
        <w:tab/>
      </w:r>
      <w:r w:rsidRPr="00337106">
        <w:rPr>
          <w:szCs w:val="16"/>
        </w:rPr>
        <w:t xml:space="preserve">Proposal of the High Representative of the Union for Foreign Affairs and Security Policy, with the support of the Commission, to the Council for a Council Decision establishing a </w:t>
      </w:r>
      <w:hyperlink r:id="rId146" w:history="1">
        <w:r w:rsidRPr="00337106">
          <w:rPr>
            <w:szCs w:val="16"/>
          </w:rPr>
          <w:t>European Peace Facility</w:t>
        </w:r>
      </w:hyperlink>
      <w:r>
        <w:rPr>
          <w:szCs w:val="16"/>
        </w:rPr>
        <w:t>.</w:t>
      </w:r>
    </w:p>
  </w:footnote>
  <w:footnote w:id="321">
    <w:p w14:paraId="6C073409" w14:textId="0DE4E647" w:rsidR="003C0461" w:rsidRPr="007F0831" w:rsidRDefault="003C0461" w:rsidP="005D36C6">
      <w:pPr>
        <w:pStyle w:val="FootnoteText"/>
      </w:pPr>
      <w:r w:rsidRPr="00145E5A">
        <w:t>(</w:t>
      </w:r>
      <w:r w:rsidRPr="00145E5A">
        <w:rPr>
          <w:rStyle w:val="fnRefNo"/>
        </w:rPr>
        <w:footnoteRef/>
      </w:r>
      <w:r w:rsidRPr="00145E5A">
        <w:t>)</w:t>
      </w:r>
      <w:r w:rsidRPr="007F0831">
        <w:tab/>
      </w:r>
      <w:hyperlink r:id="rId147" w:history="1">
        <w:r w:rsidRPr="00E06AAC">
          <w:rPr>
            <w:rStyle w:val="Hyperlink"/>
          </w:rPr>
          <w:t>https://eeas.europa.eu/headquarters/headquarters-homepage/46331/new-european-peace-facility-worth-%E2%82%AC105-billion-bolster-international-security_en</w:t>
        </w:r>
      </w:hyperlink>
    </w:p>
  </w:footnote>
  <w:footnote w:id="322">
    <w:p w14:paraId="6B643108"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2611A">
        <w:rPr>
          <w:i/>
        </w:rPr>
        <w:t>Programme statement Instrument contributing to Stability and Peace</w:t>
      </w:r>
      <w:r w:rsidRPr="00337106">
        <w:t>,</w:t>
      </w:r>
      <w:r>
        <w:t xml:space="preserve"> p.</w:t>
      </w:r>
      <w:r>
        <w:rPr>
          <w:rFonts w:ascii="Calibri" w:hAnsi="Calibri" w:cs="Calibri"/>
        </w:rPr>
        <w:t> </w:t>
      </w:r>
      <w:r w:rsidRPr="00337106">
        <w:t>2</w:t>
      </w:r>
      <w:r>
        <w:t>.</w:t>
      </w:r>
    </w:p>
  </w:footnote>
  <w:footnote w:id="323">
    <w:p w14:paraId="7DB9F22B"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5A39D4">
        <w:t>Service for Foreign Policy Instruments</w:t>
      </w:r>
      <w:r>
        <w:t xml:space="preserve">, </w:t>
      </w:r>
      <w:r w:rsidRPr="0032611A">
        <w:rPr>
          <w:i/>
        </w:rPr>
        <w:t>Annual activity report. 2018</w:t>
      </w:r>
      <w:r w:rsidRPr="00337106">
        <w:t>,</w:t>
      </w:r>
      <w:r>
        <w:t xml:space="preserve"> p.</w:t>
      </w:r>
      <w:r>
        <w:rPr>
          <w:rFonts w:ascii="Calibri" w:hAnsi="Calibri" w:cs="Calibri"/>
        </w:rPr>
        <w:t> </w:t>
      </w:r>
      <w:r w:rsidRPr="00337106">
        <w:t>2</w:t>
      </w:r>
      <w:r>
        <w:t>5.</w:t>
      </w:r>
    </w:p>
  </w:footnote>
  <w:footnote w:id="324">
    <w:p w14:paraId="618C5BF9" w14:textId="7777777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2611A">
        <w:rPr>
          <w:i/>
        </w:rPr>
        <w:t>Programme statement Instrument contributing to Stability and Peace,</w:t>
      </w:r>
      <w:r>
        <w:t xml:space="preserve"> p.</w:t>
      </w:r>
      <w:r>
        <w:rPr>
          <w:rFonts w:ascii="Calibri" w:hAnsi="Calibri" w:cs="Calibri"/>
        </w:rPr>
        <w:t> </w:t>
      </w:r>
      <w:r>
        <w:t>3.</w:t>
      </w:r>
    </w:p>
  </w:footnote>
  <w:footnote w:id="325">
    <w:p w14:paraId="60B13F24" w14:textId="6D7CBD9B"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2611A">
        <w:rPr>
          <w:i/>
        </w:rPr>
        <w:t>Programme statement Instrument contributing to Stability and Peace</w:t>
      </w:r>
      <w:r w:rsidRPr="00337106">
        <w:t>,</w:t>
      </w:r>
      <w:r>
        <w:t xml:space="preserve"> p.</w:t>
      </w:r>
      <w:r w:rsidRPr="001D3295">
        <w:t>3</w:t>
      </w:r>
      <w:r>
        <w:t>.</w:t>
      </w:r>
    </w:p>
  </w:footnote>
  <w:footnote w:id="326">
    <w:p w14:paraId="284664B6" w14:textId="6582E768" w:rsidR="003C0461" w:rsidRDefault="003C0461" w:rsidP="00C81E38">
      <w:pPr>
        <w:pStyle w:val="FootnoteText"/>
      </w:pPr>
      <w:r w:rsidRPr="00145E5A">
        <w:t>(</w:t>
      </w:r>
      <w:r w:rsidRPr="00145E5A">
        <w:rPr>
          <w:rStyle w:val="fnRefNo"/>
        </w:rPr>
        <w:footnoteRef/>
      </w:r>
      <w:r w:rsidRPr="00145E5A">
        <w:t>)</w:t>
      </w:r>
      <w:r w:rsidRPr="0032611A">
        <w:tab/>
      </w:r>
      <w:r w:rsidRPr="0032611A">
        <w:rPr>
          <w:i/>
        </w:rPr>
        <w:t>Programme statement Instrument contributing to Stability and Peace</w:t>
      </w:r>
      <w:r w:rsidRPr="00337106">
        <w:t>,</w:t>
      </w:r>
      <w:r>
        <w:t xml:space="preserve"> p.2.</w:t>
      </w:r>
    </w:p>
  </w:footnote>
  <w:footnote w:id="327">
    <w:p w14:paraId="0AD02033" w14:textId="77777777" w:rsidR="003C0461" w:rsidRPr="007F0831" w:rsidRDefault="003C0461" w:rsidP="005D36C6">
      <w:pPr>
        <w:pStyle w:val="FootnoteText"/>
        <w:rPr>
          <w:sz w:val="18"/>
          <w:szCs w:val="18"/>
        </w:rPr>
      </w:pPr>
      <w:r w:rsidRPr="00145E5A">
        <w:t>(</w:t>
      </w:r>
      <w:r w:rsidRPr="00145E5A">
        <w:rPr>
          <w:rStyle w:val="fnRefNo"/>
        </w:rPr>
        <w:footnoteRef/>
      </w:r>
      <w:r w:rsidRPr="00145E5A">
        <w:t>)</w:t>
      </w:r>
      <w:r w:rsidRPr="007F0831">
        <w:tab/>
      </w:r>
      <w:r w:rsidRPr="0032611A">
        <w:rPr>
          <w:i/>
        </w:rPr>
        <w:t>Midterm evaluation of the Instrument contributing to stability and peace</w:t>
      </w:r>
      <w:r w:rsidRPr="00337106">
        <w:t xml:space="preserve">, </w:t>
      </w:r>
      <w:hyperlink r:id="rId148" w:history="1">
        <w:r w:rsidRPr="00337106">
          <w:t>SWD(2017)607</w:t>
        </w:r>
      </w:hyperlink>
      <w:r>
        <w:t>.</w:t>
      </w:r>
    </w:p>
  </w:footnote>
  <w:footnote w:id="328">
    <w:p w14:paraId="6D6FE904"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Midterm evaluation of the Instrument contributing to stability and peace</w:t>
      </w:r>
      <w:r w:rsidRPr="00337106">
        <w:rPr>
          <w:szCs w:val="16"/>
        </w:rPr>
        <w:t xml:space="preserve">, </w:t>
      </w:r>
      <w:hyperlink r:id="rId149" w:history="1">
        <w:r w:rsidRPr="00337106">
          <w:rPr>
            <w:szCs w:val="16"/>
          </w:rPr>
          <w:t>SWD(2017)607</w:t>
        </w:r>
      </w:hyperlink>
      <w:r w:rsidRPr="007F0831">
        <w:rPr>
          <w:szCs w:val="16"/>
        </w:rPr>
        <w:t>,</w:t>
      </w:r>
      <w:r>
        <w:rPr>
          <w:szCs w:val="16"/>
        </w:rPr>
        <w:t xml:space="preserve"> p.</w:t>
      </w:r>
      <w:r>
        <w:rPr>
          <w:rFonts w:ascii="Calibri" w:hAnsi="Calibri" w:cs="Calibri"/>
          <w:szCs w:val="16"/>
        </w:rPr>
        <w:t> </w:t>
      </w:r>
      <w:r w:rsidRPr="007F0831">
        <w:rPr>
          <w:szCs w:val="16"/>
        </w:rPr>
        <w:t>22</w:t>
      </w:r>
      <w:r>
        <w:rPr>
          <w:szCs w:val="16"/>
        </w:rPr>
        <w:t>.</w:t>
      </w:r>
    </w:p>
  </w:footnote>
  <w:footnote w:id="329">
    <w:p w14:paraId="794B29E6"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rPr>
          <w:szCs w:val="16"/>
        </w:rPr>
        <w:t xml:space="preserve">Proposal for a Regulation establishing the Neighbourhood, Development and International Cooperation Instrument, </w:t>
      </w:r>
      <w:r w:rsidRPr="00337106">
        <w:t>COM(2018) 460</w:t>
      </w:r>
      <w:r>
        <w:t>.</w:t>
      </w:r>
    </w:p>
  </w:footnote>
  <w:footnote w:id="330">
    <w:p w14:paraId="539348AD"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37106">
        <w:rPr>
          <w:szCs w:val="16"/>
        </w:rPr>
        <w:t xml:space="preserve">Proposal for a Regulation establishing the Neighbourhood, Development and International Cooperation Instrument, </w:t>
      </w:r>
      <w:hyperlink r:id="rId150" w:history="1">
        <w:r w:rsidRPr="00337106">
          <w:rPr>
            <w:rStyle w:val="Hyperlink"/>
            <w:szCs w:val="16"/>
          </w:rPr>
          <w:t>COM(2018) 460</w:t>
        </w:r>
      </w:hyperlink>
      <w:r w:rsidRPr="007F0831">
        <w:rPr>
          <w:szCs w:val="16"/>
        </w:rPr>
        <w:t>,</w:t>
      </w:r>
      <w:r>
        <w:rPr>
          <w:szCs w:val="16"/>
        </w:rPr>
        <w:t xml:space="preserve"> p.</w:t>
      </w:r>
      <w:r>
        <w:rPr>
          <w:rFonts w:ascii="Calibri" w:hAnsi="Calibri" w:cs="Calibri"/>
          <w:szCs w:val="16"/>
        </w:rPr>
        <w:t> </w:t>
      </w:r>
      <w:r w:rsidRPr="007F0831">
        <w:rPr>
          <w:szCs w:val="16"/>
        </w:rPr>
        <w:t>2</w:t>
      </w:r>
      <w:r>
        <w:rPr>
          <w:szCs w:val="16"/>
        </w:rPr>
        <w:t>.</w:t>
      </w:r>
    </w:p>
  </w:footnote>
  <w:footnote w:id="331">
    <w:p w14:paraId="5457F2E2"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Programme statement Partnership Instrument,</w:t>
      </w:r>
      <w:r w:rsidRPr="00337106">
        <w:rPr>
          <w:szCs w:val="16"/>
        </w:rPr>
        <w:t xml:space="preserve"> </w:t>
      </w:r>
      <w:r>
        <w:rPr>
          <w:szCs w:val="16"/>
        </w:rPr>
        <w:t>p.</w:t>
      </w:r>
      <w:r>
        <w:rPr>
          <w:rFonts w:ascii="Calibri" w:hAnsi="Calibri" w:cs="Calibri"/>
          <w:szCs w:val="16"/>
        </w:rPr>
        <w:t> </w:t>
      </w:r>
      <w:r w:rsidRPr="00337106">
        <w:rPr>
          <w:szCs w:val="16"/>
        </w:rPr>
        <w:t>1</w:t>
      </w:r>
      <w:r>
        <w:rPr>
          <w:szCs w:val="16"/>
        </w:rPr>
        <w:t>.</w:t>
      </w:r>
    </w:p>
  </w:footnote>
  <w:footnote w:id="332">
    <w:p w14:paraId="4D0DA05E"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Programme statement Partnership Instrument</w:t>
      </w:r>
      <w:r w:rsidRPr="00337106">
        <w:rPr>
          <w:szCs w:val="16"/>
        </w:rPr>
        <w:t>,</w:t>
      </w:r>
      <w:r>
        <w:rPr>
          <w:szCs w:val="16"/>
        </w:rPr>
        <w:t xml:space="preserve"> p.</w:t>
      </w:r>
      <w:r>
        <w:rPr>
          <w:rFonts w:ascii="Calibri" w:hAnsi="Calibri" w:cs="Calibri"/>
          <w:szCs w:val="16"/>
        </w:rPr>
        <w:t> </w:t>
      </w:r>
      <w:r w:rsidRPr="00337106">
        <w:rPr>
          <w:szCs w:val="16"/>
        </w:rPr>
        <w:t>2</w:t>
      </w:r>
      <w:r>
        <w:rPr>
          <w:szCs w:val="16"/>
        </w:rPr>
        <w:t>.</w:t>
      </w:r>
    </w:p>
  </w:footnote>
  <w:footnote w:id="333">
    <w:p w14:paraId="1ECE0EF1"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Programme statement Partnership Instrument</w:t>
      </w:r>
      <w:r w:rsidRPr="00337106">
        <w:rPr>
          <w:szCs w:val="16"/>
        </w:rPr>
        <w:t>,</w:t>
      </w:r>
      <w:r>
        <w:rPr>
          <w:szCs w:val="16"/>
        </w:rPr>
        <w:t xml:space="preserve"> p.</w:t>
      </w:r>
      <w:r>
        <w:rPr>
          <w:rFonts w:ascii="Calibri" w:hAnsi="Calibri" w:cs="Calibri"/>
          <w:szCs w:val="16"/>
        </w:rPr>
        <w:t> </w:t>
      </w:r>
      <w:r w:rsidRPr="00337106">
        <w:rPr>
          <w:szCs w:val="16"/>
        </w:rPr>
        <w:t>2</w:t>
      </w:r>
      <w:r>
        <w:rPr>
          <w:szCs w:val="16"/>
        </w:rPr>
        <w:t>.</w:t>
      </w:r>
    </w:p>
  </w:footnote>
  <w:footnote w:id="334">
    <w:p w14:paraId="621FF064"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8F6AB4">
        <w:tab/>
      </w:r>
      <w:hyperlink r:id="rId151" w:history="1">
        <w:r w:rsidRPr="0032611A">
          <w:rPr>
            <w:rStyle w:val="Hyperlink"/>
            <w:i/>
            <w:szCs w:val="16"/>
          </w:rPr>
          <w:t>External Evaluation of the Partnership Instrument (2014-mid-2017)</w:t>
        </w:r>
      </w:hyperlink>
      <w:r w:rsidRPr="007F0831">
        <w:rPr>
          <w:szCs w:val="16"/>
        </w:rPr>
        <w:t>,</w:t>
      </w:r>
      <w:r>
        <w:rPr>
          <w:szCs w:val="16"/>
        </w:rPr>
        <w:t xml:space="preserve"> p.</w:t>
      </w:r>
      <w:r>
        <w:rPr>
          <w:rFonts w:ascii="Calibri" w:hAnsi="Calibri" w:cs="Calibri"/>
          <w:szCs w:val="16"/>
        </w:rPr>
        <w:t> </w:t>
      </w:r>
      <w:r>
        <w:rPr>
          <w:szCs w:val="16"/>
        </w:rPr>
        <w:t>48.</w:t>
      </w:r>
      <w:r w:rsidRPr="007F0831">
        <w:rPr>
          <w:szCs w:val="16"/>
        </w:rPr>
        <w:t xml:space="preserve"> </w:t>
      </w:r>
    </w:p>
  </w:footnote>
  <w:footnote w:id="335">
    <w:p w14:paraId="7E56190C" w14:textId="77777777"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32611A">
        <w:rPr>
          <w:i/>
          <w:szCs w:val="16"/>
        </w:rPr>
        <w:t>Mid-term evaluation of the Partnership Instrument for cooperation with third countries</w:t>
      </w:r>
      <w:r w:rsidRPr="00337106">
        <w:rPr>
          <w:szCs w:val="16"/>
        </w:rPr>
        <w:t xml:space="preserve">, </w:t>
      </w:r>
      <w:hyperlink r:id="rId152" w:history="1">
        <w:r w:rsidRPr="00337106">
          <w:rPr>
            <w:rStyle w:val="Hyperlink"/>
            <w:szCs w:val="16"/>
          </w:rPr>
          <w:t>SWD(2017)608</w:t>
        </w:r>
      </w:hyperlink>
      <w:r>
        <w:rPr>
          <w:szCs w:val="16"/>
        </w:rPr>
        <w:t>.</w:t>
      </w:r>
      <w:r>
        <w:rPr>
          <w:rFonts w:ascii="Calibri" w:hAnsi="Calibri" w:cs="Calibri"/>
          <w:szCs w:val="16"/>
        </w:rPr>
        <w:t> </w:t>
      </w:r>
    </w:p>
  </w:footnote>
  <w:footnote w:id="336">
    <w:p w14:paraId="480BD0B4" w14:textId="7E6FC79F" w:rsidR="003C0461" w:rsidRPr="00337106" w:rsidRDefault="003C0461" w:rsidP="005D36C6">
      <w:pPr>
        <w:pStyle w:val="FootnoteText"/>
        <w:rPr>
          <w:szCs w:val="16"/>
        </w:rPr>
      </w:pPr>
      <w:r w:rsidRPr="00145E5A">
        <w:t>(</w:t>
      </w:r>
      <w:r w:rsidRPr="00145E5A">
        <w:rPr>
          <w:rStyle w:val="fnRefNo"/>
        </w:rPr>
        <w:footnoteRef/>
      </w:r>
      <w:r w:rsidRPr="00145E5A">
        <w:t>)</w:t>
      </w:r>
      <w:r w:rsidRPr="007F0831">
        <w:tab/>
      </w:r>
      <w:r w:rsidRPr="005A39D4">
        <w:t>Service for Foreign Policy Instruments</w:t>
      </w:r>
      <w:r>
        <w:t xml:space="preserve">, </w:t>
      </w:r>
      <w:r w:rsidRPr="0032611A">
        <w:rPr>
          <w:i/>
        </w:rPr>
        <w:t>2018</w:t>
      </w:r>
      <w:r w:rsidRPr="0032611A" w:rsidDel="006B1C00">
        <w:rPr>
          <w:i/>
          <w:szCs w:val="16"/>
        </w:rPr>
        <w:t xml:space="preserve"> </w:t>
      </w:r>
      <w:r w:rsidRPr="003D55F2">
        <w:rPr>
          <w:i/>
          <w:szCs w:val="16"/>
        </w:rPr>
        <w:t>A</w:t>
      </w:r>
      <w:r w:rsidRPr="0032611A">
        <w:rPr>
          <w:i/>
          <w:szCs w:val="16"/>
        </w:rPr>
        <w:t>nnual activity report,</w:t>
      </w:r>
      <w:r w:rsidRPr="00337106">
        <w:rPr>
          <w:szCs w:val="16"/>
        </w:rPr>
        <w:t xml:space="preserve"> </w:t>
      </w:r>
      <w:r>
        <w:rPr>
          <w:szCs w:val="16"/>
        </w:rPr>
        <w:t>p.</w:t>
      </w:r>
      <w:r>
        <w:rPr>
          <w:rFonts w:ascii="Calibri" w:hAnsi="Calibri" w:cs="Calibri"/>
          <w:szCs w:val="16"/>
        </w:rPr>
        <w:t> </w:t>
      </w:r>
      <w:r>
        <w:rPr>
          <w:szCs w:val="16"/>
        </w:rPr>
        <w:t>46.</w:t>
      </w:r>
    </w:p>
  </w:footnote>
  <w:footnote w:id="337">
    <w:p w14:paraId="0852603C" w14:textId="21FD9332" w:rsidR="003C0461" w:rsidRPr="007F0831" w:rsidRDefault="003C0461" w:rsidP="005D36C6">
      <w:pPr>
        <w:pStyle w:val="FootnoteText"/>
        <w:rPr>
          <w:szCs w:val="16"/>
        </w:rPr>
      </w:pPr>
      <w:r w:rsidRPr="00145E5A">
        <w:t>(</w:t>
      </w:r>
      <w:r w:rsidRPr="00145E5A">
        <w:rPr>
          <w:rStyle w:val="fnRefNo"/>
        </w:rPr>
        <w:footnoteRef/>
      </w:r>
      <w:r w:rsidRPr="00145E5A">
        <w:t>)</w:t>
      </w:r>
      <w:r w:rsidRPr="007F0831">
        <w:tab/>
      </w:r>
      <w:r w:rsidRPr="00337106">
        <w:rPr>
          <w:szCs w:val="16"/>
        </w:rPr>
        <w:t xml:space="preserve">Proposal for a Regulation establishing the Neighbourhood, Development and International Cooperation Instrument, </w:t>
      </w:r>
      <w:hyperlink r:id="rId153" w:history="1">
        <w:r w:rsidRPr="00337106">
          <w:rPr>
            <w:rStyle w:val="Hyperlink"/>
            <w:szCs w:val="16"/>
          </w:rPr>
          <w:t>COM(2018) 460</w:t>
        </w:r>
      </w:hyperlink>
      <w:r>
        <w:rPr>
          <w:rStyle w:val="Hyperlink"/>
          <w:szCs w:val="16"/>
        </w:rPr>
        <w:t>.</w:t>
      </w:r>
    </w:p>
  </w:footnote>
  <w:footnote w:id="338">
    <w:p w14:paraId="5B42A547" w14:textId="77777777" w:rsidR="003C0461" w:rsidRPr="00724D95" w:rsidRDefault="003C0461" w:rsidP="005D36C6">
      <w:pPr>
        <w:pStyle w:val="FootnoteText"/>
      </w:pPr>
      <w:r w:rsidRPr="00145E5A">
        <w:t>(</w:t>
      </w:r>
      <w:r w:rsidRPr="00145E5A">
        <w:rPr>
          <w:rStyle w:val="fnRefNo"/>
        </w:rPr>
        <w:footnoteRef/>
      </w:r>
      <w:r w:rsidRPr="00145E5A">
        <w:t>)</w:t>
      </w:r>
      <w:r w:rsidRPr="007F0831">
        <w:tab/>
      </w:r>
      <w:r w:rsidRPr="00337106">
        <w:rPr>
          <w:lang w:eastAsia="fr-BE"/>
        </w:rPr>
        <w:t>Signed on 28</w:t>
      </w:r>
      <w:r>
        <w:rPr>
          <w:rFonts w:ascii="Calibri" w:hAnsi="Calibri" w:cs="Calibri"/>
          <w:lang w:eastAsia="fr-BE"/>
        </w:rPr>
        <w:t> </w:t>
      </w:r>
      <w:r w:rsidRPr="00337106">
        <w:t>October</w:t>
      </w:r>
      <w:r>
        <w:rPr>
          <w:rFonts w:ascii="Calibri" w:hAnsi="Calibri" w:cs="Calibri"/>
          <w:lang w:eastAsia="fr-BE"/>
        </w:rPr>
        <w:t> </w:t>
      </w:r>
      <w:r w:rsidRPr="00337106">
        <w:rPr>
          <w:lang w:eastAsia="fr-BE"/>
        </w:rPr>
        <w:t>2014 following the Council Decision 2014/137/EU of 14</w:t>
      </w:r>
      <w:r>
        <w:rPr>
          <w:rFonts w:ascii="Calibri" w:hAnsi="Calibri" w:cs="Calibri"/>
          <w:lang w:eastAsia="fr-BE"/>
        </w:rPr>
        <w:t> </w:t>
      </w:r>
      <w:r w:rsidRPr="00337106">
        <w:rPr>
          <w:lang w:eastAsia="fr-BE"/>
        </w:rPr>
        <w:t>March</w:t>
      </w:r>
      <w:r>
        <w:rPr>
          <w:rFonts w:ascii="Calibri" w:hAnsi="Calibri" w:cs="Calibri"/>
          <w:lang w:eastAsia="fr-BE"/>
        </w:rPr>
        <w:t> </w:t>
      </w:r>
      <w:r w:rsidRPr="00337106">
        <w:rPr>
          <w:lang w:eastAsia="fr-BE"/>
        </w:rPr>
        <w:t xml:space="preserve">2014 on relations between the European Union on the one hand, and Greenland and the </w:t>
      </w:r>
      <w:r>
        <w:rPr>
          <w:lang w:eastAsia="fr-BE"/>
        </w:rPr>
        <w:t>Kingdom of Denmark on the other.</w:t>
      </w:r>
    </w:p>
  </w:footnote>
  <w:footnote w:id="339">
    <w:p w14:paraId="26CB7993" w14:textId="77777777" w:rsidR="003C0461" w:rsidRPr="00337106" w:rsidRDefault="003C0461" w:rsidP="005D36C6">
      <w:pPr>
        <w:pStyle w:val="FootnoteText"/>
      </w:pPr>
      <w:r w:rsidRPr="00145E5A">
        <w:t>(</w:t>
      </w:r>
      <w:r w:rsidRPr="00145E5A">
        <w:rPr>
          <w:rStyle w:val="fnRefNo"/>
        </w:rPr>
        <w:footnoteRef/>
      </w:r>
      <w:r w:rsidRPr="00145E5A">
        <w:t>)</w:t>
      </w:r>
      <w:r w:rsidRPr="00790426">
        <w:tab/>
      </w:r>
      <w:r w:rsidRPr="007F0831">
        <w:t>COM(2018) 461</w:t>
      </w:r>
      <w:r>
        <w:t>.</w:t>
      </w:r>
    </w:p>
  </w:footnote>
  <w:footnote w:id="340">
    <w:p w14:paraId="6703BBA4" w14:textId="77777777" w:rsidR="003C0461" w:rsidRPr="00724D95" w:rsidRDefault="003C0461" w:rsidP="005D36C6">
      <w:pPr>
        <w:pStyle w:val="FootnoteText"/>
      </w:pPr>
      <w:r w:rsidRPr="00145E5A">
        <w:t>(</w:t>
      </w:r>
      <w:r w:rsidRPr="00145E5A">
        <w:rPr>
          <w:rStyle w:val="fnRefNo"/>
        </w:rPr>
        <w:footnoteRef/>
      </w:r>
      <w:r w:rsidRPr="00145E5A">
        <w:t>)</w:t>
      </w:r>
      <w:r w:rsidRPr="007F0831">
        <w:tab/>
      </w:r>
      <w:r w:rsidRPr="0032611A">
        <w:rPr>
          <w:i/>
        </w:rPr>
        <w:t>Programme statement on Turkish Cypriots Financial Aid,</w:t>
      </w:r>
      <w:r w:rsidRPr="00724D95">
        <w:t xml:space="preserve"> p. 2</w:t>
      </w:r>
      <w:r>
        <w:t>.</w:t>
      </w:r>
    </w:p>
  </w:footnote>
  <w:footnote w:id="341">
    <w:p w14:paraId="1542681C" w14:textId="77777777" w:rsidR="003C0461" w:rsidRPr="00724D95" w:rsidRDefault="003C0461" w:rsidP="005D36C6">
      <w:pPr>
        <w:pStyle w:val="FootnoteText"/>
      </w:pPr>
      <w:r w:rsidRPr="00145E5A">
        <w:t>(</w:t>
      </w:r>
      <w:r w:rsidRPr="00145E5A">
        <w:rPr>
          <w:rStyle w:val="fnRefNo"/>
        </w:rPr>
        <w:footnoteRef/>
      </w:r>
      <w:r w:rsidRPr="00145E5A">
        <w:t>)</w:t>
      </w:r>
      <w:r w:rsidRPr="007F0831">
        <w:tab/>
      </w:r>
      <w:r w:rsidRPr="00337106">
        <w:t>Council Regulation (Euratom) No 237/2014 of 13</w:t>
      </w:r>
      <w:r>
        <w:rPr>
          <w:rFonts w:ascii="Calibri" w:hAnsi="Calibri" w:cs="Calibri"/>
        </w:rPr>
        <w:t> </w:t>
      </w:r>
      <w:r w:rsidRPr="00337106">
        <w:t>December</w:t>
      </w:r>
      <w:r>
        <w:rPr>
          <w:rFonts w:ascii="Calibri" w:hAnsi="Calibri" w:cs="Calibri"/>
        </w:rPr>
        <w:t> </w:t>
      </w:r>
      <w:r w:rsidRPr="00337106">
        <w:t>2013 establishing an Instrument for Nuclear Safety Cooperation</w:t>
      </w:r>
      <w:r>
        <w:t>.</w:t>
      </w:r>
    </w:p>
  </w:footnote>
  <w:footnote w:id="342">
    <w:p w14:paraId="2FA0B25F" w14:textId="5EA1738A" w:rsidR="003C0461" w:rsidRDefault="003C0461" w:rsidP="005D36C6">
      <w:pPr>
        <w:pStyle w:val="FootnoteText"/>
      </w:pPr>
      <w:r w:rsidRPr="00145E5A">
        <w:t>(</w:t>
      </w:r>
      <w:r w:rsidRPr="00145E5A">
        <w:rPr>
          <w:rStyle w:val="fnRefNo"/>
        </w:rPr>
        <w:footnoteRef/>
      </w:r>
      <w:r w:rsidRPr="00145E5A">
        <w:t>)</w:t>
      </w:r>
      <w:r w:rsidRPr="0032611A">
        <w:tab/>
      </w:r>
      <w:hyperlink r:id="rId154" w:history="1">
        <w:r w:rsidRPr="000634D9">
          <w:rPr>
            <w:rStyle w:val="Hyperlink"/>
          </w:rPr>
          <w:t>http://europa.eu/rapid/press-release_MEMO-92-54_en.htm</w:t>
        </w:r>
      </w:hyperlink>
    </w:p>
  </w:footnote>
  <w:footnote w:id="343">
    <w:p w14:paraId="42E7A2D4" w14:textId="77777777" w:rsidR="003C0461" w:rsidRPr="0005798F" w:rsidRDefault="003C0461" w:rsidP="005D36C6">
      <w:pPr>
        <w:pStyle w:val="FootnoteText"/>
        <w:rPr>
          <w:lang w:val="pt-PT"/>
        </w:rPr>
      </w:pPr>
      <w:r w:rsidRPr="0005798F">
        <w:rPr>
          <w:lang w:val="pt-PT"/>
        </w:rPr>
        <w:t>(</w:t>
      </w:r>
      <w:r w:rsidRPr="00145E5A">
        <w:rPr>
          <w:rStyle w:val="fnRefNo"/>
        </w:rPr>
        <w:footnoteRef/>
      </w:r>
      <w:r w:rsidRPr="0005798F">
        <w:rPr>
          <w:lang w:val="pt-PT"/>
        </w:rPr>
        <w:t>)</w:t>
      </w:r>
      <w:r w:rsidRPr="0005798F">
        <w:rPr>
          <w:lang w:val="pt-PT"/>
        </w:rPr>
        <w:tab/>
        <w:t>COM(2018) 462.</w:t>
      </w:r>
    </w:p>
  </w:footnote>
  <w:footnote w:id="344">
    <w:p w14:paraId="6B2C4E04" w14:textId="76B77015" w:rsidR="003C0461" w:rsidRPr="0005798F" w:rsidRDefault="003C0461">
      <w:pPr>
        <w:pStyle w:val="FootnoteText"/>
        <w:rPr>
          <w:lang w:val="pt-PT"/>
        </w:rPr>
      </w:pPr>
      <w:r w:rsidRPr="0005798F">
        <w:rPr>
          <w:lang w:val="pt-PT"/>
        </w:rPr>
        <w:t>(</w:t>
      </w:r>
      <w:r w:rsidRPr="00145E5A">
        <w:rPr>
          <w:rStyle w:val="fnRefNo"/>
        </w:rPr>
        <w:footnoteRef/>
      </w:r>
      <w:r w:rsidRPr="0005798F">
        <w:rPr>
          <w:lang w:val="pt-PT"/>
        </w:rPr>
        <w:t>)</w:t>
      </w:r>
      <w:r w:rsidRPr="0005798F">
        <w:rPr>
          <w:lang w:val="pt-PT"/>
        </w:rPr>
        <w:tab/>
      </w:r>
      <w:hyperlink r:id="rId155" w:history="1">
        <w:r w:rsidRPr="0005798F">
          <w:rPr>
            <w:rStyle w:val="Hyperlink"/>
            <w:lang w:val="pt-PT"/>
          </w:rPr>
          <w:t>https://ec.europa.eu/neighbourhood-enlargement/sites/near/files/frit_factsheet.pdf</w:t>
        </w:r>
      </w:hyperlink>
    </w:p>
  </w:footnote>
  <w:footnote w:id="345">
    <w:p w14:paraId="4B5E8152" w14:textId="5639B998" w:rsidR="003C0461" w:rsidRPr="00724D95" w:rsidRDefault="003C0461" w:rsidP="005D36C6">
      <w:pPr>
        <w:pStyle w:val="FootnoteText"/>
        <w:rPr>
          <w:rStyle w:val="Hyperlink"/>
          <w:rFonts w:eastAsiaTheme="minorHAnsi"/>
          <w:noProof w:val="0"/>
          <w:sz w:val="18"/>
          <w:szCs w:val="18"/>
          <w:lang w:eastAsia="en-US"/>
        </w:rPr>
      </w:pPr>
      <w:r w:rsidRPr="00145E5A">
        <w:t>(</w:t>
      </w:r>
      <w:r w:rsidRPr="00145E5A">
        <w:rPr>
          <w:rStyle w:val="fnRefNo"/>
        </w:rPr>
        <w:footnoteRef/>
      </w:r>
      <w:r w:rsidRPr="00145E5A">
        <w:t>)</w:t>
      </w:r>
      <w:r w:rsidRPr="007F0831">
        <w:tab/>
      </w:r>
      <w:r>
        <w:t>‘</w:t>
      </w:r>
      <w:r w:rsidRPr="00337106">
        <w:t xml:space="preserve">The </w:t>
      </w:r>
      <w:r>
        <w:t>f</w:t>
      </w:r>
      <w:r w:rsidRPr="00337106">
        <w:t xml:space="preserve">acility for </w:t>
      </w:r>
      <w:r>
        <w:t>r</w:t>
      </w:r>
      <w:r w:rsidRPr="00337106">
        <w:t>efugees in Turkey: helpful support, but improvements needed to deliver more value for money</w:t>
      </w:r>
      <w:r>
        <w:t xml:space="preserve">’, </w:t>
      </w:r>
      <w:r w:rsidRPr="00516423">
        <w:rPr>
          <w:i/>
        </w:rPr>
        <w:t>Special Report</w:t>
      </w:r>
      <w:r>
        <w:t xml:space="preserve"> </w:t>
      </w:r>
      <w:r w:rsidRPr="0032611A">
        <w:rPr>
          <w:i/>
        </w:rPr>
        <w:t>No 27/2018</w:t>
      </w:r>
      <w:r w:rsidRPr="00724D95">
        <w:t xml:space="preserve">; </w:t>
      </w:r>
      <w:hyperlink r:id="rId156" w:history="1">
        <w:r w:rsidRPr="004B172B">
          <w:rPr>
            <w:rStyle w:val="Hyperlink"/>
          </w:rPr>
          <w:t>https://www.eca.europa.eu/Lists/ECADocuments/SR18_27/SR_TRF_EN.pdf</w:t>
        </w:r>
      </w:hyperlink>
    </w:p>
  </w:footnote>
  <w:footnote w:id="346">
    <w:p w14:paraId="03940C9F" w14:textId="62BF866C" w:rsidR="003C0461" w:rsidRPr="00337106" w:rsidRDefault="003C0461" w:rsidP="005D36C6">
      <w:pPr>
        <w:pStyle w:val="FootnoteText"/>
      </w:pPr>
      <w:r w:rsidRPr="00145E5A">
        <w:t>(</w:t>
      </w:r>
      <w:r w:rsidRPr="00145E5A">
        <w:rPr>
          <w:rStyle w:val="fnRefNo"/>
        </w:rPr>
        <w:footnoteRef/>
      </w:r>
      <w:r w:rsidRPr="00145E5A">
        <w:t>)</w:t>
      </w:r>
      <w:r w:rsidRPr="007F0831">
        <w:tab/>
      </w:r>
      <w:r w:rsidRPr="00337106">
        <w:t>See more details on macro</w:t>
      </w:r>
      <w:r>
        <w:t>-</w:t>
      </w:r>
      <w:r w:rsidRPr="00337106">
        <w:t xml:space="preserve">financial assistance </w:t>
      </w:r>
      <w:hyperlink r:id="rId157" w:anchor="documents" w:history="1">
        <w:r w:rsidRPr="00A57229">
          <w:rPr>
            <w:rStyle w:val="Hyperlink"/>
          </w:rPr>
          <w:t>https://ec.europa.eu/info/business-economy-euro/economic-and-fiscal-policy-coordination/international-economic-relations/macro-financial-assistance-mfa-non-eu-partner-countries_en#documents</w:t>
        </w:r>
      </w:hyperlink>
    </w:p>
  </w:footnote>
  <w:footnote w:id="347">
    <w:p w14:paraId="61B4DD77"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37106">
        <w:t xml:space="preserve">Each </w:t>
      </w:r>
      <w:r>
        <w:t>m</w:t>
      </w:r>
      <w:r w:rsidRPr="00337106">
        <w:t>acro-</w:t>
      </w:r>
      <w:r>
        <w:t>f</w:t>
      </w:r>
      <w:r w:rsidRPr="00337106">
        <w:t xml:space="preserve">inancial </w:t>
      </w:r>
      <w:r>
        <w:t>a</w:t>
      </w:r>
      <w:r w:rsidRPr="00337106">
        <w:t>ssistance programme is based on an ad hoc Legislative Decision (usually co-decision by the European Parliament and Council under the ordinary legislative procedure). The grants are financed from the EU budget.</w:t>
      </w:r>
    </w:p>
  </w:footnote>
  <w:footnote w:id="348">
    <w:p w14:paraId="6C6EFD87" w14:textId="1FBFF911" w:rsidR="003C0461" w:rsidRPr="00703B41" w:rsidRDefault="003C0461" w:rsidP="00436E5A">
      <w:pPr>
        <w:pStyle w:val="FootnoteText"/>
      </w:pPr>
      <w:r w:rsidRPr="00145E5A">
        <w:t>(</w:t>
      </w:r>
      <w:r w:rsidRPr="00145E5A">
        <w:rPr>
          <w:rStyle w:val="fnRefNo"/>
        </w:rPr>
        <w:footnoteRef/>
      </w:r>
      <w:r w:rsidRPr="00145E5A">
        <w:t>)</w:t>
      </w:r>
      <w:r w:rsidRPr="0032611A">
        <w:tab/>
        <w:t xml:space="preserve">All </w:t>
      </w:r>
      <w:r w:rsidRPr="0032611A">
        <w:rPr>
          <w:i/>
        </w:rPr>
        <w:t>ex post</w:t>
      </w:r>
      <w:r w:rsidRPr="0032611A">
        <w:t xml:space="preserve"> evaluations are available on the </w:t>
      </w:r>
      <w:r w:rsidRPr="00A04E56">
        <w:t>D</w:t>
      </w:r>
      <w:r>
        <w:t>irectorate-</w:t>
      </w:r>
      <w:r w:rsidRPr="00A04E56">
        <w:t>G</w:t>
      </w:r>
      <w:r>
        <w:t>eneral</w:t>
      </w:r>
      <w:r w:rsidRPr="0032611A">
        <w:t xml:space="preserve"> </w:t>
      </w:r>
      <w:r w:rsidRPr="0091171A">
        <w:t>Economic and Financial Affairs</w:t>
      </w:r>
      <w:r w:rsidRPr="0032611A">
        <w:t xml:space="preserve"> website: </w:t>
      </w:r>
      <w:hyperlink r:id="rId158" w:history="1">
        <w:r w:rsidRPr="00A57229">
          <w:rPr>
            <w:rStyle w:val="Hyperlink"/>
          </w:rPr>
          <w:t>https://ec.europa.eu/info/evaluation-reports-economic-and-financial-affairs-policies-and-spending-activities_en</w:t>
        </w:r>
      </w:hyperlink>
    </w:p>
  </w:footnote>
  <w:footnote w:id="349">
    <w:p w14:paraId="72A116CA" w14:textId="08A9042F" w:rsidR="003C0461" w:rsidRPr="00724D95" w:rsidRDefault="003C0461" w:rsidP="005D36C6">
      <w:pPr>
        <w:pStyle w:val="FootnoteText"/>
      </w:pPr>
      <w:r w:rsidRPr="00145E5A">
        <w:t>(</w:t>
      </w:r>
      <w:r w:rsidRPr="00145E5A">
        <w:rPr>
          <w:rStyle w:val="fnRefNo"/>
        </w:rPr>
        <w:footnoteRef/>
      </w:r>
      <w:r w:rsidRPr="00145E5A">
        <w:t>)</w:t>
      </w:r>
      <w:r w:rsidRPr="007F0831">
        <w:tab/>
      </w:r>
      <w:r w:rsidRPr="0032611A">
        <w:rPr>
          <w:i/>
        </w:rPr>
        <w:t>Report from the Commission to the European Parliament and the Council on the mid-term review of the application of the Decision No</w:t>
      </w:r>
      <w:r w:rsidRPr="0032611A">
        <w:rPr>
          <w:rFonts w:ascii="Calibri" w:hAnsi="Calibri" w:cs="Calibri"/>
          <w:i/>
        </w:rPr>
        <w:t> </w:t>
      </w:r>
      <w:r w:rsidRPr="0032611A">
        <w:rPr>
          <w:i/>
        </w:rPr>
        <w:t>466/2014/EU as regards the EU guarantee to the European Investment Bank against losses under financing operations supporting investment projects outside the Union</w:t>
      </w:r>
      <w:r w:rsidRPr="00337106">
        <w:t xml:space="preserve">, </w:t>
      </w:r>
      <w:r w:rsidRPr="00724D95">
        <w:t>COM(2016) 584 final, 14</w:t>
      </w:r>
      <w:r>
        <w:rPr>
          <w:rFonts w:ascii="Calibri" w:hAnsi="Calibri" w:cs="Calibri"/>
        </w:rPr>
        <w:t> </w:t>
      </w:r>
      <w:r w:rsidRPr="00724D95">
        <w:t>September</w:t>
      </w:r>
      <w:r>
        <w:rPr>
          <w:rFonts w:ascii="Calibri" w:hAnsi="Calibri" w:cs="Calibri"/>
        </w:rPr>
        <w:t> </w:t>
      </w:r>
      <w:r w:rsidRPr="00724D95">
        <w:t>2016</w:t>
      </w:r>
      <w:r>
        <w:t>.</w:t>
      </w:r>
    </w:p>
  </w:footnote>
  <w:footnote w:id="350">
    <w:p w14:paraId="28F42730" w14:textId="7D5DAA66"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543D90">
        <w:t>Directorate-General for European Civil Protection and Humanitarian Aid Operations</w:t>
      </w:r>
      <w:r>
        <w:t xml:space="preserve">, </w:t>
      </w:r>
      <w:r w:rsidRPr="0032611A">
        <w:rPr>
          <w:i/>
        </w:rPr>
        <w:t>2018</w:t>
      </w:r>
      <w:r w:rsidRPr="0032611A" w:rsidDel="00543D90">
        <w:rPr>
          <w:i/>
        </w:rPr>
        <w:t xml:space="preserve"> </w:t>
      </w:r>
      <w:r w:rsidRPr="003D55F2">
        <w:rPr>
          <w:i/>
        </w:rPr>
        <w:t>A</w:t>
      </w:r>
      <w:r w:rsidRPr="0032611A">
        <w:rPr>
          <w:i/>
        </w:rPr>
        <w:t>nnual activity report</w:t>
      </w:r>
      <w:r w:rsidRPr="00337106">
        <w:t>,</w:t>
      </w:r>
      <w:r>
        <w:t xml:space="preserve"> </w:t>
      </w:r>
      <w:r>
        <w:rPr>
          <w:rStyle w:val="FootnoteTextChar"/>
        </w:rPr>
        <w:t>p.</w:t>
      </w:r>
      <w:r>
        <w:rPr>
          <w:rStyle w:val="FootnoteTextChar"/>
          <w:rFonts w:ascii="Calibri" w:hAnsi="Calibri" w:cs="Calibri"/>
        </w:rPr>
        <w:t> 30</w:t>
      </w:r>
      <w:r>
        <w:rPr>
          <w:rStyle w:val="FootnoteTextChar"/>
        </w:rPr>
        <w:t>.</w:t>
      </w:r>
    </w:p>
  </w:footnote>
  <w:footnote w:id="351">
    <w:p w14:paraId="3990342E" w14:textId="77777777" w:rsidR="003C0461" w:rsidRPr="00337106" w:rsidRDefault="003C0461" w:rsidP="005D36C6">
      <w:pPr>
        <w:pStyle w:val="FootnoteText"/>
      </w:pPr>
      <w:r w:rsidRPr="00145E5A">
        <w:t>(</w:t>
      </w:r>
      <w:r w:rsidRPr="00145E5A">
        <w:rPr>
          <w:rStyle w:val="fnRefNo"/>
        </w:rPr>
        <w:footnoteRef/>
      </w:r>
      <w:r w:rsidRPr="00145E5A">
        <w:t>)</w:t>
      </w:r>
      <w:r w:rsidRPr="007F0831">
        <w:tab/>
      </w:r>
      <w:r w:rsidRPr="0032611A">
        <w:rPr>
          <w:i/>
        </w:rPr>
        <w:t>Interim Evaluation of the Union Civil Protection Mechanism (2014-2016),</w:t>
      </w:r>
      <w:r w:rsidRPr="00C171EA">
        <w:t xml:space="preserve"> SWD(2017) 0287, p</w:t>
      </w:r>
      <w:r>
        <w:t xml:space="preserve"> 19.</w:t>
      </w:r>
    </w:p>
  </w:footnote>
  <w:footnote w:id="352">
    <w:p w14:paraId="6C2E9715" w14:textId="77777777" w:rsidR="003C0461" w:rsidRPr="007F0831" w:rsidRDefault="003C0461" w:rsidP="005D36C6">
      <w:pPr>
        <w:pStyle w:val="FootnoteText"/>
        <w:rPr>
          <w:sz w:val="18"/>
          <w:szCs w:val="18"/>
        </w:rPr>
      </w:pPr>
      <w:r w:rsidRPr="00145E5A">
        <w:t>(</w:t>
      </w:r>
      <w:r w:rsidRPr="00145E5A">
        <w:rPr>
          <w:rStyle w:val="fnRefNo"/>
        </w:rPr>
        <w:footnoteRef/>
      </w:r>
      <w:r w:rsidRPr="00145E5A">
        <w:t>)</w:t>
      </w:r>
      <w:r w:rsidRPr="007F0831">
        <w:tab/>
      </w:r>
      <w:hyperlink r:id="rId159" w:history="1">
        <w:r w:rsidRPr="007F0831">
          <w:t>De</w:t>
        </w:r>
        <w:r w:rsidRPr="00337106">
          <w:t>cision (EU) 2019/420</w:t>
        </w:r>
      </w:hyperlink>
      <w:r w:rsidRPr="007F0831">
        <w:t xml:space="preserve"> amending Decision No 1313/2013/EU on a Union Civil Protection Mechanism, Art 16(2)</w:t>
      </w:r>
      <w:r>
        <w:t>.</w:t>
      </w:r>
    </w:p>
  </w:footnote>
  <w:footnote w:id="353">
    <w:p w14:paraId="526700AE" w14:textId="3691C88D"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337106">
        <w:t>Report on budgetary and financial management of the European Commission for the financial year 2018, Section III of the Budget Report pursuant to Art. 249 of the Financial Regulation, 29</w:t>
      </w:r>
      <w:r>
        <w:rPr>
          <w:rFonts w:ascii="Calibri" w:hAnsi="Calibri" w:cs="Calibri"/>
        </w:rPr>
        <w:t> </w:t>
      </w:r>
      <w:r w:rsidRPr="00337106">
        <w:t>March</w:t>
      </w:r>
      <w:r>
        <w:rPr>
          <w:rFonts w:ascii="Calibri" w:hAnsi="Calibri" w:cs="Calibri"/>
        </w:rPr>
        <w:t> </w:t>
      </w:r>
      <w:r w:rsidRPr="00337106">
        <w:t>2019</w:t>
      </w:r>
      <w:r>
        <w:t>.</w:t>
      </w:r>
    </w:p>
  </w:footnote>
  <w:footnote w:id="354">
    <w:p w14:paraId="5491FD62" w14:textId="18FAACBC" w:rsidR="003C0461" w:rsidRPr="00724D95" w:rsidRDefault="003C0461" w:rsidP="005D36C6">
      <w:pPr>
        <w:pStyle w:val="FootnoteText"/>
        <w:rPr>
          <w:sz w:val="18"/>
          <w:szCs w:val="18"/>
        </w:rPr>
      </w:pPr>
      <w:r w:rsidRPr="00145E5A">
        <w:t>(</w:t>
      </w:r>
      <w:r w:rsidRPr="00145E5A">
        <w:rPr>
          <w:rStyle w:val="fnRefNo"/>
        </w:rPr>
        <w:footnoteRef/>
      </w:r>
      <w:r w:rsidRPr="00145E5A">
        <w:t>)</w:t>
      </w:r>
      <w:r w:rsidRPr="007F0831">
        <w:tab/>
      </w:r>
      <w:r>
        <w:t>SWD (2019) 186 final of 15</w:t>
      </w:r>
      <w:r>
        <w:rPr>
          <w:rFonts w:ascii="Calibri" w:hAnsi="Calibri" w:cs="Calibri"/>
        </w:rPr>
        <w:t> </w:t>
      </w:r>
      <w:r>
        <w:t>May</w:t>
      </w:r>
      <w:r>
        <w:rPr>
          <w:rFonts w:ascii="Calibri" w:hAnsi="Calibri" w:cs="Calibri"/>
        </w:rPr>
        <w:t> </w:t>
      </w:r>
      <w:r>
        <w:t xml:space="preserve">2019 </w:t>
      </w:r>
    </w:p>
  </w:footnote>
  <w:footnote w:id="355">
    <w:p w14:paraId="7FB28133" w14:textId="46295D47" w:rsidR="003C0461" w:rsidRPr="00337106" w:rsidRDefault="003C0461" w:rsidP="005D36C6">
      <w:pPr>
        <w:pStyle w:val="FootnoteText"/>
        <w:rPr>
          <w:sz w:val="18"/>
          <w:szCs w:val="18"/>
        </w:rPr>
      </w:pPr>
      <w:r w:rsidRPr="00145E5A">
        <w:t>(</w:t>
      </w:r>
      <w:r w:rsidRPr="00145E5A">
        <w:rPr>
          <w:rStyle w:val="fnRefNo"/>
        </w:rPr>
        <w:footnoteRef/>
      </w:r>
      <w:r w:rsidRPr="00145E5A">
        <w:t>)</w:t>
      </w:r>
      <w:r w:rsidRPr="007F0831">
        <w:tab/>
      </w:r>
      <w:r w:rsidRPr="00A04E56">
        <w:t>D</w:t>
      </w:r>
      <w:r>
        <w:t>irectorate-</w:t>
      </w:r>
      <w:r w:rsidRPr="00A04E56">
        <w:t>G</w:t>
      </w:r>
      <w:r>
        <w:t>eneral</w:t>
      </w:r>
      <w:r w:rsidRPr="00E0604B">
        <w:t xml:space="preserve"> Employment, Social Affairs and Inclusion</w:t>
      </w:r>
      <w:r>
        <w:t xml:space="preserve">, </w:t>
      </w:r>
      <w:r w:rsidRPr="00517447">
        <w:rPr>
          <w:i/>
        </w:rPr>
        <w:t>Annual activity report 2018</w:t>
      </w:r>
      <w:r>
        <w:rPr>
          <w:i/>
        </w:rPr>
        <w:t xml:space="preserve"> </w:t>
      </w:r>
      <w:r w:rsidRPr="00337106">
        <w:t>p.</w:t>
      </w:r>
      <w:r>
        <w:rPr>
          <w:rFonts w:ascii="Calibri" w:hAnsi="Calibri" w:cs="Calibri"/>
        </w:rPr>
        <w:t> </w:t>
      </w:r>
      <w:r w:rsidRPr="00337106">
        <w:t xml:space="preserve">10. For additional info, see COM(2018) 297 final, </w:t>
      </w:r>
      <w:r>
        <w:t>pp. </w:t>
      </w:r>
      <w:r w:rsidRPr="00337106">
        <w:t>2-4</w:t>
      </w:r>
      <w:r>
        <w:t>.</w:t>
      </w:r>
    </w:p>
  </w:footnote>
  <w:footnote w:id="356">
    <w:p w14:paraId="7E13713E" w14:textId="77777777" w:rsidR="003C0461" w:rsidRPr="00724D95" w:rsidRDefault="003C0461" w:rsidP="005D36C6">
      <w:pPr>
        <w:pStyle w:val="FootnoteText"/>
        <w:rPr>
          <w:sz w:val="18"/>
          <w:szCs w:val="18"/>
        </w:rPr>
      </w:pPr>
      <w:r w:rsidRPr="00145E5A">
        <w:t>(</w:t>
      </w:r>
      <w:r w:rsidRPr="00145E5A">
        <w:rPr>
          <w:rStyle w:val="fnRefNo"/>
        </w:rPr>
        <w:footnoteRef/>
      </w:r>
      <w:r w:rsidRPr="00145E5A">
        <w:t>)</w:t>
      </w:r>
      <w:r w:rsidRPr="007F0831">
        <w:tab/>
      </w:r>
      <w:r w:rsidRPr="00337106">
        <w:t>The re</w:t>
      </w:r>
      <w:r>
        <w:t>integration</w:t>
      </w:r>
      <w:r w:rsidRPr="00337106">
        <w:t xml:space="preserve"> rates are very case specific, depending on, for example, the specific economic situation in the area concerned.</w:t>
      </w:r>
    </w:p>
  </w:footnote>
  <w:footnote w:id="357">
    <w:p w14:paraId="5C576DA0" w14:textId="7653C6FE" w:rsidR="003C0461" w:rsidRDefault="003C0461">
      <w:pPr>
        <w:pStyle w:val="FootnoteText"/>
      </w:pPr>
      <w:r w:rsidRPr="00145E5A">
        <w:t>(</w:t>
      </w:r>
      <w:r w:rsidRPr="00145E5A">
        <w:rPr>
          <w:rStyle w:val="fnRefNo"/>
        </w:rPr>
        <w:footnoteRef/>
      </w:r>
      <w:r w:rsidRPr="00145E5A">
        <w:t>)</w:t>
      </w:r>
      <w:r>
        <w:tab/>
        <w:t xml:space="preserve">In some cases the support was requested in 2017.  </w:t>
      </w:r>
    </w:p>
  </w:footnote>
  <w:footnote w:id="358">
    <w:p w14:paraId="4AEC5122" w14:textId="5D6B40D2" w:rsidR="003C0461" w:rsidRPr="00724D95" w:rsidRDefault="003C0461" w:rsidP="005D36C6">
      <w:pPr>
        <w:pStyle w:val="FootnoteText"/>
      </w:pPr>
      <w:r w:rsidRPr="00145E5A">
        <w:t>(</w:t>
      </w:r>
      <w:r w:rsidRPr="00145E5A">
        <w:rPr>
          <w:rStyle w:val="fnRefNo"/>
        </w:rPr>
        <w:footnoteRef/>
      </w:r>
      <w:r w:rsidRPr="00145E5A">
        <w:t>)</w:t>
      </w:r>
      <w:r w:rsidRPr="007F0831">
        <w:tab/>
      </w:r>
      <w:r w:rsidRPr="00A04E56">
        <w:t>D</w:t>
      </w:r>
      <w:r>
        <w:t>irectorate-</w:t>
      </w:r>
      <w:r w:rsidRPr="00A04E56">
        <w:t>G</w:t>
      </w:r>
      <w:r>
        <w:t>eneral</w:t>
      </w:r>
      <w:r w:rsidRPr="00E0604B">
        <w:t xml:space="preserve"> Employment, Social Affairs and Inclusion</w:t>
      </w:r>
      <w:r>
        <w:t xml:space="preserve">, </w:t>
      </w:r>
      <w:r w:rsidRPr="00517447">
        <w:rPr>
          <w:i/>
        </w:rPr>
        <w:t>Annual activity report 2018</w:t>
      </w:r>
      <w:r>
        <w:t>.</w:t>
      </w:r>
    </w:p>
  </w:footnote>
  <w:footnote w:id="359">
    <w:p w14:paraId="66F157B2" w14:textId="77777777" w:rsidR="003C0461" w:rsidRPr="00724D95" w:rsidRDefault="003C0461" w:rsidP="005D36C6">
      <w:pPr>
        <w:pStyle w:val="FootnoteText"/>
        <w:rPr>
          <w:sz w:val="18"/>
          <w:szCs w:val="18"/>
        </w:rPr>
      </w:pPr>
      <w:r w:rsidRPr="00145E5A">
        <w:t>(</w:t>
      </w:r>
      <w:r w:rsidRPr="00145E5A">
        <w:rPr>
          <w:rStyle w:val="fnRefNo"/>
        </w:rPr>
        <w:footnoteRef/>
      </w:r>
      <w:r w:rsidRPr="00145E5A">
        <w:t>)</w:t>
      </w:r>
      <w:r w:rsidRPr="007F0831">
        <w:tab/>
      </w:r>
      <w:r w:rsidRPr="0032611A">
        <w:rPr>
          <w:i/>
        </w:rPr>
        <w:t>Report from the Commission on the mid-term evaluation of the European Globalisation Adjustment Fund (EGF)</w:t>
      </w:r>
      <w:r w:rsidRPr="00337106">
        <w:t xml:space="preserve"> (COM(2018)297 final, </w:t>
      </w:r>
      <w:r w:rsidRPr="00724D95">
        <w:t xml:space="preserve">16.5.2018), and accompanying </w:t>
      </w:r>
      <w:r w:rsidRPr="0032611A">
        <w:rPr>
          <w:i/>
        </w:rPr>
        <w:t>Commission staff working document on the mid-term evaluation of the European Globalisation Adjustment Fund</w:t>
      </w:r>
      <w:r w:rsidRPr="00724D95">
        <w:t xml:space="preserve"> (EGF) (SWD(2018)192 final, 16.5.2018</w:t>
      </w:r>
      <w:r>
        <w:t>.</w:t>
      </w:r>
    </w:p>
  </w:footnote>
  <w:footnote w:id="360">
    <w:p w14:paraId="53BE3968" w14:textId="77777777" w:rsidR="003C0461" w:rsidRPr="00724D95" w:rsidRDefault="003C0461" w:rsidP="005D36C6">
      <w:pPr>
        <w:pStyle w:val="FootnoteText"/>
      </w:pPr>
      <w:r w:rsidRPr="00145E5A">
        <w:t>(</w:t>
      </w:r>
      <w:r w:rsidRPr="00145E5A">
        <w:rPr>
          <w:rStyle w:val="fnRefNo"/>
        </w:rPr>
        <w:footnoteRef/>
      </w:r>
      <w:r w:rsidRPr="00145E5A">
        <w:t>)</w:t>
      </w:r>
      <w:r w:rsidRPr="007F0831">
        <w:tab/>
      </w:r>
      <w:r w:rsidRPr="00337106">
        <w:t>Proposal</w:t>
      </w:r>
      <w:r w:rsidRPr="00724D95">
        <w:t xml:space="preserve"> for a Regulation of the European Parliament and of the Council on the European Globalisation Adjustment Fund (EGF) COM(2018) 380 final</w:t>
      </w:r>
      <w:r>
        <w:t xml:space="preserve">. </w:t>
      </w:r>
    </w:p>
  </w:footnote>
  <w:footnote w:id="361">
    <w:p w14:paraId="38A0F39A" w14:textId="63C15EC5" w:rsidR="003C0461" w:rsidRPr="00247D8D" w:rsidRDefault="003C0461" w:rsidP="00FC5564">
      <w:pPr>
        <w:pStyle w:val="FootnoteText"/>
        <w:tabs>
          <w:tab w:val="clear" w:pos="426"/>
        </w:tabs>
      </w:pPr>
      <w:r w:rsidRPr="00145E5A">
        <w:t>(</w:t>
      </w:r>
      <w:r w:rsidRPr="00145E5A">
        <w:rPr>
          <w:rStyle w:val="fnRefNo"/>
        </w:rPr>
        <w:footnoteRef/>
      </w:r>
      <w:r w:rsidRPr="00145E5A">
        <w:t>)</w:t>
      </w:r>
      <w:r w:rsidRPr="00154770">
        <w:tab/>
      </w:r>
      <w:r w:rsidRPr="00247D8D">
        <w:t xml:space="preserve">The ‘materiality threshold’ is set, in most cases, at 2% of the relevant expenditure, which is in line with the </w:t>
      </w:r>
      <w:r>
        <w:t xml:space="preserve">European </w:t>
      </w:r>
      <w:r w:rsidRPr="00247D8D">
        <w:t>Court</w:t>
      </w:r>
      <w:r>
        <w:t xml:space="preserve"> of Auditors</w:t>
      </w:r>
      <w:r w:rsidRPr="00247D8D">
        <w:t>’ methodology.</w:t>
      </w:r>
    </w:p>
  </w:footnote>
  <w:footnote w:id="362">
    <w:p w14:paraId="11AE34CA" w14:textId="51FE8C1B" w:rsidR="003C0461" w:rsidRPr="00247D8D" w:rsidRDefault="003C0461" w:rsidP="00FC5564">
      <w:pPr>
        <w:pStyle w:val="FootnoteText"/>
        <w:tabs>
          <w:tab w:val="clear" w:pos="426"/>
        </w:tabs>
      </w:pPr>
      <w:r w:rsidRPr="00145E5A">
        <w:t>(</w:t>
      </w:r>
      <w:r w:rsidRPr="00145E5A">
        <w:rPr>
          <w:rStyle w:val="fnRefNo"/>
        </w:rPr>
        <w:footnoteRef/>
      </w:r>
      <w:r w:rsidRPr="00145E5A">
        <w:t>)</w:t>
      </w:r>
      <w:r w:rsidRPr="00247D8D">
        <w:tab/>
        <w:t>Articles</w:t>
      </w:r>
      <w:r w:rsidRPr="00247D8D">
        <w:rPr>
          <w:rFonts w:ascii="Calibri" w:hAnsi="Calibri" w:cs="Calibri"/>
        </w:rPr>
        <w:t> </w:t>
      </w:r>
      <w:r w:rsidRPr="00247D8D">
        <w:t>73-74 of Regulation 2018/1046 of 18</w:t>
      </w:r>
      <w:r>
        <w:rPr>
          <w:rFonts w:ascii="Calibri" w:hAnsi="Calibri" w:cs="Calibri"/>
        </w:rPr>
        <w:t> </w:t>
      </w:r>
      <w:r w:rsidRPr="00247D8D">
        <w:t>July</w:t>
      </w:r>
      <w:r>
        <w:rPr>
          <w:rFonts w:ascii="Calibri" w:hAnsi="Calibri" w:cs="Calibri"/>
        </w:rPr>
        <w:t> </w:t>
      </w:r>
      <w:r w:rsidRPr="00247D8D">
        <w:t xml:space="preserve">2018 on the financial rules applicable to the general budget of the Union (OJ-L 193/30.07.2018); </w:t>
      </w:r>
      <w:r w:rsidRPr="00247D8D">
        <w:rPr>
          <w:i/>
        </w:rPr>
        <w:t xml:space="preserve">hereinafter 'the </w:t>
      </w:r>
      <w:r>
        <w:rPr>
          <w:i/>
        </w:rPr>
        <w:t>f</w:t>
      </w:r>
      <w:r w:rsidRPr="00247D8D">
        <w:rPr>
          <w:i/>
        </w:rPr>
        <w:t xml:space="preserve">inancial </w:t>
      </w:r>
      <w:r>
        <w:rPr>
          <w:i/>
        </w:rPr>
        <w:t>r</w:t>
      </w:r>
      <w:r w:rsidRPr="00247D8D">
        <w:rPr>
          <w:i/>
        </w:rPr>
        <w:t>egulation'</w:t>
      </w:r>
      <w:r>
        <w:rPr>
          <w:i/>
        </w:rPr>
        <w:t>.</w:t>
      </w:r>
    </w:p>
  </w:footnote>
  <w:footnote w:id="363">
    <w:p w14:paraId="632BD4B1" w14:textId="3561E4C3" w:rsidR="003C0461" w:rsidRPr="00247D8D" w:rsidRDefault="003C0461" w:rsidP="00FC5564">
      <w:pPr>
        <w:pStyle w:val="FootnoteText"/>
      </w:pPr>
      <w:r w:rsidRPr="00145E5A">
        <w:t>(</w:t>
      </w:r>
      <w:r w:rsidRPr="00145E5A">
        <w:rPr>
          <w:rStyle w:val="fnRefNo"/>
        </w:rPr>
        <w:footnoteRef/>
      </w:r>
      <w:r w:rsidRPr="00145E5A">
        <w:t>)</w:t>
      </w:r>
      <w:r w:rsidRPr="0032611A">
        <w:tab/>
      </w:r>
      <w:r w:rsidRPr="00247D8D">
        <w:t>Framework financial regulation for the bodies set up under the TFEU and Euratom Treaty adopted on 18</w:t>
      </w:r>
      <w:r>
        <w:rPr>
          <w:rFonts w:ascii="Calibri" w:hAnsi="Calibri" w:cs="Calibri"/>
        </w:rPr>
        <w:t> </w:t>
      </w:r>
      <w:r w:rsidRPr="00247D8D">
        <w:t>December</w:t>
      </w:r>
      <w:r>
        <w:rPr>
          <w:rFonts w:ascii="Calibri" w:hAnsi="Calibri" w:cs="Calibri"/>
        </w:rPr>
        <w:t> </w:t>
      </w:r>
      <w:r w:rsidRPr="00247D8D">
        <w:t xml:space="preserve">2018. </w:t>
      </w:r>
    </w:p>
  </w:footnote>
  <w:footnote w:id="364">
    <w:p w14:paraId="238B63B1" w14:textId="77777777" w:rsidR="003C0461" w:rsidRPr="00247D8D" w:rsidRDefault="003C0461" w:rsidP="00FC5564">
      <w:pPr>
        <w:pStyle w:val="FootnoteText"/>
        <w:tabs>
          <w:tab w:val="clear" w:pos="426"/>
        </w:tabs>
      </w:pPr>
      <w:r w:rsidRPr="00145E5A">
        <w:t>(</w:t>
      </w:r>
      <w:r w:rsidRPr="00145E5A">
        <w:rPr>
          <w:rStyle w:val="fnRefNo"/>
        </w:rPr>
        <w:footnoteRef/>
      </w:r>
      <w:r w:rsidRPr="00145E5A">
        <w:t>)</w:t>
      </w:r>
      <w:r w:rsidRPr="00247D8D">
        <w:tab/>
        <w:t>Article</w:t>
      </w:r>
      <w:r w:rsidRPr="00247D8D">
        <w:rPr>
          <w:rFonts w:ascii="Calibri" w:hAnsi="Calibri" w:cs="Calibri"/>
        </w:rPr>
        <w:t> </w:t>
      </w:r>
      <w:r w:rsidRPr="00247D8D">
        <w:t>74(9) of the Financial Regulation.</w:t>
      </w:r>
    </w:p>
  </w:footnote>
  <w:footnote w:id="365">
    <w:p w14:paraId="357C4B87" w14:textId="0791D393" w:rsidR="003C0461" w:rsidRPr="00247D8D" w:rsidRDefault="003C0461" w:rsidP="00FC5564">
      <w:pPr>
        <w:pStyle w:val="FootnoteText"/>
      </w:pPr>
      <w:r w:rsidRPr="00145E5A">
        <w:t>(</w:t>
      </w:r>
      <w:r w:rsidRPr="00145E5A">
        <w:rPr>
          <w:rStyle w:val="fnRefNo"/>
        </w:rPr>
        <w:footnoteRef/>
      </w:r>
      <w:r w:rsidRPr="00145E5A">
        <w:t>)</w:t>
      </w:r>
      <w:r w:rsidRPr="00247D8D">
        <w:tab/>
      </w:r>
      <w:r w:rsidRPr="00247D8D">
        <w:rPr>
          <w:rStyle w:val="FootnoteTextChar"/>
        </w:rPr>
        <w:t>Mainly the executive agencies and the paymaster, human resources, enlargement and justice departments.</w:t>
      </w:r>
      <w:r w:rsidRPr="00247D8D">
        <w:t xml:space="preserve"> </w:t>
      </w:r>
    </w:p>
  </w:footnote>
  <w:footnote w:id="366">
    <w:p w14:paraId="7C6A45CB" w14:textId="77777777" w:rsidR="003C0461" w:rsidRPr="00247D8D" w:rsidRDefault="003C0461" w:rsidP="00FC5564">
      <w:pPr>
        <w:pStyle w:val="FootnoteText"/>
      </w:pPr>
      <w:r w:rsidRPr="00145E5A">
        <w:t>(</w:t>
      </w:r>
      <w:r w:rsidRPr="00145E5A">
        <w:rPr>
          <w:rStyle w:val="fnRefNo"/>
        </w:rPr>
        <w:footnoteRef/>
      </w:r>
      <w:r w:rsidRPr="00145E5A">
        <w:t>)</w:t>
      </w:r>
      <w:r w:rsidRPr="00247D8D">
        <w:tab/>
      </w:r>
      <w:r w:rsidRPr="00247D8D">
        <w:rPr>
          <w:rStyle w:val="FootnoteTextChar"/>
        </w:rPr>
        <w:t>Mainly various issues with the accounting control environment, the recovery of receivable amounts and the provision of information to support the calculation of the employee benefits liability.</w:t>
      </w:r>
      <w:r w:rsidRPr="00247D8D">
        <w:t xml:space="preserve"> </w:t>
      </w:r>
    </w:p>
  </w:footnote>
  <w:footnote w:id="367">
    <w:p w14:paraId="14046F17" w14:textId="09FF8881" w:rsidR="003C0461" w:rsidRPr="00247D8D" w:rsidRDefault="003C0461" w:rsidP="00FC5564">
      <w:pPr>
        <w:pStyle w:val="FootnoteText"/>
      </w:pPr>
      <w:r w:rsidRPr="00145E5A">
        <w:t>(</w:t>
      </w:r>
      <w:r w:rsidRPr="00145E5A">
        <w:rPr>
          <w:rStyle w:val="fnRefNo"/>
        </w:rPr>
        <w:footnoteRef/>
      </w:r>
      <w:r w:rsidRPr="00145E5A">
        <w:t>)</w:t>
      </w:r>
      <w:r w:rsidRPr="00247D8D">
        <w:tab/>
        <w:t>For example</w:t>
      </w:r>
      <w:r>
        <w:t>,</w:t>
      </w:r>
      <w:r w:rsidRPr="00247D8D">
        <w:t xml:space="preserve"> simplified cost options, which means making use of lump sums, flat rates and scales of unit costs to determine the amounts to reimburse or pay to beneficiaries.</w:t>
      </w:r>
    </w:p>
  </w:footnote>
  <w:footnote w:id="368">
    <w:p w14:paraId="44B0B6D7" w14:textId="19C90F0D" w:rsidR="003C0461" w:rsidRPr="00004469" w:rsidRDefault="003C0461">
      <w:pPr>
        <w:pStyle w:val="FootnoteText"/>
      </w:pPr>
      <w:r w:rsidRPr="00145E5A">
        <w:t>(</w:t>
      </w:r>
      <w:r w:rsidRPr="00145E5A">
        <w:rPr>
          <w:rStyle w:val="fnRefNo"/>
        </w:rPr>
        <w:footnoteRef/>
      </w:r>
      <w:r w:rsidRPr="00145E5A">
        <w:t>)</w:t>
      </w:r>
      <w:r>
        <w:tab/>
      </w:r>
      <w:r w:rsidRPr="00004469">
        <w:t xml:space="preserve">The Commission may rely </w:t>
      </w:r>
      <w:r>
        <w:t>(</w:t>
      </w:r>
      <w:r w:rsidRPr="00004469">
        <w:t>in full or in part</w:t>
      </w:r>
      <w:r>
        <w:t>)</w:t>
      </w:r>
      <w:r w:rsidRPr="00004469">
        <w:t xml:space="preserve"> on assessments</w:t>
      </w:r>
      <w:r>
        <w:t>, controls or audits</w:t>
      </w:r>
      <w:r w:rsidRPr="00004469">
        <w:t xml:space="preserve"> made by other entities insofar as </w:t>
      </w:r>
      <w:r>
        <w:t>those</w:t>
      </w:r>
      <w:r w:rsidRPr="00004469">
        <w:t xml:space="preserve"> were made complian</w:t>
      </w:r>
      <w:r>
        <w:t>t</w:t>
      </w:r>
      <w:r w:rsidRPr="00004469">
        <w:t xml:space="preserve"> with conditions equivalent to those </w:t>
      </w:r>
      <w:r>
        <w:t>of the Commission and they provide equivalent assurance (Articles 126-127 of the Financial Regulation).</w:t>
      </w:r>
    </w:p>
  </w:footnote>
  <w:footnote w:id="369">
    <w:p w14:paraId="17C7C8DA" w14:textId="0705F7BC" w:rsidR="003C0461" w:rsidRPr="00D4140D" w:rsidRDefault="003C0461">
      <w:pPr>
        <w:pStyle w:val="FootnoteText"/>
      </w:pPr>
      <w:r w:rsidRPr="00145E5A">
        <w:t>(</w:t>
      </w:r>
      <w:r w:rsidRPr="00145E5A">
        <w:rPr>
          <w:rStyle w:val="fnRefNo"/>
        </w:rPr>
        <w:footnoteRef/>
      </w:r>
      <w:r w:rsidRPr="00145E5A">
        <w:t>)</w:t>
      </w:r>
      <w:r>
        <w:tab/>
      </w:r>
      <w:r w:rsidRPr="00D4140D">
        <w:t xml:space="preserve">Materiality is an expression of the magnitude of an error. Information is material if omitting, misstating or obscuring could reasonably be expected to influence the decisions that the users (for instance the discharge authority) make on the basis of this information. </w:t>
      </w:r>
      <w:r w:rsidRPr="004C1300">
        <w:t>Determining specific materiality criteria involves making a judgment by the authorising officer by delegation. For most activities this benchmark for residual rate of error is set at 2%.</w:t>
      </w:r>
    </w:p>
  </w:footnote>
  <w:footnote w:id="370">
    <w:p w14:paraId="09268007" w14:textId="77777777" w:rsidR="003C0461" w:rsidRPr="00247D8D" w:rsidRDefault="003C0461" w:rsidP="00FC5564">
      <w:pPr>
        <w:pStyle w:val="FootnoteText"/>
      </w:pPr>
      <w:r w:rsidRPr="00145E5A">
        <w:t>(</w:t>
      </w:r>
      <w:r w:rsidRPr="00145E5A">
        <w:rPr>
          <w:rStyle w:val="fnRefNo"/>
        </w:rPr>
        <w:footnoteRef/>
      </w:r>
      <w:r w:rsidRPr="00145E5A">
        <w:t>)</w:t>
      </w:r>
      <w:r w:rsidRPr="00247D8D">
        <w:tab/>
        <w:t>Or equivalent, such as after the expenditure is accepted (registered in the Commission’s accounting system) or after the pre-financing is cleared.</w:t>
      </w:r>
    </w:p>
  </w:footnote>
  <w:footnote w:id="371">
    <w:p w14:paraId="1691629E" w14:textId="59A5B25E" w:rsidR="003C0461" w:rsidRPr="00247D8D" w:rsidRDefault="003C0461" w:rsidP="00FC5564">
      <w:pPr>
        <w:pStyle w:val="FootnoteText"/>
      </w:pPr>
      <w:r w:rsidRPr="00145E5A">
        <w:t>(</w:t>
      </w:r>
      <w:r w:rsidRPr="00145E5A">
        <w:rPr>
          <w:rStyle w:val="fnRefNo"/>
        </w:rPr>
        <w:footnoteRef/>
      </w:r>
      <w:r w:rsidRPr="00145E5A">
        <w:t>)</w:t>
      </w:r>
      <w:r w:rsidRPr="00247D8D">
        <w:tab/>
        <w:t xml:space="preserve">European Court of Auditors, </w:t>
      </w:r>
      <w:r w:rsidRPr="0032611A">
        <w:rPr>
          <w:i/>
        </w:rPr>
        <w:t xml:space="preserve">2017 </w:t>
      </w:r>
      <w:r w:rsidRPr="003D55F2">
        <w:rPr>
          <w:i/>
        </w:rPr>
        <w:t>A</w:t>
      </w:r>
      <w:r w:rsidRPr="0032611A">
        <w:rPr>
          <w:i/>
        </w:rPr>
        <w:t>nnual report</w:t>
      </w:r>
      <w:r w:rsidRPr="00247D8D">
        <w:t>, paragraphs</w:t>
      </w:r>
      <w:r w:rsidRPr="00247D8D">
        <w:rPr>
          <w:rFonts w:ascii="Calibri" w:hAnsi="Calibri" w:cs="Calibri"/>
        </w:rPr>
        <w:t> </w:t>
      </w:r>
      <w:r w:rsidRPr="00247D8D">
        <w:t>1.32, 1.34, 1.36.</w:t>
      </w:r>
    </w:p>
  </w:footnote>
  <w:footnote w:id="372">
    <w:p w14:paraId="62811339" w14:textId="49033FA9" w:rsidR="003C0461" w:rsidRPr="00247D8D" w:rsidRDefault="003C0461" w:rsidP="00FC5564">
      <w:pPr>
        <w:pStyle w:val="FootnoteText"/>
      </w:pPr>
      <w:r w:rsidRPr="00145E5A">
        <w:t>(</w:t>
      </w:r>
      <w:r w:rsidRPr="00145E5A">
        <w:rPr>
          <w:rStyle w:val="fnRefNo"/>
        </w:rPr>
        <w:footnoteRef/>
      </w:r>
      <w:r w:rsidRPr="00145E5A">
        <w:t>)</w:t>
      </w:r>
      <w:r w:rsidRPr="00247D8D">
        <w:tab/>
        <w:t xml:space="preserve">European Court of Auditors, </w:t>
      </w:r>
      <w:r w:rsidRPr="0032611A">
        <w:rPr>
          <w:i/>
        </w:rPr>
        <w:t xml:space="preserve">2017 </w:t>
      </w:r>
      <w:r w:rsidRPr="003D55F2">
        <w:rPr>
          <w:i/>
        </w:rPr>
        <w:t>A</w:t>
      </w:r>
      <w:r w:rsidRPr="0032611A">
        <w:rPr>
          <w:i/>
        </w:rPr>
        <w:t>nnual report</w:t>
      </w:r>
      <w:r w:rsidRPr="00247D8D">
        <w:t>, methodological Annex</w:t>
      </w:r>
      <w:r w:rsidRPr="00247D8D">
        <w:rPr>
          <w:rFonts w:ascii="Calibri" w:hAnsi="Calibri" w:cs="Calibri"/>
        </w:rPr>
        <w:t> </w:t>
      </w:r>
      <w:r w:rsidRPr="00247D8D">
        <w:t>1.1, paragraph</w:t>
      </w:r>
      <w:r w:rsidRPr="00247D8D">
        <w:rPr>
          <w:rFonts w:ascii="Calibri" w:hAnsi="Calibri" w:cs="Calibri"/>
        </w:rPr>
        <w:t> </w:t>
      </w:r>
      <w:r w:rsidRPr="00247D8D">
        <w:t>15.</w:t>
      </w:r>
    </w:p>
  </w:footnote>
  <w:footnote w:id="373">
    <w:p w14:paraId="0CCB6B05" w14:textId="60F6E322" w:rsidR="003C0461" w:rsidRPr="00247D8D" w:rsidRDefault="003C0461" w:rsidP="00FC5564">
      <w:pPr>
        <w:pStyle w:val="FootnoteText"/>
      </w:pPr>
      <w:r w:rsidRPr="00145E5A">
        <w:t>(</w:t>
      </w:r>
      <w:r w:rsidRPr="00145E5A">
        <w:rPr>
          <w:rStyle w:val="fnRefNo"/>
        </w:rPr>
        <w:footnoteRef/>
      </w:r>
      <w:r w:rsidRPr="00145E5A">
        <w:t>)</w:t>
      </w:r>
      <w:r w:rsidRPr="00247D8D">
        <w:tab/>
        <w:t>The only exceptions are: (a) 1% for revenue (by the budget department; stricter in view of the very large amounts); and (b) the range of 2-5% for the Horizon 2020 programme (by the research and family departments; see details in subsection</w:t>
      </w:r>
      <w:r w:rsidRPr="00247D8D">
        <w:rPr>
          <w:rFonts w:ascii="Calibri" w:hAnsi="Calibri" w:cs="Calibri"/>
        </w:rPr>
        <w:t> </w:t>
      </w:r>
      <w:r w:rsidRPr="00247D8D">
        <w:t>5).</w:t>
      </w:r>
    </w:p>
  </w:footnote>
  <w:footnote w:id="374">
    <w:p w14:paraId="72D55536" w14:textId="70C6E4B7" w:rsidR="003C0461" w:rsidRPr="00247D8D" w:rsidRDefault="003C0461" w:rsidP="00FC5564">
      <w:pPr>
        <w:pStyle w:val="FootnoteText"/>
      </w:pPr>
      <w:r w:rsidRPr="00145E5A">
        <w:t>(</w:t>
      </w:r>
      <w:r w:rsidRPr="00145E5A">
        <w:rPr>
          <w:rStyle w:val="fnRefNo"/>
        </w:rPr>
        <w:footnoteRef/>
      </w:r>
      <w:r w:rsidRPr="00145E5A">
        <w:t>)</w:t>
      </w:r>
      <w:r w:rsidRPr="00247D8D">
        <w:tab/>
        <w:t xml:space="preserve">European Court of Auditors, </w:t>
      </w:r>
      <w:r w:rsidRPr="0032611A">
        <w:rPr>
          <w:i/>
        </w:rPr>
        <w:t xml:space="preserve">2017 </w:t>
      </w:r>
      <w:r w:rsidRPr="003D55F2">
        <w:rPr>
          <w:i/>
        </w:rPr>
        <w:t>A</w:t>
      </w:r>
      <w:r w:rsidRPr="0032611A">
        <w:rPr>
          <w:i/>
        </w:rPr>
        <w:t>nnual report</w:t>
      </w:r>
      <w:r w:rsidRPr="00247D8D">
        <w:t>, methodological Annex</w:t>
      </w:r>
      <w:r w:rsidRPr="00247D8D">
        <w:rPr>
          <w:rFonts w:ascii="Calibri" w:hAnsi="Calibri" w:cs="Calibri"/>
        </w:rPr>
        <w:t> </w:t>
      </w:r>
      <w:r w:rsidRPr="00247D8D">
        <w:t>1.1, paragraph</w:t>
      </w:r>
      <w:r w:rsidRPr="00247D8D">
        <w:rPr>
          <w:rFonts w:ascii="Calibri" w:hAnsi="Calibri" w:cs="Calibri"/>
        </w:rPr>
        <w:t> </w:t>
      </w:r>
      <w:r w:rsidRPr="00247D8D">
        <w:t>23.</w:t>
      </w:r>
    </w:p>
  </w:footnote>
  <w:footnote w:id="375">
    <w:p w14:paraId="00713E9D" w14:textId="067C0CBB" w:rsidR="003C0461" w:rsidRPr="00F6271E" w:rsidRDefault="003C0461" w:rsidP="00570390">
      <w:pPr>
        <w:pStyle w:val="FootnoteText"/>
      </w:pPr>
      <w:r w:rsidRPr="00145E5A">
        <w:t>(</w:t>
      </w:r>
      <w:r w:rsidRPr="00145E5A">
        <w:rPr>
          <w:rStyle w:val="fnRefNo"/>
        </w:rPr>
        <w:footnoteRef/>
      </w:r>
      <w:r w:rsidRPr="00145E5A">
        <w:t>)</w:t>
      </w:r>
      <w:r w:rsidRPr="0032611A">
        <w:tab/>
        <w:t>Public</w:t>
      </w:r>
      <w:r>
        <w:t>-procurement</w:t>
      </w:r>
      <w:r w:rsidRPr="0032611A">
        <w:t xml:space="preserve"> procedural errors can be assigned up to 100% error rates by the European Court of Auditors</w:t>
      </w:r>
      <w:r>
        <w:t xml:space="preserve"> — </w:t>
      </w:r>
      <w:r w:rsidRPr="0032611A">
        <w:t>even if their actual financial impact is (much) less. However, even when a procurement selection/award decision may have been non-compliant and the contractor could have been different, this does not necessarily mean that all related payments for the full value of the contract would be 100% erronous. If the deliverable is well executed, then taxpayers' money is not lost.</w:t>
      </w:r>
    </w:p>
  </w:footnote>
  <w:footnote w:id="376">
    <w:p w14:paraId="27FAC71E" w14:textId="60010419" w:rsidR="003C0461" w:rsidRPr="005B21A9" w:rsidRDefault="003C0461">
      <w:pPr>
        <w:pStyle w:val="FootnoteText"/>
      </w:pPr>
      <w:r w:rsidRPr="00145E5A">
        <w:t>(</w:t>
      </w:r>
      <w:r w:rsidRPr="00145E5A">
        <w:rPr>
          <w:rStyle w:val="fnRefNo"/>
        </w:rPr>
        <w:footnoteRef/>
      </w:r>
      <w:r w:rsidRPr="00145E5A">
        <w:t>)</w:t>
      </w:r>
      <w:r w:rsidRPr="0032611A">
        <w:tab/>
      </w:r>
      <w:r>
        <w:t>Such as Galileo, EGNOS and Copernicus for satellite system navigation or earth observation.</w:t>
      </w:r>
    </w:p>
  </w:footnote>
  <w:footnote w:id="377">
    <w:p w14:paraId="12F99EB3" w14:textId="6C2D83D2" w:rsidR="003C0461" w:rsidRPr="00483839" w:rsidRDefault="003C0461" w:rsidP="00074A7E">
      <w:pPr>
        <w:pStyle w:val="FootnoteText"/>
      </w:pPr>
      <w:r w:rsidRPr="00145E5A">
        <w:t>(</w:t>
      </w:r>
      <w:r w:rsidRPr="00145E5A">
        <w:rPr>
          <w:rStyle w:val="fnRefNo"/>
        </w:rPr>
        <w:footnoteRef/>
      </w:r>
      <w:r w:rsidRPr="00145E5A">
        <w:t>)</w:t>
      </w:r>
      <w:r w:rsidRPr="00542A50">
        <w:tab/>
      </w:r>
      <w:r w:rsidRPr="00483839">
        <w:t xml:space="preserve">Furthermore, the new </w:t>
      </w:r>
      <w:r>
        <w:t>financial regulation</w:t>
      </w:r>
      <w:r w:rsidRPr="00483839">
        <w:t xml:space="preserve"> also paved the way to update the financial framework regulation for EU bodies, to reinforce rules on treating </w:t>
      </w:r>
      <w:r>
        <w:t>conflicts of interest</w:t>
      </w:r>
      <w:r w:rsidRPr="00483839">
        <w:t xml:space="preserve"> in Member States and entrusted entities, and to strengthen the fraud </w:t>
      </w:r>
      <w:r>
        <w:t>early detection and exclusion system</w:t>
      </w:r>
      <w:r w:rsidRPr="00483839">
        <w:t xml:space="preserve"> (see details in subsection 4).</w:t>
      </w:r>
    </w:p>
  </w:footnote>
  <w:footnote w:id="378">
    <w:p w14:paraId="7D32F3DF" w14:textId="657D37E7" w:rsidR="003C0461" w:rsidRPr="00247D8D" w:rsidRDefault="003C0461" w:rsidP="00FC5564">
      <w:pPr>
        <w:pStyle w:val="FootnoteText"/>
      </w:pPr>
      <w:r w:rsidRPr="00145E5A">
        <w:t>(</w:t>
      </w:r>
      <w:r w:rsidRPr="00145E5A">
        <w:rPr>
          <w:rStyle w:val="fnRefNo"/>
        </w:rPr>
        <w:footnoteRef/>
      </w:r>
      <w:r w:rsidRPr="00145E5A">
        <w:t>)</w:t>
      </w:r>
      <w:r w:rsidRPr="00247D8D">
        <w:tab/>
        <w:t xml:space="preserve">The financial importance of the 50 Commission departments varies significantly. The management of funds is highly concentrated among a few big spending departments (e.g. 37% of the total amount of payments </w:t>
      </w:r>
      <w:r>
        <w:t xml:space="preserve">are </w:t>
      </w:r>
      <w:r w:rsidRPr="00247D8D">
        <w:t>made by the agriculture department on its own, 80% by six departments</w:t>
      </w:r>
      <w:r>
        <w:t xml:space="preserve"> and 95% by 16 out of the 50 departments</w:t>
      </w:r>
      <w:r w:rsidRPr="00247D8D">
        <w:t>).</w:t>
      </w:r>
    </w:p>
  </w:footnote>
  <w:footnote w:id="379">
    <w:p w14:paraId="26C2AA93" w14:textId="0FD672E9" w:rsidR="003C0461" w:rsidRPr="00247D8D" w:rsidRDefault="003C0461" w:rsidP="00FC5564">
      <w:pPr>
        <w:pStyle w:val="FootnoteText"/>
      </w:pPr>
      <w:r w:rsidRPr="00145E5A">
        <w:t>(</w:t>
      </w:r>
      <w:r w:rsidRPr="00145E5A">
        <w:rPr>
          <w:rStyle w:val="fnRefNo"/>
        </w:rPr>
        <w:footnoteRef/>
      </w:r>
      <w:r w:rsidRPr="00145E5A">
        <w:t>)</w:t>
      </w:r>
      <w:r w:rsidRPr="00247D8D">
        <w:tab/>
        <w:t>The variations observed as compared to 2017 are mainly explained by the new guidance on the estimation, assessment and reporting on the cost</w:t>
      </w:r>
      <w:r>
        <w:t>-</w:t>
      </w:r>
      <w:r w:rsidRPr="00247D8D">
        <w:t xml:space="preserve">effectiveness of </w:t>
      </w:r>
      <w:r>
        <w:t>audits (‘</w:t>
      </w:r>
      <w:r w:rsidRPr="00247D8D">
        <w:t>controls</w:t>
      </w:r>
      <w:r>
        <w:t>’)</w:t>
      </w:r>
      <w:r w:rsidRPr="00247D8D">
        <w:t>, which harmonises the estimation of the cost of controls.</w:t>
      </w:r>
    </w:p>
  </w:footnote>
  <w:footnote w:id="380">
    <w:p w14:paraId="151686EC" w14:textId="31030DE4" w:rsidR="003C0461" w:rsidRPr="00247D8D" w:rsidRDefault="003C0461" w:rsidP="00FC5564">
      <w:pPr>
        <w:pStyle w:val="FootnoteText"/>
      </w:pPr>
      <w:r w:rsidRPr="00145E5A">
        <w:t>(</w:t>
      </w:r>
      <w:r w:rsidRPr="00145E5A">
        <w:rPr>
          <w:rStyle w:val="fnRefNo"/>
        </w:rPr>
        <w:footnoteRef/>
      </w:r>
      <w:r w:rsidRPr="00145E5A">
        <w:t>)</w:t>
      </w:r>
      <w:r w:rsidRPr="0032611A">
        <w:tab/>
      </w:r>
      <w:r w:rsidRPr="00247D8D">
        <w:t>These are not reported in the tables below but in a separate section in Annex 4.</w:t>
      </w:r>
    </w:p>
  </w:footnote>
  <w:footnote w:id="381">
    <w:p w14:paraId="1C42C415" w14:textId="77777777" w:rsidR="003C0461" w:rsidRPr="00247D8D" w:rsidRDefault="003C0461" w:rsidP="00FC5564">
      <w:pPr>
        <w:pStyle w:val="FootnoteText"/>
      </w:pPr>
      <w:r w:rsidRPr="00145E5A">
        <w:t>(</w:t>
      </w:r>
      <w:r w:rsidRPr="00145E5A">
        <w:rPr>
          <w:rStyle w:val="fnRefNo"/>
        </w:rPr>
        <w:footnoteRef/>
      </w:r>
      <w:r w:rsidRPr="00145E5A">
        <w:t>)</w:t>
      </w:r>
      <w:r w:rsidRPr="00247D8D">
        <w:tab/>
        <w:t>In cohesion this is not always a ‘net’ reimbursement to the EU budget, as Member States have the option to replace the ineligible expenditure with new eligible expenditure.</w:t>
      </w:r>
    </w:p>
  </w:footnote>
  <w:footnote w:id="382">
    <w:p w14:paraId="486923E2" w14:textId="77777777" w:rsidR="003C0461" w:rsidRPr="00247D8D" w:rsidRDefault="003C0461" w:rsidP="00FC5564">
      <w:pPr>
        <w:pStyle w:val="FootnoteText"/>
        <w:rPr>
          <w:rStyle w:val="FootnoteTextChar"/>
        </w:rPr>
      </w:pPr>
      <w:r w:rsidRPr="00145E5A">
        <w:t>(</w:t>
      </w:r>
      <w:r w:rsidRPr="00145E5A">
        <w:rPr>
          <w:rStyle w:val="fnRefNo"/>
        </w:rPr>
        <w:footnoteRef/>
      </w:r>
      <w:r w:rsidRPr="00145E5A">
        <w:t>)</w:t>
      </w:r>
      <w:r w:rsidRPr="00247D8D">
        <w:tab/>
      </w:r>
      <w:r w:rsidRPr="00247D8D">
        <w:rPr>
          <w:rStyle w:val="FootnoteTextChar"/>
        </w:rPr>
        <w:t>Including financial corrections at source and corrections from financial clearance in agriculture.</w:t>
      </w:r>
    </w:p>
  </w:footnote>
  <w:footnote w:id="383">
    <w:p w14:paraId="04926F2B" w14:textId="77777777" w:rsidR="003C0461" w:rsidRPr="00247D8D" w:rsidRDefault="003C0461" w:rsidP="00FC5564">
      <w:pPr>
        <w:pStyle w:val="FootnoteText"/>
      </w:pPr>
      <w:r w:rsidRPr="00145E5A">
        <w:t>(</w:t>
      </w:r>
      <w:r w:rsidRPr="00145E5A">
        <w:rPr>
          <w:rStyle w:val="fnRefNo"/>
        </w:rPr>
        <w:footnoteRef/>
      </w:r>
      <w:r w:rsidRPr="00145E5A">
        <w:t>)</w:t>
      </w:r>
      <w:r w:rsidRPr="00247D8D">
        <w:tab/>
        <w:t>Treaty on the Functioning of the European Union (TFEU), Article 325.</w:t>
      </w:r>
    </w:p>
  </w:footnote>
  <w:footnote w:id="384">
    <w:p w14:paraId="00BF84D7" w14:textId="77777777" w:rsidR="003C0461" w:rsidRPr="00247D8D" w:rsidRDefault="003C0461" w:rsidP="00FC5564">
      <w:pPr>
        <w:pStyle w:val="FootnoteText"/>
      </w:pPr>
      <w:r w:rsidRPr="00145E5A">
        <w:t>(</w:t>
      </w:r>
      <w:r w:rsidRPr="00145E5A">
        <w:rPr>
          <w:rStyle w:val="fnRefNo"/>
        </w:rPr>
        <w:footnoteRef/>
      </w:r>
      <w:r w:rsidRPr="00145E5A">
        <w:t>)</w:t>
      </w:r>
      <w:r w:rsidRPr="00247D8D">
        <w:tab/>
        <w:t>Article</w:t>
      </w:r>
      <w:r w:rsidRPr="00247D8D">
        <w:rPr>
          <w:rFonts w:ascii="Calibri" w:hAnsi="Calibri" w:cs="Calibri"/>
        </w:rPr>
        <w:t> </w:t>
      </w:r>
      <w:r w:rsidRPr="00247D8D">
        <w:t>36(2)(d) of the Financial Regulation.</w:t>
      </w:r>
    </w:p>
  </w:footnote>
  <w:footnote w:id="385">
    <w:p w14:paraId="4E57D2C5" w14:textId="77777777" w:rsidR="003C0461" w:rsidRPr="00247D8D" w:rsidRDefault="003C0461" w:rsidP="00FC5564">
      <w:pPr>
        <w:pStyle w:val="FootnoteText"/>
      </w:pPr>
      <w:r w:rsidRPr="00145E5A">
        <w:t>(</w:t>
      </w:r>
      <w:r w:rsidRPr="00145E5A">
        <w:rPr>
          <w:rStyle w:val="fnRefNo"/>
        </w:rPr>
        <w:footnoteRef/>
      </w:r>
      <w:r w:rsidRPr="00145E5A">
        <w:t>)</w:t>
      </w:r>
      <w:r w:rsidRPr="00247D8D">
        <w:tab/>
        <w:t>Communication from the Commission to the European Parliament, the Council, the European Economic and Social Committee, and the Committee of the Regions and the Court of Auditors on the Commission anti-fraud strategy, COM(2011) 376 final, 24.6.2011.</w:t>
      </w:r>
    </w:p>
  </w:footnote>
  <w:footnote w:id="386">
    <w:p w14:paraId="22E6C560" w14:textId="4D15BBD1" w:rsidR="003C0461" w:rsidRPr="00CE4F01" w:rsidRDefault="003C0461" w:rsidP="003522E9">
      <w:pPr>
        <w:pStyle w:val="FootnoteText"/>
      </w:pPr>
      <w:r w:rsidRPr="00145E5A">
        <w:t>(</w:t>
      </w:r>
      <w:r w:rsidRPr="00145E5A">
        <w:rPr>
          <w:rStyle w:val="fnRefNo"/>
        </w:rPr>
        <w:footnoteRef/>
      </w:r>
      <w:r w:rsidRPr="00145E5A">
        <w:t>)</w:t>
      </w:r>
      <w:r w:rsidRPr="0032611A">
        <w:tab/>
      </w:r>
      <w:r w:rsidRPr="00CE4F01">
        <w:t>Communication from the Commission to the European Parliament, the Council, the European Economic and Social Committee, and the Committee of the Regions and the Court of Auditors of 24</w:t>
      </w:r>
      <w:r>
        <w:rPr>
          <w:rFonts w:ascii="Calibri" w:hAnsi="Calibri" w:cs="Calibri"/>
        </w:rPr>
        <w:t> </w:t>
      </w:r>
      <w:r>
        <w:t>September</w:t>
      </w:r>
      <w:r>
        <w:rPr>
          <w:rFonts w:ascii="Calibri" w:hAnsi="Calibri" w:cs="Calibri"/>
        </w:rPr>
        <w:t> </w:t>
      </w:r>
      <w:r>
        <w:t>2011</w:t>
      </w:r>
      <w:r w:rsidRPr="00CE4F01">
        <w:t xml:space="preserve"> on the Commission Anti-Fraud Strategy, COM (2011) 376 final.</w:t>
      </w:r>
    </w:p>
  </w:footnote>
  <w:footnote w:id="387">
    <w:p w14:paraId="0A2ECB05" w14:textId="77777777" w:rsidR="003C0461" w:rsidRPr="00247D8D" w:rsidRDefault="003C0461" w:rsidP="003522E9">
      <w:pPr>
        <w:pStyle w:val="FootnoteText"/>
      </w:pPr>
      <w:r w:rsidRPr="00145E5A">
        <w:t>(</w:t>
      </w:r>
      <w:r w:rsidRPr="00145E5A">
        <w:rPr>
          <w:rStyle w:val="fnRefNo"/>
        </w:rPr>
        <w:footnoteRef/>
      </w:r>
      <w:r w:rsidRPr="00145E5A">
        <w:t>)</w:t>
      </w:r>
      <w:r w:rsidRPr="00247D8D">
        <w:tab/>
        <w:t>Communication from the Commission to the European Parliament, the Council, the European Economic and Social Committee, the Committee of the Regions and the Court of Auditors of 29</w:t>
      </w:r>
      <w:r w:rsidRPr="00247D8D">
        <w:rPr>
          <w:rFonts w:ascii="Calibri" w:hAnsi="Calibri" w:cs="Calibri"/>
        </w:rPr>
        <w:t> </w:t>
      </w:r>
      <w:r w:rsidRPr="00247D8D">
        <w:t>April 2019 on the Commission anti-fraud strategy: enhanced action to protect the EU budget, COM(2019) 196.</w:t>
      </w:r>
    </w:p>
  </w:footnote>
  <w:footnote w:id="388">
    <w:p w14:paraId="43883C73" w14:textId="55D3306B" w:rsidR="003C0461" w:rsidRPr="00247D8D" w:rsidRDefault="003C0461" w:rsidP="003522E9">
      <w:pPr>
        <w:pStyle w:val="FootnoteText"/>
      </w:pPr>
      <w:r w:rsidRPr="00145E5A">
        <w:t>(</w:t>
      </w:r>
      <w:r w:rsidRPr="00145E5A">
        <w:rPr>
          <w:rStyle w:val="fnRefNo"/>
        </w:rPr>
        <w:footnoteRef/>
      </w:r>
      <w:r w:rsidRPr="00145E5A">
        <w:t>)</w:t>
      </w:r>
      <w:r w:rsidRPr="0032611A">
        <w:tab/>
      </w:r>
      <w:r w:rsidRPr="00247D8D">
        <w:t>SWD (2019) 500, Section 5.2.3.</w:t>
      </w:r>
    </w:p>
  </w:footnote>
  <w:footnote w:id="389">
    <w:p w14:paraId="49066A06" w14:textId="77777777" w:rsidR="003C0461" w:rsidRPr="00247D8D" w:rsidRDefault="003C0461" w:rsidP="00FC5564">
      <w:pPr>
        <w:pStyle w:val="FootnoteText"/>
      </w:pPr>
      <w:r w:rsidRPr="00145E5A">
        <w:t>(</w:t>
      </w:r>
      <w:r w:rsidRPr="00145E5A">
        <w:rPr>
          <w:rStyle w:val="fnRefNo"/>
        </w:rPr>
        <w:footnoteRef/>
      </w:r>
      <w:r w:rsidRPr="00145E5A">
        <w:t>)</w:t>
      </w:r>
      <w:r w:rsidRPr="00247D8D">
        <w:tab/>
        <w:t>Directive (EU) 2017/1371 of the European Parliament and of the Council of 5</w:t>
      </w:r>
      <w:r w:rsidRPr="00247D8D">
        <w:rPr>
          <w:rFonts w:ascii="Calibri" w:hAnsi="Calibri" w:cs="Calibri"/>
        </w:rPr>
        <w:t> </w:t>
      </w:r>
      <w:r w:rsidRPr="00247D8D">
        <w:t>July 2017 on the fight against fraud to the Union’s financial interests by means of criminal law (OJ L</w:t>
      </w:r>
      <w:r w:rsidRPr="00247D8D">
        <w:rPr>
          <w:rFonts w:ascii="Calibri" w:hAnsi="Calibri" w:cs="Calibri"/>
        </w:rPr>
        <w:t> </w:t>
      </w:r>
      <w:r w:rsidRPr="00247D8D">
        <w:t>198, 28.7.2017, pp.</w:t>
      </w:r>
      <w:r w:rsidRPr="00247D8D">
        <w:rPr>
          <w:rFonts w:ascii="Calibri" w:hAnsi="Calibri" w:cs="Calibri"/>
        </w:rPr>
        <w:t> </w:t>
      </w:r>
      <w:r w:rsidRPr="00247D8D">
        <w:t>29-41).</w:t>
      </w:r>
    </w:p>
  </w:footnote>
  <w:footnote w:id="390">
    <w:p w14:paraId="161E3B0E" w14:textId="77777777" w:rsidR="003C0461" w:rsidRPr="00247D8D" w:rsidRDefault="003C0461" w:rsidP="00FC5564">
      <w:pPr>
        <w:pStyle w:val="FootnoteText"/>
      </w:pPr>
      <w:r w:rsidRPr="00145E5A">
        <w:t>(</w:t>
      </w:r>
      <w:r w:rsidRPr="00145E5A">
        <w:rPr>
          <w:rStyle w:val="fnRefNo"/>
        </w:rPr>
        <w:footnoteRef/>
      </w:r>
      <w:r w:rsidRPr="00145E5A">
        <w:t>)</w:t>
      </w:r>
      <w:r w:rsidRPr="00247D8D">
        <w:tab/>
        <w:t>Council Regulation (EU) 2017/1939 of 12</w:t>
      </w:r>
      <w:r w:rsidRPr="00247D8D">
        <w:rPr>
          <w:rFonts w:ascii="Calibri" w:hAnsi="Calibri" w:cs="Calibri"/>
        </w:rPr>
        <w:t> </w:t>
      </w:r>
      <w:r w:rsidRPr="00247D8D">
        <w:t>October 2017 implementing enhanced cooperation on the establishment of the European Public Prosecutor’s Office (‘the EPPO’) (OJ L</w:t>
      </w:r>
      <w:r w:rsidRPr="00247D8D">
        <w:rPr>
          <w:rFonts w:ascii="Calibri" w:hAnsi="Calibri" w:cs="Calibri"/>
        </w:rPr>
        <w:t> </w:t>
      </w:r>
      <w:r w:rsidRPr="00247D8D">
        <w:t>283, 31.10.2017, pp.</w:t>
      </w:r>
      <w:r w:rsidRPr="00247D8D">
        <w:rPr>
          <w:rFonts w:ascii="Calibri" w:hAnsi="Calibri" w:cs="Calibri"/>
        </w:rPr>
        <w:t> </w:t>
      </w:r>
      <w:r w:rsidRPr="00247D8D">
        <w:t>1-71).</w:t>
      </w:r>
    </w:p>
  </w:footnote>
  <w:footnote w:id="391">
    <w:p w14:paraId="20CC3785" w14:textId="77777777" w:rsidR="003C0461" w:rsidRPr="00247D8D" w:rsidRDefault="003C0461" w:rsidP="00FC5564">
      <w:pPr>
        <w:pStyle w:val="FootnoteText"/>
      </w:pPr>
      <w:r w:rsidRPr="00145E5A">
        <w:t>(</w:t>
      </w:r>
      <w:r w:rsidRPr="00145E5A">
        <w:rPr>
          <w:rStyle w:val="fnRefNo"/>
        </w:rPr>
        <w:footnoteRef/>
      </w:r>
      <w:r w:rsidRPr="00145E5A">
        <w:t>)</w:t>
      </w:r>
      <w:r w:rsidRPr="00247D8D">
        <w:tab/>
        <w:t xml:space="preserve">European Court of Auditors, </w:t>
      </w:r>
      <w:r w:rsidRPr="00247D8D">
        <w:rPr>
          <w:i/>
        </w:rPr>
        <w:t xml:space="preserve">Fighting fraud in EU spending: action needed — </w:t>
      </w:r>
      <w:hyperlink r:id="rId160" w:history="1">
        <w:r w:rsidRPr="00247D8D">
          <w:rPr>
            <w:rStyle w:val="Hyperlink"/>
            <w:i/>
          </w:rPr>
          <w:t>Special report No</w:t>
        </w:r>
        <w:r w:rsidRPr="00247D8D">
          <w:rPr>
            <w:rStyle w:val="Hyperlink"/>
            <w:rFonts w:ascii="Calibri" w:hAnsi="Calibri" w:cs="Calibri"/>
            <w:i/>
          </w:rPr>
          <w:t> </w:t>
        </w:r>
        <w:r w:rsidRPr="00247D8D">
          <w:rPr>
            <w:rStyle w:val="Hyperlink"/>
            <w:i/>
          </w:rPr>
          <w:t>01/2019</w:t>
        </w:r>
      </w:hyperlink>
      <w:r w:rsidRPr="00247D8D">
        <w:t>.</w:t>
      </w:r>
    </w:p>
  </w:footnote>
  <w:footnote w:id="392">
    <w:p w14:paraId="557A9BF8" w14:textId="77777777" w:rsidR="003C0461" w:rsidRPr="00247D8D" w:rsidRDefault="003C0461" w:rsidP="00FC5564">
      <w:pPr>
        <w:pStyle w:val="FootnoteText"/>
      </w:pPr>
      <w:r w:rsidRPr="00145E5A">
        <w:t>(</w:t>
      </w:r>
      <w:r w:rsidRPr="00145E5A">
        <w:rPr>
          <w:rStyle w:val="fnRefNo"/>
        </w:rPr>
        <w:footnoteRef/>
      </w:r>
      <w:r w:rsidRPr="00145E5A">
        <w:t>)</w:t>
      </w:r>
      <w:r w:rsidRPr="00247D8D">
        <w:tab/>
        <w:t>Report from the Commission to the European Parliament and the Council — Annual report to the discharge authority on internal audits carried out in 2016 (Article 99(5) of the Financial Regulation), COM(2017) 497 final, 15.9.2017, p.</w:t>
      </w:r>
      <w:r w:rsidRPr="00247D8D">
        <w:rPr>
          <w:rFonts w:ascii="Calibri" w:hAnsi="Calibri" w:cs="Calibri"/>
        </w:rPr>
        <w:t> </w:t>
      </w:r>
      <w:r w:rsidRPr="00247D8D">
        <w:t>11.</w:t>
      </w:r>
    </w:p>
  </w:footnote>
  <w:footnote w:id="393">
    <w:p w14:paraId="5BBE4AD7" w14:textId="77777777" w:rsidR="003C0461" w:rsidRPr="00247D8D" w:rsidRDefault="003C0461" w:rsidP="00FC5564">
      <w:pPr>
        <w:pStyle w:val="FootnoteText"/>
      </w:pPr>
      <w:r w:rsidRPr="00145E5A">
        <w:t>(</w:t>
      </w:r>
      <w:r w:rsidRPr="00145E5A">
        <w:rPr>
          <w:rStyle w:val="fnRefNo"/>
        </w:rPr>
        <w:footnoteRef/>
      </w:r>
      <w:r w:rsidRPr="00145E5A">
        <w:t>)</w:t>
      </w:r>
      <w:r w:rsidRPr="00247D8D">
        <w:tab/>
        <w:t>Communication to the Commission on Governance in the European Commission, COM(2018) 7703 final, 21.11.2018; Commission Decision on the Corporate Management Board, COM(2018) 7706 final, 21.11.2018.</w:t>
      </w:r>
    </w:p>
  </w:footnote>
  <w:footnote w:id="394">
    <w:p w14:paraId="671A7155" w14:textId="6F7C39C9" w:rsidR="003C0461" w:rsidRPr="00247D8D" w:rsidRDefault="003C0461" w:rsidP="00FC5564">
      <w:pPr>
        <w:pStyle w:val="FootnoteText"/>
      </w:pPr>
      <w:r w:rsidRPr="00145E5A">
        <w:t>(</w:t>
      </w:r>
      <w:r w:rsidRPr="00145E5A">
        <w:rPr>
          <w:rStyle w:val="fnRefNo"/>
        </w:rPr>
        <w:footnoteRef/>
      </w:r>
      <w:r w:rsidRPr="00145E5A">
        <w:t>)</w:t>
      </w:r>
      <w:r w:rsidRPr="00247D8D">
        <w:tab/>
      </w:r>
      <w:hyperlink r:id="rId161" w:history="1">
        <w:r w:rsidRPr="00EF0265">
          <w:rPr>
            <w:rStyle w:val="Hyperlink"/>
          </w:rPr>
          <w:t>https://ec.europa.eu/info/publications/annual-activity-reports_en</w:t>
        </w:r>
      </w:hyperlink>
      <w:r w:rsidRPr="00247D8D">
        <w:t xml:space="preserve"> </w:t>
      </w:r>
    </w:p>
  </w:footnote>
  <w:footnote w:id="395">
    <w:p w14:paraId="7C7ABC5E" w14:textId="68DC05E6" w:rsidR="003C0461" w:rsidRPr="00247D8D" w:rsidRDefault="003C0461" w:rsidP="00FC5564">
      <w:pPr>
        <w:pStyle w:val="FootnoteText"/>
      </w:pPr>
      <w:r w:rsidRPr="00145E5A">
        <w:t>(</w:t>
      </w:r>
      <w:r w:rsidRPr="00145E5A">
        <w:rPr>
          <w:rStyle w:val="fnRefNo"/>
        </w:rPr>
        <w:footnoteRef/>
      </w:r>
      <w:r w:rsidRPr="00145E5A">
        <w:t>)</w:t>
      </w:r>
      <w:r w:rsidRPr="00247D8D">
        <w:tab/>
        <w:t>See details in Annex 3</w:t>
      </w:r>
      <w:r>
        <w:t>.</w:t>
      </w:r>
    </w:p>
  </w:footnote>
  <w:footnote w:id="396">
    <w:p w14:paraId="0B9950F9" w14:textId="33F8CC01" w:rsidR="003C0461" w:rsidRPr="00247D8D" w:rsidRDefault="003C0461" w:rsidP="00FC5564">
      <w:pPr>
        <w:pStyle w:val="FootnoteText"/>
      </w:pPr>
      <w:r w:rsidRPr="00145E5A">
        <w:t>(</w:t>
      </w:r>
      <w:r w:rsidRPr="00145E5A">
        <w:rPr>
          <w:rStyle w:val="fnRefNo"/>
        </w:rPr>
        <w:footnoteRef/>
      </w:r>
      <w:r w:rsidRPr="00145E5A">
        <w:t>)</w:t>
      </w:r>
      <w:r w:rsidRPr="00247D8D">
        <w:tab/>
        <w:t>The legislative financial statement accompanying the Commission’s proposal for the Horizon 2020 regulation states: ‘The Commission considers therefore that, for research spending under Horizon 2020, a risk of error, on an annual basis, within a range between 2-5% is a realistic objective taking into account the costs of controls, the simplification measures proposed to reduce the complexity of rules and the related inherent risk associated to the reimbursement of costs of the research projects. The ultimate aim for the residual level of error at the closure of the programmes after the financial impact of all audits, corrections and recovery measures will have been taken into account is to achieve a level as close as possible to 2%.’</w:t>
      </w:r>
    </w:p>
  </w:footnote>
  <w:footnote w:id="397">
    <w:p w14:paraId="2E46945A" w14:textId="0AFDABB6" w:rsidR="003C0461" w:rsidRPr="00E22A7F" w:rsidRDefault="003C0461" w:rsidP="00E22A7F">
      <w:pPr>
        <w:pStyle w:val="FootnoteText"/>
      </w:pPr>
      <w:r w:rsidRPr="00145E5A">
        <w:t>(</w:t>
      </w:r>
      <w:r w:rsidRPr="00145E5A">
        <w:rPr>
          <w:rStyle w:val="fnRefNo"/>
        </w:rPr>
        <w:footnoteRef/>
      </w:r>
      <w:r w:rsidRPr="00145E5A">
        <w:t>)</w:t>
      </w:r>
      <w:r>
        <w:tab/>
        <w:t>A paragraph included in the auditor's report that is required, or is included at the auditor's discretion, and that refers to a matter appropriately presented or disclosed in the financial statements that, in the auditor's professional judgment, is of such importance that it is fundamental to users' understanding of the financial statements. (definition of the AICPA)</w:t>
      </w:r>
    </w:p>
  </w:footnote>
  <w:footnote w:id="398">
    <w:p w14:paraId="13C40673" w14:textId="6AB70A5E" w:rsidR="003C0461" w:rsidRPr="0032611A" w:rsidRDefault="003C0461" w:rsidP="0032611A">
      <w:pPr>
        <w:pStyle w:val="FootnoteText"/>
      </w:pPr>
      <w:r w:rsidRPr="00145E5A">
        <w:t>(</w:t>
      </w:r>
      <w:r w:rsidRPr="00145E5A">
        <w:rPr>
          <w:rStyle w:val="fnRefNo"/>
        </w:rPr>
        <w:footnoteRef/>
      </w:r>
      <w:r w:rsidRPr="00145E5A">
        <w:t>)</w:t>
      </w:r>
      <w:r w:rsidRPr="0032611A">
        <w:tab/>
        <w:t>‘Relevant expenditure’ means the total amount of payments made in 2018 minus the total amount of new pre-financing paid in 2018 plus the total amount of old pre-financing cleared in 2018 as reported by the Commission services in their 2018 AARs.</w:t>
      </w:r>
    </w:p>
  </w:footnote>
  <w:footnote w:id="399">
    <w:p w14:paraId="77A8F8B6" w14:textId="40B11260" w:rsidR="003C0461" w:rsidRDefault="003C0461" w:rsidP="00565AF9">
      <w:pPr>
        <w:pStyle w:val="FootnoteText"/>
        <w:ind w:left="0" w:firstLine="0"/>
      </w:pPr>
      <w:r w:rsidRPr="00145E5A">
        <w:t>(</w:t>
      </w:r>
      <w:r w:rsidRPr="00145E5A">
        <w:rPr>
          <w:rStyle w:val="fnRefNo"/>
        </w:rPr>
        <w:footnoteRef/>
      </w:r>
      <w:r w:rsidRPr="00145E5A">
        <w:t>)</w:t>
      </w:r>
      <w:r>
        <w:tab/>
      </w:r>
      <w:r w:rsidRPr="00532F02">
        <w:rPr>
          <w:i/>
        </w:rPr>
        <w:t>The synergies and efficiencies initiative: stock</w:t>
      </w:r>
      <w:r>
        <w:rPr>
          <w:i/>
        </w:rPr>
        <w:t>-taking</w:t>
      </w:r>
      <w:r w:rsidRPr="00532F02">
        <w:rPr>
          <w:i/>
        </w:rPr>
        <w:t xml:space="preserve"> and way forward</w:t>
      </w:r>
      <w:r>
        <w:t>. C(2019)2329 final of 26</w:t>
      </w:r>
      <w:r>
        <w:rPr>
          <w:rFonts w:ascii="Calibri" w:hAnsi="Calibri" w:cs="Calibri"/>
        </w:rPr>
        <w:t> </w:t>
      </w:r>
      <w:r>
        <w:t>March</w:t>
      </w:r>
      <w:r>
        <w:rPr>
          <w:rFonts w:ascii="Calibri" w:hAnsi="Calibri" w:cs="Calibri"/>
        </w:rPr>
        <w:t> </w:t>
      </w:r>
      <w:r>
        <w:t>2019.</w:t>
      </w:r>
    </w:p>
  </w:footnote>
  <w:footnote w:id="400">
    <w:p w14:paraId="5691D04C" w14:textId="420AC093" w:rsidR="003C0461" w:rsidRDefault="003C0461" w:rsidP="007C227E">
      <w:pPr>
        <w:pStyle w:val="FootnoteText"/>
        <w:ind w:left="0" w:firstLine="0"/>
      </w:pPr>
      <w:r w:rsidRPr="00145E5A">
        <w:t>(</w:t>
      </w:r>
      <w:r w:rsidRPr="00145E5A">
        <w:rPr>
          <w:rStyle w:val="fnRefNo"/>
        </w:rPr>
        <w:footnoteRef/>
      </w:r>
      <w:r w:rsidRPr="00145E5A">
        <w:t>)</w:t>
      </w:r>
      <w:r>
        <w:tab/>
        <w:t>Commission Anti-Fraud Strategy: enhanced action to protect the EU budget. COM(2019)196 final of 29</w:t>
      </w:r>
      <w:r>
        <w:rPr>
          <w:rFonts w:ascii="Calibri" w:hAnsi="Calibri" w:cs="Calibri"/>
        </w:rPr>
        <w:t> </w:t>
      </w:r>
      <w:r>
        <w:t>April</w:t>
      </w:r>
      <w:r>
        <w:rPr>
          <w:rFonts w:ascii="Calibri" w:hAnsi="Calibri" w:cs="Calibri"/>
        </w:rPr>
        <w:t> </w:t>
      </w:r>
      <w:r>
        <w:t>2019.</w:t>
      </w:r>
    </w:p>
  </w:footnote>
  <w:footnote w:id="401">
    <w:p w14:paraId="6DE34946" w14:textId="43230755" w:rsidR="003C0461" w:rsidRDefault="003C0461">
      <w:pPr>
        <w:pStyle w:val="FootnoteText"/>
      </w:pPr>
      <w:r w:rsidRPr="00145E5A">
        <w:t>(</w:t>
      </w:r>
      <w:r w:rsidRPr="00145E5A">
        <w:rPr>
          <w:rStyle w:val="fnRefNo"/>
        </w:rPr>
        <w:footnoteRef/>
      </w:r>
      <w:r w:rsidRPr="00145E5A">
        <w:t>)</w:t>
      </w:r>
      <w:r w:rsidRPr="0032611A">
        <w:tab/>
      </w:r>
      <w:r>
        <w:t>RAD: recommendations, actions, discharge.</w:t>
      </w:r>
    </w:p>
  </w:footnote>
  <w:footnote w:id="402">
    <w:p w14:paraId="623820C6" w14:textId="77777777" w:rsidR="003C0461" w:rsidRPr="00247D8D" w:rsidRDefault="003C0461" w:rsidP="00FC5564">
      <w:pPr>
        <w:pStyle w:val="FootnoteText"/>
      </w:pPr>
      <w:r w:rsidRPr="00145E5A">
        <w:t>(</w:t>
      </w:r>
      <w:r w:rsidRPr="00145E5A">
        <w:rPr>
          <w:rStyle w:val="fnRefNo"/>
        </w:rPr>
        <w:footnoteRef/>
      </w:r>
      <w:r w:rsidRPr="00145E5A">
        <w:t>)</w:t>
      </w:r>
      <w:r w:rsidRPr="00247D8D">
        <w:tab/>
        <w:t>Communication to the Commission on the Governance in the European Commission, C(2018) 7703, 21.11.2018</w:t>
      </w:r>
      <w:r w:rsidRPr="00247D8D">
        <w:rPr>
          <w:rStyle w:val="Corpsdutexte4"/>
        </w:rPr>
        <w:t>.</w:t>
      </w:r>
    </w:p>
  </w:footnote>
  <w:footnote w:id="403">
    <w:p w14:paraId="1E4E3236" w14:textId="77777777" w:rsidR="003C0461" w:rsidRPr="00247D8D" w:rsidRDefault="003C0461" w:rsidP="00FC5564">
      <w:pPr>
        <w:pStyle w:val="FootnoteText"/>
        <w:rPr>
          <w:szCs w:val="16"/>
        </w:rPr>
      </w:pPr>
      <w:r w:rsidRPr="00145E5A">
        <w:t>(</w:t>
      </w:r>
      <w:r w:rsidRPr="00145E5A">
        <w:rPr>
          <w:rStyle w:val="fnRefNo"/>
        </w:rPr>
        <w:footnoteRef/>
      </w:r>
      <w:r w:rsidRPr="00145E5A">
        <w:t>)</w:t>
      </w:r>
      <w:r w:rsidRPr="00247D8D">
        <w:tab/>
      </w:r>
      <w:r w:rsidRPr="00F93DAA">
        <w:t>Eur</w:t>
      </w:r>
      <w:r w:rsidRPr="001353E7">
        <w:t xml:space="preserve">opean Parliament resolution on the Commission White Paper on reforming the Commission (aspects concerning the Committee on Budgets), </w:t>
      </w:r>
      <w:r w:rsidRPr="00247D8D">
        <w:rPr>
          <w:bCs/>
          <w:szCs w:val="16"/>
        </w:rPr>
        <w:t>COM(2000) 200</w:t>
      </w:r>
      <w:r w:rsidRPr="00247D8D">
        <w:rPr>
          <w:szCs w:val="16"/>
        </w:rPr>
        <w:t>, 5.4.2000.</w:t>
      </w:r>
    </w:p>
  </w:footnote>
  <w:footnote w:id="404">
    <w:p w14:paraId="38E8F2C5" w14:textId="7CD92EA7" w:rsidR="003C0461" w:rsidRPr="00247D8D" w:rsidRDefault="003C0461" w:rsidP="00FC5564">
      <w:pPr>
        <w:pStyle w:val="FootnoteText"/>
      </w:pPr>
      <w:r w:rsidRPr="00145E5A">
        <w:t>(</w:t>
      </w:r>
      <w:r w:rsidRPr="00145E5A">
        <w:rPr>
          <w:rStyle w:val="fnRefNo"/>
        </w:rPr>
        <w:footnoteRef/>
      </w:r>
      <w:r w:rsidRPr="00145E5A">
        <w:t>)</w:t>
      </w:r>
      <w:r w:rsidRPr="00247D8D">
        <w:tab/>
      </w:r>
      <w:hyperlink r:id="rId162" w:history="1">
        <w:r w:rsidRPr="00E51186">
          <w:rPr>
            <w:rStyle w:val="Hyperlink"/>
          </w:rPr>
          <w:t>https://ec.europa.eu/info/publications/governance-in-the-commission_en</w:t>
        </w:r>
      </w:hyperlink>
    </w:p>
  </w:footnote>
  <w:footnote w:id="405">
    <w:p w14:paraId="5BB64F66" w14:textId="77777777" w:rsidR="003C0461" w:rsidRPr="00247D8D" w:rsidRDefault="003C0461" w:rsidP="00FC5564">
      <w:pPr>
        <w:pStyle w:val="FootnoteText"/>
      </w:pPr>
      <w:r w:rsidRPr="00145E5A">
        <w:t>(</w:t>
      </w:r>
      <w:r w:rsidRPr="00145E5A">
        <w:rPr>
          <w:rStyle w:val="fnRefNo"/>
        </w:rPr>
        <w:footnoteRef/>
      </w:r>
      <w:r w:rsidRPr="00145E5A">
        <w:t>)</w:t>
      </w:r>
      <w:r w:rsidRPr="00247D8D">
        <w:tab/>
        <w:t xml:space="preserve">European Court of Auditors, </w:t>
      </w:r>
      <w:r w:rsidRPr="00247D8D">
        <w:rPr>
          <w:i/>
        </w:rPr>
        <w:t>Governance at the European Commission — best practice? — Special report N°27/2016</w:t>
      </w:r>
      <w:r w:rsidRPr="00247D8D">
        <w:t>.</w:t>
      </w:r>
    </w:p>
  </w:footnote>
  <w:footnote w:id="406">
    <w:p w14:paraId="7C10E21B" w14:textId="77777777" w:rsidR="003C0461" w:rsidRPr="00247D8D" w:rsidRDefault="003C0461" w:rsidP="00FC5564">
      <w:pPr>
        <w:pStyle w:val="FootnoteText"/>
        <w:tabs>
          <w:tab w:val="clear" w:pos="426"/>
          <w:tab w:val="left" w:pos="425"/>
        </w:tabs>
        <w:ind w:left="425" w:hanging="425"/>
      </w:pPr>
      <w:r w:rsidRPr="00145E5A">
        <w:t>(</w:t>
      </w:r>
      <w:r w:rsidRPr="00145E5A">
        <w:rPr>
          <w:rStyle w:val="fnRefNo"/>
        </w:rPr>
        <w:footnoteRef/>
      </w:r>
      <w:r w:rsidRPr="00145E5A">
        <w:t>)</w:t>
      </w:r>
      <w:r w:rsidRPr="00247D8D">
        <w:tab/>
        <w:t xml:space="preserve">See, inter alia, </w:t>
      </w:r>
      <w:r w:rsidRPr="00247D8D">
        <w:rPr>
          <w:i/>
        </w:rPr>
        <w:t>Section</w:t>
      </w:r>
      <w:r w:rsidRPr="00247D8D">
        <w:rPr>
          <w:rFonts w:ascii="Calibri" w:hAnsi="Calibri" w:cs="Calibri"/>
          <w:i/>
        </w:rPr>
        <w:t> </w:t>
      </w:r>
      <w:r w:rsidRPr="00247D8D">
        <w:rPr>
          <w:i/>
        </w:rPr>
        <w:t>4.1.1.1. Governance processes</w:t>
      </w:r>
      <w:r w:rsidRPr="00247D8D">
        <w:t xml:space="preserve"> in the Report from the Commission to the European Parliament and the Council — Annual report to the Discharge Authority on internal audits carried out in 2017, COM(2018) 661), 21.9.2018.</w:t>
      </w:r>
    </w:p>
  </w:footnote>
  <w:footnote w:id="407">
    <w:p w14:paraId="2EBF0EC9" w14:textId="77777777" w:rsidR="003C0461" w:rsidRPr="00247D8D" w:rsidRDefault="003C0461" w:rsidP="00FC5564">
      <w:pPr>
        <w:pStyle w:val="FootnoteText"/>
      </w:pPr>
      <w:r w:rsidRPr="00145E5A">
        <w:t>(</w:t>
      </w:r>
      <w:r w:rsidRPr="00145E5A">
        <w:rPr>
          <w:rStyle w:val="fnRefNo"/>
        </w:rPr>
        <w:footnoteRef/>
      </w:r>
      <w:r w:rsidRPr="00145E5A">
        <w:t>)</w:t>
      </w:r>
      <w:r w:rsidRPr="00247D8D">
        <w:tab/>
        <w:t>Commission Decision on the Corporate Management Board, C(2018) 7706, 21.11.2018.</w:t>
      </w:r>
    </w:p>
  </w:footnote>
  <w:footnote w:id="408">
    <w:p w14:paraId="72A6FAED" w14:textId="77777777" w:rsidR="003C0461" w:rsidRPr="00247D8D" w:rsidRDefault="003C0461" w:rsidP="00FC5564">
      <w:pPr>
        <w:pStyle w:val="FootnoteText"/>
      </w:pPr>
      <w:r w:rsidRPr="00145E5A">
        <w:t>(</w:t>
      </w:r>
      <w:r w:rsidRPr="00145E5A">
        <w:rPr>
          <w:rStyle w:val="fnRefNo"/>
        </w:rPr>
        <w:footnoteRef/>
      </w:r>
      <w:r w:rsidRPr="00145E5A">
        <w:t>)</w:t>
      </w:r>
      <w:r w:rsidRPr="00247D8D">
        <w:tab/>
        <w:t>Communication to the Commission — European Commission digital strategy — A digitally transformed, user-focused and data-driven Commission, C(2018) 7118 final, 21.11.2018.</w:t>
      </w:r>
    </w:p>
  </w:footnote>
  <w:footnote w:id="409">
    <w:p w14:paraId="0300E273" w14:textId="77777777" w:rsidR="003C0461" w:rsidRPr="00247D8D" w:rsidRDefault="003C0461" w:rsidP="008F4A39">
      <w:pPr>
        <w:pStyle w:val="FootnoteText"/>
      </w:pPr>
      <w:r w:rsidRPr="00145E5A">
        <w:t>(</w:t>
      </w:r>
      <w:r w:rsidRPr="00145E5A">
        <w:rPr>
          <w:rStyle w:val="fnRefNo"/>
        </w:rPr>
        <w:footnoteRef/>
      </w:r>
      <w:r w:rsidRPr="00145E5A">
        <w:t>)</w:t>
      </w:r>
      <w:r w:rsidRPr="00247D8D">
        <w:tab/>
        <w:t>Communication to the Commission — Update of the charter of the Audit Progress Committee of the European Commission, C(2018) 7707 final, 21.11.2018.</w:t>
      </w:r>
    </w:p>
  </w:footnote>
  <w:footnote w:id="410">
    <w:p w14:paraId="7DF19CB0" w14:textId="31DD0D6A" w:rsidR="003C0461" w:rsidRPr="00247D8D" w:rsidRDefault="003C0461" w:rsidP="00FC5564">
      <w:pPr>
        <w:pStyle w:val="FootnoteText"/>
      </w:pPr>
      <w:r w:rsidRPr="00145E5A">
        <w:t>(</w:t>
      </w:r>
      <w:r w:rsidRPr="00145E5A">
        <w:rPr>
          <w:rStyle w:val="fnRefNo"/>
        </w:rPr>
        <w:footnoteRef/>
      </w:r>
      <w:r w:rsidRPr="00145E5A">
        <w:t>)</w:t>
      </w:r>
      <w:r w:rsidRPr="00247D8D">
        <w:tab/>
        <w:t>Regulation (EU) 2018/1725 (repealing Regulation (EC) No°45/2001).</w:t>
      </w:r>
    </w:p>
  </w:footnote>
  <w:footnote w:id="411">
    <w:p w14:paraId="39150FF6" w14:textId="77777777" w:rsidR="003C0461" w:rsidRPr="007E5206" w:rsidRDefault="003C0461" w:rsidP="00FC5564">
      <w:pPr>
        <w:pStyle w:val="FootnoteText"/>
      </w:pPr>
      <w:r w:rsidRPr="00145E5A">
        <w:t>(</w:t>
      </w:r>
      <w:r w:rsidRPr="00145E5A">
        <w:rPr>
          <w:rStyle w:val="fnRefNo"/>
        </w:rPr>
        <w:footnoteRef/>
      </w:r>
      <w:r w:rsidRPr="00145E5A">
        <w:t>)</w:t>
      </w:r>
      <w:r w:rsidRPr="00247D8D">
        <w:tab/>
        <w:t>Reviewed workflow for the drafting and validation of records (documentation of processing operations on personal data under Article</w:t>
      </w:r>
      <w:r w:rsidRPr="00247D8D">
        <w:rPr>
          <w:rFonts w:ascii="Calibri" w:hAnsi="Calibri" w:cs="Calibri"/>
        </w:rPr>
        <w:t> </w:t>
      </w:r>
      <w:r w:rsidRPr="00247D8D">
        <w:t>31 of Regulation (EU) 2018/1725).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20B15" w14:textId="77777777" w:rsidR="00903DF5" w:rsidRPr="00903DF5" w:rsidRDefault="00903DF5" w:rsidP="00903DF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EAFFF" w14:textId="77777777" w:rsidR="00F01C5E" w:rsidRDefault="00F01C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72F6E" w14:textId="77777777" w:rsidR="00F01C5E" w:rsidRDefault="00F01C5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7613A" w14:textId="77777777" w:rsidR="00F01C5E" w:rsidRDefault="00F01C5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CCF5C" w14:textId="77777777" w:rsidR="00F01C5E" w:rsidRDefault="00F01C5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DD04D" w14:textId="77777777" w:rsidR="00F01C5E" w:rsidRDefault="00F01C5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096A7" w14:textId="77777777" w:rsidR="00F01C5E" w:rsidRDefault="00F01C5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D01FD" w14:textId="77777777" w:rsidR="003C0461" w:rsidRDefault="003C046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8324E" w14:textId="77777777" w:rsidR="003C0461" w:rsidRPr="00F262A8" w:rsidRDefault="003C0461">
    <w:pPr>
      <w:pStyle w:val="Header"/>
      <w:rPr>
        <w:color w:val="3FB296"/>
      </w:rPr>
    </w:pPr>
    <w:r w:rsidRPr="00F262A8">
      <w:rPr>
        <w:noProof/>
        <w:color w:val="3FB296"/>
        <w:lang w:val="fr-BE" w:eastAsia="fr-BE"/>
      </w:rPr>
      <mc:AlternateContent>
        <mc:Choice Requires="wps">
          <w:drawing>
            <wp:anchor distT="0" distB="0" distL="114300" distR="114300" simplePos="0" relativeHeight="251663360" behindDoc="0" locked="0" layoutInCell="1" allowOverlap="1" wp14:anchorId="7148745C" wp14:editId="03A4D9C6">
              <wp:simplePos x="0" y="0"/>
              <wp:positionH relativeFrom="column">
                <wp:posOffset>-46990</wp:posOffset>
              </wp:positionH>
              <wp:positionV relativeFrom="paragraph">
                <wp:posOffset>-1474113</wp:posOffset>
              </wp:positionV>
              <wp:extent cx="112395" cy="471805"/>
              <wp:effectExtent l="0" t="0" r="1905" b="4445"/>
              <wp:wrapNone/>
              <wp:docPr id="45" name="Rectangle 4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EC6D4" id="Rectangle 45" o:spid="_x0000_s1026" style="position:absolute;margin-left:-3.7pt;margin-top:-116.05pt;width:8.85pt;height:3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GTNXTKZAgAAhgUAAA4AAAAAAAAAAAAAAAAALgIAAGRycy9l&#10;Mm9Eb2MueG1sUEsBAi0AFAAGAAgAAAAhAJ8KZHjhAAAACwEAAA8AAAAAAAAAAAAAAAAA8wQAAGRy&#10;cy9kb3ducmV2LnhtbFBLBQYAAAAABAAEAPMAAAABBgAAAAA=&#10;" fillcolor="#3fb296" stroked="f" strokeweight="2pt"/>
          </w:pict>
        </mc:Fallback>
      </mc:AlternateContent>
    </w:r>
    <w:r w:rsidRPr="00F262A8">
      <w:rPr>
        <w:color w:val="3FB296"/>
      </w:rPr>
      <w:t xml:space="preserve"> </w:t>
    </w:r>
    <w:r>
      <w:rPr>
        <w:noProof/>
        <w:color w:val="3FB296"/>
        <w:lang w:val="fr-BE" w:eastAsia="fr-BE"/>
      </w:rPr>
      <w:drawing>
        <wp:inline distT="0" distB="0" distL="0" distR="0" wp14:anchorId="66432737" wp14:editId="39446237">
          <wp:extent cx="5761355" cy="8149590"/>
          <wp:effectExtent l="0" t="0" r="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ecutive summar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74A4B" w14:textId="77777777" w:rsidR="003C0461" w:rsidRDefault="003C046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B4C51" w14:textId="77777777" w:rsidR="003C0461" w:rsidRDefault="003C04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F1FE" w14:textId="77777777" w:rsidR="00903DF5" w:rsidRPr="00903DF5" w:rsidRDefault="00903DF5" w:rsidP="00903DF5">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6D025" w14:textId="650642DD" w:rsidR="003C0461" w:rsidRPr="00F262A8" w:rsidRDefault="003C0461">
    <w:pPr>
      <w:pStyle w:val="Header"/>
      <w:rPr>
        <w:color w:val="3FB296"/>
      </w:rPr>
    </w:pPr>
    <w:r w:rsidRPr="00F262A8">
      <w:rPr>
        <w:noProof/>
        <w:color w:val="3FB296"/>
        <w:lang w:val="fr-BE" w:eastAsia="fr-BE"/>
      </w:rPr>
      <mc:AlternateContent>
        <mc:Choice Requires="wps">
          <w:drawing>
            <wp:anchor distT="0" distB="0" distL="114300" distR="114300" simplePos="0" relativeHeight="251666432" behindDoc="0" locked="0" layoutInCell="1" allowOverlap="1" wp14:anchorId="38D60196" wp14:editId="026749F2">
              <wp:simplePos x="0" y="0"/>
              <wp:positionH relativeFrom="column">
                <wp:posOffset>-46990</wp:posOffset>
              </wp:positionH>
              <wp:positionV relativeFrom="paragraph">
                <wp:posOffset>-1474113</wp:posOffset>
              </wp:positionV>
              <wp:extent cx="112395" cy="471805"/>
              <wp:effectExtent l="0" t="0" r="1905" b="4445"/>
              <wp:wrapNone/>
              <wp:docPr id="7" name="Rectangle 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8813C" id="Rectangle 7" o:spid="_x0000_s1026" style="position:absolute;margin-left:-3.7pt;margin-top:-116.05pt;width:8.85pt;height:3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CF8vj2lwIAAIQFAAAOAAAAAAAAAAAAAAAAAC4CAABkcnMvZTJv&#10;RG9jLnhtbFBLAQItABQABgAIAAAAIQCfCmR44QAAAAsBAAAPAAAAAAAAAAAAAAAAAPEEAABkcnMv&#10;ZG93bnJldi54bWxQSwUGAAAAAAQABADzAAAA/wUAAAAA&#10;" fillcolor="#3fb296" stroked="f" strokeweight="2pt"/>
          </w:pict>
        </mc:Fallback>
      </mc:AlternateContent>
    </w:r>
    <w:r w:rsidRPr="00F262A8">
      <w:rPr>
        <w:color w:val="3FB296"/>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60B3C" w14:textId="77777777" w:rsidR="003C0461" w:rsidRDefault="003C046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75B04" w14:textId="77777777" w:rsidR="003C0461" w:rsidRDefault="003C046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6321A" w14:textId="4E61B84E" w:rsidR="003C0461" w:rsidRPr="00F262A8" w:rsidRDefault="003C0461">
    <w:pPr>
      <w:pStyle w:val="Header"/>
      <w:rPr>
        <w:color w:val="3FB296"/>
      </w:rPr>
    </w:pPr>
    <w:r>
      <w:rPr>
        <w:noProof/>
        <w:color w:val="3FB296"/>
        <w:lang w:val="fr-BE" w:eastAsia="fr-BE"/>
      </w:rPr>
      <w:drawing>
        <wp:anchor distT="0" distB="0" distL="114300" distR="114300" simplePos="0" relativeHeight="251667456" behindDoc="1" locked="0" layoutInCell="1" allowOverlap="1" wp14:anchorId="614B04A5" wp14:editId="48210D32">
          <wp:simplePos x="0" y="0"/>
          <wp:positionH relativeFrom="page">
            <wp:align>left</wp:align>
          </wp:positionH>
          <wp:positionV relativeFrom="page">
            <wp:align>top</wp:align>
          </wp:positionV>
          <wp:extent cx="7632000" cy="10792800"/>
          <wp:effectExtent l="0" t="0" r="7620" b="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nsert - Executive Summary.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792800"/>
                  </a:xfrm>
                  <a:prstGeom prst="rect">
                    <a:avLst/>
                  </a:prstGeom>
                </pic:spPr>
              </pic:pic>
            </a:graphicData>
          </a:graphic>
          <wp14:sizeRelH relativeFrom="page">
            <wp14:pctWidth>0</wp14:pctWidth>
          </wp14:sizeRelH>
          <wp14:sizeRelV relativeFrom="page">
            <wp14:pctHeight>0</wp14:pctHeight>
          </wp14:sizeRelV>
        </wp:anchor>
      </w:drawing>
    </w:r>
    <w:r w:rsidRPr="00F262A8">
      <w:rPr>
        <w:noProof/>
        <w:color w:val="3FB296"/>
        <w:lang w:val="fr-BE" w:eastAsia="fr-BE"/>
      </w:rPr>
      <mc:AlternateContent>
        <mc:Choice Requires="wps">
          <w:drawing>
            <wp:anchor distT="0" distB="0" distL="114300" distR="114300" simplePos="0" relativeHeight="251646976" behindDoc="0" locked="0" layoutInCell="1" allowOverlap="1" wp14:anchorId="544324AA" wp14:editId="6E674BAB">
              <wp:simplePos x="0" y="0"/>
              <wp:positionH relativeFrom="column">
                <wp:posOffset>-46990</wp:posOffset>
              </wp:positionH>
              <wp:positionV relativeFrom="paragraph">
                <wp:posOffset>-1474113</wp:posOffset>
              </wp:positionV>
              <wp:extent cx="112395" cy="471805"/>
              <wp:effectExtent l="0" t="0" r="1905" b="4445"/>
              <wp:wrapNone/>
              <wp:docPr id="2" name="Rectangle 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A70FD" id="Rectangle 2" o:spid="_x0000_s1026" style="position:absolute;margin-left:-3.7pt;margin-top:-116.05pt;width:8.85pt;height:3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8slwIAAIQ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DnuT8slwIAAIQFAAAOAAAAAAAAAAAAAAAAAC4CAABkcnMvZTJv&#10;RG9jLnhtbFBLAQItABQABgAIAAAAIQCfCmR44QAAAAsBAAAPAAAAAAAAAAAAAAAAAPEEAABkcnMv&#10;ZG93bnJldi54bWxQSwUGAAAAAAQABADzAAAA/wUAAAAA&#10;" fillcolor="#3fb296" stroked="f" strokeweight="2pt"/>
          </w:pict>
        </mc:Fallback>
      </mc:AlternateContent>
    </w:r>
    <w:r w:rsidRPr="00F262A8">
      <w:rPr>
        <w:color w:val="3FB296"/>
      </w:rPr>
      <w:t xml:space="preserve"> </w:t>
    </w:r>
    <w:r>
      <w:rPr>
        <w:noProof/>
        <w:color w:val="3FB296"/>
        <w:lang w:val="fr-BE" w:eastAsia="fr-BE"/>
      </w:rPr>
      <w:drawing>
        <wp:inline distT="0" distB="0" distL="0" distR="0" wp14:anchorId="3E0C317F" wp14:editId="0BCED31D">
          <wp:extent cx="5761355" cy="814959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xecutive summar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C01B0" w14:textId="77777777" w:rsidR="003C0461" w:rsidRDefault="003C046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B8D07" w14:textId="31FEF081" w:rsidR="003C0461" w:rsidRPr="004938B4" w:rsidRDefault="003C0461" w:rsidP="004E4EC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E6B21" w14:textId="48388F7E" w:rsidR="003C0461" w:rsidRPr="00767D1C" w:rsidRDefault="003C0461" w:rsidP="00767D1C">
    <w:pPr>
      <w:pStyle w:val="titleheader"/>
    </w:pPr>
    <w:r w:rsidRPr="00767D1C">
      <w:rPr>
        <w:lang w:val="fr-BE"/>
      </w:rPr>
      <mc:AlternateContent>
        <mc:Choice Requires="wps">
          <w:drawing>
            <wp:anchor distT="0" distB="0" distL="114300" distR="114300" simplePos="0" relativeHeight="251648000" behindDoc="0" locked="0" layoutInCell="1" allowOverlap="1" wp14:anchorId="1BF8F410" wp14:editId="1885B9E8">
              <wp:simplePos x="0" y="0"/>
              <wp:positionH relativeFrom="column">
                <wp:posOffset>-46990</wp:posOffset>
              </wp:positionH>
              <wp:positionV relativeFrom="paragraph">
                <wp:posOffset>-1474113</wp:posOffset>
              </wp:positionV>
              <wp:extent cx="112395" cy="471805"/>
              <wp:effectExtent l="0" t="0" r="1905" b="4445"/>
              <wp:wrapNone/>
              <wp:docPr id="3" name="Rectangle 3"/>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389DF" id="Rectangle 3" o:spid="_x0000_s1026" style="position:absolute;margin-left:-3.7pt;margin-top:-116.05pt;width:8.85pt;height:37.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C4BRt5lwIAAIQFAAAOAAAAAAAAAAAAAAAAAC4CAABkcnMvZTJv&#10;RG9jLnhtbFBLAQItABQABgAIAAAAIQCfCmR44QAAAAsBAAAPAAAAAAAAAAAAAAAAAPEEAABkcnMv&#10;ZG93bnJldi54bWxQSwUGAAAAAAQABADzAAAA/wUAAAAA&#10;" fillcolor="#3fb296" stroked="f" strokeweight="2pt"/>
          </w:pict>
        </mc:Fallback>
      </mc:AlternateContent>
    </w:r>
    <w:r w:rsidRPr="007D5F53">
      <w:rPr>
        <w:color w:val="08AA74" w:themeColor="accent3"/>
        <w:lang w:val="fr-BE"/>
      </w:rPr>
      <mc:AlternateContent>
        <mc:Choice Requires="wps">
          <w:drawing>
            <wp:anchor distT="0" distB="0" distL="114300" distR="114300" simplePos="0" relativeHeight="251649024" behindDoc="0" locked="0" layoutInCell="1" allowOverlap="1" wp14:anchorId="423A4EF3" wp14:editId="5D39BFDD">
              <wp:simplePos x="0" y="0"/>
              <wp:positionH relativeFrom="column">
                <wp:posOffset>-46990</wp:posOffset>
              </wp:positionH>
              <wp:positionV relativeFrom="paragraph">
                <wp:posOffset>-1474113</wp:posOffset>
              </wp:positionV>
              <wp:extent cx="112395" cy="471805"/>
              <wp:effectExtent l="0" t="0" r="1905" b="4445"/>
              <wp:wrapNone/>
              <wp:docPr id="106" name="Rectangle 10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132D0" id="Rectangle 106" o:spid="_x0000_s1026" style="position:absolute;margin-left:-3.7pt;margin-top:-116.05pt;width:8.85pt;height:3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" fillcolor="#3fb296" stroked="f" strokeweight="2pt"/>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2DEE9" w14:textId="77777777" w:rsidR="003C0461" w:rsidRPr="004938B4" w:rsidRDefault="003C0461" w:rsidP="009343E0"/>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4F1D4" w14:textId="77777777" w:rsidR="003C0461" w:rsidRDefault="003C0461">
    <w:pPr>
      <w:pStyle w:val="Header"/>
    </w:pPr>
    <w:r>
      <w:rPr>
        <w:color w:val="08AA74" w:themeColor="accent3"/>
      </w:rPr>
      <w:t>EXECUTIVE SUMMARY</w:t>
    </w:r>
    <w:r w:rsidRPr="007D5F53">
      <w:rPr>
        <w:noProof/>
        <w:color w:val="08AA74" w:themeColor="accent3"/>
        <w:lang w:val="fr-BE" w:eastAsia="fr-BE"/>
      </w:rPr>
      <mc:AlternateContent>
        <mc:Choice Requires="wps">
          <w:drawing>
            <wp:anchor distT="0" distB="0" distL="114300" distR="114300" simplePos="0" relativeHeight="251655168" behindDoc="0" locked="0" layoutInCell="1" allowOverlap="1" wp14:anchorId="27A1CD4B" wp14:editId="0E04DE85">
              <wp:simplePos x="0" y="0"/>
              <wp:positionH relativeFrom="page">
                <wp:align>left</wp:align>
              </wp:positionH>
              <wp:positionV relativeFrom="page">
                <wp:align>top</wp:align>
              </wp:positionV>
              <wp:extent cx="7621200" cy="212400"/>
              <wp:effectExtent l="0" t="0" r="0" b="0"/>
              <wp:wrapNone/>
              <wp:docPr id="32" name="Rectangle 32"/>
              <wp:cNvGraphicFramePr/>
              <a:graphic xmlns:a="http://schemas.openxmlformats.org/drawingml/2006/main">
                <a:graphicData uri="http://schemas.microsoft.com/office/word/2010/wordprocessingShape">
                  <wps:wsp>
                    <wps:cNvSpPr/>
                    <wps:spPr>
                      <a:xfrm>
                        <a:off x="0" y="0"/>
                        <a:ext cx="7621200" cy="212400"/>
                      </a:xfrm>
                      <a:prstGeom prst="rect">
                        <a:avLst/>
                      </a:prstGeom>
                      <a:solidFill>
                        <a:srgbClr val="08AA7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C3B93" id="Rectangle 32" o:spid="_x0000_s1026" style="position:absolute;margin-left:0;margin-top:0;width:600.1pt;height:16.7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" fillcolor="#08aa74" stroked="f">
              <w10:wrap anchorx="page" anchory="page"/>
            </v:rect>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377E1" w14:textId="417606E2" w:rsidR="003C0461" w:rsidRPr="00B06C21" w:rsidRDefault="003C0461" w:rsidP="002A2857">
    <w:pPr>
      <w:pStyle w:val="Header"/>
      <w:jc w:val="right"/>
    </w:pPr>
    <w:r>
      <w:rPr>
        <w:color w:val="08AA74" w:themeColor="accent3"/>
      </w:rPr>
      <w:t>EXECUTIVE SUMMARY</w:t>
    </w:r>
    <w:r w:rsidRPr="007D5F53">
      <w:rPr>
        <w:noProof/>
        <w:color w:val="08AA74" w:themeColor="accent3"/>
        <w:lang w:val="fr-BE" w:eastAsia="fr-BE"/>
      </w:rPr>
      <mc:AlternateContent>
        <mc:Choice Requires="wps">
          <w:drawing>
            <wp:anchor distT="0" distB="0" distL="114300" distR="114300" simplePos="0" relativeHeight="251650048" behindDoc="0" locked="0" layoutInCell="1" allowOverlap="1" wp14:anchorId="67F2D262" wp14:editId="288A7ED1">
              <wp:simplePos x="0" y="0"/>
              <wp:positionH relativeFrom="page">
                <wp:align>left</wp:align>
              </wp:positionH>
              <wp:positionV relativeFrom="page">
                <wp:align>top</wp:align>
              </wp:positionV>
              <wp:extent cx="7621200" cy="212400"/>
              <wp:effectExtent l="0" t="0" r="0" b="0"/>
              <wp:wrapNone/>
              <wp:docPr id="48" name="Rectangle 48"/>
              <wp:cNvGraphicFramePr/>
              <a:graphic xmlns:a="http://schemas.openxmlformats.org/drawingml/2006/main">
                <a:graphicData uri="http://schemas.microsoft.com/office/word/2010/wordprocessingShape">
                  <wps:wsp>
                    <wps:cNvSpPr/>
                    <wps:spPr>
                      <a:xfrm>
                        <a:off x="0" y="0"/>
                        <a:ext cx="7621200" cy="212400"/>
                      </a:xfrm>
                      <a:prstGeom prst="rect">
                        <a:avLst/>
                      </a:prstGeom>
                      <a:solidFill>
                        <a:srgbClr val="08AA7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29B25" id="Rectangle 48" o:spid="_x0000_s1026" style="position:absolute;margin-left:0;margin-top:0;width:600.1pt;height:16.7pt;z-index:25165004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" fillcolor="#08aa74"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4798B" w14:textId="77777777" w:rsidR="00903DF5" w:rsidRPr="00903DF5" w:rsidRDefault="00903DF5" w:rsidP="00903DF5">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E92CA" w14:textId="77777777" w:rsidR="00F01C5E" w:rsidRPr="004938B4" w:rsidRDefault="00F01C5E" w:rsidP="009343E0"/>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A0325" w14:textId="77777777" w:rsidR="003C0461" w:rsidRPr="004938B4" w:rsidRDefault="003C0461" w:rsidP="009343E0"/>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B0FF1" w14:textId="42101763" w:rsidR="003C0461" w:rsidRPr="00767D1C" w:rsidRDefault="003C0461" w:rsidP="00767D1C">
    <w:pPr>
      <w:pStyle w:val="titleheader"/>
    </w:pPr>
    <w:r>
      <w:rPr>
        <w:lang w:val="fr-BE"/>
      </w:rPr>
      <w:drawing>
        <wp:anchor distT="0" distB="0" distL="114300" distR="114300" simplePos="0" relativeHeight="251660288" behindDoc="1" locked="0" layoutInCell="1" allowOverlap="1" wp14:anchorId="062D4B04" wp14:editId="572E1A78">
          <wp:simplePos x="0" y="0"/>
          <wp:positionH relativeFrom="page">
            <wp:align>left</wp:align>
          </wp:positionH>
          <wp:positionV relativeFrom="page">
            <wp:align>top</wp:align>
          </wp:positionV>
          <wp:extent cx="7632000" cy="10796400"/>
          <wp:effectExtent l="0" t="0" r="7620" b="508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nsert - Report.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page">
            <wp14:pctWidth>0</wp14:pctWidth>
          </wp14:sizeRelH>
          <wp14:sizeRelV relativeFrom="page">
            <wp14:pctHeight>0</wp14:pctHeight>
          </wp14:sizeRelV>
        </wp:anchor>
      </w:drawing>
    </w:r>
    <w:r w:rsidRPr="00767D1C">
      <w:rPr>
        <w:lang w:val="fr-BE"/>
      </w:rPr>
      <mc:AlternateContent>
        <mc:Choice Requires="wps">
          <w:drawing>
            <wp:anchor distT="0" distB="0" distL="114300" distR="114300" simplePos="0" relativeHeight="251653120" behindDoc="0" locked="0" layoutInCell="1" allowOverlap="1" wp14:anchorId="4618A85E" wp14:editId="647DABFC">
              <wp:simplePos x="0" y="0"/>
              <wp:positionH relativeFrom="column">
                <wp:posOffset>-46990</wp:posOffset>
              </wp:positionH>
              <wp:positionV relativeFrom="paragraph">
                <wp:posOffset>-1474113</wp:posOffset>
              </wp:positionV>
              <wp:extent cx="112395" cy="471805"/>
              <wp:effectExtent l="0" t="0" r="1905" b="4445"/>
              <wp:wrapNone/>
              <wp:docPr id="49" name="Rectangle 4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D3F40" id="Rectangle 49" o:spid="_x0000_s1026" style="position:absolute;margin-left:-3.7pt;margin-top:-116.05pt;width:8.85pt;height:3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z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1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oylM9ZgCAACGBQAADgAAAAAAAAAAAAAAAAAuAgAAZHJzL2Uy&#10;b0RvYy54bWxQSwECLQAUAAYACAAAACEAnwpkeOEAAAALAQAADwAAAAAAAAAAAAAAAADyBAAAZHJz&#10;L2Rvd25yZXYueG1sUEsFBgAAAAAEAAQA8wAAAAAGAAAAAA==&#10;" fillcolor="#3fb296" stroked="f" strokeweight="2pt"/>
          </w:pict>
        </mc:Fallback>
      </mc:AlternateContent>
    </w:r>
    <w:r w:rsidRPr="007D5F53">
      <w:rPr>
        <w:color w:val="08AA74" w:themeColor="accent3"/>
        <w:lang w:val="fr-BE"/>
      </w:rPr>
      <mc:AlternateContent>
        <mc:Choice Requires="wps">
          <w:drawing>
            <wp:anchor distT="0" distB="0" distL="114300" distR="114300" simplePos="0" relativeHeight="251656192" behindDoc="0" locked="0" layoutInCell="1" allowOverlap="1" wp14:anchorId="0943D1CD" wp14:editId="4ED7A9CA">
              <wp:simplePos x="0" y="0"/>
              <wp:positionH relativeFrom="column">
                <wp:posOffset>-46990</wp:posOffset>
              </wp:positionH>
              <wp:positionV relativeFrom="paragraph">
                <wp:posOffset>-1474113</wp:posOffset>
              </wp:positionV>
              <wp:extent cx="112395" cy="471805"/>
              <wp:effectExtent l="0" t="0" r="1905" b="4445"/>
              <wp:wrapNone/>
              <wp:docPr id="50" name="Rectangle 5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6146A" id="Rectangle 50" o:spid="_x0000_s1026" style="position:absolute;margin-left:-3.7pt;margin-top:-116.05pt;width:8.85pt;height:3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HW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YgsR1pgCAACGBQAADgAAAAAAAAAAAAAAAAAuAgAAZHJzL2Uy&#10;b0RvYy54bWxQSwECLQAUAAYACAAAACEAnwpkeOEAAAALAQAADwAAAAAAAAAAAAAAAADyBAAAZHJz&#10;L2Rvd25yZXYueG1sUEsFBgAAAAAEAAQA8wAAAAAGAAAAAA==&#10;" fillcolor="#3fb296" stroked="f" strokeweight="2p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2A7CB" w14:textId="77777777" w:rsidR="003C0461" w:rsidRPr="004938B4" w:rsidRDefault="003C0461" w:rsidP="009343E0"/>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C7DF1" w14:textId="77777777" w:rsidR="00F01C5E" w:rsidRPr="004938B4" w:rsidRDefault="00F01C5E" w:rsidP="009343E0"/>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198F2" w14:textId="77777777" w:rsidR="00F01C5E" w:rsidRPr="00767D1C" w:rsidRDefault="00F01C5E" w:rsidP="00767D1C">
    <w:pPr>
      <w:pStyle w:val="titleheader"/>
    </w:pPr>
    <w:r>
      <w:rPr>
        <w:lang w:val="fr-BE"/>
      </w:rPr>
      <w:drawing>
        <wp:anchor distT="0" distB="0" distL="114300" distR="114300" simplePos="0" relativeHeight="251659264" behindDoc="1" locked="0" layoutInCell="1" allowOverlap="1" wp14:anchorId="26757A65" wp14:editId="03E53F8C">
          <wp:simplePos x="0" y="0"/>
          <wp:positionH relativeFrom="page">
            <wp:align>left</wp:align>
          </wp:positionH>
          <wp:positionV relativeFrom="page">
            <wp:align>top</wp:align>
          </wp:positionV>
          <wp:extent cx="7632000" cy="10796400"/>
          <wp:effectExtent l="0" t="0" r="762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nsert - Report.jpg"/>
                  <pic:cNvPicPr/>
                </pic:nvPicPr>
                <pic:blipFill>
                  <a:blip r:embed="rId1">
                    <a:extLst>
                      <a:ext uri="{28A0092B-C50C-407E-A947-70E740481C1C}">
                        <a14:useLocalDpi xmlns:a14="http://schemas.microsoft.com/office/drawing/2010/main" val="0"/>
                      </a:ext>
                    </a:extLst>
                  </a:blip>
                  <a:stretch>
                    <a:fillRect/>
                  </a:stretch>
                </pic:blipFill>
                <pic:spPr>
                  <a:xfrm>
                    <a:off x="0" y="0"/>
                    <a:ext cx="7632000" cy="10796400"/>
                  </a:xfrm>
                  <a:prstGeom prst="rect">
                    <a:avLst/>
                  </a:prstGeom>
                </pic:spPr>
              </pic:pic>
            </a:graphicData>
          </a:graphic>
          <wp14:sizeRelH relativeFrom="page">
            <wp14:pctWidth>0</wp14:pctWidth>
          </wp14:sizeRelH>
          <wp14:sizeRelV relativeFrom="page">
            <wp14:pctHeight>0</wp14:pctHeight>
          </wp14:sizeRelV>
        </wp:anchor>
      </w:drawing>
    </w:r>
    <w:r w:rsidRPr="00767D1C">
      <w:rPr>
        <w:lang w:val="fr-BE"/>
      </w:rPr>
      <mc:AlternateContent>
        <mc:Choice Requires="wps">
          <w:drawing>
            <wp:anchor distT="0" distB="0" distL="114300" distR="114300" simplePos="0" relativeHeight="251657216" behindDoc="0" locked="0" layoutInCell="1" allowOverlap="1" wp14:anchorId="0CC3A2F2" wp14:editId="484EE386">
              <wp:simplePos x="0" y="0"/>
              <wp:positionH relativeFrom="column">
                <wp:posOffset>-46990</wp:posOffset>
              </wp:positionH>
              <wp:positionV relativeFrom="paragraph">
                <wp:posOffset>-1474113</wp:posOffset>
              </wp:positionV>
              <wp:extent cx="112395" cy="471805"/>
              <wp:effectExtent l="0" t="0" r="1905" b="4445"/>
              <wp:wrapNone/>
              <wp:docPr id="19" name="Rectangle 1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9956F7" id="Rectangle 19" o:spid="_x0000_s1026" style="position:absolute;margin-left:-3.7pt;margin-top:-116.05pt;width:8.85pt;height:37.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KA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9RoCgJgCAACGBQAADgAAAAAAAAAAAAAAAAAuAgAAZHJzL2Uy&#10;b0RvYy54bWxQSwECLQAUAAYACAAAACEAnwpkeOEAAAALAQAADwAAAAAAAAAAAAAAAADyBAAAZHJz&#10;L2Rvd25yZXYueG1sUEsFBgAAAAAEAAQA8wAAAAAGAAAAAA==&#10;" fillcolor="#3fb296" stroked="f" strokeweight="2pt"/>
          </w:pict>
        </mc:Fallback>
      </mc:AlternateContent>
    </w:r>
    <w:r w:rsidRPr="007D5F53">
      <w:rPr>
        <w:color w:val="08AA74" w:themeColor="accent3"/>
        <w:lang w:val="fr-BE"/>
      </w:rPr>
      <mc:AlternateContent>
        <mc:Choice Requires="wps">
          <w:drawing>
            <wp:anchor distT="0" distB="0" distL="114300" distR="114300" simplePos="0" relativeHeight="251658240" behindDoc="0" locked="0" layoutInCell="1" allowOverlap="1" wp14:anchorId="157B5BB5" wp14:editId="3879E1EE">
              <wp:simplePos x="0" y="0"/>
              <wp:positionH relativeFrom="column">
                <wp:posOffset>-46990</wp:posOffset>
              </wp:positionH>
              <wp:positionV relativeFrom="paragraph">
                <wp:posOffset>-1474113</wp:posOffset>
              </wp:positionV>
              <wp:extent cx="112395" cy="471805"/>
              <wp:effectExtent l="0" t="0" r="1905" b="4445"/>
              <wp:wrapNone/>
              <wp:docPr id="28" name="Rectangle 2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2AB85" id="Rectangle 28" o:spid="_x0000_s1026" style="position:absolute;margin-left:-3.7pt;margin-top:-116.05pt;width:8.85pt;height:3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d8mAIAAIY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h2B3fJgCAACGBQAADgAAAAAAAAAAAAAAAAAuAgAAZHJzL2Uy&#10;b0RvYy54bWxQSwECLQAUAAYACAAAACEAnwpkeOEAAAALAQAADwAAAAAAAAAAAAAAAADyBAAAZHJz&#10;L2Rvd25yZXYueG1sUEsFBgAAAAAEAAQA8wAAAAAGAAAAAA==&#10;" fillcolor="#3fb296" stroked="f" strokeweight="2p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CFD77" w14:textId="77777777" w:rsidR="00F01C5E" w:rsidRPr="004938B4" w:rsidRDefault="00F01C5E" w:rsidP="009343E0"/>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8C9F0" w14:textId="77777777" w:rsidR="003C0461" w:rsidRDefault="003C0461">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3C29B" w14:textId="091C608E" w:rsidR="003C0461" w:rsidRPr="004042F3" w:rsidRDefault="003C0461" w:rsidP="004042F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8B188" w14:textId="77777777" w:rsidR="003C0461" w:rsidRDefault="003C046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F1B5F" w14:textId="77777777" w:rsidR="00F01C5E" w:rsidRDefault="00F01C5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7C347" w14:textId="20823F07" w:rsidR="003C0461" w:rsidRDefault="003C0461" w:rsidP="002F4EA8">
    <w:pPr>
      <w:pStyle w:val="titleheader"/>
    </w:pPr>
    <w:r w:rsidRPr="00F2491E">
      <w:rPr>
        <w:color w:val="65BBC8" w:themeColor="accent1"/>
        <w:lang w:val="fr-BE"/>
      </w:rPr>
      <mc:AlternateContent>
        <mc:Choice Requires="wps">
          <w:drawing>
            <wp:anchor distT="0" distB="0" distL="114300" distR="114300" simplePos="0" relativeHeight="251668480" behindDoc="0" locked="0" layoutInCell="1" allowOverlap="1" wp14:anchorId="32696B0D" wp14:editId="42998FE9">
              <wp:simplePos x="0" y="0"/>
              <wp:positionH relativeFrom="page">
                <wp:align>left</wp:align>
              </wp:positionH>
              <wp:positionV relativeFrom="page">
                <wp:align>top</wp:align>
              </wp:positionV>
              <wp:extent cx="7621200" cy="212400"/>
              <wp:effectExtent l="0" t="0" r="0" b="0"/>
              <wp:wrapNone/>
              <wp:docPr id="35" name="Rectangle 35"/>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DDF98" id="Rectangle 35" o:spid="_x0000_s1026" style="position:absolute;margin-left:0;margin-top:0;width:600.1pt;height:16.7pt;z-index:2516684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" fillcolor="#65bbc8 [3204]" stroked="f" strokeweight="2pt">
              <w10:wrap anchorx="page" anchory="page"/>
            </v:rect>
          </w:pict>
        </mc:Fallback>
      </mc:AlternateContent>
    </w:r>
    <w:r w:rsidRPr="00F2491E">
      <w:rPr>
        <w:color w:val="65BBC8" w:themeColor="accent1"/>
        <w:lang w:val="fr-BE"/>
      </w:rPr>
      <mc:AlternateContent>
        <mc:Choice Requires="wps">
          <w:drawing>
            <wp:anchor distT="0" distB="0" distL="114300" distR="114300" simplePos="0" relativeHeight="251669504" behindDoc="0" locked="0" layoutInCell="1" allowOverlap="1" wp14:anchorId="5E3B543E" wp14:editId="1832BC35">
              <wp:simplePos x="0" y="0"/>
              <wp:positionH relativeFrom="column">
                <wp:posOffset>-46990</wp:posOffset>
              </wp:positionH>
              <wp:positionV relativeFrom="paragraph">
                <wp:posOffset>-1474113</wp:posOffset>
              </wp:positionV>
              <wp:extent cx="112395" cy="471805"/>
              <wp:effectExtent l="0" t="0" r="1905" b="4445"/>
              <wp:wrapNone/>
              <wp:docPr id="255" name="Rectangle 25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C7425" id="Rectangle 255" o:spid="_x0000_s1026" style="position:absolute;margin-left:-3.7pt;margin-top:-116.05pt;width:8.85pt;height:3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" fillcolor="#3fb296" stroked="f" strokeweight="2pt"/>
          </w:pict>
        </mc:Fallback>
      </mc:AlternateContent>
    </w:r>
    <w:r w:rsidRPr="00F2491E">
      <w:rPr>
        <w:color w:val="65BBC8" w:themeColor="accent1"/>
      </w:rPr>
      <w:t>2018 Annual Management and Performance Report</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C416C" w14:textId="77777777" w:rsidR="003C0461" w:rsidRDefault="003C0461" w:rsidP="002F4EA8">
    <w:pPr>
      <w:pStyle w:val="titleheader"/>
      <w:jc w:val="right"/>
    </w:pPr>
    <w:r w:rsidRPr="00F2491E">
      <w:rPr>
        <w:color w:val="65BBC8" w:themeColor="accent1"/>
        <w:lang w:val="fr-BE"/>
      </w:rPr>
      <mc:AlternateContent>
        <mc:Choice Requires="wps">
          <w:drawing>
            <wp:anchor distT="0" distB="0" distL="114300" distR="114300" simplePos="0" relativeHeight="251645952" behindDoc="0" locked="0" layoutInCell="1" allowOverlap="1" wp14:anchorId="549AF5E9" wp14:editId="6D6AF992">
              <wp:simplePos x="0" y="0"/>
              <wp:positionH relativeFrom="page">
                <wp:align>left</wp:align>
              </wp:positionH>
              <wp:positionV relativeFrom="page">
                <wp:align>top</wp:align>
              </wp:positionV>
              <wp:extent cx="7621200" cy="212400"/>
              <wp:effectExtent l="0" t="0" r="0" b="0"/>
              <wp:wrapNone/>
              <wp:docPr id="14641" name="Rectangle 14641"/>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4B07F" id="Rectangle 14641" o:spid="_x0000_s1026" style="position:absolute;margin-left:0;margin-top:0;width:600.1pt;height:16.7pt;z-index:2516459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" fillcolor="#65bbc8 [3204]" stroked="f" strokeweight="2pt">
              <w10:wrap anchorx="page" anchory="page"/>
            </v:rect>
          </w:pict>
        </mc:Fallback>
      </mc:AlternateContent>
    </w:r>
    <w:r w:rsidRPr="00F2491E">
      <w:rPr>
        <w:color w:val="65BBC8" w:themeColor="accent1"/>
        <w:lang w:val="fr-BE"/>
      </w:rPr>
      <mc:AlternateContent>
        <mc:Choice Requires="wps">
          <w:drawing>
            <wp:anchor distT="0" distB="0" distL="114300" distR="114300" simplePos="0" relativeHeight="251651072" behindDoc="0" locked="0" layoutInCell="1" allowOverlap="1" wp14:anchorId="319E7D69" wp14:editId="21AC6EA5">
              <wp:simplePos x="0" y="0"/>
              <wp:positionH relativeFrom="column">
                <wp:posOffset>-46990</wp:posOffset>
              </wp:positionH>
              <wp:positionV relativeFrom="paragraph">
                <wp:posOffset>-1474113</wp:posOffset>
              </wp:positionV>
              <wp:extent cx="112395" cy="471805"/>
              <wp:effectExtent l="0" t="0" r="1905" b="4445"/>
              <wp:wrapNone/>
              <wp:docPr id="14642" name="Rectangle 14642"/>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C5451" id="Rectangle 14642" o:spid="_x0000_s1026" style="position:absolute;margin-left:-3.7pt;margin-top:-116.05pt;width:8.85pt;height:3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PxmwIAAIw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" fillcolor="#3fb296" stroked="f" strokeweight="2pt"/>
          </w:pict>
        </mc:Fallback>
      </mc:AlternateContent>
    </w:r>
    <w:r w:rsidRPr="00F2491E">
      <w:rPr>
        <w:color w:val="65BBC8" w:themeColor="accent1"/>
      </w:rPr>
      <w:t>2018 Annual Management and Performance Report</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D6885" w14:textId="77777777" w:rsidR="003C0461" w:rsidRDefault="003C0461">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ED745" w14:textId="77777777" w:rsidR="00F01C5E" w:rsidRDefault="00F01C5E" w:rsidP="002F4EA8">
    <w:pPr>
      <w:pStyle w:val="titleheader"/>
    </w:pPr>
    <w:r w:rsidRPr="00F2491E">
      <w:rPr>
        <w:color w:val="65BBC8" w:themeColor="accent1"/>
        <w:lang w:val="fr-BE"/>
      </w:rPr>
      <mc:AlternateContent>
        <mc:Choice Requires="wps">
          <w:drawing>
            <wp:anchor distT="0" distB="0" distL="114300" distR="114300" simplePos="0" relativeHeight="251661312" behindDoc="0" locked="0" layoutInCell="1" allowOverlap="1" wp14:anchorId="4F154CBB" wp14:editId="7F2D8A88">
              <wp:simplePos x="0" y="0"/>
              <wp:positionH relativeFrom="page">
                <wp:align>left</wp:align>
              </wp:positionH>
              <wp:positionV relativeFrom="page">
                <wp:align>top</wp:align>
              </wp:positionV>
              <wp:extent cx="7621200" cy="212400"/>
              <wp:effectExtent l="0" t="0" r="0" b="0"/>
              <wp:wrapNone/>
              <wp:docPr id="34" name="Rectangle 34"/>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3D3A1" id="Rectangle 34" o:spid="_x0000_s1026" style="position:absolute;margin-left:0;margin-top:0;width:600.1pt;height:16.7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" fillcolor="#65bbc8 [3204]" stroked="f" strokeweight="2pt">
              <w10:wrap anchorx="page" anchory="page"/>
            </v:rect>
          </w:pict>
        </mc:Fallback>
      </mc:AlternateContent>
    </w:r>
    <w:r w:rsidRPr="00F2491E">
      <w:rPr>
        <w:color w:val="65BBC8" w:themeColor="accent1"/>
        <w:lang w:val="fr-BE"/>
      </w:rPr>
      <mc:AlternateContent>
        <mc:Choice Requires="wps">
          <w:drawing>
            <wp:anchor distT="0" distB="0" distL="114300" distR="114300" simplePos="0" relativeHeight="251662336" behindDoc="0" locked="0" layoutInCell="1" allowOverlap="1" wp14:anchorId="11287321" wp14:editId="57D565DF">
              <wp:simplePos x="0" y="0"/>
              <wp:positionH relativeFrom="column">
                <wp:posOffset>-46990</wp:posOffset>
              </wp:positionH>
              <wp:positionV relativeFrom="paragraph">
                <wp:posOffset>-1474113</wp:posOffset>
              </wp:positionV>
              <wp:extent cx="112395" cy="471805"/>
              <wp:effectExtent l="0" t="0" r="1905" b="4445"/>
              <wp:wrapNone/>
              <wp:docPr id="36" name="Rectangle 3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8F636" id="Rectangle 36" o:spid="_x0000_s1026" style="position:absolute;margin-left:-3.7pt;margin-top:-116.05pt;width:8.85pt;height:3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" fillcolor="#3fb296" stroked="f" strokeweight="2pt"/>
          </w:pict>
        </mc:Fallback>
      </mc:AlternateContent>
    </w:r>
    <w:r w:rsidRPr="00F2491E">
      <w:rPr>
        <w:color w:val="65BBC8" w:themeColor="accent1"/>
      </w:rPr>
      <w:t>2018 Annual Management and Performance Report</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3CC5ED" w14:textId="606F0B5F" w:rsidR="003C0461" w:rsidRDefault="003C0461" w:rsidP="002F4EA8">
    <w:pPr>
      <w:pStyle w:val="titleheader"/>
      <w:jc w:val="right"/>
    </w:pPr>
    <w:r w:rsidRPr="00F2491E">
      <w:rPr>
        <w:color w:val="65BBC8" w:themeColor="accent1"/>
        <w:lang w:val="fr-BE"/>
      </w:rPr>
      <mc:AlternateContent>
        <mc:Choice Requires="wps">
          <w:drawing>
            <wp:anchor distT="0" distB="0" distL="114300" distR="114300" simplePos="0" relativeHeight="251652096" behindDoc="0" locked="0" layoutInCell="1" allowOverlap="1" wp14:anchorId="4681EF63" wp14:editId="01C97E16">
              <wp:simplePos x="0" y="0"/>
              <wp:positionH relativeFrom="page">
                <wp:align>left</wp:align>
              </wp:positionH>
              <wp:positionV relativeFrom="page">
                <wp:align>top</wp:align>
              </wp:positionV>
              <wp:extent cx="7621200" cy="212400"/>
              <wp:effectExtent l="0" t="0" r="0" b="0"/>
              <wp:wrapNone/>
              <wp:docPr id="30" name="Rectangle 3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E79C1" id="Rectangle 30" o:spid="_x0000_s1026" style="position:absolute;margin-left:0;margin-top:0;width:600.1pt;height:16.7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" fillcolor="#65bbc8 [3204]" stroked="f" strokeweight="2pt">
              <w10:wrap anchorx="page" anchory="page"/>
            </v:rect>
          </w:pict>
        </mc:Fallback>
      </mc:AlternateContent>
    </w:r>
    <w:r w:rsidRPr="00F2491E">
      <w:rPr>
        <w:color w:val="65BBC8" w:themeColor="accent1"/>
        <w:lang w:val="fr-BE"/>
      </w:rPr>
      <mc:AlternateContent>
        <mc:Choice Requires="wps">
          <w:drawing>
            <wp:anchor distT="0" distB="0" distL="114300" distR="114300" simplePos="0" relativeHeight="251654144" behindDoc="0" locked="0" layoutInCell="1" allowOverlap="1" wp14:anchorId="29F6D2A8" wp14:editId="7CFC4781">
              <wp:simplePos x="0" y="0"/>
              <wp:positionH relativeFrom="column">
                <wp:posOffset>-46990</wp:posOffset>
              </wp:positionH>
              <wp:positionV relativeFrom="paragraph">
                <wp:posOffset>-1474113</wp:posOffset>
              </wp:positionV>
              <wp:extent cx="112395" cy="471805"/>
              <wp:effectExtent l="0" t="0" r="1905" b="4445"/>
              <wp:wrapNone/>
              <wp:docPr id="288" name="Rectangle 28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80E27" id="Rectangle 288" o:spid="_x0000_s1026" style="position:absolute;margin-left:-3.7pt;margin-top:-116.05pt;width:8.85pt;height:3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" fillcolor="#3fb296" stroked="f" strokeweight="2pt"/>
          </w:pict>
        </mc:Fallback>
      </mc:AlternateContent>
    </w:r>
    <w:r w:rsidRPr="00F2491E">
      <w:rPr>
        <w:color w:val="65BBC8" w:themeColor="accent1"/>
      </w:rPr>
      <w:t>2018 Annual Management and Performance Report</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C2051" w14:textId="77777777" w:rsidR="00F01C5E" w:rsidRDefault="00F01C5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CEE80" w14:textId="0FD31DA7" w:rsidR="003C0461" w:rsidRDefault="003C0461" w:rsidP="002F4EA8">
    <w:pPr>
      <w:pStyle w:val="title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F919D" w14:textId="77777777" w:rsidR="00F01C5E" w:rsidRDefault="00F01C5E" w:rsidP="002F4EA8">
    <w:pPr>
      <w:pStyle w:val="titleheader"/>
      <w:jc w:val="right"/>
    </w:pPr>
    <w:r w:rsidRPr="00F2491E">
      <w:rPr>
        <w:color w:val="65BBC8" w:themeColor="accent1"/>
        <w:lang w:val="fr-BE"/>
      </w:rPr>
      <mc:AlternateContent>
        <mc:Choice Requires="wps">
          <w:drawing>
            <wp:anchor distT="0" distB="0" distL="114300" distR="114300" simplePos="0" relativeHeight="251664384" behindDoc="0" locked="0" layoutInCell="1" allowOverlap="1" wp14:anchorId="7E5225D9" wp14:editId="3082F2AA">
              <wp:simplePos x="0" y="0"/>
              <wp:positionH relativeFrom="page">
                <wp:align>left</wp:align>
              </wp:positionH>
              <wp:positionV relativeFrom="page">
                <wp:align>top</wp:align>
              </wp:positionV>
              <wp:extent cx="7621200" cy="212400"/>
              <wp:effectExtent l="0" t="0" r="0" b="0"/>
              <wp:wrapNone/>
              <wp:docPr id="46" name="Rectangle 46"/>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2F1F7" id="Rectangle 46" o:spid="_x0000_s1026" style="position:absolute;margin-left:0;margin-top:0;width:600.1pt;height:16.7pt;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" fillcolor="#65bbc8 [3204]" stroked="f" strokeweight="2pt">
              <w10:wrap anchorx="page" anchory="page"/>
            </v:rect>
          </w:pict>
        </mc:Fallback>
      </mc:AlternateContent>
    </w:r>
    <w:r w:rsidRPr="00F2491E">
      <w:rPr>
        <w:color w:val="65BBC8" w:themeColor="accent1"/>
        <w:lang w:val="fr-BE"/>
      </w:rPr>
      <mc:AlternateContent>
        <mc:Choice Requires="wps">
          <w:drawing>
            <wp:anchor distT="0" distB="0" distL="114300" distR="114300" simplePos="0" relativeHeight="251665408" behindDoc="0" locked="0" layoutInCell="1" allowOverlap="1" wp14:anchorId="2AA42EEA" wp14:editId="77A88199">
              <wp:simplePos x="0" y="0"/>
              <wp:positionH relativeFrom="column">
                <wp:posOffset>-46990</wp:posOffset>
              </wp:positionH>
              <wp:positionV relativeFrom="paragraph">
                <wp:posOffset>-1474113</wp:posOffset>
              </wp:positionV>
              <wp:extent cx="112395" cy="471805"/>
              <wp:effectExtent l="0" t="0" r="1905" b="4445"/>
              <wp:wrapNone/>
              <wp:docPr id="59" name="Rectangle 5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FDF1C" id="Rectangle 59" o:spid="_x0000_s1026" style="position:absolute;margin-left:-3.7pt;margin-top:-116.05pt;width:8.85pt;height:3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A1mAIAAIY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" fillcolor="#3fb296" stroked="f" strokeweight="2pt"/>
          </w:pict>
        </mc:Fallback>
      </mc:AlternateContent>
    </w:r>
    <w:r w:rsidRPr="00F2491E">
      <w:rPr>
        <w:color w:val="65BBC8" w:themeColor="accent1"/>
      </w:rPr>
      <w:t>2018 Annual Management and Performance Report</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D0A8DF" w14:textId="77777777" w:rsidR="00F01C5E" w:rsidRDefault="00F01C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6780A" w14:textId="77777777" w:rsidR="00F01C5E" w:rsidRDefault="00F01C5E">
    <w:pPr>
      <w:pStyle w:val="Header"/>
      <w:rPr>
        <w:lang w:val="lv-LV"/>
      </w:rPr>
    </w:pPr>
  </w:p>
  <w:p w14:paraId="2B57F1A0" w14:textId="77777777" w:rsidR="00F01C5E" w:rsidRPr="00A50F91" w:rsidRDefault="00F01C5E">
    <w:pPr>
      <w:pStyle w:val="Header"/>
      <w:rPr>
        <w:lang w:val="lv-LV"/>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26D5F" w14:textId="77777777" w:rsidR="00F01C5E" w:rsidRDefault="00F01C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26FCF" w14:textId="77777777" w:rsidR="00F01C5E" w:rsidRDefault="00F01C5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16F84" w14:textId="77777777" w:rsidR="003C0461" w:rsidRDefault="003C046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E4360" w14:textId="77777777" w:rsidR="00F01C5E" w:rsidRDefault="00F01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9A499A"/>
    <w:multiLevelType w:val="hybridMultilevel"/>
    <w:tmpl w:val="2CA2A92E"/>
    <w:lvl w:ilvl="0" w:tplc="B44098AA">
      <w:start w:val="1"/>
      <w:numFmt w:val="bullet"/>
      <w:pStyle w:val="BOX3BluedashedborderBluebullets"/>
      <w:lvlText w:val=""/>
      <w:lvlJc w:val="left"/>
      <w:pPr>
        <w:ind w:left="360" w:hanging="360"/>
      </w:pPr>
      <w:rPr>
        <w:rFonts w:ascii="Symbol" w:hAnsi="Symbol" w:hint="default"/>
        <w:color w:val="65BBC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10851"/>
    <w:multiLevelType w:val="hybridMultilevel"/>
    <w:tmpl w:val="5E36B614"/>
    <w:lvl w:ilvl="0" w:tplc="CEF66F40">
      <w:start w:val="1"/>
      <w:numFmt w:val="bullet"/>
      <w:lvlText w:val=""/>
      <w:lvlJc w:val="left"/>
      <w:pPr>
        <w:tabs>
          <w:tab w:val="num" w:pos="360"/>
        </w:tabs>
        <w:ind w:left="360" w:hanging="360"/>
      </w:pPr>
      <w:rPr>
        <w:rFonts w:ascii="Symbol" w:hAnsi="Symbol" w:hint="default"/>
      </w:rPr>
    </w:lvl>
    <w:lvl w:ilvl="1" w:tplc="83AE1E6C" w:tentative="1">
      <w:start w:val="1"/>
      <w:numFmt w:val="bullet"/>
      <w:lvlText w:val=""/>
      <w:lvlJc w:val="left"/>
      <w:pPr>
        <w:tabs>
          <w:tab w:val="num" w:pos="1080"/>
        </w:tabs>
        <w:ind w:left="1080" w:hanging="360"/>
      </w:pPr>
      <w:rPr>
        <w:rFonts w:ascii="Symbol" w:hAnsi="Symbol" w:hint="default"/>
      </w:rPr>
    </w:lvl>
    <w:lvl w:ilvl="2" w:tplc="6AE0B23A" w:tentative="1">
      <w:start w:val="1"/>
      <w:numFmt w:val="bullet"/>
      <w:lvlText w:val=""/>
      <w:lvlJc w:val="left"/>
      <w:pPr>
        <w:tabs>
          <w:tab w:val="num" w:pos="1800"/>
        </w:tabs>
        <w:ind w:left="1800" w:hanging="360"/>
      </w:pPr>
      <w:rPr>
        <w:rFonts w:ascii="Symbol" w:hAnsi="Symbol" w:hint="default"/>
      </w:rPr>
    </w:lvl>
    <w:lvl w:ilvl="3" w:tplc="10C6D640" w:tentative="1">
      <w:start w:val="1"/>
      <w:numFmt w:val="bullet"/>
      <w:lvlText w:val=""/>
      <w:lvlJc w:val="left"/>
      <w:pPr>
        <w:tabs>
          <w:tab w:val="num" w:pos="2520"/>
        </w:tabs>
        <w:ind w:left="2520" w:hanging="360"/>
      </w:pPr>
      <w:rPr>
        <w:rFonts w:ascii="Symbol" w:hAnsi="Symbol" w:hint="default"/>
      </w:rPr>
    </w:lvl>
    <w:lvl w:ilvl="4" w:tplc="E1006D9A" w:tentative="1">
      <w:start w:val="1"/>
      <w:numFmt w:val="bullet"/>
      <w:lvlText w:val=""/>
      <w:lvlJc w:val="left"/>
      <w:pPr>
        <w:tabs>
          <w:tab w:val="num" w:pos="3240"/>
        </w:tabs>
        <w:ind w:left="3240" w:hanging="360"/>
      </w:pPr>
      <w:rPr>
        <w:rFonts w:ascii="Symbol" w:hAnsi="Symbol" w:hint="default"/>
      </w:rPr>
    </w:lvl>
    <w:lvl w:ilvl="5" w:tplc="0B00508C" w:tentative="1">
      <w:start w:val="1"/>
      <w:numFmt w:val="bullet"/>
      <w:lvlText w:val=""/>
      <w:lvlJc w:val="left"/>
      <w:pPr>
        <w:tabs>
          <w:tab w:val="num" w:pos="3960"/>
        </w:tabs>
        <w:ind w:left="3960" w:hanging="360"/>
      </w:pPr>
      <w:rPr>
        <w:rFonts w:ascii="Symbol" w:hAnsi="Symbol" w:hint="default"/>
      </w:rPr>
    </w:lvl>
    <w:lvl w:ilvl="6" w:tplc="8E1657DE" w:tentative="1">
      <w:start w:val="1"/>
      <w:numFmt w:val="bullet"/>
      <w:lvlText w:val=""/>
      <w:lvlJc w:val="left"/>
      <w:pPr>
        <w:tabs>
          <w:tab w:val="num" w:pos="4680"/>
        </w:tabs>
        <w:ind w:left="4680" w:hanging="360"/>
      </w:pPr>
      <w:rPr>
        <w:rFonts w:ascii="Symbol" w:hAnsi="Symbol" w:hint="default"/>
      </w:rPr>
    </w:lvl>
    <w:lvl w:ilvl="7" w:tplc="47CEF7DE" w:tentative="1">
      <w:start w:val="1"/>
      <w:numFmt w:val="bullet"/>
      <w:lvlText w:val=""/>
      <w:lvlJc w:val="left"/>
      <w:pPr>
        <w:tabs>
          <w:tab w:val="num" w:pos="5400"/>
        </w:tabs>
        <w:ind w:left="5400" w:hanging="360"/>
      </w:pPr>
      <w:rPr>
        <w:rFonts w:ascii="Symbol" w:hAnsi="Symbol" w:hint="default"/>
      </w:rPr>
    </w:lvl>
    <w:lvl w:ilvl="8" w:tplc="C5643906"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0377240D"/>
    <w:multiLevelType w:val="hybridMultilevel"/>
    <w:tmpl w:val="5A90A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111B88"/>
    <w:multiLevelType w:val="multilevel"/>
    <w:tmpl w:val="C6C03574"/>
    <w:lvl w:ilvl="0">
      <w:start w:val="1"/>
      <w:numFmt w:val="bullet"/>
      <w:pStyle w:val="BulletsblueNew-Spaceafter"/>
      <w:lvlText w:val=""/>
      <w:lvlJc w:val="left"/>
      <w:pPr>
        <w:ind w:left="360" w:hanging="360"/>
      </w:pPr>
      <w:rPr>
        <w:rFonts w:ascii="Symbol" w:hAnsi="Symbol" w:hint="default"/>
        <w:color w:val="65BBC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A2B4113"/>
    <w:multiLevelType w:val="hybridMultilevel"/>
    <w:tmpl w:val="4E32402A"/>
    <w:lvl w:ilvl="0" w:tplc="9236B09E">
      <w:start w:val="1"/>
      <w:numFmt w:val="bullet"/>
      <w:lvlText w:val=""/>
      <w:lvlJc w:val="left"/>
      <w:pPr>
        <w:ind w:left="720" w:hanging="360"/>
      </w:pPr>
      <w:rPr>
        <w:rFonts w:ascii="Symbol" w:hAnsi="Symbol" w:hint="default"/>
        <w:color w:val="65BBC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992E7A"/>
    <w:multiLevelType w:val="hybridMultilevel"/>
    <w:tmpl w:val="93C469B0"/>
    <w:lvl w:ilvl="0" w:tplc="C5E229AC">
      <w:start w:val="1"/>
      <w:numFmt w:val="bullet"/>
      <w:lvlText w:val=""/>
      <w:lvlJc w:val="left"/>
      <w:pPr>
        <w:ind w:left="720" w:hanging="360"/>
      </w:pPr>
      <w:rPr>
        <w:rFonts w:ascii="Symbol" w:hAnsi="Symbol" w:hint="default"/>
        <w:color w:val="65BBC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D34CA"/>
    <w:multiLevelType w:val="hybridMultilevel"/>
    <w:tmpl w:val="BCFE1644"/>
    <w:lvl w:ilvl="0" w:tplc="EC0E5C6E">
      <w:start w:val="1"/>
      <w:numFmt w:val="bullet"/>
      <w:lvlText w:val=""/>
      <w:lvlJc w:val="left"/>
      <w:pPr>
        <w:ind w:left="720" w:hanging="360"/>
      </w:pPr>
      <w:rPr>
        <w:rFonts w:ascii="Symbol" w:hAnsi="Symbol" w:hint="default"/>
        <w:color w:val="65BBC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C857455"/>
    <w:multiLevelType w:val="hybridMultilevel"/>
    <w:tmpl w:val="70ACEEE2"/>
    <w:lvl w:ilvl="0" w:tplc="0809000F">
      <w:start w:val="1"/>
      <w:numFmt w:val="decimal"/>
      <w:lvlText w:val="%1."/>
      <w:lvlJc w:val="left"/>
      <w:pPr>
        <w:ind w:left="720" w:hanging="360"/>
      </w:pPr>
    </w:lvl>
    <w:lvl w:ilvl="1" w:tplc="1CCC4260">
      <w:numFmt w:val="bullet"/>
      <w:lvlText w:val="•"/>
      <w:lvlJc w:val="left"/>
      <w:pPr>
        <w:ind w:left="1740" w:hanging="660"/>
      </w:pPr>
      <w:rPr>
        <w:rFonts w:ascii="EC Square Sans Pro" w:eastAsia="Calibri" w:hAnsi="EC Square Sans Pro"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634141"/>
    <w:multiLevelType w:val="hybridMultilevel"/>
    <w:tmpl w:val="1C52F3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5510309"/>
    <w:multiLevelType w:val="hybridMultilevel"/>
    <w:tmpl w:val="3C04F4AA"/>
    <w:lvl w:ilvl="0" w:tplc="9236B09E">
      <w:start w:val="1"/>
      <w:numFmt w:val="bullet"/>
      <w:lvlText w:val=""/>
      <w:lvlJc w:val="left"/>
      <w:pPr>
        <w:ind w:left="720" w:hanging="360"/>
      </w:pPr>
      <w:rPr>
        <w:rFonts w:ascii="Symbol" w:hAnsi="Symbol" w:hint="default"/>
        <w:color w:val="65BBC8" w:themeColor="accent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5BE3CE5"/>
    <w:multiLevelType w:val="multilevel"/>
    <w:tmpl w:val="AECAF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6072F1D"/>
    <w:multiLevelType w:val="hybridMultilevel"/>
    <w:tmpl w:val="FAAADD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4" w15:restartNumberingAfterBreak="0">
    <w:nsid w:val="17026D51"/>
    <w:multiLevelType w:val="hybridMultilevel"/>
    <w:tmpl w:val="DE50444E"/>
    <w:lvl w:ilvl="0" w:tplc="EC0E5C6E">
      <w:start w:val="1"/>
      <w:numFmt w:val="bullet"/>
      <w:lvlText w:val=""/>
      <w:lvlJc w:val="left"/>
      <w:pPr>
        <w:ind w:left="720" w:hanging="360"/>
      </w:pPr>
      <w:rPr>
        <w:rFonts w:ascii="Symbol" w:hAnsi="Symbol" w:hint="default"/>
        <w:color w:val="65BBC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88A1C4D"/>
    <w:multiLevelType w:val="hybridMultilevel"/>
    <w:tmpl w:val="82C666E2"/>
    <w:lvl w:ilvl="0" w:tplc="26644496">
      <w:start w:val="1"/>
      <w:numFmt w:val="lowerLetter"/>
      <w:lvlText w:val="(%1)"/>
      <w:lvlJc w:val="left"/>
      <w:pPr>
        <w:ind w:left="720" w:hanging="360"/>
      </w:pPr>
      <w:rPr>
        <w:rFonts w:eastAsia="Calibr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7" w15:restartNumberingAfterBreak="0">
    <w:nsid w:val="1B594D67"/>
    <w:multiLevelType w:val="hybridMultilevel"/>
    <w:tmpl w:val="42F05D9A"/>
    <w:lvl w:ilvl="0" w:tplc="F118EF9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E7651A4"/>
    <w:multiLevelType w:val="hybridMultilevel"/>
    <w:tmpl w:val="5D5AC0B4"/>
    <w:lvl w:ilvl="0" w:tplc="A038F6E6">
      <w:start w:val="1"/>
      <w:numFmt w:val="bullet"/>
      <w:lvlText w:val=""/>
      <w:lvlJc w:val="left"/>
      <w:pPr>
        <w:ind w:left="720" w:hanging="360"/>
      </w:pPr>
      <w:rPr>
        <w:rFonts w:ascii="Symbol" w:eastAsiaTheme="minorHAnsi" w:hAnsi="Symbol"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1A6242E"/>
    <w:multiLevelType w:val="hybridMultilevel"/>
    <w:tmpl w:val="F2EA93D4"/>
    <w:lvl w:ilvl="0" w:tplc="B39E5BDA">
      <w:start w:val="1"/>
      <w:numFmt w:val="bullet"/>
      <w:lvlText w:val=""/>
      <w:lvlJc w:val="left"/>
      <w:pPr>
        <w:ind w:left="720" w:hanging="360"/>
      </w:pPr>
      <w:rPr>
        <w:rFonts w:ascii="Symbol" w:hAnsi="Symbol" w:hint="default"/>
        <w:color w:val="65BBC8"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E44180"/>
    <w:multiLevelType w:val="multilevel"/>
    <w:tmpl w:val="DFC88CEC"/>
    <w:name w:val="NumPar"/>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5451372"/>
    <w:multiLevelType w:val="hybridMultilevel"/>
    <w:tmpl w:val="1AD4A118"/>
    <w:lvl w:ilvl="0" w:tplc="F2C89E28">
      <w:numFmt w:val="bullet"/>
      <w:lvlText w:val="—"/>
      <w:lvlJc w:val="left"/>
      <w:pPr>
        <w:ind w:left="720" w:hanging="360"/>
      </w:pPr>
      <w:rPr>
        <w:rFonts w:ascii="Courier New" w:eastAsiaTheme="minorHAnsi"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F97B26"/>
    <w:multiLevelType w:val="hybridMultilevel"/>
    <w:tmpl w:val="759683FA"/>
    <w:lvl w:ilvl="0" w:tplc="52DC37A0">
      <w:start w:val="1"/>
      <w:numFmt w:val="bullet"/>
      <w:pStyle w:val="BOX3builtastableBluedashedborderBluebullet"/>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6430551"/>
    <w:multiLevelType w:val="hybridMultilevel"/>
    <w:tmpl w:val="34AE56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6A553BD"/>
    <w:multiLevelType w:val="hybridMultilevel"/>
    <w:tmpl w:val="7F28C4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26B5385F"/>
    <w:multiLevelType w:val="hybridMultilevel"/>
    <w:tmpl w:val="B1EC2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8" w15:restartNumberingAfterBreak="0">
    <w:nsid w:val="2DD042E6"/>
    <w:multiLevelType w:val="hybridMultilevel"/>
    <w:tmpl w:val="58DE90AE"/>
    <w:lvl w:ilvl="0" w:tplc="56E64C02">
      <w:numFmt w:val="bullet"/>
      <w:lvlText w:val="—"/>
      <w:lvlJc w:val="left"/>
      <w:pPr>
        <w:ind w:left="1080" w:hanging="360"/>
      </w:pPr>
      <w:rPr>
        <w:rFonts w:ascii="Courier New" w:hAnsi="Courier New" w:hint="default"/>
        <w:u w:color="65BBC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9" w15:restartNumberingAfterBreak="0">
    <w:nsid w:val="2DE01BC8"/>
    <w:multiLevelType w:val="hybridMultilevel"/>
    <w:tmpl w:val="FE98D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35A4E7C"/>
    <w:multiLevelType w:val="hybridMultilevel"/>
    <w:tmpl w:val="677ED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40D227A"/>
    <w:multiLevelType w:val="hybridMultilevel"/>
    <w:tmpl w:val="E67CE26A"/>
    <w:lvl w:ilvl="0" w:tplc="93BACA22">
      <w:start w:val="1"/>
      <w:numFmt w:val="decimal"/>
      <w:lvlText w:val="%1."/>
      <w:lvlJc w:val="left"/>
      <w:pPr>
        <w:ind w:left="720" w:hanging="360"/>
      </w:pPr>
      <w:rPr>
        <w:rFonts w:ascii="EC Square Sans Pro" w:hAnsi="EC Square Sans Pro" w:hint="default"/>
        <w:b/>
        <w:i w:val="0"/>
        <w:color w:val="65BBC8" w:themeColor="accent1"/>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34F55CAB"/>
    <w:multiLevelType w:val="hybridMultilevel"/>
    <w:tmpl w:val="CD3889F8"/>
    <w:lvl w:ilvl="0" w:tplc="3C7EFFF2">
      <w:numFmt w:val="bullet"/>
      <w:lvlText w:val="—"/>
      <w:lvlJc w:val="left"/>
      <w:pPr>
        <w:ind w:left="1080" w:hanging="360"/>
      </w:pPr>
      <w:rPr>
        <w:rFonts w:ascii="Courier New" w:hAnsi="Courier New" w:hint="default"/>
        <w:color w:val="65BBC8"/>
        <w:u w:color="65BBC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3" w15:restartNumberingAfterBreak="0">
    <w:nsid w:val="39BA54E5"/>
    <w:multiLevelType w:val="multilevel"/>
    <w:tmpl w:val="2E68C7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AAF7883"/>
    <w:multiLevelType w:val="hybridMultilevel"/>
    <w:tmpl w:val="4E4C400E"/>
    <w:lvl w:ilvl="0" w:tplc="2C60C94E">
      <w:start w:val="1"/>
      <w:numFmt w:val="bullet"/>
      <w:lvlText w:val=""/>
      <w:lvlJc w:val="left"/>
      <w:pPr>
        <w:ind w:left="1080" w:hanging="360"/>
      </w:pPr>
      <w:rPr>
        <w:rFonts w:ascii="Symbol" w:hAnsi="Symbol" w:hint="default"/>
        <w:color w:val="65BBC8"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401947C8"/>
    <w:multiLevelType w:val="hybridMultilevel"/>
    <w:tmpl w:val="BF54B00A"/>
    <w:lvl w:ilvl="0" w:tplc="AE3CC164">
      <w:start w:val="1"/>
      <w:numFmt w:val="decimal"/>
      <w:lvlText w:val="%1."/>
      <w:lvlJc w:val="left"/>
      <w:pPr>
        <w:ind w:left="720" w:hanging="360"/>
      </w:pPr>
      <w:rPr>
        <w:rFonts w:ascii="EC Square Sans Pro" w:hAnsi="EC Square Sans Pro" w:hint="default"/>
        <w:b/>
        <w:i w:val="0"/>
        <w:color w:val="auto"/>
        <w:sz w:val="16"/>
        <w:vertAlign w:val="superscrip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7"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8" w15:restartNumberingAfterBreak="0">
    <w:nsid w:val="441939F5"/>
    <w:multiLevelType w:val="hybridMultilevel"/>
    <w:tmpl w:val="5B6E08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43A39F2"/>
    <w:multiLevelType w:val="hybridMultilevel"/>
    <w:tmpl w:val="4EFC770C"/>
    <w:lvl w:ilvl="0" w:tplc="5D0630C4">
      <w:start w:val="1"/>
      <w:numFmt w:val="decimal"/>
      <w:lvlText w:val="%1."/>
      <w:lvlJc w:val="left"/>
      <w:pPr>
        <w:ind w:left="717" w:hanging="360"/>
      </w:pPr>
      <w:rPr>
        <w:rFonts w:hint="default"/>
      </w:rPr>
    </w:lvl>
    <w:lvl w:ilvl="1" w:tplc="080C0019" w:tentative="1">
      <w:start w:val="1"/>
      <w:numFmt w:val="lowerLetter"/>
      <w:lvlText w:val="%2."/>
      <w:lvlJc w:val="left"/>
      <w:pPr>
        <w:ind w:left="1437" w:hanging="360"/>
      </w:pPr>
    </w:lvl>
    <w:lvl w:ilvl="2" w:tplc="080C001B" w:tentative="1">
      <w:start w:val="1"/>
      <w:numFmt w:val="lowerRoman"/>
      <w:lvlText w:val="%3."/>
      <w:lvlJc w:val="right"/>
      <w:pPr>
        <w:ind w:left="2157" w:hanging="180"/>
      </w:pPr>
    </w:lvl>
    <w:lvl w:ilvl="3" w:tplc="080C000F" w:tentative="1">
      <w:start w:val="1"/>
      <w:numFmt w:val="decimal"/>
      <w:lvlText w:val="%4."/>
      <w:lvlJc w:val="left"/>
      <w:pPr>
        <w:ind w:left="2877" w:hanging="360"/>
      </w:pPr>
    </w:lvl>
    <w:lvl w:ilvl="4" w:tplc="080C0019" w:tentative="1">
      <w:start w:val="1"/>
      <w:numFmt w:val="lowerLetter"/>
      <w:lvlText w:val="%5."/>
      <w:lvlJc w:val="left"/>
      <w:pPr>
        <w:ind w:left="3597" w:hanging="360"/>
      </w:pPr>
    </w:lvl>
    <w:lvl w:ilvl="5" w:tplc="080C001B" w:tentative="1">
      <w:start w:val="1"/>
      <w:numFmt w:val="lowerRoman"/>
      <w:lvlText w:val="%6."/>
      <w:lvlJc w:val="right"/>
      <w:pPr>
        <w:ind w:left="4317" w:hanging="180"/>
      </w:pPr>
    </w:lvl>
    <w:lvl w:ilvl="6" w:tplc="080C000F" w:tentative="1">
      <w:start w:val="1"/>
      <w:numFmt w:val="decimal"/>
      <w:lvlText w:val="%7."/>
      <w:lvlJc w:val="left"/>
      <w:pPr>
        <w:ind w:left="5037" w:hanging="360"/>
      </w:pPr>
    </w:lvl>
    <w:lvl w:ilvl="7" w:tplc="080C0019" w:tentative="1">
      <w:start w:val="1"/>
      <w:numFmt w:val="lowerLetter"/>
      <w:lvlText w:val="%8."/>
      <w:lvlJc w:val="left"/>
      <w:pPr>
        <w:ind w:left="5757" w:hanging="360"/>
      </w:pPr>
    </w:lvl>
    <w:lvl w:ilvl="8" w:tplc="080C001B" w:tentative="1">
      <w:start w:val="1"/>
      <w:numFmt w:val="lowerRoman"/>
      <w:lvlText w:val="%9."/>
      <w:lvlJc w:val="right"/>
      <w:pPr>
        <w:ind w:left="6477" w:hanging="180"/>
      </w:pPr>
    </w:lvl>
  </w:abstractNum>
  <w:abstractNum w:abstractNumId="40"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41" w15:restartNumberingAfterBreak="0">
    <w:nsid w:val="475D7D4C"/>
    <w:multiLevelType w:val="hybridMultilevel"/>
    <w:tmpl w:val="3FAE8682"/>
    <w:lvl w:ilvl="0" w:tplc="EC0E5C6E">
      <w:start w:val="1"/>
      <w:numFmt w:val="bullet"/>
      <w:lvlText w:val=""/>
      <w:lvlJc w:val="left"/>
      <w:pPr>
        <w:ind w:left="720" w:hanging="360"/>
      </w:pPr>
      <w:rPr>
        <w:rFonts w:ascii="Symbol" w:hAnsi="Symbol" w:hint="default"/>
        <w:color w:val="65BBC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4EB246EB"/>
    <w:multiLevelType w:val="hybridMultilevel"/>
    <w:tmpl w:val="CAE68E1A"/>
    <w:lvl w:ilvl="0" w:tplc="080C000F">
      <w:start w:val="1"/>
      <w:numFmt w:val="decimal"/>
      <w:lvlText w:val="%1."/>
      <w:lvlJc w:val="left"/>
      <w:pPr>
        <w:ind w:left="1077" w:hanging="360"/>
      </w:p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43" w15:restartNumberingAfterBreak="0">
    <w:nsid w:val="4FE662BD"/>
    <w:multiLevelType w:val="hybridMultilevel"/>
    <w:tmpl w:val="297244D6"/>
    <w:lvl w:ilvl="0" w:tplc="086A07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1962BBF"/>
    <w:multiLevelType w:val="hybridMultilevel"/>
    <w:tmpl w:val="E576A0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5" w15:restartNumberingAfterBreak="0">
    <w:nsid w:val="53651A99"/>
    <w:multiLevelType w:val="hybridMultilevel"/>
    <w:tmpl w:val="1268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50F675B"/>
    <w:multiLevelType w:val="hybridMultilevel"/>
    <w:tmpl w:val="9830F414"/>
    <w:lvl w:ilvl="0" w:tplc="5C023D1C">
      <w:start w:val="1"/>
      <w:numFmt w:val="bullet"/>
      <w:pStyle w:val="bulletsblue"/>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5420EF2"/>
    <w:multiLevelType w:val="hybridMultilevel"/>
    <w:tmpl w:val="40568080"/>
    <w:lvl w:ilvl="0" w:tplc="57862626">
      <w:start w:val="1"/>
      <w:numFmt w:val="bullet"/>
      <w:pStyle w:val="BulletsblueNew"/>
      <w:lvlText w:val=""/>
      <w:lvlJc w:val="left"/>
      <w:pPr>
        <w:ind w:left="1080" w:hanging="360"/>
      </w:pPr>
      <w:rPr>
        <w:rFonts w:ascii="Symbol" w:hAnsi="Symbol" w:hint="default"/>
        <w:color w:val="65BBC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9" w15:restartNumberingAfterBreak="0">
    <w:nsid w:val="560D7E78"/>
    <w:multiLevelType w:val="hybridMultilevel"/>
    <w:tmpl w:val="30905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61B1C00"/>
    <w:multiLevelType w:val="hybridMultilevel"/>
    <w:tmpl w:val="C3E22E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52"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53" w15:restartNumberingAfterBreak="0">
    <w:nsid w:val="5C6A17BF"/>
    <w:multiLevelType w:val="hybridMultilevel"/>
    <w:tmpl w:val="425299DC"/>
    <w:lvl w:ilvl="0" w:tplc="2DECFF32">
      <w:start w:val="1"/>
      <w:numFmt w:val="bullet"/>
      <w:lvlText w:val=""/>
      <w:lvlJc w:val="left"/>
      <w:pPr>
        <w:ind w:left="360" w:hanging="360"/>
      </w:pPr>
      <w:rPr>
        <w:rFonts w:ascii="Symbol" w:hAnsi="Symbol" w:hint="default"/>
        <w:color w:val="1D3E8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5" w15:restartNumberingAfterBreak="0">
    <w:nsid w:val="5E647990"/>
    <w:multiLevelType w:val="hybridMultilevel"/>
    <w:tmpl w:val="D6B6BA4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63487A82"/>
    <w:multiLevelType w:val="hybridMultilevel"/>
    <w:tmpl w:val="597EC60A"/>
    <w:lvl w:ilvl="0" w:tplc="E01C25E0">
      <w:start w:val="1"/>
      <w:numFmt w:val="bullet"/>
      <w:pStyle w:val="BOX2BlueBullet"/>
      <w:lvlText w:val=""/>
      <w:lvlJc w:val="left"/>
      <w:pPr>
        <w:ind w:left="360" w:hanging="360"/>
      </w:pPr>
      <w:rPr>
        <w:rFonts w:ascii="Symbol" w:hAnsi="Symbol" w:hint="default"/>
        <w:color w:val="65BBC8"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38D5920"/>
    <w:multiLevelType w:val="hybridMultilevel"/>
    <w:tmpl w:val="0EECEDAC"/>
    <w:lvl w:ilvl="0" w:tplc="41501842">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8"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65CF019A"/>
    <w:multiLevelType w:val="hybridMultilevel"/>
    <w:tmpl w:val="F19EBA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15:restartNumberingAfterBreak="0">
    <w:nsid w:val="66EF2730"/>
    <w:multiLevelType w:val="hybridMultilevel"/>
    <w:tmpl w:val="4636D6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62" w15:restartNumberingAfterBreak="0">
    <w:nsid w:val="68781487"/>
    <w:multiLevelType w:val="hybridMultilevel"/>
    <w:tmpl w:val="0ED46040"/>
    <w:lvl w:ilvl="0" w:tplc="080C0001">
      <w:start w:val="1"/>
      <w:numFmt w:val="bullet"/>
      <w:lvlText w:val=""/>
      <w:lvlJc w:val="left"/>
      <w:pPr>
        <w:ind w:left="765" w:hanging="360"/>
      </w:pPr>
      <w:rPr>
        <w:rFonts w:ascii="Symbol" w:hAnsi="Symbol" w:hint="default"/>
      </w:rPr>
    </w:lvl>
    <w:lvl w:ilvl="1" w:tplc="080C0003" w:tentative="1">
      <w:start w:val="1"/>
      <w:numFmt w:val="bullet"/>
      <w:lvlText w:val="o"/>
      <w:lvlJc w:val="left"/>
      <w:pPr>
        <w:ind w:left="1485" w:hanging="360"/>
      </w:pPr>
      <w:rPr>
        <w:rFonts w:ascii="Courier New" w:hAnsi="Courier New" w:cs="Courier New" w:hint="default"/>
      </w:rPr>
    </w:lvl>
    <w:lvl w:ilvl="2" w:tplc="080C0005" w:tentative="1">
      <w:start w:val="1"/>
      <w:numFmt w:val="bullet"/>
      <w:lvlText w:val=""/>
      <w:lvlJc w:val="left"/>
      <w:pPr>
        <w:ind w:left="2205" w:hanging="360"/>
      </w:pPr>
      <w:rPr>
        <w:rFonts w:ascii="Wingdings" w:hAnsi="Wingdings" w:hint="default"/>
      </w:rPr>
    </w:lvl>
    <w:lvl w:ilvl="3" w:tplc="080C0001" w:tentative="1">
      <w:start w:val="1"/>
      <w:numFmt w:val="bullet"/>
      <w:lvlText w:val=""/>
      <w:lvlJc w:val="left"/>
      <w:pPr>
        <w:ind w:left="2925" w:hanging="360"/>
      </w:pPr>
      <w:rPr>
        <w:rFonts w:ascii="Symbol" w:hAnsi="Symbol" w:hint="default"/>
      </w:rPr>
    </w:lvl>
    <w:lvl w:ilvl="4" w:tplc="080C0003" w:tentative="1">
      <w:start w:val="1"/>
      <w:numFmt w:val="bullet"/>
      <w:lvlText w:val="o"/>
      <w:lvlJc w:val="left"/>
      <w:pPr>
        <w:ind w:left="3645" w:hanging="360"/>
      </w:pPr>
      <w:rPr>
        <w:rFonts w:ascii="Courier New" w:hAnsi="Courier New" w:cs="Courier New" w:hint="default"/>
      </w:rPr>
    </w:lvl>
    <w:lvl w:ilvl="5" w:tplc="080C0005" w:tentative="1">
      <w:start w:val="1"/>
      <w:numFmt w:val="bullet"/>
      <w:lvlText w:val=""/>
      <w:lvlJc w:val="left"/>
      <w:pPr>
        <w:ind w:left="4365" w:hanging="360"/>
      </w:pPr>
      <w:rPr>
        <w:rFonts w:ascii="Wingdings" w:hAnsi="Wingdings" w:hint="default"/>
      </w:rPr>
    </w:lvl>
    <w:lvl w:ilvl="6" w:tplc="080C0001" w:tentative="1">
      <w:start w:val="1"/>
      <w:numFmt w:val="bullet"/>
      <w:lvlText w:val=""/>
      <w:lvlJc w:val="left"/>
      <w:pPr>
        <w:ind w:left="5085" w:hanging="360"/>
      </w:pPr>
      <w:rPr>
        <w:rFonts w:ascii="Symbol" w:hAnsi="Symbol" w:hint="default"/>
      </w:rPr>
    </w:lvl>
    <w:lvl w:ilvl="7" w:tplc="080C0003" w:tentative="1">
      <w:start w:val="1"/>
      <w:numFmt w:val="bullet"/>
      <w:lvlText w:val="o"/>
      <w:lvlJc w:val="left"/>
      <w:pPr>
        <w:ind w:left="5805" w:hanging="360"/>
      </w:pPr>
      <w:rPr>
        <w:rFonts w:ascii="Courier New" w:hAnsi="Courier New" w:cs="Courier New" w:hint="default"/>
      </w:rPr>
    </w:lvl>
    <w:lvl w:ilvl="8" w:tplc="080C0005" w:tentative="1">
      <w:start w:val="1"/>
      <w:numFmt w:val="bullet"/>
      <w:lvlText w:val=""/>
      <w:lvlJc w:val="left"/>
      <w:pPr>
        <w:ind w:left="6525" w:hanging="360"/>
      </w:pPr>
      <w:rPr>
        <w:rFonts w:ascii="Wingdings" w:hAnsi="Wingdings" w:hint="default"/>
      </w:rPr>
    </w:lvl>
  </w:abstractNum>
  <w:abstractNum w:abstractNumId="63" w15:restartNumberingAfterBreak="0">
    <w:nsid w:val="689A2F62"/>
    <w:multiLevelType w:val="hybridMultilevel"/>
    <w:tmpl w:val="DF66D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6CE37F40"/>
    <w:multiLevelType w:val="hybridMultilevel"/>
    <w:tmpl w:val="6B840530"/>
    <w:lvl w:ilvl="0" w:tplc="EC0E5C6E">
      <w:start w:val="1"/>
      <w:numFmt w:val="bullet"/>
      <w:lvlText w:val=""/>
      <w:lvlJc w:val="left"/>
      <w:pPr>
        <w:ind w:left="720" w:hanging="360"/>
      </w:pPr>
      <w:rPr>
        <w:rFonts w:ascii="Symbol" w:hAnsi="Symbol" w:hint="default"/>
        <w:color w:val="65BBC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5AC0CF6"/>
    <w:multiLevelType w:val="hybridMultilevel"/>
    <w:tmpl w:val="0108E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774C0143"/>
    <w:multiLevelType w:val="hybridMultilevel"/>
    <w:tmpl w:val="22EC0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9811ADC"/>
    <w:multiLevelType w:val="hybridMultilevel"/>
    <w:tmpl w:val="3028F1F8"/>
    <w:lvl w:ilvl="0" w:tplc="CD305E2A">
      <w:start w:val="1"/>
      <w:numFmt w:val="bullet"/>
      <w:lvlText w:val=""/>
      <w:lvlJc w:val="left"/>
      <w:pPr>
        <w:ind w:left="720" w:hanging="360"/>
      </w:pPr>
      <w:rPr>
        <w:rFonts w:ascii="Symbol" w:hAnsi="Symbol" w:hint="default"/>
        <w:color w:val="08AA74" w:themeColor="accent3"/>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15:restartNumberingAfterBreak="0">
    <w:nsid w:val="7C825BCC"/>
    <w:multiLevelType w:val="hybridMultilevel"/>
    <w:tmpl w:val="82462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70" w15:restartNumberingAfterBreak="0">
    <w:nsid w:val="7CE93BE6"/>
    <w:multiLevelType w:val="hybridMultilevel"/>
    <w:tmpl w:val="C9A20672"/>
    <w:lvl w:ilvl="0" w:tplc="8B6401E4">
      <w:start w:val="1"/>
      <w:numFmt w:val="decimal"/>
      <w:pStyle w:val="Title3NumberedAnnexes"/>
      <w:lvlText w:val="%1."/>
      <w:lvlJc w:val="left"/>
      <w:pPr>
        <w:ind w:left="720" w:hanging="360"/>
      </w:pPr>
      <w:rPr>
        <w:rFonts w:ascii="EC Square Sans Pro" w:hAnsi="EC Square Sans Pro" w:hint="default"/>
        <w:b/>
        <w:bCs w:val="0"/>
        <w:i w:val="0"/>
        <w:iCs w:val="0"/>
        <w:caps w:val="0"/>
        <w:smallCaps w:val="0"/>
        <w:strike w:val="0"/>
        <w:dstrike w:val="0"/>
        <w:outline w:val="0"/>
        <w:shadow w:val="0"/>
        <w:emboss w:val="0"/>
        <w:imprint w:val="0"/>
        <w:noProof w:val="0"/>
        <w:vanish w:val="0"/>
        <w:color w:val="E48C32" w:themeColor="accent5"/>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8321D9A">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DC678E2"/>
    <w:multiLevelType w:val="hybridMultilevel"/>
    <w:tmpl w:val="50A064FE"/>
    <w:lvl w:ilvl="0" w:tplc="F2C89E28">
      <w:numFmt w:val="bullet"/>
      <w:lvlText w:val="—"/>
      <w:lvlJc w:val="left"/>
      <w:pPr>
        <w:ind w:left="1080" w:hanging="360"/>
      </w:pPr>
      <w:rPr>
        <w:rFonts w:ascii="Courier New" w:eastAsiaTheme="minorHAnsi"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54"/>
  </w:num>
  <w:num w:numId="2">
    <w:abstractNumId w:val="36"/>
  </w:num>
  <w:num w:numId="3">
    <w:abstractNumId w:val="61"/>
  </w:num>
  <w:num w:numId="4">
    <w:abstractNumId w:val="27"/>
  </w:num>
  <w:num w:numId="5">
    <w:abstractNumId w:val="37"/>
  </w:num>
  <w:num w:numId="6">
    <w:abstractNumId w:val="11"/>
  </w:num>
  <w:num w:numId="7">
    <w:abstractNumId w:val="67"/>
  </w:num>
  <w:num w:numId="8">
    <w:abstractNumId w:val="9"/>
  </w:num>
  <w:num w:numId="9">
    <w:abstractNumId w:val="1"/>
  </w:num>
  <w:num w:numId="10">
    <w:abstractNumId w:val="0"/>
  </w:num>
  <w:num w:numId="11">
    <w:abstractNumId w:val="56"/>
  </w:num>
  <w:num w:numId="12">
    <w:abstractNumId w:val="49"/>
  </w:num>
  <w:num w:numId="13">
    <w:abstractNumId w:val="25"/>
  </w:num>
  <w:num w:numId="14">
    <w:abstractNumId w:val="66"/>
  </w:num>
  <w:num w:numId="15">
    <w:abstractNumId w:val="34"/>
  </w:num>
  <w:num w:numId="16">
    <w:abstractNumId w:val="19"/>
  </w:num>
  <w:num w:numId="17">
    <w:abstractNumId w:val="23"/>
  </w:num>
  <w:num w:numId="18">
    <w:abstractNumId w:val="43"/>
  </w:num>
  <w:num w:numId="19">
    <w:abstractNumId w:val="31"/>
  </w:num>
  <w:num w:numId="20">
    <w:abstractNumId w:val="70"/>
  </w:num>
  <w:num w:numId="21">
    <w:abstractNumId w:val="31"/>
    <w:lvlOverride w:ilvl="0">
      <w:startOverride w:val="1"/>
    </w:lvlOverride>
  </w:num>
  <w:num w:numId="22">
    <w:abstractNumId w:val="31"/>
    <w:lvlOverride w:ilvl="0">
      <w:startOverride w:val="1"/>
    </w:lvlOverride>
  </w:num>
  <w:num w:numId="23">
    <w:abstractNumId w:val="31"/>
    <w:lvlOverride w:ilvl="0">
      <w:startOverride w:val="1"/>
    </w:lvlOverride>
  </w:num>
  <w:num w:numId="24">
    <w:abstractNumId w:val="31"/>
    <w:lvlOverride w:ilvl="0">
      <w:startOverride w:val="1"/>
    </w:lvlOverride>
  </w:num>
  <w:num w:numId="25">
    <w:abstractNumId w:val="31"/>
    <w:lvlOverride w:ilvl="0">
      <w:startOverride w:val="1"/>
    </w:lvlOverride>
  </w:num>
  <w:num w:numId="26">
    <w:abstractNumId w:val="31"/>
    <w:lvlOverride w:ilvl="0">
      <w:startOverride w:val="1"/>
    </w:lvlOverride>
  </w:num>
  <w:num w:numId="27">
    <w:abstractNumId w:val="31"/>
    <w:lvlOverride w:ilvl="0">
      <w:startOverride w:val="1"/>
    </w:lvlOverride>
  </w:num>
  <w:num w:numId="28">
    <w:abstractNumId w:val="31"/>
    <w:lvlOverride w:ilvl="0">
      <w:startOverride w:val="1"/>
    </w:lvlOverride>
  </w:num>
  <w:num w:numId="29">
    <w:abstractNumId w:val="31"/>
    <w:lvlOverride w:ilvl="0">
      <w:startOverride w:val="1"/>
    </w:lvlOverride>
  </w:num>
  <w:num w:numId="30">
    <w:abstractNumId w:val="31"/>
    <w:lvlOverride w:ilvl="0">
      <w:startOverride w:val="1"/>
    </w:lvlOverride>
  </w:num>
  <w:num w:numId="31">
    <w:abstractNumId w:val="31"/>
    <w:lvlOverride w:ilvl="0">
      <w:startOverride w:val="1"/>
    </w:lvlOverride>
  </w:num>
  <w:num w:numId="32">
    <w:abstractNumId w:val="24"/>
  </w:num>
  <w:num w:numId="33">
    <w:abstractNumId w:val="10"/>
  </w:num>
  <w:num w:numId="34">
    <w:abstractNumId w:val="21"/>
  </w:num>
  <w:num w:numId="35">
    <w:abstractNumId w:val="29"/>
  </w:num>
  <w:num w:numId="36">
    <w:abstractNumId w:val="65"/>
  </w:num>
  <w:num w:numId="37">
    <w:abstractNumId w:val="14"/>
  </w:num>
  <w:num w:numId="38">
    <w:abstractNumId w:val="41"/>
  </w:num>
  <w:num w:numId="39">
    <w:abstractNumId w:val="50"/>
  </w:num>
  <w:num w:numId="40">
    <w:abstractNumId w:val="57"/>
  </w:num>
  <w:num w:numId="41">
    <w:abstractNumId w:val="68"/>
  </w:num>
  <w:num w:numId="42">
    <w:abstractNumId w:val="59"/>
  </w:num>
  <w:num w:numId="43">
    <w:abstractNumId w:val="62"/>
  </w:num>
  <w:num w:numId="44">
    <w:abstractNumId w:val="18"/>
  </w:num>
  <w:num w:numId="45">
    <w:abstractNumId w:val="55"/>
  </w:num>
  <w:num w:numId="46">
    <w:abstractNumId w:val="31"/>
    <w:lvlOverride w:ilvl="0">
      <w:startOverride w:val="1"/>
    </w:lvlOverride>
  </w:num>
  <w:num w:numId="47">
    <w:abstractNumId w:val="31"/>
    <w:lvlOverride w:ilvl="0">
      <w:startOverride w:val="1"/>
    </w:lvlOverride>
  </w:num>
  <w:num w:numId="48">
    <w:abstractNumId w:val="31"/>
    <w:lvlOverride w:ilvl="0">
      <w:startOverride w:val="1"/>
    </w:lvlOverride>
  </w:num>
  <w:num w:numId="49">
    <w:abstractNumId w:val="31"/>
    <w:lvlOverride w:ilvl="0">
      <w:startOverride w:val="1"/>
    </w:lvlOverride>
  </w:num>
  <w:num w:numId="50">
    <w:abstractNumId w:val="31"/>
    <w:lvlOverride w:ilvl="0">
      <w:startOverride w:val="1"/>
    </w:lvlOverride>
  </w:num>
  <w:num w:numId="51">
    <w:abstractNumId w:val="31"/>
    <w:lvlOverride w:ilvl="0">
      <w:startOverride w:val="1"/>
    </w:lvlOverride>
  </w:num>
  <w:num w:numId="52">
    <w:abstractNumId w:val="31"/>
    <w:lvlOverride w:ilvl="0">
      <w:startOverride w:val="1"/>
    </w:lvlOverride>
  </w:num>
  <w:num w:numId="53">
    <w:abstractNumId w:val="31"/>
    <w:lvlOverride w:ilvl="0">
      <w:startOverride w:val="1"/>
    </w:lvlOverride>
  </w:num>
  <w:num w:numId="54">
    <w:abstractNumId w:val="31"/>
    <w:lvlOverride w:ilvl="0">
      <w:startOverride w:val="1"/>
    </w:lvlOverride>
  </w:num>
  <w:num w:numId="55">
    <w:abstractNumId w:val="31"/>
    <w:lvlOverride w:ilvl="0">
      <w:startOverride w:val="1"/>
    </w:lvlOverride>
  </w:num>
  <w:num w:numId="56">
    <w:abstractNumId w:val="31"/>
    <w:lvlOverride w:ilvl="0">
      <w:startOverride w:val="1"/>
    </w:lvlOverride>
  </w:num>
  <w:num w:numId="57">
    <w:abstractNumId w:val="31"/>
    <w:lvlOverride w:ilvl="0">
      <w:startOverride w:val="1"/>
    </w:lvlOverride>
  </w:num>
  <w:num w:numId="58">
    <w:abstractNumId w:val="31"/>
    <w:lvlOverride w:ilvl="0">
      <w:startOverride w:val="1"/>
    </w:lvlOverride>
  </w:num>
  <w:num w:numId="59">
    <w:abstractNumId w:val="31"/>
    <w:lvlOverride w:ilvl="0">
      <w:startOverride w:val="1"/>
    </w:lvlOverride>
  </w:num>
  <w:num w:numId="60">
    <w:abstractNumId w:val="31"/>
    <w:lvlOverride w:ilvl="0">
      <w:startOverride w:val="1"/>
    </w:lvlOverride>
  </w:num>
  <w:num w:numId="61">
    <w:abstractNumId w:val="31"/>
    <w:lvlOverride w:ilvl="0">
      <w:startOverride w:val="1"/>
    </w:lvlOverride>
  </w:num>
  <w:num w:numId="62">
    <w:abstractNumId w:val="31"/>
    <w:lvlOverride w:ilvl="0">
      <w:startOverride w:val="1"/>
    </w:lvlOverride>
  </w:num>
  <w:num w:numId="63">
    <w:abstractNumId w:val="31"/>
    <w:lvlOverride w:ilvl="0">
      <w:startOverride w:val="1"/>
    </w:lvlOverride>
  </w:num>
  <w:num w:numId="64">
    <w:abstractNumId w:val="31"/>
    <w:lvlOverride w:ilvl="0">
      <w:startOverride w:val="1"/>
    </w:lvlOverride>
  </w:num>
  <w:num w:numId="65">
    <w:abstractNumId w:val="31"/>
    <w:lvlOverride w:ilvl="0">
      <w:startOverride w:val="1"/>
    </w:lvlOverride>
  </w:num>
  <w:num w:numId="66">
    <w:abstractNumId w:val="35"/>
  </w:num>
  <w:num w:numId="67">
    <w:abstractNumId w:val="63"/>
  </w:num>
  <w:num w:numId="68">
    <w:abstractNumId w:val="4"/>
  </w:num>
  <w:num w:numId="69">
    <w:abstractNumId w:val="38"/>
  </w:num>
  <w:num w:numId="70">
    <w:abstractNumId w:val="3"/>
  </w:num>
  <w:num w:numId="71">
    <w:abstractNumId w:val="60"/>
  </w:num>
  <w:num w:numId="72">
    <w:abstractNumId w:val="6"/>
  </w:num>
  <w:num w:numId="73">
    <w:abstractNumId w:val="30"/>
  </w:num>
  <w:num w:numId="74">
    <w:abstractNumId w:val="2"/>
  </w:num>
  <w:num w:numId="75">
    <w:abstractNumId w:val="7"/>
  </w:num>
  <w:num w:numId="76">
    <w:abstractNumId w:val="12"/>
  </w:num>
  <w:num w:numId="77">
    <w:abstractNumId w:val="17"/>
  </w:num>
  <w:num w:numId="78">
    <w:abstractNumId w:val="33"/>
  </w:num>
  <w:num w:numId="79">
    <w:abstractNumId w:val="31"/>
    <w:lvlOverride w:ilvl="0">
      <w:startOverride w:val="1"/>
    </w:lvlOverride>
  </w:num>
  <w:num w:numId="80">
    <w:abstractNumId w:val="64"/>
  </w:num>
  <w:num w:numId="81">
    <w:abstractNumId w:val="71"/>
  </w:num>
  <w:num w:numId="82">
    <w:abstractNumId w:val="42"/>
  </w:num>
  <w:num w:numId="83">
    <w:abstractNumId w:val="39"/>
  </w:num>
  <w:num w:numId="84">
    <w:abstractNumId w:val="19"/>
  </w:num>
  <w:num w:numId="85">
    <w:abstractNumId w:val="19"/>
  </w:num>
  <w:num w:numId="86">
    <w:abstractNumId w:val="15"/>
  </w:num>
  <w:num w:numId="87">
    <w:abstractNumId w:val="46"/>
  </w:num>
  <w:num w:numId="88">
    <w:abstractNumId w:val="46"/>
  </w:num>
  <w:num w:numId="89">
    <w:abstractNumId w:val="47"/>
  </w:num>
  <w:num w:numId="90">
    <w:abstractNumId w:val="5"/>
  </w:num>
  <w:num w:numId="91">
    <w:abstractNumId w:val="8"/>
  </w:num>
  <w:num w:numId="92">
    <w:abstractNumId w:val="28"/>
  </w:num>
  <w:num w:numId="93">
    <w:abstractNumId w:val="32"/>
  </w:num>
  <w:num w:numId="94">
    <w:abstractNumId w:val="53"/>
  </w:num>
  <w:num w:numId="95">
    <w:abstractNumId w:val="22"/>
  </w:num>
  <w:num w:numId="96">
    <w:abstractNumId w:val="13"/>
  </w:num>
  <w:num w:numId="97">
    <w:abstractNumId w:val="44"/>
  </w:num>
  <w:num w:numId="98">
    <w:abstractNumId w:val="4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activeWritingStyle w:appName="MSWord" w:lang="fr-BE" w:vendorID="64" w:dllVersion="131078" w:nlCheck="1" w:checkStyle="0"/>
  <w:activeWritingStyle w:appName="MSWord" w:lang="en-GB" w:vendorID="64" w:dllVersion="131078" w:nlCheck="1" w:checkStyle="0"/>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it-IT" w:vendorID="64" w:dllVersion="131078" w:nlCheck="1" w:checkStyle="0"/>
  <w:activeWritingStyle w:appName="MSWord" w:lang="de-DE" w:vendorID="64" w:dllVersion="131078" w:nlCheck="1" w:checkStyle="0"/>
  <w:activeWritingStyle w:appName="MSWord" w:lang="da-DK" w:vendorID="64" w:dllVersion="131078" w:nlCheck="1" w:checkStyle="0"/>
  <w:activeWritingStyle w:appName="MSWord" w:lang="nl-NL" w:vendorID="64" w:dllVersion="131078" w:nlCheck="1" w:checkStyle="0"/>
  <w:activeWritingStyle w:appName="MSWord" w:lang="fr-CA" w:vendorID="64" w:dllVersion="131078" w:nlCheck="1" w:checkStyle="0"/>
  <w:activeWritingStyle w:appName="MSWord" w:lang="de-AT" w:vendorID="64" w:dllVersion="131078" w:nlCheck="1" w:checkStyle="0"/>
  <w:activeWritingStyle w:appName="MSWord" w:lang="nl-BE" w:vendorID="64" w:dllVersion="131078" w:nlCheck="1" w:checkStyle="0"/>
  <w:activeWritingStyle w:appName="MSWord" w:lang="nb-NO"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NAME_DOC_TBL00001" w:val="DOC_TBL00001"/>
    <w:docVar w:name="DocStatus" w:val="Green"/>
    <w:docVar w:name="LW_CORRIGENDUM" w:val="CORRIGENDUM_x000b_This document corrects document COM(2019) 299 final of 25.6.2019_x000b_Concerns only the English version._x000b_Correction of typographical errors._x000b_The text shall read as follows:"/>
    <w:docVar w:name="LW_COVERPAGE_EXISTS" w:val="True"/>
    <w:docVar w:name="LW_COVERPAGE_GUID" w:val="5B8E30D7-292E-42C8-AB86-3F9903DB8222"/>
    <w:docVar w:name="LW_COVERPAGE_TYPE" w:val="1"/>
    <w:docVar w:name="LW_CROSSREFERENCE" w:val="&lt;UNUSED&gt;"/>
    <w:docVar w:name="LW_DocType" w:val="NORMAL"/>
    <w:docVar w:name="LW_EMISSION" w:val="6.8.2019"/>
    <w:docVar w:name="LW_EMISSION_ISODATE" w:val="2019-08-06"/>
    <w:docVar w:name="LW_EMISSION_LOCATION" w:val="BRX"/>
    <w:docVar w:name="LW_EMISSION_PREFIX" w:val="Brussels, "/>
    <w:docVar w:name="LW_EMISSION_SUFFIX" w:val="&lt;EMPTY&gt;"/>
    <w:docVar w:name="LW_ID_DOCTYPE_NONLW" w:val="CP-003"/>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lt;EMPTY&gt;"/>
    <w:docVar w:name="LW_REF.INST.NEW_TEXT" w:val="(2019) 299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TO THE EUROPEAN PARLIAMENT, THE COUNCIL AND THE COURT OF AUDITORS _x000d__x000d__x000b__x000d__x000d__x000b_2018 Annual Management and Performance Report for the EU Budget"/>
    <w:docVar w:name="LW_TYPE.DOC.CP" w:val="REPORT FROM THE COMMISSION"/>
  </w:docVars>
  <w:rsids>
    <w:rsidRoot w:val="00F24D18"/>
    <w:rsid w:val="00000507"/>
    <w:rsid w:val="000005E4"/>
    <w:rsid w:val="000005E7"/>
    <w:rsid w:val="00000720"/>
    <w:rsid w:val="000009CB"/>
    <w:rsid w:val="00001261"/>
    <w:rsid w:val="00001488"/>
    <w:rsid w:val="000016E0"/>
    <w:rsid w:val="0000190A"/>
    <w:rsid w:val="00001A49"/>
    <w:rsid w:val="00001D88"/>
    <w:rsid w:val="0000200E"/>
    <w:rsid w:val="0000213D"/>
    <w:rsid w:val="00002538"/>
    <w:rsid w:val="0000267A"/>
    <w:rsid w:val="000027FF"/>
    <w:rsid w:val="00002B6B"/>
    <w:rsid w:val="00002D9B"/>
    <w:rsid w:val="00003119"/>
    <w:rsid w:val="000031AA"/>
    <w:rsid w:val="0000321D"/>
    <w:rsid w:val="00003805"/>
    <w:rsid w:val="00003829"/>
    <w:rsid w:val="000040E5"/>
    <w:rsid w:val="00004167"/>
    <w:rsid w:val="00004384"/>
    <w:rsid w:val="00004469"/>
    <w:rsid w:val="00004620"/>
    <w:rsid w:val="000048D6"/>
    <w:rsid w:val="00004E2B"/>
    <w:rsid w:val="000050FB"/>
    <w:rsid w:val="00005132"/>
    <w:rsid w:val="0000559C"/>
    <w:rsid w:val="0000593E"/>
    <w:rsid w:val="00005D68"/>
    <w:rsid w:val="00005DA9"/>
    <w:rsid w:val="00005EEA"/>
    <w:rsid w:val="000064D4"/>
    <w:rsid w:val="000065A2"/>
    <w:rsid w:val="00006973"/>
    <w:rsid w:val="000069DE"/>
    <w:rsid w:val="00007250"/>
    <w:rsid w:val="00007977"/>
    <w:rsid w:val="00007C3C"/>
    <w:rsid w:val="00007C6D"/>
    <w:rsid w:val="00007E68"/>
    <w:rsid w:val="00007E73"/>
    <w:rsid w:val="000104BC"/>
    <w:rsid w:val="00010502"/>
    <w:rsid w:val="0001064F"/>
    <w:rsid w:val="00010CB4"/>
    <w:rsid w:val="00010D9D"/>
    <w:rsid w:val="0001152F"/>
    <w:rsid w:val="000115F8"/>
    <w:rsid w:val="00011976"/>
    <w:rsid w:val="00011F5F"/>
    <w:rsid w:val="00011FFD"/>
    <w:rsid w:val="00012407"/>
    <w:rsid w:val="00012740"/>
    <w:rsid w:val="00012ACF"/>
    <w:rsid w:val="00012D44"/>
    <w:rsid w:val="0001323A"/>
    <w:rsid w:val="000133D5"/>
    <w:rsid w:val="00014013"/>
    <w:rsid w:val="00014576"/>
    <w:rsid w:val="00014620"/>
    <w:rsid w:val="00014F27"/>
    <w:rsid w:val="000150E2"/>
    <w:rsid w:val="0001514F"/>
    <w:rsid w:val="00015933"/>
    <w:rsid w:val="000159FC"/>
    <w:rsid w:val="00015C59"/>
    <w:rsid w:val="00015EE9"/>
    <w:rsid w:val="00015F48"/>
    <w:rsid w:val="000167FB"/>
    <w:rsid w:val="00016BBA"/>
    <w:rsid w:val="00016ED6"/>
    <w:rsid w:val="00016F45"/>
    <w:rsid w:val="000170F1"/>
    <w:rsid w:val="000172C9"/>
    <w:rsid w:val="0001741F"/>
    <w:rsid w:val="000174ED"/>
    <w:rsid w:val="000175D6"/>
    <w:rsid w:val="00017BF1"/>
    <w:rsid w:val="00017D44"/>
    <w:rsid w:val="00017E1D"/>
    <w:rsid w:val="00017E38"/>
    <w:rsid w:val="000201E7"/>
    <w:rsid w:val="000202E8"/>
    <w:rsid w:val="0002047B"/>
    <w:rsid w:val="00020506"/>
    <w:rsid w:val="0002094E"/>
    <w:rsid w:val="000209DD"/>
    <w:rsid w:val="00020B47"/>
    <w:rsid w:val="00021484"/>
    <w:rsid w:val="000219D0"/>
    <w:rsid w:val="000219D4"/>
    <w:rsid w:val="00021B2F"/>
    <w:rsid w:val="00021ED8"/>
    <w:rsid w:val="0002250D"/>
    <w:rsid w:val="000233FA"/>
    <w:rsid w:val="000234E5"/>
    <w:rsid w:val="00023A9A"/>
    <w:rsid w:val="00023B26"/>
    <w:rsid w:val="00023DBA"/>
    <w:rsid w:val="00023ED2"/>
    <w:rsid w:val="00023F61"/>
    <w:rsid w:val="000241FE"/>
    <w:rsid w:val="000242A1"/>
    <w:rsid w:val="0002474F"/>
    <w:rsid w:val="0002478C"/>
    <w:rsid w:val="00024B2C"/>
    <w:rsid w:val="00024BDD"/>
    <w:rsid w:val="00024EF7"/>
    <w:rsid w:val="00024EF8"/>
    <w:rsid w:val="00024F34"/>
    <w:rsid w:val="000250C5"/>
    <w:rsid w:val="000258F8"/>
    <w:rsid w:val="000259DA"/>
    <w:rsid w:val="00025B13"/>
    <w:rsid w:val="00026228"/>
    <w:rsid w:val="00026591"/>
    <w:rsid w:val="00026B33"/>
    <w:rsid w:val="00026DD2"/>
    <w:rsid w:val="00027323"/>
    <w:rsid w:val="00027805"/>
    <w:rsid w:val="00027E9F"/>
    <w:rsid w:val="00027FDC"/>
    <w:rsid w:val="000308E3"/>
    <w:rsid w:val="00030A31"/>
    <w:rsid w:val="00030A51"/>
    <w:rsid w:val="00030CB2"/>
    <w:rsid w:val="0003102B"/>
    <w:rsid w:val="0003119B"/>
    <w:rsid w:val="00031574"/>
    <w:rsid w:val="0003237C"/>
    <w:rsid w:val="00032424"/>
    <w:rsid w:val="0003270C"/>
    <w:rsid w:val="0003290A"/>
    <w:rsid w:val="00032DF9"/>
    <w:rsid w:val="00032F54"/>
    <w:rsid w:val="00033B24"/>
    <w:rsid w:val="00033B67"/>
    <w:rsid w:val="00033BAA"/>
    <w:rsid w:val="0003444F"/>
    <w:rsid w:val="00034679"/>
    <w:rsid w:val="00034A0B"/>
    <w:rsid w:val="00034E26"/>
    <w:rsid w:val="00034EF1"/>
    <w:rsid w:val="00034F75"/>
    <w:rsid w:val="0003568E"/>
    <w:rsid w:val="000357D0"/>
    <w:rsid w:val="00035878"/>
    <w:rsid w:val="000359DA"/>
    <w:rsid w:val="00035B41"/>
    <w:rsid w:val="00035E18"/>
    <w:rsid w:val="00035F01"/>
    <w:rsid w:val="00036126"/>
    <w:rsid w:val="00036ADC"/>
    <w:rsid w:val="00036BEB"/>
    <w:rsid w:val="00036E86"/>
    <w:rsid w:val="0003757D"/>
    <w:rsid w:val="00037670"/>
    <w:rsid w:val="0004057D"/>
    <w:rsid w:val="000405B7"/>
    <w:rsid w:val="00040994"/>
    <w:rsid w:val="00040A29"/>
    <w:rsid w:val="00040A9E"/>
    <w:rsid w:val="00040B9E"/>
    <w:rsid w:val="00041373"/>
    <w:rsid w:val="0004158A"/>
    <w:rsid w:val="0004160F"/>
    <w:rsid w:val="0004196F"/>
    <w:rsid w:val="00041C11"/>
    <w:rsid w:val="00041C8E"/>
    <w:rsid w:val="00041FA3"/>
    <w:rsid w:val="00042317"/>
    <w:rsid w:val="00042544"/>
    <w:rsid w:val="0004284B"/>
    <w:rsid w:val="00042D3B"/>
    <w:rsid w:val="00042F19"/>
    <w:rsid w:val="00043140"/>
    <w:rsid w:val="000433A4"/>
    <w:rsid w:val="00043719"/>
    <w:rsid w:val="000437F4"/>
    <w:rsid w:val="00043C71"/>
    <w:rsid w:val="00043F3F"/>
    <w:rsid w:val="000443B3"/>
    <w:rsid w:val="0004480D"/>
    <w:rsid w:val="000449DB"/>
    <w:rsid w:val="00044D56"/>
    <w:rsid w:val="00044FA8"/>
    <w:rsid w:val="000450CE"/>
    <w:rsid w:val="00045699"/>
    <w:rsid w:val="00045BA5"/>
    <w:rsid w:val="000467E4"/>
    <w:rsid w:val="00046888"/>
    <w:rsid w:val="00046C6C"/>
    <w:rsid w:val="00046FC3"/>
    <w:rsid w:val="00046FF3"/>
    <w:rsid w:val="00047505"/>
    <w:rsid w:val="00047897"/>
    <w:rsid w:val="000501F5"/>
    <w:rsid w:val="00050335"/>
    <w:rsid w:val="000506D2"/>
    <w:rsid w:val="00050C59"/>
    <w:rsid w:val="00050E51"/>
    <w:rsid w:val="00050FA4"/>
    <w:rsid w:val="0005100E"/>
    <w:rsid w:val="0005133C"/>
    <w:rsid w:val="00051411"/>
    <w:rsid w:val="00051897"/>
    <w:rsid w:val="000518FF"/>
    <w:rsid w:val="0005199C"/>
    <w:rsid w:val="000523E0"/>
    <w:rsid w:val="00052B9C"/>
    <w:rsid w:val="00052C3C"/>
    <w:rsid w:val="00052E6D"/>
    <w:rsid w:val="00052FDD"/>
    <w:rsid w:val="00053409"/>
    <w:rsid w:val="000538A2"/>
    <w:rsid w:val="00053B0A"/>
    <w:rsid w:val="00053B26"/>
    <w:rsid w:val="00053C1F"/>
    <w:rsid w:val="00053CB1"/>
    <w:rsid w:val="00053D04"/>
    <w:rsid w:val="000544A6"/>
    <w:rsid w:val="000548A8"/>
    <w:rsid w:val="00054D10"/>
    <w:rsid w:val="00055538"/>
    <w:rsid w:val="000559F7"/>
    <w:rsid w:val="00055B94"/>
    <w:rsid w:val="00055CD6"/>
    <w:rsid w:val="0005608F"/>
    <w:rsid w:val="000569BD"/>
    <w:rsid w:val="00056A3D"/>
    <w:rsid w:val="00057439"/>
    <w:rsid w:val="0005798F"/>
    <w:rsid w:val="000579D7"/>
    <w:rsid w:val="00057AD1"/>
    <w:rsid w:val="00057C97"/>
    <w:rsid w:val="00057DC1"/>
    <w:rsid w:val="00057DE1"/>
    <w:rsid w:val="00060384"/>
    <w:rsid w:val="000606F1"/>
    <w:rsid w:val="00060C98"/>
    <w:rsid w:val="00060F3D"/>
    <w:rsid w:val="00061102"/>
    <w:rsid w:val="00061406"/>
    <w:rsid w:val="0006156B"/>
    <w:rsid w:val="000615E4"/>
    <w:rsid w:val="00061651"/>
    <w:rsid w:val="000618CC"/>
    <w:rsid w:val="00061A43"/>
    <w:rsid w:val="00061B1E"/>
    <w:rsid w:val="00061BB5"/>
    <w:rsid w:val="00061CEF"/>
    <w:rsid w:val="00062156"/>
    <w:rsid w:val="000621DD"/>
    <w:rsid w:val="00062302"/>
    <w:rsid w:val="0006282D"/>
    <w:rsid w:val="000628BD"/>
    <w:rsid w:val="00062978"/>
    <w:rsid w:val="00062B87"/>
    <w:rsid w:val="00062E71"/>
    <w:rsid w:val="00062F11"/>
    <w:rsid w:val="000632A5"/>
    <w:rsid w:val="000634B2"/>
    <w:rsid w:val="000634D9"/>
    <w:rsid w:val="00063A02"/>
    <w:rsid w:val="00064118"/>
    <w:rsid w:val="000641D7"/>
    <w:rsid w:val="000644DD"/>
    <w:rsid w:val="00064B88"/>
    <w:rsid w:val="00064C43"/>
    <w:rsid w:val="00065305"/>
    <w:rsid w:val="000656B1"/>
    <w:rsid w:val="0006581A"/>
    <w:rsid w:val="00065953"/>
    <w:rsid w:val="00065F2D"/>
    <w:rsid w:val="00065F65"/>
    <w:rsid w:val="000667F2"/>
    <w:rsid w:val="00066BD9"/>
    <w:rsid w:val="00066C2B"/>
    <w:rsid w:val="00066C40"/>
    <w:rsid w:val="000674B8"/>
    <w:rsid w:val="0006753B"/>
    <w:rsid w:val="00067A83"/>
    <w:rsid w:val="00067B33"/>
    <w:rsid w:val="00067EA3"/>
    <w:rsid w:val="00070077"/>
    <w:rsid w:val="000700A1"/>
    <w:rsid w:val="000700E3"/>
    <w:rsid w:val="00070153"/>
    <w:rsid w:val="000705E0"/>
    <w:rsid w:val="0007067D"/>
    <w:rsid w:val="0007084B"/>
    <w:rsid w:val="0007092F"/>
    <w:rsid w:val="00070B14"/>
    <w:rsid w:val="00070BCE"/>
    <w:rsid w:val="00070FCF"/>
    <w:rsid w:val="00071919"/>
    <w:rsid w:val="00071949"/>
    <w:rsid w:val="00071D4B"/>
    <w:rsid w:val="00071DF1"/>
    <w:rsid w:val="0007252E"/>
    <w:rsid w:val="00072772"/>
    <w:rsid w:val="0007294F"/>
    <w:rsid w:val="00072CEC"/>
    <w:rsid w:val="00072D44"/>
    <w:rsid w:val="00072FA0"/>
    <w:rsid w:val="0007328F"/>
    <w:rsid w:val="00073298"/>
    <w:rsid w:val="0007333D"/>
    <w:rsid w:val="00073376"/>
    <w:rsid w:val="000734F6"/>
    <w:rsid w:val="00073710"/>
    <w:rsid w:val="0007372F"/>
    <w:rsid w:val="00073AAC"/>
    <w:rsid w:val="00074A0F"/>
    <w:rsid w:val="00074A7E"/>
    <w:rsid w:val="00074C6E"/>
    <w:rsid w:val="00074D62"/>
    <w:rsid w:val="0007573D"/>
    <w:rsid w:val="00075783"/>
    <w:rsid w:val="00075ACE"/>
    <w:rsid w:val="00075B56"/>
    <w:rsid w:val="00075BF5"/>
    <w:rsid w:val="000762C5"/>
    <w:rsid w:val="00076E30"/>
    <w:rsid w:val="00077106"/>
    <w:rsid w:val="0007720E"/>
    <w:rsid w:val="000779F6"/>
    <w:rsid w:val="00077B61"/>
    <w:rsid w:val="00080132"/>
    <w:rsid w:val="000807FB"/>
    <w:rsid w:val="000808FF"/>
    <w:rsid w:val="00080A2E"/>
    <w:rsid w:val="00080B17"/>
    <w:rsid w:val="00080DEF"/>
    <w:rsid w:val="00080ED1"/>
    <w:rsid w:val="00081296"/>
    <w:rsid w:val="00081565"/>
    <w:rsid w:val="000815E6"/>
    <w:rsid w:val="0008195D"/>
    <w:rsid w:val="00081A7A"/>
    <w:rsid w:val="00081E4A"/>
    <w:rsid w:val="00081FA0"/>
    <w:rsid w:val="00082198"/>
    <w:rsid w:val="000821B5"/>
    <w:rsid w:val="000821BE"/>
    <w:rsid w:val="0008220E"/>
    <w:rsid w:val="00082B6D"/>
    <w:rsid w:val="00082B9B"/>
    <w:rsid w:val="000833BC"/>
    <w:rsid w:val="00083745"/>
    <w:rsid w:val="000839AE"/>
    <w:rsid w:val="00083E8A"/>
    <w:rsid w:val="00084140"/>
    <w:rsid w:val="00084496"/>
    <w:rsid w:val="000845CB"/>
    <w:rsid w:val="000847AE"/>
    <w:rsid w:val="00084A1F"/>
    <w:rsid w:val="00084A71"/>
    <w:rsid w:val="00084AC9"/>
    <w:rsid w:val="00085A74"/>
    <w:rsid w:val="00085FC6"/>
    <w:rsid w:val="000861EE"/>
    <w:rsid w:val="000862CD"/>
    <w:rsid w:val="0008637B"/>
    <w:rsid w:val="000864FB"/>
    <w:rsid w:val="00086931"/>
    <w:rsid w:val="00086FE6"/>
    <w:rsid w:val="00087070"/>
    <w:rsid w:val="00087B61"/>
    <w:rsid w:val="00087D4D"/>
    <w:rsid w:val="00087E8F"/>
    <w:rsid w:val="00087F44"/>
    <w:rsid w:val="0009007E"/>
    <w:rsid w:val="00090661"/>
    <w:rsid w:val="00090B0A"/>
    <w:rsid w:val="00090D39"/>
    <w:rsid w:val="00090DF8"/>
    <w:rsid w:val="00091924"/>
    <w:rsid w:val="000922DC"/>
    <w:rsid w:val="00092733"/>
    <w:rsid w:val="0009294D"/>
    <w:rsid w:val="00092A2C"/>
    <w:rsid w:val="00092B2B"/>
    <w:rsid w:val="00092F11"/>
    <w:rsid w:val="00093163"/>
    <w:rsid w:val="00093309"/>
    <w:rsid w:val="00093866"/>
    <w:rsid w:val="00093D52"/>
    <w:rsid w:val="0009408B"/>
    <w:rsid w:val="000941DF"/>
    <w:rsid w:val="0009473F"/>
    <w:rsid w:val="00094A76"/>
    <w:rsid w:val="00095070"/>
    <w:rsid w:val="000950B6"/>
    <w:rsid w:val="0009511A"/>
    <w:rsid w:val="000956AF"/>
    <w:rsid w:val="00095808"/>
    <w:rsid w:val="00095AED"/>
    <w:rsid w:val="00095D3D"/>
    <w:rsid w:val="00096A41"/>
    <w:rsid w:val="00096C12"/>
    <w:rsid w:val="000970B2"/>
    <w:rsid w:val="000970F5"/>
    <w:rsid w:val="00097189"/>
    <w:rsid w:val="00097190"/>
    <w:rsid w:val="00097794"/>
    <w:rsid w:val="00097904"/>
    <w:rsid w:val="00097B1B"/>
    <w:rsid w:val="000A0298"/>
    <w:rsid w:val="000A08B7"/>
    <w:rsid w:val="000A095C"/>
    <w:rsid w:val="000A0989"/>
    <w:rsid w:val="000A1041"/>
    <w:rsid w:val="000A10A9"/>
    <w:rsid w:val="000A15B1"/>
    <w:rsid w:val="000A1A21"/>
    <w:rsid w:val="000A1B7B"/>
    <w:rsid w:val="000A23D5"/>
    <w:rsid w:val="000A27DB"/>
    <w:rsid w:val="000A2DB2"/>
    <w:rsid w:val="000A2F9D"/>
    <w:rsid w:val="000A33BD"/>
    <w:rsid w:val="000A3445"/>
    <w:rsid w:val="000A3645"/>
    <w:rsid w:val="000A3842"/>
    <w:rsid w:val="000A3B05"/>
    <w:rsid w:val="000A3B8C"/>
    <w:rsid w:val="000A3D37"/>
    <w:rsid w:val="000A467D"/>
    <w:rsid w:val="000A4702"/>
    <w:rsid w:val="000A48C9"/>
    <w:rsid w:val="000A49F6"/>
    <w:rsid w:val="000A4E1E"/>
    <w:rsid w:val="000A5553"/>
    <w:rsid w:val="000A557E"/>
    <w:rsid w:val="000A5C2B"/>
    <w:rsid w:val="000A5E4B"/>
    <w:rsid w:val="000A5F87"/>
    <w:rsid w:val="000A60D0"/>
    <w:rsid w:val="000A62BD"/>
    <w:rsid w:val="000A6528"/>
    <w:rsid w:val="000A6829"/>
    <w:rsid w:val="000A70DE"/>
    <w:rsid w:val="000A73B2"/>
    <w:rsid w:val="000A7657"/>
    <w:rsid w:val="000A7D91"/>
    <w:rsid w:val="000B0051"/>
    <w:rsid w:val="000B0064"/>
    <w:rsid w:val="000B034E"/>
    <w:rsid w:val="000B0374"/>
    <w:rsid w:val="000B0748"/>
    <w:rsid w:val="000B0881"/>
    <w:rsid w:val="000B1326"/>
    <w:rsid w:val="000B14CB"/>
    <w:rsid w:val="000B14FA"/>
    <w:rsid w:val="000B152C"/>
    <w:rsid w:val="000B19C0"/>
    <w:rsid w:val="000B1D41"/>
    <w:rsid w:val="000B1E2E"/>
    <w:rsid w:val="000B2356"/>
    <w:rsid w:val="000B2710"/>
    <w:rsid w:val="000B27AC"/>
    <w:rsid w:val="000B2CBD"/>
    <w:rsid w:val="000B3077"/>
    <w:rsid w:val="000B34A2"/>
    <w:rsid w:val="000B3A1F"/>
    <w:rsid w:val="000B3AE5"/>
    <w:rsid w:val="000B3BF2"/>
    <w:rsid w:val="000B4046"/>
    <w:rsid w:val="000B42B0"/>
    <w:rsid w:val="000B498D"/>
    <w:rsid w:val="000B4B5A"/>
    <w:rsid w:val="000B4D5F"/>
    <w:rsid w:val="000B4E20"/>
    <w:rsid w:val="000B52E5"/>
    <w:rsid w:val="000B5454"/>
    <w:rsid w:val="000B5955"/>
    <w:rsid w:val="000B5AA1"/>
    <w:rsid w:val="000B5AB8"/>
    <w:rsid w:val="000B5B42"/>
    <w:rsid w:val="000B604F"/>
    <w:rsid w:val="000B693C"/>
    <w:rsid w:val="000B69C3"/>
    <w:rsid w:val="000B6A4B"/>
    <w:rsid w:val="000B7025"/>
    <w:rsid w:val="000B7280"/>
    <w:rsid w:val="000B728B"/>
    <w:rsid w:val="000B73D9"/>
    <w:rsid w:val="000B7405"/>
    <w:rsid w:val="000B7EAC"/>
    <w:rsid w:val="000C026A"/>
    <w:rsid w:val="000C04AC"/>
    <w:rsid w:val="000C06AE"/>
    <w:rsid w:val="000C079D"/>
    <w:rsid w:val="000C0D7B"/>
    <w:rsid w:val="000C0DC5"/>
    <w:rsid w:val="000C136A"/>
    <w:rsid w:val="000C156A"/>
    <w:rsid w:val="000C1AA7"/>
    <w:rsid w:val="000C2685"/>
    <w:rsid w:val="000C26D2"/>
    <w:rsid w:val="000C280C"/>
    <w:rsid w:val="000C2B6E"/>
    <w:rsid w:val="000C2C4F"/>
    <w:rsid w:val="000C2CEC"/>
    <w:rsid w:val="000C3326"/>
    <w:rsid w:val="000C383F"/>
    <w:rsid w:val="000C3A6B"/>
    <w:rsid w:val="000C3BD2"/>
    <w:rsid w:val="000C3BF5"/>
    <w:rsid w:val="000C3BFA"/>
    <w:rsid w:val="000C3E19"/>
    <w:rsid w:val="000C3E61"/>
    <w:rsid w:val="000C3E77"/>
    <w:rsid w:val="000C3EFC"/>
    <w:rsid w:val="000C3F1B"/>
    <w:rsid w:val="000C3F75"/>
    <w:rsid w:val="000C410D"/>
    <w:rsid w:val="000C45C7"/>
    <w:rsid w:val="000C4661"/>
    <w:rsid w:val="000C4788"/>
    <w:rsid w:val="000C47FD"/>
    <w:rsid w:val="000C4FCE"/>
    <w:rsid w:val="000C5FAD"/>
    <w:rsid w:val="000C6450"/>
    <w:rsid w:val="000C67AD"/>
    <w:rsid w:val="000C69FF"/>
    <w:rsid w:val="000C737E"/>
    <w:rsid w:val="000C73F3"/>
    <w:rsid w:val="000C7ACD"/>
    <w:rsid w:val="000C7BA4"/>
    <w:rsid w:val="000D059C"/>
    <w:rsid w:val="000D0929"/>
    <w:rsid w:val="000D0979"/>
    <w:rsid w:val="000D0D0E"/>
    <w:rsid w:val="000D0F70"/>
    <w:rsid w:val="000D1226"/>
    <w:rsid w:val="000D13EF"/>
    <w:rsid w:val="000D13F5"/>
    <w:rsid w:val="000D1789"/>
    <w:rsid w:val="000D18FB"/>
    <w:rsid w:val="000D192A"/>
    <w:rsid w:val="000D1BBE"/>
    <w:rsid w:val="000D223D"/>
    <w:rsid w:val="000D262C"/>
    <w:rsid w:val="000D2A0A"/>
    <w:rsid w:val="000D2E51"/>
    <w:rsid w:val="000D31F3"/>
    <w:rsid w:val="000D36DF"/>
    <w:rsid w:val="000D373C"/>
    <w:rsid w:val="000D3777"/>
    <w:rsid w:val="000D3B3F"/>
    <w:rsid w:val="000D3C1F"/>
    <w:rsid w:val="000D3CF8"/>
    <w:rsid w:val="000D3DEA"/>
    <w:rsid w:val="000D4596"/>
    <w:rsid w:val="000D4941"/>
    <w:rsid w:val="000D4C7B"/>
    <w:rsid w:val="000D4D10"/>
    <w:rsid w:val="000D535D"/>
    <w:rsid w:val="000D59CD"/>
    <w:rsid w:val="000D5B7E"/>
    <w:rsid w:val="000D5C1A"/>
    <w:rsid w:val="000D5CF0"/>
    <w:rsid w:val="000D5ED2"/>
    <w:rsid w:val="000D604A"/>
    <w:rsid w:val="000D60E8"/>
    <w:rsid w:val="000D65E0"/>
    <w:rsid w:val="000D70D8"/>
    <w:rsid w:val="000D7126"/>
    <w:rsid w:val="000D747A"/>
    <w:rsid w:val="000D7B67"/>
    <w:rsid w:val="000D7C65"/>
    <w:rsid w:val="000D7D5A"/>
    <w:rsid w:val="000D7FA9"/>
    <w:rsid w:val="000E0634"/>
    <w:rsid w:val="000E0B9E"/>
    <w:rsid w:val="000E0EF8"/>
    <w:rsid w:val="000E0FEA"/>
    <w:rsid w:val="000E134B"/>
    <w:rsid w:val="000E1797"/>
    <w:rsid w:val="000E1863"/>
    <w:rsid w:val="000E1BF8"/>
    <w:rsid w:val="000E1E25"/>
    <w:rsid w:val="000E1F3A"/>
    <w:rsid w:val="000E26EE"/>
    <w:rsid w:val="000E3245"/>
    <w:rsid w:val="000E3515"/>
    <w:rsid w:val="000E3C6D"/>
    <w:rsid w:val="000E41A0"/>
    <w:rsid w:val="000E44A4"/>
    <w:rsid w:val="000E469D"/>
    <w:rsid w:val="000E4F90"/>
    <w:rsid w:val="000E54BB"/>
    <w:rsid w:val="000E58EA"/>
    <w:rsid w:val="000E5C36"/>
    <w:rsid w:val="000E5F4F"/>
    <w:rsid w:val="000E6013"/>
    <w:rsid w:val="000E65F3"/>
    <w:rsid w:val="000E6620"/>
    <w:rsid w:val="000E6B44"/>
    <w:rsid w:val="000E6E5A"/>
    <w:rsid w:val="000E74A6"/>
    <w:rsid w:val="000E7955"/>
    <w:rsid w:val="000E7E50"/>
    <w:rsid w:val="000F04A1"/>
    <w:rsid w:val="000F04B7"/>
    <w:rsid w:val="000F0FE1"/>
    <w:rsid w:val="000F1157"/>
    <w:rsid w:val="000F11B6"/>
    <w:rsid w:val="000F125E"/>
    <w:rsid w:val="000F12DC"/>
    <w:rsid w:val="000F15D0"/>
    <w:rsid w:val="000F165F"/>
    <w:rsid w:val="000F1663"/>
    <w:rsid w:val="000F179E"/>
    <w:rsid w:val="000F1803"/>
    <w:rsid w:val="000F188F"/>
    <w:rsid w:val="000F1D77"/>
    <w:rsid w:val="000F2057"/>
    <w:rsid w:val="000F231A"/>
    <w:rsid w:val="000F24AD"/>
    <w:rsid w:val="000F2702"/>
    <w:rsid w:val="000F295A"/>
    <w:rsid w:val="000F2DB6"/>
    <w:rsid w:val="000F2FDB"/>
    <w:rsid w:val="000F2FF9"/>
    <w:rsid w:val="000F3514"/>
    <w:rsid w:val="000F35A8"/>
    <w:rsid w:val="000F3654"/>
    <w:rsid w:val="000F3786"/>
    <w:rsid w:val="000F3ABB"/>
    <w:rsid w:val="000F3BC4"/>
    <w:rsid w:val="000F3BF4"/>
    <w:rsid w:val="000F4094"/>
    <w:rsid w:val="000F463B"/>
    <w:rsid w:val="000F46F8"/>
    <w:rsid w:val="000F48C2"/>
    <w:rsid w:val="000F4983"/>
    <w:rsid w:val="000F5406"/>
    <w:rsid w:val="000F549B"/>
    <w:rsid w:val="000F5590"/>
    <w:rsid w:val="000F5A50"/>
    <w:rsid w:val="000F5B11"/>
    <w:rsid w:val="000F61BB"/>
    <w:rsid w:val="000F6B77"/>
    <w:rsid w:val="000F6B85"/>
    <w:rsid w:val="000F6FD9"/>
    <w:rsid w:val="000F724F"/>
    <w:rsid w:val="000F72DD"/>
    <w:rsid w:val="000F7B31"/>
    <w:rsid w:val="000F7D9A"/>
    <w:rsid w:val="00100145"/>
    <w:rsid w:val="00100165"/>
    <w:rsid w:val="001004B7"/>
    <w:rsid w:val="001004CE"/>
    <w:rsid w:val="00100540"/>
    <w:rsid w:val="0010095B"/>
    <w:rsid w:val="00100DB9"/>
    <w:rsid w:val="00101619"/>
    <w:rsid w:val="0010170C"/>
    <w:rsid w:val="00101D4D"/>
    <w:rsid w:val="00101E9E"/>
    <w:rsid w:val="001024AC"/>
    <w:rsid w:val="0010255D"/>
    <w:rsid w:val="001025BA"/>
    <w:rsid w:val="001027D0"/>
    <w:rsid w:val="00102867"/>
    <w:rsid w:val="00102987"/>
    <w:rsid w:val="0010299C"/>
    <w:rsid w:val="00102A46"/>
    <w:rsid w:val="00102DDB"/>
    <w:rsid w:val="00102FED"/>
    <w:rsid w:val="001033B2"/>
    <w:rsid w:val="00103857"/>
    <w:rsid w:val="00103BB9"/>
    <w:rsid w:val="00103F1C"/>
    <w:rsid w:val="001045AB"/>
    <w:rsid w:val="00105085"/>
    <w:rsid w:val="0010545E"/>
    <w:rsid w:val="0010549E"/>
    <w:rsid w:val="00105521"/>
    <w:rsid w:val="00105838"/>
    <w:rsid w:val="00105B74"/>
    <w:rsid w:val="00105CC7"/>
    <w:rsid w:val="0010633D"/>
    <w:rsid w:val="001065F0"/>
    <w:rsid w:val="00106B52"/>
    <w:rsid w:val="00106C7D"/>
    <w:rsid w:val="00106E52"/>
    <w:rsid w:val="0010703B"/>
    <w:rsid w:val="00107263"/>
    <w:rsid w:val="001073A9"/>
    <w:rsid w:val="00107DA0"/>
    <w:rsid w:val="00107DA8"/>
    <w:rsid w:val="00110017"/>
    <w:rsid w:val="001101A1"/>
    <w:rsid w:val="0011083B"/>
    <w:rsid w:val="00110876"/>
    <w:rsid w:val="00110B57"/>
    <w:rsid w:val="00111769"/>
    <w:rsid w:val="0011187D"/>
    <w:rsid w:val="001118B5"/>
    <w:rsid w:val="00111929"/>
    <w:rsid w:val="00111B71"/>
    <w:rsid w:val="001122E7"/>
    <w:rsid w:val="0011250F"/>
    <w:rsid w:val="0011292F"/>
    <w:rsid w:val="00112D26"/>
    <w:rsid w:val="001131C0"/>
    <w:rsid w:val="0011375F"/>
    <w:rsid w:val="001148F9"/>
    <w:rsid w:val="00114CAD"/>
    <w:rsid w:val="00114DC0"/>
    <w:rsid w:val="00114EC4"/>
    <w:rsid w:val="00115173"/>
    <w:rsid w:val="00115218"/>
    <w:rsid w:val="001154AE"/>
    <w:rsid w:val="001167D9"/>
    <w:rsid w:val="00117434"/>
    <w:rsid w:val="00117775"/>
    <w:rsid w:val="00117B07"/>
    <w:rsid w:val="00117F6D"/>
    <w:rsid w:val="00120532"/>
    <w:rsid w:val="0012060B"/>
    <w:rsid w:val="001214E9"/>
    <w:rsid w:val="00121824"/>
    <w:rsid w:val="00122B12"/>
    <w:rsid w:val="00122D57"/>
    <w:rsid w:val="00122F99"/>
    <w:rsid w:val="0012310E"/>
    <w:rsid w:val="00123243"/>
    <w:rsid w:val="00123B93"/>
    <w:rsid w:val="00123BEA"/>
    <w:rsid w:val="00123DAD"/>
    <w:rsid w:val="00123EFE"/>
    <w:rsid w:val="0012437D"/>
    <w:rsid w:val="00124B3F"/>
    <w:rsid w:val="00124ED7"/>
    <w:rsid w:val="00124EE3"/>
    <w:rsid w:val="00125248"/>
    <w:rsid w:val="00125440"/>
    <w:rsid w:val="001254CC"/>
    <w:rsid w:val="001255AC"/>
    <w:rsid w:val="0012574C"/>
    <w:rsid w:val="00125D98"/>
    <w:rsid w:val="0012629F"/>
    <w:rsid w:val="00126568"/>
    <w:rsid w:val="00126827"/>
    <w:rsid w:val="00126CF7"/>
    <w:rsid w:val="00126E2F"/>
    <w:rsid w:val="00126EB7"/>
    <w:rsid w:val="00127C19"/>
    <w:rsid w:val="00130409"/>
    <w:rsid w:val="00130460"/>
    <w:rsid w:val="0013077B"/>
    <w:rsid w:val="001309AB"/>
    <w:rsid w:val="00130B42"/>
    <w:rsid w:val="00130B6E"/>
    <w:rsid w:val="00130BF2"/>
    <w:rsid w:val="00130F7C"/>
    <w:rsid w:val="00131099"/>
    <w:rsid w:val="001311DB"/>
    <w:rsid w:val="001313A6"/>
    <w:rsid w:val="0013141F"/>
    <w:rsid w:val="00131522"/>
    <w:rsid w:val="0013169C"/>
    <w:rsid w:val="001317E4"/>
    <w:rsid w:val="0013189B"/>
    <w:rsid w:val="00131A9B"/>
    <w:rsid w:val="00131BC2"/>
    <w:rsid w:val="00131D32"/>
    <w:rsid w:val="00131F51"/>
    <w:rsid w:val="0013263F"/>
    <w:rsid w:val="0013273B"/>
    <w:rsid w:val="00133290"/>
    <w:rsid w:val="001332F9"/>
    <w:rsid w:val="00133900"/>
    <w:rsid w:val="00133B60"/>
    <w:rsid w:val="00133C9C"/>
    <w:rsid w:val="00133D84"/>
    <w:rsid w:val="00133E7A"/>
    <w:rsid w:val="00133F88"/>
    <w:rsid w:val="00133FF4"/>
    <w:rsid w:val="00134634"/>
    <w:rsid w:val="001349C7"/>
    <w:rsid w:val="00134A26"/>
    <w:rsid w:val="001353E7"/>
    <w:rsid w:val="0013576F"/>
    <w:rsid w:val="0013599E"/>
    <w:rsid w:val="00135E6D"/>
    <w:rsid w:val="00135EE2"/>
    <w:rsid w:val="0013617D"/>
    <w:rsid w:val="0013622D"/>
    <w:rsid w:val="00136499"/>
    <w:rsid w:val="00136745"/>
    <w:rsid w:val="00136C9D"/>
    <w:rsid w:val="00136DA3"/>
    <w:rsid w:val="00137505"/>
    <w:rsid w:val="001378AC"/>
    <w:rsid w:val="001378BF"/>
    <w:rsid w:val="00137900"/>
    <w:rsid w:val="00137F6C"/>
    <w:rsid w:val="00140062"/>
    <w:rsid w:val="001404A8"/>
    <w:rsid w:val="0014072F"/>
    <w:rsid w:val="00140AA8"/>
    <w:rsid w:val="00140D9F"/>
    <w:rsid w:val="00140ED2"/>
    <w:rsid w:val="00140F34"/>
    <w:rsid w:val="00141099"/>
    <w:rsid w:val="00141295"/>
    <w:rsid w:val="0014153A"/>
    <w:rsid w:val="00141692"/>
    <w:rsid w:val="00141A0B"/>
    <w:rsid w:val="00141E2B"/>
    <w:rsid w:val="00141F59"/>
    <w:rsid w:val="00142218"/>
    <w:rsid w:val="001422FC"/>
    <w:rsid w:val="001424B7"/>
    <w:rsid w:val="0014252A"/>
    <w:rsid w:val="00142550"/>
    <w:rsid w:val="001425DC"/>
    <w:rsid w:val="001427B1"/>
    <w:rsid w:val="001427E9"/>
    <w:rsid w:val="00142872"/>
    <w:rsid w:val="00142A48"/>
    <w:rsid w:val="00142F35"/>
    <w:rsid w:val="001432E2"/>
    <w:rsid w:val="001440D9"/>
    <w:rsid w:val="0014480C"/>
    <w:rsid w:val="001449BE"/>
    <w:rsid w:val="00144B60"/>
    <w:rsid w:val="00144E1B"/>
    <w:rsid w:val="00144EBC"/>
    <w:rsid w:val="001451B3"/>
    <w:rsid w:val="0014530F"/>
    <w:rsid w:val="00145321"/>
    <w:rsid w:val="0014591D"/>
    <w:rsid w:val="00145E5A"/>
    <w:rsid w:val="00145F16"/>
    <w:rsid w:val="001463F3"/>
    <w:rsid w:val="00146627"/>
    <w:rsid w:val="001469C1"/>
    <w:rsid w:val="00146A65"/>
    <w:rsid w:val="00146AE0"/>
    <w:rsid w:val="00146C7B"/>
    <w:rsid w:val="00147157"/>
    <w:rsid w:val="00147394"/>
    <w:rsid w:val="001474F8"/>
    <w:rsid w:val="00147A27"/>
    <w:rsid w:val="00147EF4"/>
    <w:rsid w:val="00150068"/>
    <w:rsid w:val="00150142"/>
    <w:rsid w:val="0015064F"/>
    <w:rsid w:val="0015065F"/>
    <w:rsid w:val="00150B61"/>
    <w:rsid w:val="00151038"/>
    <w:rsid w:val="00151159"/>
    <w:rsid w:val="001517C8"/>
    <w:rsid w:val="00151D8E"/>
    <w:rsid w:val="00151F71"/>
    <w:rsid w:val="00152001"/>
    <w:rsid w:val="00152634"/>
    <w:rsid w:val="001528FF"/>
    <w:rsid w:val="001529D2"/>
    <w:rsid w:val="00152F6A"/>
    <w:rsid w:val="00153001"/>
    <w:rsid w:val="001535E3"/>
    <w:rsid w:val="00153769"/>
    <w:rsid w:val="001538CC"/>
    <w:rsid w:val="001538F5"/>
    <w:rsid w:val="001539D8"/>
    <w:rsid w:val="00153E6E"/>
    <w:rsid w:val="00154044"/>
    <w:rsid w:val="001544DC"/>
    <w:rsid w:val="0015482E"/>
    <w:rsid w:val="00154A98"/>
    <w:rsid w:val="00154FAA"/>
    <w:rsid w:val="0015502C"/>
    <w:rsid w:val="001551AE"/>
    <w:rsid w:val="00155395"/>
    <w:rsid w:val="0015543B"/>
    <w:rsid w:val="00155A3F"/>
    <w:rsid w:val="00155DE9"/>
    <w:rsid w:val="00156185"/>
    <w:rsid w:val="00156B87"/>
    <w:rsid w:val="00156DE2"/>
    <w:rsid w:val="00156FA6"/>
    <w:rsid w:val="00157260"/>
    <w:rsid w:val="00157333"/>
    <w:rsid w:val="001577C2"/>
    <w:rsid w:val="00157887"/>
    <w:rsid w:val="00157A1A"/>
    <w:rsid w:val="00157DFD"/>
    <w:rsid w:val="00157E4F"/>
    <w:rsid w:val="001604DF"/>
    <w:rsid w:val="001605A2"/>
    <w:rsid w:val="001606F7"/>
    <w:rsid w:val="00160CF5"/>
    <w:rsid w:val="00161000"/>
    <w:rsid w:val="00161740"/>
    <w:rsid w:val="001618FD"/>
    <w:rsid w:val="00161C0B"/>
    <w:rsid w:val="00161EB0"/>
    <w:rsid w:val="00162226"/>
    <w:rsid w:val="001623CF"/>
    <w:rsid w:val="001626C5"/>
    <w:rsid w:val="00162779"/>
    <w:rsid w:val="001629A2"/>
    <w:rsid w:val="001633AD"/>
    <w:rsid w:val="00163998"/>
    <w:rsid w:val="00163B86"/>
    <w:rsid w:val="00163E49"/>
    <w:rsid w:val="001641D2"/>
    <w:rsid w:val="0016438E"/>
    <w:rsid w:val="00164607"/>
    <w:rsid w:val="0016472B"/>
    <w:rsid w:val="00164816"/>
    <w:rsid w:val="00164934"/>
    <w:rsid w:val="00164E04"/>
    <w:rsid w:val="00165200"/>
    <w:rsid w:val="001653E7"/>
    <w:rsid w:val="0016577A"/>
    <w:rsid w:val="001657BA"/>
    <w:rsid w:val="00165B45"/>
    <w:rsid w:val="00165BAB"/>
    <w:rsid w:val="00165D7F"/>
    <w:rsid w:val="00165EDC"/>
    <w:rsid w:val="00166343"/>
    <w:rsid w:val="00166964"/>
    <w:rsid w:val="00166CE9"/>
    <w:rsid w:val="001673FF"/>
    <w:rsid w:val="00167FA9"/>
    <w:rsid w:val="001701A2"/>
    <w:rsid w:val="0017032B"/>
    <w:rsid w:val="0017040E"/>
    <w:rsid w:val="00170A65"/>
    <w:rsid w:val="00170AAC"/>
    <w:rsid w:val="00170DEF"/>
    <w:rsid w:val="0017113F"/>
    <w:rsid w:val="001711FD"/>
    <w:rsid w:val="0017137B"/>
    <w:rsid w:val="00171560"/>
    <w:rsid w:val="00171CCF"/>
    <w:rsid w:val="00171DCE"/>
    <w:rsid w:val="00171F7B"/>
    <w:rsid w:val="00172314"/>
    <w:rsid w:val="00172FEC"/>
    <w:rsid w:val="001733AD"/>
    <w:rsid w:val="00173FEC"/>
    <w:rsid w:val="0017405D"/>
    <w:rsid w:val="001740E9"/>
    <w:rsid w:val="00174419"/>
    <w:rsid w:val="001748E9"/>
    <w:rsid w:val="001757F1"/>
    <w:rsid w:val="00175846"/>
    <w:rsid w:val="001759CC"/>
    <w:rsid w:val="00175A22"/>
    <w:rsid w:val="00175AF9"/>
    <w:rsid w:val="00175E25"/>
    <w:rsid w:val="00175E89"/>
    <w:rsid w:val="00175F0C"/>
    <w:rsid w:val="00175F37"/>
    <w:rsid w:val="00175F9F"/>
    <w:rsid w:val="001761BC"/>
    <w:rsid w:val="00176915"/>
    <w:rsid w:val="0017694C"/>
    <w:rsid w:val="00176E67"/>
    <w:rsid w:val="001770A8"/>
    <w:rsid w:val="0017726D"/>
    <w:rsid w:val="00177283"/>
    <w:rsid w:val="00177498"/>
    <w:rsid w:val="00177504"/>
    <w:rsid w:val="00177755"/>
    <w:rsid w:val="001779CC"/>
    <w:rsid w:val="00177C98"/>
    <w:rsid w:val="001800B8"/>
    <w:rsid w:val="00180487"/>
    <w:rsid w:val="00180544"/>
    <w:rsid w:val="001806A1"/>
    <w:rsid w:val="00180FAA"/>
    <w:rsid w:val="001812DB"/>
    <w:rsid w:val="00181340"/>
    <w:rsid w:val="001817DC"/>
    <w:rsid w:val="0018199D"/>
    <w:rsid w:val="00181B7D"/>
    <w:rsid w:val="00181E35"/>
    <w:rsid w:val="001821EA"/>
    <w:rsid w:val="00182268"/>
    <w:rsid w:val="001824A4"/>
    <w:rsid w:val="00182C9F"/>
    <w:rsid w:val="00183937"/>
    <w:rsid w:val="00183BA0"/>
    <w:rsid w:val="00183C71"/>
    <w:rsid w:val="00183D06"/>
    <w:rsid w:val="00183ED9"/>
    <w:rsid w:val="00183EE7"/>
    <w:rsid w:val="00184269"/>
    <w:rsid w:val="00184517"/>
    <w:rsid w:val="0018492F"/>
    <w:rsid w:val="001850DB"/>
    <w:rsid w:val="00185218"/>
    <w:rsid w:val="00185839"/>
    <w:rsid w:val="0018592C"/>
    <w:rsid w:val="00185A0A"/>
    <w:rsid w:val="00185B3E"/>
    <w:rsid w:val="00185E2E"/>
    <w:rsid w:val="00186041"/>
    <w:rsid w:val="0018610C"/>
    <w:rsid w:val="00186163"/>
    <w:rsid w:val="001863C0"/>
    <w:rsid w:val="001865C7"/>
    <w:rsid w:val="001868D5"/>
    <w:rsid w:val="00186D82"/>
    <w:rsid w:val="001873EB"/>
    <w:rsid w:val="001874DC"/>
    <w:rsid w:val="001876BB"/>
    <w:rsid w:val="001876FB"/>
    <w:rsid w:val="00187C44"/>
    <w:rsid w:val="00187E6D"/>
    <w:rsid w:val="00187FAF"/>
    <w:rsid w:val="001900B2"/>
    <w:rsid w:val="001908A0"/>
    <w:rsid w:val="00190A6E"/>
    <w:rsid w:val="00190BF0"/>
    <w:rsid w:val="00190F73"/>
    <w:rsid w:val="0019134A"/>
    <w:rsid w:val="00191673"/>
    <w:rsid w:val="0019176D"/>
    <w:rsid w:val="0019187A"/>
    <w:rsid w:val="00191F6C"/>
    <w:rsid w:val="00191FA4"/>
    <w:rsid w:val="001920C7"/>
    <w:rsid w:val="0019228F"/>
    <w:rsid w:val="001924B7"/>
    <w:rsid w:val="001925ED"/>
    <w:rsid w:val="0019270B"/>
    <w:rsid w:val="00192D59"/>
    <w:rsid w:val="00193217"/>
    <w:rsid w:val="00193989"/>
    <w:rsid w:val="00193D79"/>
    <w:rsid w:val="00194117"/>
    <w:rsid w:val="00194583"/>
    <w:rsid w:val="00194B18"/>
    <w:rsid w:val="00194BFB"/>
    <w:rsid w:val="00194C90"/>
    <w:rsid w:val="00194F84"/>
    <w:rsid w:val="001953AE"/>
    <w:rsid w:val="00195773"/>
    <w:rsid w:val="00195E6B"/>
    <w:rsid w:val="0019642B"/>
    <w:rsid w:val="00196504"/>
    <w:rsid w:val="001966EB"/>
    <w:rsid w:val="00196819"/>
    <w:rsid w:val="00196DDE"/>
    <w:rsid w:val="00196FF0"/>
    <w:rsid w:val="0019712D"/>
    <w:rsid w:val="001972A2"/>
    <w:rsid w:val="00197400"/>
    <w:rsid w:val="00197808"/>
    <w:rsid w:val="001978E5"/>
    <w:rsid w:val="001979F7"/>
    <w:rsid w:val="00197ADD"/>
    <w:rsid w:val="00197B7E"/>
    <w:rsid w:val="00197C7B"/>
    <w:rsid w:val="00197FF8"/>
    <w:rsid w:val="001A012D"/>
    <w:rsid w:val="001A0350"/>
    <w:rsid w:val="001A081B"/>
    <w:rsid w:val="001A0A06"/>
    <w:rsid w:val="001A1CFD"/>
    <w:rsid w:val="001A209F"/>
    <w:rsid w:val="001A212E"/>
    <w:rsid w:val="001A241B"/>
    <w:rsid w:val="001A278C"/>
    <w:rsid w:val="001A2998"/>
    <w:rsid w:val="001A2A69"/>
    <w:rsid w:val="001A2CFF"/>
    <w:rsid w:val="001A2E17"/>
    <w:rsid w:val="001A301A"/>
    <w:rsid w:val="001A317D"/>
    <w:rsid w:val="001A3AC8"/>
    <w:rsid w:val="001A3CB7"/>
    <w:rsid w:val="001A3D6F"/>
    <w:rsid w:val="001A3D82"/>
    <w:rsid w:val="001A3D98"/>
    <w:rsid w:val="001A3F24"/>
    <w:rsid w:val="001A406E"/>
    <w:rsid w:val="001A40B0"/>
    <w:rsid w:val="001A445B"/>
    <w:rsid w:val="001A4571"/>
    <w:rsid w:val="001A4A14"/>
    <w:rsid w:val="001A4E9B"/>
    <w:rsid w:val="001A5309"/>
    <w:rsid w:val="001A5369"/>
    <w:rsid w:val="001A5636"/>
    <w:rsid w:val="001A57DB"/>
    <w:rsid w:val="001A5967"/>
    <w:rsid w:val="001A5A8F"/>
    <w:rsid w:val="001A5E30"/>
    <w:rsid w:val="001A6C94"/>
    <w:rsid w:val="001A7083"/>
    <w:rsid w:val="001A7351"/>
    <w:rsid w:val="001A747B"/>
    <w:rsid w:val="001A7564"/>
    <w:rsid w:val="001A7609"/>
    <w:rsid w:val="001A760F"/>
    <w:rsid w:val="001A78C6"/>
    <w:rsid w:val="001A799D"/>
    <w:rsid w:val="001A7D4B"/>
    <w:rsid w:val="001A7F90"/>
    <w:rsid w:val="001B04B9"/>
    <w:rsid w:val="001B0662"/>
    <w:rsid w:val="001B0B71"/>
    <w:rsid w:val="001B1278"/>
    <w:rsid w:val="001B134A"/>
    <w:rsid w:val="001B1505"/>
    <w:rsid w:val="001B17D4"/>
    <w:rsid w:val="001B199F"/>
    <w:rsid w:val="001B1A25"/>
    <w:rsid w:val="001B1A9C"/>
    <w:rsid w:val="001B1BC3"/>
    <w:rsid w:val="001B1E56"/>
    <w:rsid w:val="001B1F28"/>
    <w:rsid w:val="001B23C3"/>
    <w:rsid w:val="001B28E1"/>
    <w:rsid w:val="001B2CC5"/>
    <w:rsid w:val="001B3040"/>
    <w:rsid w:val="001B38AB"/>
    <w:rsid w:val="001B3B91"/>
    <w:rsid w:val="001B3BD0"/>
    <w:rsid w:val="001B3C4D"/>
    <w:rsid w:val="001B412E"/>
    <w:rsid w:val="001B4925"/>
    <w:rsid w:val="001B510E"/>
    <w:rsid w:val="001B5579"/>
    <w:rsid w:val="001B5D03"/>
    <w:rsid w:val="001B647A"/>
    <w:rsid w:val="001B64FA"/>
    <w:rsid w:val="001B68D9"/>
    <w:rsid w:val="001B699B"/>
    <w:rsid w:val="001B6B4D"/>
    <w:rsid w:val="001B6CFB"/>
    <w:rsid w:val="001B6D36"/>
    <w:rsid w:val="001B6E6E"/>
    <w:rsid w:val="001B76ED"/>
    <w:rsid w:val="001B7D3B"/>
    <w:rsid w:val="001B7D61"/>
    <w:rsid w:val="001B7E79"/>
    <w:rsid w:val="001C02FA"/>
    <w:rsid w:val="001C06C7"/>
    <w:rsid w:val="001C0AD2"/>
    <w:rsid w:val="001C1345"/>
    <w:rsid w:val="001C1437"/>
    <w:rsid w:val="001C160B"/>
    <w:rsid w:val="001C1661"/>
    <w:rsid w:val="001C1815"/>
    <w:rsid w:val="001C18B1"/>
    <w:rsid w:val="001C1AF2"/>
    <w:rsid w:val="001C1BA4"/>
    <w:rsid w:val="001C1CED"/>
    <w:rsid w:val="001C2185"/>
    <w:rsid w:val="001C22D2"/>
    <w:rsid w:val="001C241F"/>
    <w:rsid w:val="001C2B7B"/>
    <w:rsid w:val="001C2D8D"/>
    <w:rsid w:val="001C3144"/>
    <w:rsid w:val="001C32B3"/>
    <w:rsid w:val="001C32EB"/>
    <w:rsid w:val="001C350D"/>
    <w:rsid w:val="001C3835"/>
    <w:rsid w:val="001C38C5"/>
    <w:rsid w:val="001C3AE0"/>
    <w:rsid w:val="001C3AEA"/>
    <w:rsid w:val="001C3BF0"/>
    <w:rsid w:val="001C4049"/>
    <w:rsid w:val="001C4800"/>
    <w:rsid w:val="001C4AB0"/>
    <w:rsid w:val="001C4D0B"/>
    <w:rsid w:val="001C4F4C"/>
    <w:rsid w:val="001C5155"/>
    <w:rsid w:val="001C554F"/>
    <w:rsid w:val="001C5651"/>
    <w:rsid w:val="001C57EC"/>
    <w:rsid w:val="001C5C95"/>
    <w:rsid w:val="001C61E1"/>
    <w:rsid w:val="001C6315"/>
    <w:rsid w:val="001C6316"/>
    <w:rsid w:val="001C64AB"/>
    <w:rsid w:val="001C6566"/>
    <w:rsid w:val="001C6576"/>
    <w:rsid w:val="001C6911"/>
    <w:rsid w:val="001C6CEB"/>
    <w:rsid w:val="001C6F51"/>
    <w:rsid w:val="001C76F4"/>
    <w:rsid w:val="001C78D6"/>
    <w:rsid w:val="001C7D6C"/>
    <w:rsid w:val="001D0128"/>
    <w:rsid w:val="001D028D"/>
    <w:rsid w:val="001D02D2"/>
    <w:rsid w:val="001D042D"/>
    <w:rsid w:val="001D0B6E"/>
    <w:rsid w:val="001D0F73"/>
    <w:rsid w:val="001D11C8"/>
    <w:rsid w:val="001D12C3"/>
    <w:rsid w:val="001D135D"/>
    <w:rsid w:val="001D1AFC"/>
    <w:rsid w:val="001D1B26"/>
    <w:rsid w:val="001D1D0B"/>
    <w:rsid w:val="001D1F24"/>
    <w:rsid w:val="001D2113"/>
    <w:rsid w:val="001D228E"/>
    <w:rsid w:val="001D25AB"/>
    <w:rsid w:val="001D2FED"/>
    <w:rsid w:val="001D3168"/>
    <w:rsid w:val="001D3295"/>
    <w:rsid w:val="001D387B"/>
    <w:rsid w:val="001D38BE"/>
    <w:rsid w:val="001D3AE7"/>
    <w:rsid w:val="001D45E2"/>
    <w:rsid w:val="001D4858"/>
    <w:rsid w:val="001D5061"/>
    <w:rsid w:val="001D50DF"/>
    <w:rsid w:val="001D5285"/>
    <w:rsid w:val="001D553F"/>
    <w:rsid w:val="001D5843"/>
    <w:rsid w:val="001D5C07"/>
    <w:rsid w:val="001D5E2E"/>
    <w:rsid w:val="001D6BAD"/>
    <w:rsid w:val="001D6CAC"/>
    <w:rsid w:val="001D7531"/>
    <w:rsid w:val="001D7789"/>
    <w:rsid w:val="001D7803"/>
    <w:rsid w:val="001D7A66"/>
    <w:rsid w:val="001D7B74"/>
    <w:rsid w:val="001D7CCF"/>
    <w:rsid w:val="001D7E9D"/>
    <w:rsid w:val="001D7ED5"/>
    <w:rsid w:val="001D7FC1"/>
    <w:rsid w:val="001E00C0"/>
    <w:rsid w:val="001E03B5"/>
    <w:rsid w:val="001E0414"/>
    <w:rsid w:val="001E06F3"/>
    <w:rsid w:val="001E0707"/>
    <w:rsid w:val="001E0738"/>
    <w:rsid w:val="001E13EA"/>
    <w:rsid w:val="001E1469"/>
    <w:rsid w:val="001E1544"/>
    <w:rsid w:val="001E16C5"/>
    <w:rsid w:val="001E1D76"/>
    <w:rsid w:val="001E1E5B"/>
    <w:rsid w:val="001E2165"/>
    <w:rsid w:val="001E2244"/>
    <w:rsid w:val="001E23AE"/>
    <w:rsid w:val="001E2458"/>
    <w:rsid w:val="001E2AFD"/>
    <w:rsid w:val="001E2BAC"/>
    <w:rsid w:val="001E2F68"/>
    <w:rsid w:val="001E2F74"/>
    <w:rsid w:val="001E2F86"/>
    <w:rsid w:val="001E302B"/>
    <w:rsid w:val="001E3199"/>
    <w:rsid w:val="001E31C5"/>
    <w:rsid w:val="001E3335"/>
    <w:rsid w:val="001E389F"/>
    <w:rsid w:val="001E45DC"/>
    <w:rsid w:val="001E4840"/>
    <w:rsid w:val="001E4DD2"/>
    <w:rsid w:val="001E50DB"/>
    <w:rsid w:val="001E531F"/>
    <w:rsid w:val="001E55AE"/>
    <w:rsid w:val="001E5B0E"/>
    <w:rsid w:val="001E5B2F"/>
    <w:rsid w:val="001E5C84"/>
    <w:rsid w:val="001E5D0E"/>
    <w:rsid w:val="001E5ED6"/>
    <w:rsid w:val="001E611B"/>
    <w:rsid w:val="001E65EE"/>
    <w:rsid w:val="001E680A"/>
    <w:rsid w:val="001E6B3B"/>
    <w:rsid w:val="001E6E87"/>
    <w:rsid w:val="001E6EC4"/>
    <w:rsid w:val="001E6F11"/>
    <w:rsid w:val="001E6F4A"/>
    <w:rsid w:val="001E70D2"/>
    <w:rsid w:val="001E7581"/>
    <w:rsid w:val="001E7A29"/>
    <w:rsid w:val="001E7BE1"/>
    <w:rsid w:val="001F004C"/>
    <w:rsid w:val="001F02B6"/>
    <w:rsid w:val="001F0399"/>
    <w:rsid w:val="001F0451"/>
    <w:rsid w:val="001F08B5"/>
    <w:rsid w:val="001F0997"/>
    <w:rsid w:val="001F09AA"/>
    <w:rsid w:val="001F0B73"/>
    <w:rsid w:val="001F1683"/>
    <w:rsid w:val="001F1C40"/>
    <w:rsid w:val="001F2430"/>
    <w:rsid w:val="001F27AF"/>
    <w:rsid w:val="001F2B9B"/>
    <w:rsid w:val="001F2FD1"/>
    <w:rsid w:val="001F30CA"/>
    <w:rsid w:val="001F3283"/>
    <w:rsid w:val="001F419B"/>
    <w:rsid w:val="001F45C4"/>
    <w:rsid w:val="001F49CD"/>
    <w:rsid w:val="001F4D9A"/>
    <w:rsid w:val="001F4F33"/>
    <w:rsid w:val="001F5079"/>
    <w:rsid w:val="001F53A3"/>
    <w:rsid w:val="001F53AE"/>
    <w:rsid w:val="001F5507"/>
    <w:rsid w:val="001F5593"/>
    <w:rsid w:val="001F5643"/>
    <w:rsid w:val="001F5D0E"/>
    <w:rsid w:val="001F5FA3"/>
    <w:rsid w:val="001F60F5"/>
    <w:rsid w:val="001F63D6"/>
    <w:rsid w:val="001F6A44"/>
    <w:rsid w:val="001F6F49"/>
    <w:rsid w:val="001F712D"/>
    <w:rsid w:val="001F728C"/>
    <w:rsid w:val="001F760F"/>
    <w:rsid w:val="001F7C9F"/>
    <w:rsid w:val="0020003B"/>
    <w:rsid w:val="0020007E"/>
    <w:rsid w:val="00200317"/>
    <w:rsid w:val="002004C7"/>
    <w:rsid w:val="002005B3"/>
    <w:rsid w:val="00200C26"/>
    <w:rsid w:val="0020114B"/>
    <w:rsid w:val="00201212"/>
    <w:rsid w:val="00201394"/>
    <w:rsid w:val="0020157D"/>
    <w:rsid w:val="00201751"/>
    <w:rsid w:val="002017DC"/>
    <w:rsid w:val="00201804"/>
    <w:rsid w:val="00201AB7"/>
    <w:rsid w:val="00202149"/>
    <w:rsid w:val="00202466"/>
    <w:rsid w:val="0020284C"/>
    <w:rsid w:val="00202A24"/>
    <w:rsid w:val="00202BE3"/>
    <w:rsid w:val="0020338B"/>
    <w:rsid w:val="002033E1"/>
    <w:rsid w:val="00203430"/>
    <w:rsid w:val="00203CE9"/>
    <w:rsid w:val="00204AF5"/>
    <w:rsid w:val="00204BF2"/>
    <w:rsid w:val="002053D6"/>
    <w:rsid w:val="0020577A"/>
    <w:rsid w:val="0020582A"/>
    <w:rsid w:val="00205907"/>
    <w:rsid w:val="00205EC7"/>
    <w:rsid w:val="00205F2F"/>
    <w:rsid w:val="00206152"/>
    <w:rsid w:val="00206A7A"/>
    <w:rsid w:val="00206DE4"/>
    <w:rsid w:val="002070B9"/>
    <w:rsid w:val="00207255"/>
    <w:rsid w:val="002077EF"/>
    <w:rsid w:val="002079F4"/>
    <w:rsid w:val="002100B3"/>
    <w:rsid w:val="002103EE"/>
    <w:rsid w:val="002106F1"/>
    <w:rsid w:val="002107C2"/>
    <w:rsid w:val="00210AB9"/>
    <w:rsid w:val="00210C0C"/>
    <w:rsid w:val="00210FBB"/>
    <w:rsid w:val="00211077"/>
    <w:rsid w:val="0021126E"/>
    <w:rsid w:val="002113CE"/>
    <w:rsid w:val="0021146B"/>
    <w:rsid w:val="0021152D"/>
    <w:rsid w:val="00211694"/>
    <w:rsid w:val="00211BEF"/>
    <w:rsid w:val="002121F3"/>
    <w:rsid w:val="0021235D"/>
    <w:rsid w:val="0021249C"/>
    <w:rsid w:val="00212533"/>
    <w:rsid w:val="00212D99"/>
    <w:rsid w:val="0021304E"/>
    <w:rsid w:val="0021342E"/>
    <w:rsid w:val="002136C0"/>
    <w:rsid w:val="00214705"/>
    <w:rsid w:val="00214877"/>
    <w:rsid w:val="00214B0C"/>
    <w:rsid w:val="00214BC8"/>
    <w:rsid w:val="00214CF9"/>
    <w:rsid w:val="00214F9D"/>
    <w:rsid w:val="0021512B"/>
    <w:rsid w:val="002154CF"/>
    <w:rsid w:val="00215585"/>
    <w:rsid w:val="00215587"/>
    <w:rsid w:val="002155F0"/>
    <w:rsid w:val="00215963"/>
    <w:rsid w:val="00215F04"/>
    <w:rsid w:val="00216293"/>
    <w:rsid w:val="0021632C"/>
    <w:rsid w:val="002164F8"/>
    <w:rsid w:val="0021681F"/>
    <w:rsid w:val="00216BC7"/>
    <w:rsid w:val="00216D3D"/>
    <w:rsid w:val="002171D7"/>
    <w:rsid w:val="002171F6"/>
    <w:rsid w:val="0021724D"/>
    <w:rsid w:val="00217625"/>
    <w:rsid w:val="00217804"/>
    <w:rsid w:val="00217A6F"/>
    <w:rsid w:val="00217ED3"/>
    <w:rsid w:val="0022017F"/>
    <w:rsid w:val="00220242"/>
    <w:rsid w:val="0022044E"/>
    <w:rsid w:val="00220706"/>
    <w:rsid w:val="00220CB7"/>
    <w:rsid w:val="002211F5"/>
    <w:rsid w:val="00221231"/>
    <w:rsid w:val="0022140F"/>
    <w:rsid w:val="0022194D"/>
    <w:rsid w:val="00221CC4"/>
    <w:rsid w:val="00221E89"/>
    <w:rsid w:val="00221FBC"/>
    <w:rsid w:val="0022285A"/>
    <w:rsid w:val="00223180"/>
    <w:rsid w:val="0022342A"/>
    <w:rsid w:val="002239B8"/>
    <w:rsid w:val="00224173"/>
    <w:rsid w:val="00224853"/>
    <w:rsid w:val="00224856"/>
    <w:rsid w:val="00224939"/>
    <w:rsid w:val="00224AC7"/>
    <w:rsid w:val="0022512D"/>
    <w:rsid w:val="00225378"/>
    <w:rsid w:val="00225558"/>
    <w:rsid w:val="00225964"/>
    <w:rsid w:val="0022596D"/>
    <w:rsid w:val="00225A2E"/>
    <w:rsid w:val="00225C05"/>
    <w:rsid w:val="00225C33"/>
    <w:rsid w:val="00225D16"/>
    <w:rsid w:val="00226959"/>
    <w:rsid w:val="0022705C"/>
    <w:rsid w:val="00227220"/>
    <w:rsid w:val="00227363"/>
    <w:rsid w:val="002275FF"/>
    <w:rsid w:val="002278A9"/>
    <w:rsid w:val="00227BA0"/>
    <w:rsid w:val="00227E83"/>
    <w:rsid w:val="0023008B"/>
    <w:rsid w:val="00230544"/>
    <w:rsid w:val="00230935"/>
    <w:rsid w:val="002309E0"/>
    <w:rsid w:val="002313C3"/>
    <w:rsid w:val="002314AC"/>
    <w:rsid w:val="00232081"/>
    <w:rsid w:val="002321F1"/>
    <w:rsid w:val="0023228C"/>
    <w:rsid w:val="00232499"/>
    <w:rsid w:val="00232646"/>
    <w:rsid w:val="0023287A"/>
    <w:rsid w:val="002329FE"/>
    <w:rsid w:val="00232BC0"/>
    <w:rsid w:val="00233377"/>
    <w:rsid w:val="00233455"/>
    <w:rsid w:val="00233E59"/>
    <w:rsid w:val="00234084"/>
    <w:rsid w:val="0023429B"/>
    <w:rsid w:val="0023459D"/>
    <w:rsid w:val="00234A0B"/>
    <w:rsid w:val="00234F8B"/>
    <w:rsid w:val="0023526C"/>
    <w:rsid w:val="00235902"/>
    <w:rsid w:val="00235BA3"/>
    <w:rsid w:val="00235BCE"/>
    <w:rsid w:val="00236210"/>
    <w:rsid w:val="00236244"/>
    <w:rsid w:val="0023667C"/>
    <w:rsid w:val="002367B0"/>
    <w:rsid w:val="0023688E"/>
    <w:rsid w:val="0023699D"/>
    <w:rsid w:val="00236D20"/>
    <w:rsid w:val="00236F7C"/>
    <w:rsid w:val="002372AD"/>
    <w:rsid w:val="0023739B"/>
    <w:rsid w:val="002376B7"/>
    <w:rsid w:val="0023778A"/>
    <w:rsid w:val="00237A33"/>
    <w:rsid w:val="00240063"/>
    <w:rsid w:val="00240366"/>
    <w:rsid w:val="002406F4"/>
    <w:rsid w:val="00241111"/>
    <w:rsid w:val="0024162B"/>
    <w:rsid w:val="00241CE4"/>
    <w:rsid w:val="00241E2D"/>
    <w:rsid w:val="00241E62"/>
    <w:rsid w:val="00242439"/>
    <w:rsid w:val="0024250C"/>
    <w:rsid w:val="0024283A"/>
    <w:rsid w:val="002428AD"/>
    <w:rsid w:val="00242AE2"/>
    <w:rsid w:val="00242FF0"/>
    <w:rsid w:val="0024316E"/>
    <w:rsid w:val="00243293"/>
    <w:rsid w:val="00243AF7"/>
    <w:rsid w:val="002440CD"/>
    <w:rsid w:val="00244AFB"/>
    <w:rsid w:val="00244E11"/>
    <w:rsid w:val="00244F6C"/>
    <w:rsid w:val="002453D8"/>
    <w:rsid w:val="00245A71"/>
    <w:rsid w:val="00245B8D"/>
    <w:rsid w:val="00245C9D"/>
    <w:rsid w:val="00245E8D"/>
    <w:rsid w:val="00245ECD"/>
    <w:rsid w:val="00246083"/>
    <w:rsid w:val="002460B3"/>
    <w:rsid w:val="0024650B"/>
    <w:rsid w:val="00246A1B"/>
    <w:rsid w:val="00246A6E"/>
    <w:rsid w:val="00246D49"/>
    <w:rsid w:val="00246E91"/>
    <w:rsid w:val="0024714D"/>
    <w:rsid w:val="002471FA"/>
    <w:rsid w:val="00247932"/>
    <w:rsid w:val="00247F94"/>
    <w:rsid w:val="00250040"/>
    <w:rsid w:val="00250385"/>
    <w:rsid w:val="002508CF"/>
    <w:rsid w:val="00250A33"/>
    <w:rsid w:val="00250B45"/>
    <w:rsid w:val="002510D0"/>
    <w:rsid w:val="00251143"/>
    <w:rsid w:val="00251409"/>
    <w:rsid w:val="0025149D"/>
    <w:rsid w:val="00251846"/>
    <w:rsid w:val="00251FCB"/>
    <w:rsid w:val="00251FE8"/>
    <w:rsid w:val="0025249E"/>
    <w:rsid w:val="00252FA8"/>
    <w:rsid w:val="0025312D"/>
    <w:rsid w:val="002532F2"/>
    <w:rsid w:val="00253546"/>
    <w:rsid w:val="00253592"/>
    <w:rsid w:val="002536D9"/>
    <w:rsid w:val="002537B4"/>
    <w:rsid w:val="00253862"/>
    <w:rsid w:val="00253D88"/>
    <w:rsid w:val="00253F4E"/>
    <w:rsid w:val="00254220"/>
    <w:rsid w:val="00254763"/>
    <w:rsid w:val="002547BA"/>
    <w:rsid w:val="00254DB5"/>
    <w:rsid w:val="0025539E"/>
    <w:rsid w:val="002553D1"/>
    <w:rsid w:val="0025569F"/>
    <w:rsid w:val="002558ED"/>
    <w:rsid w:val="00255C02"/>
    <w:rsid w:val="00255D31"/>
    <w:rsid w:val="00255D9B"/>
    <w:rsid w:val="00255FFD"/>
    <w:rsid w:val="002561EE"/>
    <w:rsid w:val="0025664A"/>
    <w:rsid w:val="00256BBB"/>
    <w:rsid w:val="00256C97"/>
    <w:rsid w:val="00256FD2"/>
    <w:rsid w:val="00257155"/>
    <w:rsid w:val="00257380"/>
    <w:rsid w:val="00257554"/>
    <w:rsid w:val="00260201"/>
    <w:rsid w:val="00260210"/>
    <w:rsid w:val="00260810"/>
    <w:rsid w:val="00260937"/>
    <w:rsid w:val="002609B1"/>
    <w:rsid w:val="00260E7C"/>
    <w:rsid w:val="00260F34"/>
    <w:rsid w:val="00260F86"/>
    <w:rsid w:val="0026104B"/>
    <w:rsid w:val="00261078"/>
    <w:rsid w:val="00261520"/>
    <w:rsid w:val="0026177A"/>
    <w:rsid w:val="00261C1C"/>
    <w:rsid w:val="00261D13"/>
    <w:rsid w:val="00261F34"/>
    <w:rsid w:val="00262102"/>
    <w:rsid w:val="0026219C"/>
    <w:rsid w:val="00262326"/>
    <w:rsid w:val="00262FC0"/>
    <w:rsid w:val="002638AE"/>
    <w:rsid w:val="002639A1"/>
    <w:rsid w:val="002639D2"/>
    <w:rsid w:val="00263DF6"/>
    <w:rsid w:val="00263E2C"/>
    <w:rsid w:val="002643B8"/>
    <w:rsid w:val="002647E1"/>
    <w:rsid w:val="002649BD"/>
    <w:rsid w:val="00264A8A"/>
    <w:rsid w:val="00264CCA"/>
    <w:rsid w:val="00265372"/>
    <w:rsid w:val="00265422"/>
    <w:rsid w:val="0026557E"/>
    <w:rsid w:val="00265C50"/>
    <w:rsid w:val="00265DAC"/>
    <w:rsid w:val="00265DE4"/>
    <w:rsid w:val="00266206"/>
    <w:rsid w:val="00266227"/>
    <w:rsid w:val="002664A6"/>
    <w:rsid w:val="00266B12"/>
    <w:rsid w:val="00266B40"/>
    <w:rsid w:val="00266DC1"/>
    <w:rsid w:val="00266F19"/>
    <w:rsid w:val="00267006"/>
    <w:rsid w:val="002671E2"/>
    <w:rsid w:val="002672CF"/>
    <w:rsid w:val="002673AF"/>
    <w:rsid w:val="0027069E"/>
    <w:rsid w:val="00270832"/>
    <w:rsid w:val="00270AAB"/>
    <w:rsid w:val="00270C40"/>
    <w:rsid w:val="00271129"/>
    <w:rsid w:val="00271325"/>
    <w:rsid w:val="00271336"/>
    <w:rsid w:val="00271506"/>
    <w:rsid w:val="002719B7"/>
    <w:rsid w:val="002719D1"/>
    <w:rsid w:val="00271BDC"/>
    <w:rsid w:val="00271ED4"/>
    <w:rsid w:val="002724F9"/>
    <w:rsid w:val="00272BCB"/>
    <w:rsid w:val="00272EBA"/>
    <w:rsid w:val="002730F0"/>
    <w:rsid w:val="002731E8"/>
    <w:rsid w:val="00273222"/>
    <w:rsid w:val="002734EC"/>
    <w:rsid w:val="00273644"/>
    <w:rsid w:val="002736B2"/>
    <w:rsid w:val="00273C87"/>
    <w:rsid w:val="002740A8"/>
    <w:rsid w:val="00274739"/>
    <w:rsid w:val="00274943"/>
    <w:rsid w:val="00274C40"/>
    <w:rsid w:val="002754A9"/>
    <w:rsid w:val="002755CC"/>
    <w:rsid w:val="0027575C"/>
    <w:rsid w:val="00275D68"/>
    <w:rsid w:val="00275F73"/>
    <w:rsid w:val="002762AB"/>
    <w:rsid w:val="00276985"/>
    <w:rsid w:val="002769C2"/>
    <w:rsid w:val="00276B51"/>
    <w:rsid w:val="00276C4E"/>
    <w:rsid w:val="0027700A"/>
    <w:rsid w:val="0027720D"/>
    <w:rsid w:val="00277240"/>
    <w:rsid w:val="00277538"/>
    <w:rsid w:val="00277B09"/>
    <w:rsid w:val="00277B7A"/>
    <w:rsid w:val="00277B90"/>
    <w:rsid w:val="00277CB7"/>
    <w:rsid w:val="00280253"/>
    <w:rsid w:val="0028083D"/>
    <w:rsid w:val="0028102B"/>
    <w:rsid w:val="00281540"/>
    <w:rsid w:val="002816AB"/>
    <w:rsid w:val="00281858"/>
    <w:rsid w:val="00281D05"/>
    <w:rsid w:val="00282257"/>
    <w:rsid w:val="00282483"/>
    <w:rsid w:val="00282786"/>
    <w:rsid w:val="00282876"/>
    <w:rsid w:val="002828E3"/>
    <w:rsid w:val="00282EFC"/>
    <w:rsid w:val="002837A5"/>
    <w:rsid w:val="002838A3"/>
    <w:rsid w:val="002838E7"/>
    <w:rsid w:val="00283A5E"/>
    <w:rsid w:val="00283DEA"/>
    <w:rsid w:val="00283DF1"/>
    <w:rsid w:val="00283F08"/>
    <w:rsid w:val="0028428A"/>
    <w:rsid w:val="002843F7"/>
    <w:rsid w:val="002849BE"/>
    <w:rsid w:val="00284ADF"/>
    <w:rsid w:val="00284BA0"/>
    <w:rsid w:val="00284DA8"/>
    <w:rsid w:val="00284FC1"/>
    <w:rsid w:val="00285E37"/>
    <w:rsid w:val="00285E71"/>
    <w:rsid w:val="00286069"/>
    <w:rsid w:val="0028610C"/>
    <w:rsid w:val="0028665E"/>
    <w:rsid w:val="00286855"/>
    <w:rsid w:val="00286C77"/>
    <w:rsid w:val="00286D79"/>
    <w:rsid w:val="002872FA"/>
    <w:rsid w:val="00287356"/>
    <w:rsid w:val="002874B0"/>
    <w:rsid w:val="00287907"/>
    <w:rsid w:val="00287AFC"/>
    <w:rsid w:val="00287BE9"/>
    <w:rsid w:val="00290048"/>
    <w:rsid w:val="002909B4"/>
    <w:rsid w:val="00290E6B"/>
    <w:rsid w:val="00291154"/>
    <w:rsid w:val="00291376"/>
    <w:rsid w:val="00291D08"/>
    <w:rsid w:val="00291FD1"/>
    <w:rsid w:val="002922C9"/>
    <w:rsid w:val="002925BA"/>
    <w:rsid w:val="00292898"/>
    <w:rsid w:val="00292B92"/>
    <w:rsid w:val="00292BFF"/>
    <w:rsid w:val="00292CFB"/>
    <w:rsid w:val="00293404"/>
    <w:rsid w:val="002935FF"/>
    <w:rsid w:val="00293A26"/>
    <w:rsid w:val="00293C33"/>
    <w:rsid w:val="00293FF2"/>
    <w:rsid w:val="00294451"/>
    <w:rsid w:val="002948D4"/>
    <w:rsid w:val="0029497F"/>
    <w:rsid w:val="00295410"/>
    <w:rsid w:val="00295692"/>
    <w:rsid w:val="00295DC8"/>
    <w:rsid w:val="002960F0"/>
    <w:rsid w:val="002962BB"/>
    <w:rsid w:val="00296499"/>
    <w:rsid w:val="00296FD6"/>
    <w:rsid w:val="00297025"/>
    <w:rsid w:val="002970EF"/>
    <w:rsid w:val="00297D8C"/>
    <w:rsid w:val="00297EBD"/>
    <w:rsid w:val="00297FF4"/>
    <w:rsid w:val="002A00EB"/>
    <w:rsid w:val="002A0448"/>
    <w:rsid w:val="002A0481"/>
    <w:rsid w:val="002A0484"/>
    <w:rsid w:val="002A0A16"/>
    <w:rsid w:val="002A0A1A"/>
    <w:rsid w:val="002A0A78"/>
    <w:rsid w:val="002A0BFD"/>
    <w:rsid w:val="002A0CC3"/>
    <w:rsid w:val="002A0D2C"/>
    <w:rsid w:val="002A10BF"/>
    <w:rsid w:val="002A1329"/>
    <w:rsid w:val="002A1447"/>
    <w:rsid w:val="002A1794"/>
    <w:rsid w:val="002A18D2"/>
    <w:rsid w:val="002A1A6E"/>
    <w:rsid w:val="002A1C7E"/>
    <w:rsid w:val="002A203C"/>
    <w:rsid w:val="002A207D"/>
    <w:rsid w:val="002A22B5"/>
    <w:rsid w:val="002A232B"/>
    <w:rsid w:val="002A2371"/>
    <w:rsid w:val="002A239B"/>
    <w:rsid w:val="002A27B3"/>
    <w:rsid w:val="002A2857"/>
    <w:rsid w:val="002A2923"/>
    <w:rsid w:val="002A2A10"/>
    <w:rsid w:val="002A2D9A"/>
    <w:rsid w:val="002A33FA"/>
    <w:rsid w:val="002A3585"/>
    <w:rsid w:val="002A393D"/>
    <w:rsid w:val="002A39BF"/>
    <w:rsid w:val="002A3B5F"/>
    <w:rsid w:val="002A3D25"/>
    <w:rsid w:val="002A4325"/>
    <w:rsid w:val="002A4764"/>
    <w:rsid w:val="002A4A4C"/>
    <w:rsid w:val="002A544F"/>
    <w:rsid w:val="002A580F"/>
    <w:rsid w:val="002A58C3"/>
    <w:rsid w:val="002A5AED"/>
    <w:rsid w:val="002A5E18"/>
    <w:rsid w:val="002A637C"/>
    <w:rsid w:val="002A673A"/>
    <w:rsid w:val="002A7113"/>
    <w:rsid w:val="002A7310"/>
    <w:rsid w:val="002A77C9"/>
    <w:rsid w:val="002A7DE7"/>
    <w:rsid w:val="002B00EE"/>
    <w:rsid w:val="002B0332"/>
    <w:rsid w:val="002B03C7"/>
    <w:rsid w:val="002B07E8"/>
    <w:rsid w:val="002B0D96"/>
    <w:rsid w:val="002B107F"/>
    <w:rsid w:val="002B10E4"/>
    <w:rsid w:val="002B127E"/>
    <w:rsid w:val="002B12E1"/>
    <w:rsid w:val="002B1730"/>
    <w:rsid w:val="002B1B78"/>
    <w:rsid w:val="002B2307"/>
    <w:rsid w:val="002B2490"/>
    <w:rsid w:val="002B24A6"/>
    <w:rsid w:val="002B2843"/>
    <w:rsid w:val="002B2D49"/>
    <w:rsid w:val="002B2D8D"/>
    <w:rsid w:val="002B2F15"/>
    <w:rsid w:val="002B2F49"/>
    <w:rsid w:val="002B3069"/>
    <w:rsid w:val="002B3381"/>
    <w:rsid w:val="002B3439"/>
    <w:rsid w:val="002B3444"/>
    <w:rsid w:val="002B3704"/>
    <w:rsid w:val="002B3A39"/>
    <w:rsid w:val="002B3A3A"/>
    <w:rsid w:val="002B3AB4"/>
    <w:rsid w:val="002B3CD8"/>
    <w:rsid w:val="002B3E10"/>
    <w:rsid w:val="002B4281"/>
    <w:rsid w:val="002B4726"/>
    <w:rsid w:val="002B4751"/>
    <w:rsid w:val="002B48DF"/>
    <w:rsid w:val="002B4A28"/>
    <w:rsid w:val="002B4C95"/>
    <w:rsid w:val="002B4D5C"/>
    <w:rsid w:val="002B4FB3"/>
    <w:rsid w:val="002B5296"/>
    <w:rsid w:val="002B54C6"/>
    <w:rsid w:val="002B5B5E"/>
    <w:rsid w:val="002B5F47"/>
    <w:rsid w:val="002B602C"/>
    <w:rsid w:val="002B6670"/>
    <w:rsid w:val="002B677C"/>
    <w:rsid w:val="002B6CFC"/>
    <w:rsid w:val="002B7018"/>
    <w:rsid w:val="002B75B3"/>
    <w:rsid w:val="002B77F2"/>
    <w:rsid w:val="002B79A7"/>
    <w:rsid w:val="002B7A1A"/>
    <w:rsid w:val="002B7BBF"/>
    <w:rsid w:val="002B7D2E"/>
    <w:rsid w:val="002B7E7B"/>
    <w:rsid w:val="002B7EF8"/>
    <w:rsid w:val="002C00E8"/>
    <w:rsid w:val="002C01C2"/>
    <w:rsid w:val="002C03BC"/>
    <w:rsid w:val="002C05BD"/>
    <w:rsid w:val="002C0A66"/>
    <w:rsid w:val="002C0E71"/>
    <w:rsid w:val="002C10FE"/>
    <w:rsid w:val="002C1144"/>
    <w:rsid w:val="002C1345"/>
    <w:rsid w:val="002C14FA"/>
    <w:rsid w:val="002C16B3"/>
    <w:rsid w:val="002C17CD"/>
    <w:rsid w:val="002C1CD0"/>
    <w:rsid w:val="002C2027"/>
    <w:rsid w:val="002C2550"/>
    <w:rsid w:val="002C2A93"/>
    <w:rsid w:val="002C2B53"/>
    <w:rsid w:val="002C2B80"/>
    <w:rsid w:val="002C2FC9"/>
    <w:rsid w:val="002C31B0"/>
    <w:rsid w:val="002C34D0"/>
    <w:rsid w:val="002C36AE"/>
    <w:rsid w:val="002C38A5"/>
    <w:rsid w:val="002C3D3E"/>
    <w:rsid w:val="002C3D79"/>
    <w:rsid w:val="002C4889"/>
    <w:rsid w:val="002C4F86"/>
    <w:rsid w:val="002C5330"/>
    <w:rsid w:val="002C5471"/>
    <w:rsid w:val="002C5629"/>
    <w:rsid w:val="002C5677"/>
    <w:rsid w:val="002C56B1"/>
    <w:rsid w:val="002C585E"/>
    <w:rsid w:val="002C5D7C"/>
    <w:rsid w:val="002C626B"/>
    <w:rsid w:val="002C6539"/>
    <w:rsid w:val="002C6B3C"/>
    <w:rsid w:val="002C6D0C"/>
    <w:rsid w:val="002C6F87"/>
    <w:rsid w:val="002C7406"/>
    <w:rsid w:val="002C78F4"/>
    <w:rsid w:val="002C7919"/>
    <w:rsid w:val="002D00B6"/>
    <w:rsid w:val="002D01A6"/>
    <w:rsid w:val="002D0A61"/>
    <w:rsid w:val="002D1154"/>
    <w:rsid w:val="002D12CC"/>
    <w:rsid w:val="002D16CD"/>
    <w:rsid w:val="002D209D"/>
    <w:rsid w:val="002D26CE"/>
    <w:rsid w:val="002D2749"/>
    <w:rsid w:val="002D27DB"/>
    <w:rsid w:val="002D2F03"/>
    <w:rsid w:val="002D311F"/>
    <w:rsid w:val="002D3C0F"/>
    <w:rsid w:val="002D40FB"/>
    <w:rsid w:val="002D4447"/>
    <w:rsid w:val="002D4B7E"/>
    <w:rsid w:val="002D5CBF"/>
    <w:rsid w:val="002D5D51"/>
    <w:rsid w:val="002D5E2C"/>
    <w:rsid w:val="002D62A9"/>
    <w:rsid w:val="002D63BE"/>
    <w:rsid w:val="002D6651"/>
    <w:rsid w:val="002D6D6F"/>
    <w:rsid w:val="002D6ED3"/>
    <w:rsid w:val="002D6EF4"/>
    <w:rsid w:val="002D7369"/>
    <w:rsid w:val="002D7729"/>
    <w:rsid w:val="002D7769"/>
    <w:rsid w:val="002D7932"/>
    <w:rsid w:val="002E073B"/>
    <w:rsid w:val="002E0886"/>
    <w:rsid w:val="002E08BF"/>
    <w:rsid w:val="002E0E23"/>
    <w:rsid w:val="002E13F0"/>
    <w:rsid w:val="002E1560"/>
    <w:rsid w:val="002E1602"/>
    <w:rsid w:val="002E1701"/>
    <w:rsid w:val="002E179D"/>
    <w:rsid w:val="002E22CF"/>
    <w:rsid w:val="002E2345"/>
    <w:rsid w:val="002E247F"/>
    <w:rsid w:val="002E2951"/>
    <w:rsid w:val="002E2CE1"/>
    <w:rsid w:val="002E2CF7"/>
    <w:rsid w:val="002E2CFD"/>
    <w:rsid w:val="002E3087"/>
    <w:rsid w:val="002E30B9"/>
    <w:rsid w:val="002E35BF"/>
    <w:rsid w:val="002E3772"/>
    <w:rsid w:val="002E3A99"/>
    <w:rsid w:val="002E3B50"/>
    <w:rsid w:val="002E3E85"/>
    <w:rsid w:val="002E4294"/>
    <w:rsid w:val="002E42CE"/>
    <w:rsid w:val="002E47FF"/>
    <w:rsid w:val="002E49EB"/>
    <w:rsid w:val="002E5090"/>
    <w:rsid w:val="002E55A6"/>
    <w:rsid w:val="002E5644"/>
    <w:rsid w:val="002E5A5D"/>
    <w:rsid w:val="002E6375"/>
    <w:rsid w:val="002E641B"/>
    <w:rsid w:val="002E684B"/>
    <w:rsid w:val="002E6A65"/>
    <w:rsid w:val="002E6ABD"/>
    <w:rsid w:val="002E6B1C"/>
    <w:rsid w:val="002E6C52"/>
    <w:rsid w:val="002E6C7F"/>
    <w:rsid w:val="002E711C"/>
    <w:rsid w:val="002E7260"/>
    <w:rsid w:val="002E7413"/>
    <w:rsid w:val="002E7B69"/>
    <w:rsid w:val="002E7D3D"/>
    <w:rsid w:val="002E7E9E"/>
    <w:rsid w:val="002F00AA"/>
    <w:rsid w:val="002F02D8"/>
    <w:rsid w:val="002F0507"/>
    <w:rsid w:val="002F0E9B"/>
    <w:rsid w:val="002F11BC"/>
    <w:rsid w:val="002F125C"/>
    <w:rsid w:val="002F1328"/>
    <w:rsid w:val="002F18B5"/>
    <w:rsid w:val="002F1A9A"/>
    <w:rsid w:val="002F1BBC"/>
    <w:rsid w:val="002F23EF"/>
    <w:rsid w:val="002F254C"/>
    <w:rsid w:val="002F304A"/>
    <w:rsid w:val="002F3097"/>
    <w:rsid w:val="002F30F9"/>
    <w:rsid w:val="002F311E"/>
    <w:rsid w:val="002F31F8"/>
    <w:rsid w:val="002F34A4"/>
    <w:rsid w:val="002F3587"/>
    <w:rsid w:val="002F35DC"/>
    <w:rsid w:val="002F3B5E"/>
    <w:rsid w:val="002F3F96"/>
    <w:rsid w:val="002F411D"/>
    <w:rsid w:val="002F452F"/>
    <w:rsid w:val="002F45DC"/>
    <w:rsid w:val="002F47D3"/>
    <w:rsid w:val="002F4940"/>
    <w:rsid w:val="002F4DA7"/>
    <w:rsid w:val="002F4EA8"/>
    <w:rsid w:val="002F5A3D"/>
    <w:rsid w:val="002F5D1A"/>
    <w:rsid w:val="002F5D6E"/>
    <w:rsid w:val="002F5E55"/>
    <w:rsid w:val="002F6078"/>
    <w:rsid w:val="002F62D4"/>
    <w:rsid w:val="002F68C1"/>
    <w:rsid w:val="002F6E92"/>
    <w:rsid w:val="002F6ECB"/>
    <w:rsid w:val="002F700B"/>
    <w:rsid w:val="002F7546"/>
    <w:rsid w:val="002F76B6"/>
    <w:rsid w:val="002F78BC"/>
    <w:rsid w:val="002F7C26"/>
    <w:rsid w:val="002F7FB1"/>
    <w:rsid w:val="0030027D"/>
    <w:rsid w:val="003002A1"/>
    <w:rsid w:val="0030030A"/>
    <w:rsid w:val="0030049E"/>
    <w:rsid w:val="003004C0"/>
    <w:rsid w:val="00300CF5"/>
    <w:rsid w:val="003013A1"/>
    <w:rsid w:val="0030165A"/>
    <w:rsid w:val="003016B1"/>
    <w:rsid w:val="00301B93"/>
    <w:rsid w:val="00301E38"/>
    <w:rsid w:val="00301E56"/>
    <w:rsid w:val="00301FBD"/>
    <w:rsid w:val="0030202C"/>
    <w:rsid w:val="00302058"/>
    <w:rsid w:val="003022F9"/>
    <w:rsid w:val="0030277E"/>
    <w:rsid w:val="00302C16"/>
    <w:rsid w:val="003032A6"/>
    <w:rsid w:val="003032C6"/>
    <w:rsid w:val="0030336E"/>
    <w:rsid w:val="0030337A"/>
    <w:rsid w:val="00303BC8"/>
    <w:rsid w:val="00303D48"/>
    <w:rsid w:val="00303DE6"/>
    <w:rsid w:val="0030404B"/>
    <w:rsid w:val="00304197"/>
    <w:rsid w:val="003043B3"/>
    <w:rsid w:val="00304671"/>
    <w:rsid w:val="0030484E"/>
    <w:rsid w:val="003048F8"/>
    <w:rsid w:val="00304D04"/>
    <w:rsid w:val="00304DBF"/>
    <w:rsid w:val="00305022"/>
    <w:rsid w:val="003052C3"/>
    <w:rsid w:val="003059C9"/>
    <w:rsid w:val="00305ADE"/>
    <w:rsid w:val="00305C72"/>
    <w:rsid w:val="003063DE"/>
    <w:rsid w:val="0030648F"/>
    <w:rsid w:val="003064CA"/>
    <w:rsid w:val="003065E3"/>
    <w:rsid w:val="00306D5B"/>
    <w:rsid w:val="00306D60"/>
    <w:rsid w:val="00306DFA"/>
    <w:rsid w:val="00306F35"/>
    <w:rsid w:val="00307246"/>
    <w:rsid w:val="00307A43"/>
    <w:rsid w:val="00307E76"/>
    <w:rsid w:val="00307E9B"/>
    <w:rsid w:val="003101E9"/>
    <w:rsid w:val="0031031E"/>
    <w:rsid w:val="003107B8"/>
    <w:rsid w:val="00310B30"/>
    <w:rsid w:val="00310C14"/>
    <w:rsid w:val="00310EAB"/>
    <w:rsid w:val="00310FC6"/>
    <w:rsid w:val="003110B7"/>
    <w:rsid w:val="00311122"/>
    <w:rsid w:val="00311750"/>
    <w:rsid w:val="003119D3"/>
    <w:rsid w:val="00311B03"/>
    <w:rsid w:val="00311F16"/>
    <w:rsid w:val="00311F8F"/>
    <w:rsid w:val="00311FA5"/>
    <w:rsid w:val="00312169"/>
    <w:rsid w:val="00312279"/>
    <w:rsid w:val="00312793"/>
    <w:rsid w:val="003127C7"/>
    <w:rsid w:val="003127D2"/>
    <w:rsid w:val="00312A39"/>
    <w:rsid w:val="003133F3"/>
    <w:rsid w:val="00313462"/>
    <w:rsid w:val="003136B6"/>
    <w:rsid w:val="00313A0F"/>
    <w:rsid w:val="00313EB7"/>
    <w:rsid w:val="0031408E"/>
    <w:rsid w:val="003143B5"/>
    <w:rsid w:val="00314913"/>
    <w:rsid w:val="00314989"/>
    <w:rsid w:val="00314F00"/>
    <w:rsid w:val="00315023"/>
    <w:rsid w:val="0031502A"/>
    <w:rsid w:val="003150E1"/>
    <w:rsid w:val="00315186"/>
    <w:rsid w:val="003154C8"/>
    <w:rsid w:val="00315A0A"/>
    <w:rsid w:val="00316096"/>
    <w:rsid w:val="00316438"/>
    <w:rsid w:val="00316668"/>
    <w:rsid w:val="00316FA7"/>
    <w:rsid w:val="00316FF3"/>
    <w:rsid w:val="0031704A"/>
    <w:rsid w:val="00317613"/>
    <w:rsid w:val="00317ACD"/>
    <w:rsid w:val="00317C4D"/>
    <w:rsid w:val="00317CAE"/>
    <w:rsid w:val="00317DDC"/>
    <w:rsid w:val="00320112"/>
    <w:rsid w:val="003208F2"/>
    <w:rsid w:val="00320EEA"/>
    <w:rsid w:val="00320F0E"/>
    <w:rsid w:val="00321310"/>
    <w:rsid w:val="00321611"/>
    <w:rsid w:val="003217BF"/>
    <w:rsid w:val="0032181E"/>
    <w:rsid w:val="00321AF2"/>
    <w:rsid w:val="00321F74"/>
    <w:rsid w:val="0032206E"/>
    <w:rsid w:val="003221E9"/>
    <w:rsid w:val="0032236C"/>
    <w:rsid w:val="00322983"/>
    <w:rsid w:val="00322B67"/>
    <w:rsid w:val="00322BD3"/>
    <w:rsid w:val="00322CF3"/>
    <w:rsid w:val="003232EB"/>
    <w:rsid w:val="003233C9"/>
    <w:rsid w:val="0032364F"/>
    <w:rsid w:val="00323C01"/>
    <w:rsid w:val="00323D6D"/>
    <w:rsid w:val="0032451D"/>
    <w:rsid w:val="0032452C"/>
    <w:rsid w:val="0032506A"/>
    <w:rsid w:val="00325445"/>
    <w:rsid w:val="00325BB1"/>
    <w:rsid w:val="00325E85"/>
    <w:rsid w:val="0032611A"/>
    <w:rsid w:val="00326124"/>
    <w:rsid w:val="003261B6"/>
    <w:rsid w:val="0032629A"/>
    <w:rsid w:val="003268AB"/>
    <w:rsid w:val="00326976"/>
    <w:rsid w:val="00326BEA"/>
    <w:rsid w:val="00326D2C"/>
    <w:rsid w:val="00326E72"/>
    <w:rsid w:val="0032775D"/>
    <w:rsid w:val="00327856"/>
    <w:rsid w:val="00327F3B"/>
    <w:rsid w:val="00330237"/>
    <w:rsid w:val="00330307"/>
    <w:rsid w:val="00330537"/>
    <w:rsid w:val="003305F6"/>
    <w:rsid w:val="00330BDB"/>
    <w:rsid w:val="00330E58"/>
    <w:rsid w:val="00331490"/>
    <w:rsid w:val="003316C6"/>
    <w:rsid w:val="00331754"/>
    <w:rsid w:val="003318AA"/>
    <w:rsid w:val="00331E33"/>
    <w:rsid w:val="0033210A"/>
    <w:rsid w:val="003325E3"/>
    <w:rsid w:val="00332843"/>
    <w:rsid w:val="00332897"/>
    <w:rsid w:val="0033290E"/>
    <w:rsid w:val="00332C28"/>
    <w:rsid w:val="00332E7E"/>
    <w:rsid w:val="0033388E"/>
    <w:rsid w:val="00333F67"/>
    <w:rsid w:val="003342F3"/>
    <w:rsid w:val="00334604"/>
    <w:rsid w:val="00334C4A"/>
    <w:rsid w:val="00334EA6"/>
    <w:rsid w:val="003350E6"/>
    <w:rsid w:val="00335593"/>
    <w:rsid w:val="00335DE9"/>
    <w:rsid w:val="00336064"/>
    <w:rsid w:val="0033624E"/>
    <w:rsid w:val="00336768"/>
    <w:rsid w:val="00336DD9"/>
    <w:rsid w:val="00337409"/>
    <w:rsid w:val="00337699"/>
    <w:rsid w:val="003378DD"/>
    <w:rsid w:val="00337B48"/>
    <w:rsid w:val="00341066"/>
    <w:rsid w:val="003414FB"/>
    <w:rsid w:val="0034150E"/>
    <w:rsid w:val="003417EA"/>
    <w:rsid w:val="00341827"/>
    <w:rsid w:val="003418AA"/>
    <w:rsid w:val="00341B4F"/>
    <w:rsid w:val="00341E2A"/>
    <w:rsid w:val="00341F4C"/>
    <w:rsid w:val="00343139"/>
    <w:rsid w:val="003432F4"/>
    <w:rsid w:val="00343343"/>
    <w:rsid w:val="00343566"/>
    <w:rsid w:val="00343733"/>
    <w:rsid w:val="0034414D"/>
    <w:rsid w:val="0034442A"/>
    <w:rsid w:val="0034475A"/>
    <w:rsid w:val="00344809"/>
    <w:rsid w:val="00344A4C"/>
    <w:rsid w:val="00345147"/>
    <w:rsid w:val="003451D6"/>
    <w:rsid w:val="003454F2"/>
    <w:rsid w:val="003459A8"/>
    <w:rsid w:val="00345C00"/>
    <w:rsid w:val="00345C18"/>
    <w:rsid w:val="0034665E"/>
    <w:rsid w:val="00346AC6"/>
    <w:rsid w:val="00346D0E"/>
    <w:rsid w:val="00347003"/>
    <w:rsid w:val="0034719F"/>
    <w:rsid w:val="00347516"/>
    <w:rsid w:val="0034751B"/>
    <w:rsid w:val="00347619"/>
    <w:rsid w:val="003476DC"/>
    <w:rsid w:val="0034775C"/>
    <w:rsid w:val="00347BDF"/>
    <w:rsid w:val="00347D38"/>
    <w:rsid w:val="00347DAF"/>
    <w:rsid w:val="00350128"/>
    <w:rsid w:val="00350566"/>
    <w:rsid w:val="00350610"/>
    <w:rsid w:val="0035080B"/>
    <w:rsid w:val="003509F3"/>
    <w:rsid w:val="00351310"/>
    <w:rsid w:val="00351619"/>
    <w:rsid w:val="0035168A"/>
    <w:rsid w:val="0035172B"/>
    <w:rsid w:val="003518C9"/>
    <w:rsid w:val="003518F2"/>
    <w:rsid w:val="00351AFA"/>
    <w:rsid w:val="003522E9"/>
    <w:rsid w:val="0035265E"/>
    <w:rsid w:val="00353034"/>
    <w:rsid w:val="003534FA"/>
    <w:rsid w:val="00353511"/>
    <w:rsid w:val="00353923"/>
    <w:rsid w:val="00353A00"/>
    <w:rsid w:val="00353B28"/>
    <w:rsid w:val="00353D40"/>
    <w:rsid w:val="00354267"/>
    <w:rsid w:val="00354502"/>
    <w:rsid w:val="00355219"/>
    <w:rsid w:val="003553E4"/>
    <w:rsid w:val="003556EF"/>
    <w:rsid w:val="00355D6B"/>
    <w:rsid w:val="00355FB7"/>
    <w:rsid w:val="00356427"/>
    <w:rsid w:val="0035678A"/>
    <w:rsid w:val="00356C3A"/>
    <w:rsid w:val="00356CA7"/>
    <w:rsid w:val="00356DA3"/>
    <w:rsid w:val="00356DD3"/>
    <w:rsid w:val="00356F4F"/>
    <w:rsid w:val="0035735C"/>
    <w:rsid w:val="00357394"/>
    <w:rsid w:val="00357443"/>
    <w:rsid w:val="003574EA"/>
    <w:rsid w:val="0035750A"/>
    <w:rsid w:val="0035764F"/>
    <w:rsid w:val="00357715"/>
    <w:rsid w:val="00357B8F"/>
    <w:rsid w:val="00357F5D"/>
    <w:rsid w:val="00360031"/>
    <w:rsid w:val="003601F8"/>
    <w:rsid w:val="00360232"/>
    <w:rsid w:val="0036069E"/>
    <w:rsid w:val="00360BC8"/>
    <w:rsid w:val="00360F84"/>
    <w:rsid w:val="0036159A"/>
    <w:rsid w:val="003615CA"/>
    <w:rsid w:val="00361644"/>
    <w:rsid w:val="0036199C"/>
    <w:rsid w:val="00362497"/>
    <w:rsid w:val="00362637"/>
    <w:rsid w:val="003629BB"/>
    <w:rsid w:val="00362AEC"/>
    <w:rsid w:val="00362C89"/>
    <w:rsid w:val="00362D7C"/>
    <w:rsid w:val="00362DEC"/>
    <w:rsid w:val="00362F84"/>
    <w:rsid w:val="00362FC1"/>
    <w:rsid w:val="00363152"/>
    <w:rsid w:val="0036327A"/>
    <w:rsid w:val="003632DD"/>
    <w:rsid w:val="00363347"/>
    <w:rsid w:val="00363804"/>
    <w:rsid w:val="0036392B"/>
    <w:rsid w:val="00363A40"/>
    <w:rsid w:val="00363F4E"/>
    <w:rsid w:val="00363F57"/>
    <w:rsid w:val="00364284"/>
    <w:rsid w:val="003645EF"/>
    <w:rsid w:val="003647F5"/>
    <w:rsid w:val="00364872"/>
    <w:rsid w:val="00364C61"/>
    <w:rsid w:val="00364FDB"/>
    <w:rsid w:val="003653F9"/>
    <w:rsid w:val="003655F8"/>
    <w:rsid w:val="00365658"/>
    <w:rsid w:val="00365862"/>
    <w:rsid w:val="00365930"/>
    <w:rsid w:val="00365C34"/>
    <w:rsid w:val="00365D2A"/>
    <w:rsid w:val="0036613F"/>
    <w:rsid w:val="0036697F"/>
    <w:rsid w:val="00366D9F"/>
    <w:rsid w:val="0036718D"/>
    <w:rsid w:val="003678A2"/>
    <w:rsid w:val="00367D0F"/>
    <w:rsid w:val="003701AA"/>
    <w:rsid w:val="00370543"/>
    <w:rsid w:val="003709FB"/>
    <w:rsid w:val="00370A21"/>
    <w:rsid w:val="003712D8"/>
    <w:rsid w:val="0037197F"/>
    <w:rsid w:val="00371AA9"/>
    <w:rsid w:val="00371C3F"/>
    <w:rsid w:val="00372032"/>
    <w:rsid w:val="003723DA"/>
    <w:rsid w:val="00372A3D"/>
    <w:rsid w:val="00373212"/>
    <w:rsid w:val="0037341B"/>
    <w:rsid w:val="003739CE"/>
    <w:rsid w:val="00373AB1"/>
    <w:rsid w:val="00373BDC"/>
    <w:rsid w:val="00373CFC"/>
    <w:rsid w:val="003741D5"/>
    <w:rsid w:val="00374599"/>
    <w:rsid w:val="003747D6"/>
    <w:rsid w:val="00374B38"/>
    <w:rsid w:val="00374C33"/>
    <w:rsid w:val="00374D51"/>
    <w:rsid w:val="00374E75"/>
    <w:rsid w:val="00374EBD"/>
    <w:rsid w:val="003750E4"/>
    <w:rsid w:val="0037513B"/>
    <w:rsid w:val="0037516C"/>
    <w:rsid w:val="003753EB"/>
    <w:rsid w:val="00375505"/>
    <w:rsid w:val="00375898"/>
    <w:rsid w:val="00375F22"/>
    <w:rsid w:val="00376019"/>
    <w:rsid w:val="00376072"/>
    <w:rsid w:val="00376121"/>
    <w:rsid w:val="0037614F"/>
    <w:rsid w:val="00376274"/>
    <w:rsid w:val="00376534"/>
    <w:rsid w:val="0037691F"/>
    <w:rsid w:val="00376934"/>
    <w:rsid w:val="00376D35"/>
    <w:rsid w:val="00377154"/>
    <w:rsid w:val="00377603"/>
    <w:rsid w:val="00377929"/>
    <w:rsid w:val="00377B72"/>
    <w:rsid w:val="003802B3"/>
    <w:rsid w:val="003805C4"/>
    <w:rsid w:val="00380CB6"/>
    <w:rsid w:val="00380D2A"/>
    <w:rsid w:val="00380E2C"/>
    <w:rsid w:val="00380E9B"/>
    <w:rsid w:val="00381104"/>
    <w:rsid w:val="00381213"/>
    <w:rsid w:val="00381556"/>
    <w:rsid w:val="0038159B"/>
    <w:rsid w:val="00381980"/>
    <w:rsid w:val="00381B3D"/>
    <w:rsid w:val="00381F42"/>
    <w:rsid w:val="00382001"/>
    <w:rsid w:val="0038221E"/>
    <w:rsid w:val="0038279F"/>
    <w:rsid w:val="003828AE"/>
    <w:rsid w:val="003829B0"/>
    <w:rsid w:val="00382C1C"/>
    <w:rsid w:val="00382F0B"/>
    <w:rsid w:val="00382FEF"/>
    <w:rsid w:val="00383486"/>
    <w:rsid w:val="0038366C"/>
    <w:rsid w:val="00383998"/>
    <w:rsid w:val="00383A43"/>
    <w:rsid w:val="00383D12"/>
    <w:rsid w:val="0038413F"/>
    <w:rsid w:val="00384147"/>
    <w:rsid w:val="003844B4"/>
    <w:rsid w:val="00384B25"/>
    <w:rsid w:val="00384B8C"/>
    <w:rsid w:val="00385067"/>
    <w:rsid w:val="00385346"/>
    <w:rsid w:val="00385468"/>
    <w:rsid w:val="00385672"/>
    <w:rsid w:val="00385932"/>
    <w:rsid w:val="003859C9"/>
    <w:rsid w:val="00385B85"/>
    <w:rsid w:val="00385C4B"/>
    <w:rsid w:val="00385E3E"/>
    <w:rsid w:val="00386747"/>
    <w:rsid w:val="00386A1F"/>
    <w:rsid w:val="0038709C"/>
    <w:rsid w:val="003871BF"/>
    <w:rsid w:val="00387835"/>
    <w:rsid w:val="00387B6B"/>
    <w:rsid w:val="00387D58"/>
    <w:rsid w:val="00387F96"/>
    <w:rsid w:val="0039059D"/>
    <w:rsid w:val="00390647"/>
    <w:rsid w:val="00390929"/>
    <w:rsid w:val="00390962"/>
    <w:rsid w:val="00390C80"/>
    <w:rsid w:val="003911F9"/>
    <w:rsid w:val="00391B11"/>
    <w:rsid w:val="00391E01"/>
    <w:rsid w:val="00392493"/>
    <w:rsid w:val="00392586"/>
    <w:rsid w:val="0039285C"/>
    <w:rsid w:val="00392B35"/>
    <w:rsid w:val="00392C8A"/>
    <w:rsid w:val="00392DC2"/>
    <w:rsid w:val="00392F59"/>
    <w:rsid w:val="00392FEF"/>
    <w:rsid w:val="00393993"/>
    <w:rsid w:val="003939FA"/>
    <w:rsid w:val="00393B8D"/>
    <w:rsid w:val="00393C8F"/>
    <w:rsid w:val="00393E69"/>
    <w:rsid w:val="00394128"/>
    <w:rsid w:val="003946B8"/>
    <w:rsid w:val="003948AB"/>
    <w:rsid w:val="00394B84"/>
    <w:rsid w:val="00394BAA"/>
    <w:rsid w:val="00394D9E"/>
    <w:rsid w:val="003952BF"/>
    <w:rsid w:val="00395629"/>
    <w:rsid w:val="0039563A"/>
    <w:rsid w:val="003956DC"/>
    <w:rsid w:val="003958EE"/>
    <w:rsid w:val="003958F2"/>
    <w:rsid w:val="00395F35"/>
    <w:rsid w:val="003960C5"/>
    <w:rsid w:val="003965D4"/>
    <w:rsid w:val="003969CE"/>
    <w:rsid w:val="00396E20"/>
    <w:rsid w:val="003971A1"/>
    <w:rsid w:val="003977E8"/>
    <w:rsid w:val="003978DD"/>
    <w:rsid w:val="003979E1"/>
    <w:rsid w:val="00397C1B"/>
    <w:rsid w:val="00397C6A"/>
    <w:rsid w:val="003A012E"/>
    <w:rsid w:val="003A0254"/>
    <w:rsid w:val="003A0408"/>
    <w:rsid w:val="003A0BD6"/>
    <w:rsid w:val="003A0C33"/>
    <w:rsid w:val="003A0C6B"/>
    <w:rsid w:val="003A0E0E"/>
    <w:rsid w:val="003A131D"/>
    <w:rsid w:val="003A13D6"/>
    <w:rsid w:val="003A1508"/>
    <w:rsid w:val="003A185F"/>
    <w:rsid w:val="003A1F6B"/>
    <w:rsid w:val="003A2270"/>
    <w:rsid w:val="003A2428"/>
    <w:rsid w:val="003A2532"/>
    <w:rsid w:val="003A2B05"/>
    <w:rsid w:val="003A2B17"/>
    <w:rsid w:val="003A2D6C"/>
    <w:rsid w:val="003A2EA6"/>
    <w:rsid w:val="003A3192"/>
    <w:rsid w:val="003A3827"/>
    <w:rsid w:val="003A3A12"/>
    <w:rsid w:val="003A3B56"/>
    <w:rsid w:val="003A3E17"/>
    <w:rsid w:val="003A40A2"/>
    <w:rsid w:val="003A4262"/>
    <w:rsid w:val="003A437A"/>
    <w:rsid w:val="003A44F0"/>
    <w:rsid w:val="003A45B1"/>
    <w:rsid w:val="003A4678"/>
    <w:rsid w:val="003A4832"/>
    <w:rsid w:val="003A4987"/>
    <w:rsid w:val="003A4ABE"/>
    <w:rsid w:val="003A51E7"/>
    <w:rsid w:val="003A560A"/>
    <w:rsid w:val="003A58A3"/>
    <w:rsid w:val="003A5928"/>
    <w:rsid w:val="003A5C00"/>
    <w:rsid w:val="003A5F4A"/>
    <w:rsid w:val="003A663D"/>
    <w:rsid w:val="003A6788"/>
    <w:rsid w:val="003A6AFF"/>
    <w:rsid w:val="003A6CB9"/>
    <w:rsid w:val="003A7016"/>
    <w:rsid w:val="003A75F0"/>
    <w:rsid w:val="003A7912"/>
    <w:rsid w:val="003A7B42"/>
    <w:rsid w:val="003B03AE"/>
    <w:rsid w:val="003B03C6"/>
    <w:rsid w:val="003B04A0"/>
    <w:rsid w:val="003B0AB5"/>
    <w:rsid w:val="003B0AF4"/>
    <w:rsid w:val="003B0B61"/>
    <w:rsid w:val="003B14B8"/>
    <w:rsid w:val="003B1751"/>
    <w:rsid w:val="003B22BD"/>
    <w:rsid w:val="003B24B7"/>
    <w:rsid w:val="003B30DF"/>
    <w:rsid w:val="003B3A2B"/>
    <w:rsid w:val="003B3CF0"/>
    <w:rsid w:val="003B4081"/>
    <w:rsid w:val="003B44AF"/>
    <w:rsid w:val="003B47CE"/>
    <w:rsid w:val="003B4E22"/>
    <w:rsid w:val="003B50B8"/>
    <w:rsid w:val="003B538A"/>
    <w:rsid w:val="003B5794"/>
    <w:rsid w:val="003B58A7"/>
    <w:rsid w:val="003B5C0A"/>
    <w:rsid w:val="003B5D4C"/>
    <w:rsid w:val="003B6127"/>
    <w:rsid w:val="003B632E"/>
    <w:rsid w:val="003B67C4"/>
    <w:rsid w:val="003B75C0"/>
    <w:rsid w:val="003B771A"/>
    <w:rsid w:val="003B7871"/>
    <w:rsid w:val="003B789E"/>
    <w:rsid w:val="003B7ECA"/>
    <w:rsid w:val="003C0416"/>
    <w:rsid w:val="003C0431"/>
    <w:rsid w:val="003C0461"/>
    <w:rsid w:val="003C0780"/>
    <w:rsid w:val="003C0DBC"/>
    <w:rsid w:val="003C0F9B"/>
    <w:rsid w:val="003C106B"/>
    <w:rsid w:val="003C1548"/>
    <w:rsid w:val="003C15AE"/>
    <w:rsid w:val="003C16E7"/>
    <w:rsid w:val="003C1AE6"/>
    <w:rsid w:val="003C1BED"/>
    <w:rsid w:val="003C1E46"/>
    <w:rsid w:val="003C2000"/>
    <w:rsid w:val="003C20D1"/>
    <w:rsid w:val="003C27AA"/>
    <w:rsid w:val="003C32ED"/>
    <w:rsid w:val="003C407D"/>
    <w:rsid w:val="003C43A8"/>
    <w:rsid w:val="003C442A"/>
    <w:rsid w:val="003C447A"/>
    <w:rsid w:val="003C5A66"/>
    <w:rsid w:val="003C5B86"/>
    <w:rsid w:val="003C60E0"/>
    <w:rsid w:val="003C673B"/>
    <w:rsid w:val="003C697A"/>
    <w:rsid w:val="003C6A3E"/>
    <w:rsid w:val="003C6F05"/>
    <w:rsid w:val="003C7078"/>
    <w:rsid w:val="003C7093"/>
    <w:rsid w:val="003C7109"/>
    <w:rsid w:val="003C7379"/>
    <w:rsid w:val="003C76B7"/>
    <w:rsid w:val="003C7D8A"/>
    <w:rsid w:val="003C7EC3"/>
    <w:rsid w:val="003D0082"/>
    <w:rsid w:val="003D0241"/>
    <w:rsid w:val="003D050C"/>
    <w:rsid w:val="003D064E"/>
    <w:rsid w:val="003D08EB"/>
    <w:rsid w:val="003D0A51"/>
    <w:rsid w:val="003D0CE7"/>
    <w:rsid w:val="003D0E4B"/>
    <w:rsid w:val="003D130F"/>
    <w:rsid w:val="003D140A"/>
    <w:rsid w:val="003D14B0"/>
    <w:rsid w:val="003D15DE"/>
    <w:rsid w:val="003D1C68"/>
    <w:rsid w:val="003D1EF6"/>
    <w:rsid w:val="003D20EC"/>
    <w:rsid w:val="003D2935"/>
    <w:rsid w:val="003D2CFC"/>
    <w:rsid w:val="003D2EF0"/>
    <w:rsid w:val="003D2FA4"/>
    <w:rsid w:val="003D30C2"/>
    <w:rsid w:val="003D357B"/>
    <w:rsid w:val="003D38FE"/>
    <w:rsid w:val="003D3F1A"/>
    <w:rsid w:val="003D4517"/>
    <w:rsid w:val="003D48BB"/>
    <w:rsid w:val="003D48EC"/>
    <w:rsid w:val="003D4F70"/>
    <w:rsid w:val="003D533C"/>
    <w:rsid w:val="003D55F2"/>
    <w:rsid w:val="003D561D"/>
    <w:rsid w:val="003D57F0"/>
    <w:rsid w:val="003D5BF2"/>
    <w:rsid w:val="003D5F2F"/>
    <w:rsid w:val="003D62D7"/>
    <w:rsid w:val="003D6477"/>
    <w:rsid w:val="003D66B7"/>
    <w:rsid w:val="003D69BD"/>
    <w:rsid w:val="003D6B8A"/>
    <w:rsid w:val="003D6F72"/>
    <w:rsid w:val="003D7066"/>
    <w:rsid w:val="003D717A"/>
    <w:rsid w:val="003D7255"/>
    <w:rsid w:val="003D75CC"/>
    <w:rsid w:val="003D7864"/>
    <w:rsid w:val="003D7A28"/>
    <w:rsid w:val="003D7AE6"/>
    <w:rsid w:val="003D7E8A"/>
    <w:rsid w:val="003E02D6"/>
    <w:rsid w:val="003E0526"/>
    <w:rsid w:val="003E0835"/>
    <w:rsid w:val="003E08B3"/>
    <w:rsid w:val="003E0C2E"/>
    <w:rsid w:val="003E1303"/>
    <w:rsid w:val="003E15AB"/>
    <w:rsid w:val="003E1668"/>
    <w:rsid w:val="003E17BA"/>
    <w:rsid w:val="003E18F1"/>
    <w:rsid w:val="003E19A1"/>
    <w:rsid w:val="003E1B1F"/>
    <w:rsid w:val="003E1D79"/>
    <w:rsid w:val="003E2348"/>
    <w:rsid w:val="003E2833"/>
    <w:rsid w:val="003E2883"/>
    <w:rsid w:val="003E2B7B"/>
    <w:rsid w:val="003E2BEF"/>
    <w:rsid w:val="003E3267"/>
    <w:rsid w:val="003E332E"/>
    <w:rsid w:val="003E362A"/>
    <w:rsid w:val="003E3F12"/>
    <w:rsid w:val="003E3FC5"/>
    <w:rsid w:val="003E40A8"/>
    <w:rsid w:val="003E40D1"/>
    <w:rsid w:val="003E42AF"/>
    <w:rsid w:val="003E4775"/>
    <w:rsid w:val="003E4998"/>
    <w:rsid w:val="003E4A0E"/>
    <w:rsid w:val="003E4B70"/>
    <w:rsid w:val="003E4D55"/>
    <w:rsid w:val="003E4FB5"/>
    <w:rsid w:val="003E5540"/>
    <w:rsid w:val="003E5893"/>
    <w:rsid w:val="003E5C1E"/>
    <w:rsid w:val="003E5C4D"/>
    <w:rsid w:val="003E5D43"/>
    <w:rsid w:val="003E6240"/>
    <w:rsid w:val="003E6453"/>
    <w:rsid w:val="003E6941"/>
    <w:rsid w:val="003E6984"/>
    <w:rsid w:val="003E69A8"/>
    <w:rsid w:val="003E6CA0"/>
    <w:rsid w:val="003E6F5E"/>
    <w:rsid w:val="003E71D5"/>
    <w:rsid w:val="003E73E5"/>
    <w:rsid w:val="003E7521"/>
    <w:rsid w:val="003E77A0"/>
    <w:rsid w:val="003E79B8"/>
    <w:rsid w:val="003E7A82"/>
    <w:rsid w:val="003E7D66"/>
    <w:rsid w:val="003E7E01"/>
    <w:rsid w:val="003F0052"/>
    <w:rsid w:val="003F01EC"/>
    <w:rsid w:val="003F05B0"/>
    <w:rsid w:val="003F06C3"/>
    <w:rsid w:val="003F09F5"/>
    <w:rsid w:val="003F12AF"/>
    <w:rsid w:val="003F142F"/>
    <w:rsid w:val="003F1572"/>
    <w:rsid w:val="003F18E1"/>
    <w:rsid w:val="003F19F4"/>
    <w:rsid w:val="003F1A41"/>
    <w:rsid w:val="003F1B3B"/>
    <w:rsid w:val="003F1F57"/>
    <w:rsid w:val="003F2029"/>
    <w:rsid w:val="003F20A2"/>
    <w:rsid w:val="003F235A"/>
    <w:rsid w:val="003F2432"/>
    <w:rsid w:val="003F2C16"/>
    <w:rsid w:val="003F2CCF"/>
    <w:rsid w:val="003F2DC7"/>
    <w:rsid w:val="003F2DD6"/>
    <w:rsid w:val="003F2EEA"/>
    <w:rsid w:val="003F3052"/>
    <w:rsid w:val="003F30A9"/>
    <w:rsid w:val="003F3155"/>
    <w:rsid w:val="003F33BF"/>
    <w:rsid w:val="003F353D"/>
    <w:rsid w:val="003F36C6"/>
    <w:rsid w:val="003F3FAA"/>
    <w:rsid w:val="003F41B1"/>
    <w:rsid w:val="003F441B"/>
    <w:rsid w:val="003F4523"/>
    <w:rsid w:val="003F470B"/>
    <w:rsid w:val="003F4842"/>
    <w:rsid w:val="003F4D2C"/>
    <w:rsid w:val="003F4F31"/>
    <w:rsid w:val="003F55E9"/>
    <w:rsid w:val="003F5963"/>
    <w:rsid w:val="003F5A4C"/>
    <w:rsid w:val="003F5BB8"/>
    <w:rsid w:val="003F5E45"/>
    <w:rsid w:val="003F618D"/>
    <w:rsid w:val="003F6B5F"/>
    <w:rsid w:val="003F6E95"/>
    <w:rsid w:val="003F75BA"/>
    <w:rsid w:val="00400717"/>
    <w:rsid w:val="00400913"/>
    <w:rsid w:val="00400A0A"/>
    <w:rsid w:val="00400C3C"/>
    <w:rsid w:val="00400EB9"/>
    <w:rsid w:val="004010E0"/>
    <w:rsid w:val="004012A1"/>
    <w:rsid w:val="0040148F"/>
    <w:rsid w:val="00401845"/>
    <w:rsid w:val="00402311"/>
    <w:rsid w:val="00402677"/>
    <w:rsid w:val="00402760"/>
    <w:rsid w:val="00402C75"/>
    <w:rsid w:val="00403050"/>
    <w:rsid w:val="00403745"/>
    <w:rsid w:val="0040376A"/>
    <w:rsid w:val="0040377D"/>
    <w:rsid w:val="00403C18"/>
    <w:rsid w:val="00403FE4"/>
    <w:rsid w:val="004042F0"/>
    <w:rsid w:val="004042F3"/>
    <w:rsid w:val="004044AA"/>
    <w:rsid w:val="004044C4"/>
    <w:rsid w:val="00404643"/>
    <w:rsid w:val="00404683"/>
    <w:rsid w:val="00404747"/>
    <w:rsid w:val="00404B05"/>
    <w:rsid w:val="00404B63"/>
    <w:rsid w:val="00404D7C"/>
    <w:rsid w:val="00404E92"/>
    <w:rsid w:val="004053B9"/>
    <w:rsid w:val="00405731"/>
    <w:rsid w:val="00405805"/>
    <w:rsid w:val="00405AD6"/>
    <w:rsid w:val="00406317"/>
    <w:rsid w:val="00406431"/>
    <w:rsid w:val="00406524"/>
    <w:rsid w:val="0040752C"/>
    <w:rsid w:val="004075BE"/>
    <w:rsid w:val="00407842"/>
    <w:rsid w:val="00407B48"/>
    <w:rsid w:val="00407C35"/>
    <w:rsid w:val="00407C38"/>
    <w:rsid w:val="00407E80"/>
    <w:rsid w:val="00407FE5"/>
    <w:rsid w:val="00410E08"/>
    <w:rsid w:val="0041137F"/>
    <w:rsid w:val="00412662"/>
    <w:rsid w:val="004127E0"/>
    <w:rsid w:val="004127F8"/>
    <w:rsid w:val="00412F1F"/>
    <w:rsid w:val="0041345E"/>
    <w:rsid w:val="004136CF"/>
    <w:rsid w:val="00413982"/>
    <w:rsid w:val="00413A87"/>
    <w:rsid w:val="00413B8E"/>
    <w:rsid w:val="00413F1D"/>
    <w:rsid w:val="0041410C"/>
    <w:rsid w:val="00414261"/>
    <w:rsid w:val="00415080"/>
    <w:rsid w:val="00415201"/>
    <w:rsid w:val="00415BAF"/>
    <w:rsid w:val="0041609B"/>
    <w:rsid w:val="004160BF"/>
    <w:rsid w:val="004166BE"/>
    <w:rsid w:val="004167BD"/>
    <w:rsid w:val="004176E3"/>
    <w:rsid w:val="004179D9"/>
    <w:rsid w:val="00417A8C"/>
    <w:rsid w:val="00420269"/>
    <w:rsid w:val="004206D9"/>
    <w:rsid w:val="004208D1"/>
    <w:rsid w:val="00420AF0"/>
    <w:rsid w:val="00420BE5"/>
    <w:rsid w:val="00420BE9"/>
    <w:rsid w:val="00420EC8"/>
    <w:rsid w:val="00420F9F"/>
    <w:rsid w:val="0042102F"/>
    <w:rsid w:val="0042109D"/>
    <w:rsid w:val="0042123A"/>
    <w:rsid w:val="00421391"/>
    <w:rsid w:val="0042157B"/>
    <w:rsid w:val="004219BC"/>
    <w:rsid w:val="00421B85"/>
    <w:rsid w:val="00421EBE"/>
    <w:rsid w:val="004222CD"/>
    <w:rsid w:val="00422569"/>
    <w:rsid w:val="0042286A"/>
    <w:rsid w:val="00422C69"/>
    <w:rsid w:val="0042307F"/>
    <w:rsid w:val="004230C5"/>
    <w:rsid w:val="004236A2"/>
    <w:rsid w:val="00423744"/>
    <w:rsid w:val="00423902"/>
    <w:rsid w:val="00423A29"/>
    <w:rsid w:val="00423D24"/>
    <w:rsid w:val="00423D3B"/>
    <w:rsid w:val="00424018"/>
    <w:rsid w:val="00424188"/>
    <w:rsid w:val="00424352"/>
    <w:rsid w:val="00424538"/>
    <w:rsid w:val="004245BE"/>
    <w:rsid w:val="00425DE0"/>
    <w:rsid w:val="00425FEA"/>
    <w:rsid w:val="00426281"/>
    <w:rsid w:val="004262F1"/>
    <w:rsid w:val="0042643F"/>
    <w:rsid w:val="00426818"/>
    <w:rsid w:val="00426BEE"/>
    <w:rsid w:val="00426C43"/>
    <w:rsid w:val="0042717F"/>
    <w:rsid w:val="0042734A"/>
    <w:rsid w:val="004273E8"/>
    <w:rsid w:val="00427596"/>
    <w:rsid w:val="004276C2"/>
    <w:rsid w:val="00427829"/>
    <w:rsid w:val="0042792D"/>
    <w:rsid w:val="004279AA"/>
    <w:rsid w:val="00427AED"/>
    <w:rsid w:val="00427BAF"/>
    <w:rsid w:val="00427C9F"/>
    <w:rsid w:val="0043027C"/>
    <w:rsid w:val="004309D0"/>
    <w:rsid w:val="00430A31"/>
    <w:rsid w:val="00430AE2"/>
    <w:rsid w:val="004317A7"/>
    <w:rsid w:val="004318E2"/>
    <w:rsid w:val="00431A20"/>
    <w:rsid w:val="00431C87"/>
    <w:rsid w:val="0043209F"/>
    <w:rsid w:val="00432278"/>
    <w:rsid w:val="004327E0"/>
    <w:rsid w:val="004330F6"/>
    <w:rsid w:val="00433309"/>
    <w:rsid w:val="004334D2"/>
    <w:rsid w:val="004336BA"/>
    <w:rsid w:val="004339F5"/>
    <w:rsid w:val="00433CC5"/>
    <w:rsid w:val="00433E50"/>
    <w:rsid w:val="00434355"/>
    <w:rsid w:val="00434447"/>
    <w:rsid w:val="0043449B"/>
    <w:rsid w:val="0043471D"/>
    <w:rsid w:val="004349E1"/>
    <w:rsid w:val="00434B2F"/>
    <w:rsid w:val="00434CF7"/>
    <w:rsid w:val="00434D18"/>
    <w:rsid w:val="00434D89"/>
    <w:rsid w:val="00434E08"/>
    <w:rsid w:val="00434FC7"/>
    <w:rsid w:val="004354ED"/>
    <w:rsid w:val="004357D6"/>
    <w:rsid w:val="00435915"/>
    <w:rsid w:val="00435998"/>
    <w:rsid w:val="00435AEE"/>
    <w:rsid w:val="00435F6E"/>
    <w:rsid w:val="004361A7"/>
    <w:rsid w:val="00436614"/>
    <w:rsid w:val="004368A6"/>
    <w:rsid w:val="00436B74"/>
    <w:rsid w:val="00436E5A"/>
    <w:rsid w:val="00436EB4"/>
    <w:rsid w:val="00437342"/>
    <w:rsid w:val="00437446"/>
    <w:rsid w:val="00437813"/>
    <w:rsid w:val="004400DB"/>
    <w:rsid w:val="00440139"/>
    <w:rsid w:val="00440336"/>
    <w:rsid w:val="0044040B"/>
    <w:rsid w:val="004407A5"/>
    <w:rsid w:val="00440CD7"/>
    <w:rsid w:val="004416ED"/>
    <w:rsid w:val="00441A74"/>
    <w:rsid w:val="00441FCA"/>
    <w:rsid w:val="0044221A"/>
    <w:rsid w:val="0044276B"/>
    <w:rsid w:val="00442B6B"/>
    <w:rsid w:val="0044351B"/>
    <w:rsid w:val="00443616"/>
    <w:rsid w:val="004439D4"/>
    <w:rsid w:val="00443ACC"/>
    <w:rsid w:val="00443BAB"/>
    <w:rsid w:val="00443C2E"/>
    <w:rsid w:val="00443F54"/>
    <w:rsid w:val="00444757"/>
    <w:rsid w:val="00444873"/>
    <w:rsid w:val="00444B8D"/>
    <w:rsid w:val="00444C94"/>
    <w:rsid w:val="00444D7D"/>
    <w:rsid w:val="00444D9B"/>
    <w:rsid w:val="00444F33"/>
    <w:rsid w:val="0044505B"/>
    <w:rsid w:val="0044569B"/>
    <w:rsid w:val="0044575E"/>
    <w:rsid w:val="00445EA7"/>
    <w:rsid w:val="004460A0"/>
    <w:rsid w:val="00446282"/>
    <w:rsid w:val="004463AB"/>
    <w:rsid w:val="00446451"/>
    <w:rsid w:val="00446915"/>
    <w:rsid w:val="00446A25"/>
    <w:rsid w:val="00446BC7"/>
    <w:rsid w:val="0044749B"/>
    <w:rsid w:val="004474EA"/>
    <w:rsid w:val="0044772B"/>
    <w:rsid w:val="00450336"/>
    <w:rsid w:val="0045051C"/>
    <w:rsid w:val="0045082A"/>
    <w:rsid w:val="004509A3"/>
    <w:rsid w:val="00450A71"/>
    <w:rsid w:val="00450C06"/>
    <w:rsid w:val="00450CCC"/>
    <w:rsid w:val="00450CE1"/>
    <w:rsid w:val="0045123A"/>
    <w:rsid w:val="00451806"/>
    <w:rsid w:val="00451E2C"/>
    <w:rsid w:val="00451F87"/>
    <w:rsid w:val="00452268"/>
    <w:rsid w:val="0045261B"/>
    <w:rsid w:val="004527C2"/>
    <w:rsid w:val="00452D93"/>
    <w:rsid w:val="00452F97"/>
    <w:rsid w:val="004532AB"/>
    <w:rsid w:val="00453421"/>
    <w:rsid w:val="0045350B"/>
    <w:rsid w:val="0045385A"/>
    <w:rsid w:val="00454052"/>
    <w:rsid w:val="00454BAA"/>
    <w:rsid w:val="0045569A"/>
    <w:rsid w:val="004557D3"/>
    <w:rsid w:val="00455DB7"/>
    <w:rsid w:val="0045682D"/>
    <w:rsid w:val="00456C9A"/>
    <w:rsid w:val="00456D85"/>
    <w:rsid w:val="00456E54"/>
    <w:rsid w:val="00456F20"/>
    <w:rsid w:val="0045701F"/>
    <w:rsid w:val="0045753D"/>
    <w:rsid w:val="0045759F"/>
    <w:rsid w:val="0045770C"/>
    <w:rsid w:val="004577C1"/>
    <w:rsid w:val="004577D4"/>
    <w:rsid w:val="00457CBE"/>
    <w:rsid w:val="0046006C"/>
    <w:rsid w:val="004605EA"/>
    <w:rsid w:val="00460987"/>
    <w:rsid w:val="00461282"/>
    <w:rsid w:val="004618C6"/>
    <w:rsid w:val="004619EB"/>
    <w:rsid w:val="00461A95"/>
    <w:rsid w:val="00461C34"/>
    <w:rsid w:val="00461C4A"/>
    <w:rsid w:val="00461E5F"/>
    <w:rsid w:val="00462130"/>
    <w:rsid w:val="0046262C"/>
    <w:rsid w:val="0046270E"/>
    <w:rsid w:val="00462F75"/>
    <w:rsid w:val="0046362A"/>
    <w:rsid w:val="0046373E"/>
    <w:rsid w:val="00464288"/>
    <w:rsid w:val="004644C6"/>
    <w:rsid w:val="00464F74"/>
    <w:rsid w:val="00465184"/>
    <w:rsid w:val="00465639"/>
    <w:rsid w:val="00465B60"/>
    <w:rsid w:val="00465D72"/>
    <w:rsid w:val="00465F02"/>
    <w:rsid w:val="00466373"/>
    <w:rsid w:val="0046641F"/>
    <w:rsid w:val="0046664D"/>
    <w:rsid w:val="004668C9"/>
    <w:rsid w:val="00466A1A"/>
    <w:rsid w:val="00467233"/>
    <w:rsid w:val="00467253"/>
    <w:rsid w:val="0046766A"/>
    <w:rsid w:val="00467891"/>
    <w:rsid w:val="00467C5C"/>
    <w:rsid w:val="004702F1"/>
    <w:rsid w:val="0047057D"/>
    <w:rsid w:val="0047086A"/>
    <w:rsid w:val="00470B72"/>
    <w:rsid w:val="00470C58"/>
    <w:rsid w:val="00471318"/>
    <w:rsid w:val="00471323"/>
    <w:rsid w:val="0047148B"/>
    <w:rsid w:val="004715B3"/>
    <w:rsid w:val="00471CC2"/>
    <w:rsid w:val="00471D07"/>
    <w:rsid w:val="0047201F"/>
    <w:rsid w:val="00472187"/>
    <w:rsid w:val="00472A99"/>
    <w:rsid w:val="00472D07"/>
    <w:rsid w:val="00472FEC"/>
    <w:rsid w:val="00473098"/>
    <w:rsid w:val="00473AD5"/>
    <w:rsid w:val="004740BC"/>
    <w:rsid w:val="00475365"/>
    <w:rsid w:val="004755F7"/>
    <w:rsid w:val="00475721"/>
    <w:rsid w:val="00475CE6"/>
    <w:rsid w:val="00475D4B"/>
    <w:rsid w:val="004760C9"/>
    <w:rsid w:val="0047636F"/>
    <w:rsid w:val="004765E2"/>
    <w:rsid w:val="0047689C"/>
    <w:rsid w:val="004769CF"/>
    <w:rsid w:val="00476C3C"/>
    <w:rsid w:val="00476EA4"/>
    <w:rsid w:val="004771DB"/>
    <w:rsid w:val="00477416"/>
    <w:rsid w:val="004774CE"/>
    <w:rsid w:val="0047786F"/>
    <w:rsid w:val="00477AD0"/>
    <w:rsid w:val="0048002E"/>
    <w:rsid w:val="0048026D"/>
    <w:rsid w:val="00480423"/>
    <w:rsid w:val="00480441"/>
    <w:rsid w:val="0048063A"/>
    <w:rsid w:val="00480BB5"/>
    <w:rsid w:val="00481085"/>
    <w:rsid w:val="0048162B"/>
    <w:rsid w:val="004818A9"/>
    <w:rsid w:val="00481B36"/>
    <w:rsid w:val="00481BE2"/>
    <w:rsid w:val="00481EBE"/>
    <w:rsid w:val="00481F6B"/>
    <w:rsid w:val="00481FFE"/>
    <w:rsid w:val="0048238D"/>
    <w:rsid w:val="004824BF"/>
    <w:rsid w:val="00482DC2"/>
    <w:rsid w:val="00482F55"/>
    <w:rsid w:val="00483239"/>
    <w:rsid w:val="0048370D"/>
    <w:rsid w:val="004838E3"/>
    <w:rsid w:val="00483DEB"/>
    <w:rsid w:val="00483F4C"/>
    <w:rsid w:val="004840BD"/>
    <w:rsid w:val="00484281"/>
    <w:rsid w:val="004846FB"/>
    <w:rsid w:val="00485294"/>
    <w:rsid w:val="0048577D"/>
    <w:rsid w:val="0048588B"/>
    <w:rsid w:val="00485983"/>
    <w:rsid w:val="00485ED0"/>
    <w:rsid w:val="00486083"/>
    <w:rsid w:val="004864E8"/>
    <w:rsid w:val="00486B18"/>
    <w:rsid w:val="00486C11"/>
    <w:rsid w:val="00486C1B"/>
    <w:rsid w:val="00486FFD"/>
    <w:rsid w:val="004877E8"/>
    <w:rsid w:val="0048797A"/>
    <w:rsid w:val="00487980"/>
    <w:rsid w:val="004906A3"/>
    <w:rsid w:val="00490817"/>
    <w:rsid w:val="004912D7"/>
    <w:rsid w:val="0049138F"/>
    <w:rsid w:val="00491570"/>
    <w:rsid w:val="00491593"/>
    <w:rsid w:val="004916FF"/>
    <w:rsid w:val="00491B53"/>
    <w:rsid w:val="00491BD7"/>
    <w:rsid w:val="00491E34"/>
    <w:rsid w:val="00491FBD"/>
    <w:rsid w:val="00492819"/>
    <w:rsid w:val="00492C76"/>
    <w:rsid w:val="00492CE0"/>
    <w:rsid w:val="00492FC8"/>
    <w:rsid w:val="0049314B"/>
    <w:rsid w:val="004931C2"/>
    <w:rsid w:val="00493B53"/>
    <w:rsid w:val="00493E53"/>
    <w:rsid w:val="004943C9"/>
    <w:rsid w:val="00494B64"/>
    <w:rsid w:val="004951CC"/>
    <w:rsid w:val="004953FB"/>
    <w:rsid w:val="004957E9"/>
    <w:rsid w:val="00495C5C"/>
    <w:rsid w:val="00495E48"/>
    <w:rsid w:val="00495FA3"/>
    <w:rsid w:val="00496290"/>
    <w:rsid w:val="0049677F"/>
    <w:rsid w:val="00496B8A"/>
    <w:rsid w:val="00496CB2"/>
    <w:rsid w:val="00496CE1"/>
    <w:rsid w:val="00496D36"/>
    <w:rsid w:val="004970E9"/>
    <w:rsid w:val="0049716E"/>
    <w:rsid w:val="004972EB"/>
    <w:rsid w:val="0049758A"/>
    <w:rsid w:val="0049788E"/>
    <w:rsid w:val="00497C52"/>
    <w:rsid w:val="00497E9B"/>
    <w:rsid w:val="004A0168"/>
    <w:rsid w:val="004A02B5"/>
    <w:rsid w:val="004A0871"/>
    <w:rsid w:val="004A0E95"/>
    <w:rsid w:val="004A1228"/>
    <w:rsid w:val="004A1C28"/>
    <w:rsid w:val="004A1CA1"/>
    <w:rsid w:val="004A266A"/>
    <w:rsid w:val="004A2AC5"/>
    <w:rsid w:val="004A301F"/>
    <w:rsid w:val="004A318E"/>
    <w:rsid w:val="004A3284"/>
    <w:rsid w:val="004A33CC"/>
    <w:rsid w:val="004A367F"/>
    <w:rsid w:val="004A380C"/>
    <w:rsid w:val="004A3E3F"/>
    <w:rsid w:val="004A4455"/>
    <w:rsid w:val="004A48A0"/>
    <w:rsid w:val="004A4931"/>
    <w:rsid w:val="004A4D14"/>
    <w:rsid w:val="004A504A"/>
    <w:rsid w:val="004A58DD"/>
    <w:rsid w:val="004A5AD5"/>
    <w:rsid w:val="004A5ED1"/>
    <w:rsid w:val="004A60D4"/>
    <w:rsid w:val="004A61D0"/>
    <w:rsid w:val="004A6BFD"/>
    <w:rsid w:val="004A6C1A"/>
    <w:rsid w:val="004A719B"/>
    <w:rsid w:val="004A7564"/>
    <w:rsid w:val="004A7FA3"/>
    <w:rsid w:val="004B0313"/>
    <w:rsid w:val="004B079E"/>
    <w:rsid w:val="004B07CC"/>
    <w:rsid w:val="004B0C99"/>
    <w:rsid w:val="004B0D2D"/>
    <w:rsid w:val="004B177F"/>
    <w:rsid w:val="004B2235"/>
    <w:rsid w:val="004B26CA"/>
    <w:rsid w:val="004B3335"/>
    <w:rsid w:val="004B3645"/>
    <w:rsid w:val="004B40B6"/>
    <w:rsid w:val="004B41F5"/>
    <w:rsid w:val="004B4BF4"/>
    <w:rsid w:val="004B4CF4"/>
    <w:rsid w:val="004B4D60"/>
    <w:rsid w:val="004B4F02"/>
    <w:rsid w:val="004B50D5"/>
    <w:rsid w:val="004B50F3"/>
    <w:rsid w:val="004B51F6"/>
    <w:rsid w:val="004B5A01"/>
    <w:rsid w:val="004B5A4B"/>
    <w:rsid w:val="004B5FE8"/>
    <w:rsid w:val="004B625F"/>
    <w:rsid w:val="004B6659"/>
    <w:rsid w:val="004B6735"/>
    <w:rsid w:val="004B6805"/>
    <w:rsid w:val="004B6989"/>
    <w:rsid w:val="004B6D68"/>
    <w:rsid w:val="004B721B"/>
    <w:rsid w:val="004B721C"/>
    <w:rsid w:val="004B77F2"/>
    <w:rsid w:val="004B7B9D"/>
    <w:rsid w:val="004B7D19"/>
    <w:rsid w:val="004B7E75"/>
    <w:rsid w:val="004C014F"/>
    <w:rsid w:val="004C0154"/>
    <w:rsid w:val="004C03FA"/>
    <w:rsid w:val="004C041B"/>
    <w:rsid w:val="004C05A5"/>
    <w:rsid w:val="004C0779"/>
    <w:rsid w:val="004C083B"/>
    <w:rsid w:val="004C084F"/>
    <w:rsid w:val="004C0BB7"/>
    <w:rsid w:val="004C0C7E"/>
    <w:rsid w:val="004C1133"/>
    <w:rsid w:val="004C1189"/>
    <w:rsid w:val="004C1300"/>
    <w:rsid w:val="004C1670"/>
    <w:rsid w:val="004C16EC"/>
    <w:rsid w:val="004C1745"/>
    <w:rsid w:val="004C1DDD"/>
    <w:rsid w:val="004C2555"/>
    <w:rsid w:val="004C2796"/>
    <w:rsid w:val="004C28DF"/>
    <w:rsid w:val="004C2E5D"/>
    <w:rsid w:val="004C3093"/>
    <w:rsid w:val="004C31CA"/>
    <w:rsid w:val="004C3228"/>
    <w:rsid w:val="004C3410"/>
    <w:rsid w:val="004C3559"/>
    <w:rsid w:val="004C444D"/>
    <w:rsid w:val="004C461A"/>
    <w:rsid w:val="004C46B1"/>
    <w:rsid w:val="004C47B7"/>
    <w:rsid w:val="004C485D"/>
    <w:rsid w:val="004C4DAF"/>
    <w:rsid w:val="004C4F6C"/>
    <w:rsid w:val="004C5201"/>
    <w:rsid w:val="004C5292"/>
    <w:rsid w:val="004C58B3"/>
    <w:rsid w:val="004C58C7"/>
    <w:rsid w:val="004C5D86"/>
    <w:rsid w:val="004C5F04"/>
    <w:rsid w:val="004C5F76"/>
    <w:rsid w:val="004C6431"/>
    <w:rsid w:val="004C68D1"/>
    <w:rsid w:val="004C6A86"/>
    <w:rsid w:val="004C6C4F"/>
    <w:rsid w:val="004C6CE9"/>
    <w:rsid w:val="004C6CF7"/>
    <w:rsid w:val="004C78E5"/>
    <w:rsid w:val="004D000E"/>
    <w:rsid w:val="004D0434"/>
    <w:rsid w:val="004D04A3"/>
    <w:rsid w:val="004D1670"/>
    <w:rsid w:val="004D1BD9"/>
    <w:rsid w:val="004D1C99"/>
    <w:rsid w:val="004D2469"/>
    <w:rsid w:val="004D2C4F"/>
    <w:rsid w:val="004D2FD9"/>
    <w:rsid w:val="004D33B1"/>
    <w:rsid w:val="004D3652"/>
    <w:rsid w:val="004D38B2"/>
    <w:rsid w:val="004D3B3C"/>
    <w:rsid w:val="004D3C4F"/>
    <w:rsid w:val="004D3C5E"/>
    <w:rsid w:val="004D3F66"/>
    <w:rsid w:val="004D42F1"/>
    <w:rsid w:val="004D440F"/>
    <w:rsid w:val="004D46D1"/>
    <w:rsid w:val="004D4920"/>
    <w:rsid w:val="004D4C90"/>
    <w:rsid w:val="004D4F6A"/>
    <w:rsid w:val="004D5447"/>
    <w:rsid w:val="004D5496"/>
    <w:rsid w:val="004D550C"/>
    <w:rsid w:val="004D56AC"/>
    <w:rsid w:val="004D5D65"/>
    <w:rsid w:val="004D5D84"/>
    <w:rsid w:val="004D6055"/>
    <w:rsid w:val="004D6478"/>
    <w:rsid w:val="004D657F"/>
    <w:rsid w:val="004D6BD2"/>
    <w:rsid w:val="004D6FAB"/>
    <w:rsid w:val="004D7186"/>
    <w:rsid w:val="004D76BF"/>
    <w:rsid w:val="004D7806"/>
    <w:rsid w:val="004D7D48"/>
    <w:rsid w:val="004D7E53"/>
    <w:rsid w:val="004E05D9"/>
    <w:rsid w:val="004E084C"/>
    <w:rsid w:val="004E08AD"/>
    <w:rsid w:val="004E0A7C"/>
    <w:rsid w:val="004E0CD4"/>
    <w:rsid w:val="004E0E48"/>
    <w:rsid w:val="004E0FA1"/>
    <w:rsid w:val="004E0FF6"/>
    <w:rsid w:val="004E1AA4"/>
    <w:rsid w:val="004E1E5B"/>
    <w:rsid w:val="004E210E"/>
    <w:rsid w:val="004E2151"/>
    <w:rsid w:val="004E2193"/>
    <w:rsid w:val="004E22C0"/>
    <w:rsid w:val="004E234C"/>
    <w:rsid w:val="004E2CDB"/>
    <w:rsid w:val="004E31D8"/>
    <w:rsid w:val="004E3986"/>
    <w:rsid w:val="004E3B26"/>
    <w:rsid w:val="004E3D10"/>
    <w:rsid w:val="004E3D7E"/>
    <w:rsid w:val="004E40BD"/>
    <w:rsid w:val="004E41EB"/>
    <w:rsid w:val="004E4D62"/>
    <w:rsid w:val="004E4EC0"/>
    <w:rsid w:val="004E5334"/>
    <w:rsid w:val="004E5594"/>
    <w:rsid w:val="004E57A5"/>
    <w:rsid w:val="004E5E1E"/>
    <w:rsid w:val="004E5F2C"/>
    <w:rsid w:val="004E607C"/>
    <w:rsid w:val="004E618A"/>
    <w:rsid w:val="004E62E7"/>
    <w:rsid w:val="004E63F1"/>
    <w:rsid w:val="004E6D7F"/>
    <w:rsid w:val="004E71E5"/>
    <w:rsid w:val="004E72EA"/>
    <w:rsid w:val="004E7564"/>
    <w:rsid w:val="004E7962"/>
    <w:rsid w:val="004E7F33"/>
    <w:rsid w:val="004F051F"/>
    <w:rsid w:val="004F09D8"/>
    <w:rsid w:val="004F0A76"/>
    <w:rsid w:val="004F0F9D"/>
    <w:rsid w:val="004F1090"/>
    <w:rsid w:val="004F111B"/>
    <w:rsid w:val="004F139A"/>
    <w:rsid w:val="004F15CB"/>
    <w:rsid w:val="004F16F4"/>
    <w:rsid w:val="004F18B9"/>
    <w:rsid w:val="004F1A91"/>
    <w:rsid w:val="004F1BCB"/>
    <w:rsid w:val="004F1C35"/>
    <w:rsid w:val="004F1C51"/>
    <w:rsid w:val="004F21DC"/>
    <w:rsid w:val="004F23D5"/>
    <w:rsid w:val="004F2563"/>
    <w:rsid w:val="004F2AB8"/>
    <w:rsid w:val="004F2CCF"/>
    <w:rsid w:val="004F2D8F"/>
    <w:rsid w:val="004F305B"/>
    <w:rsid w:val="004F39C0"/>
    <w:rsid w:val="004F4230"/>
    <w:rsid w:val="004F45D2"/>
    <w:rsid w:val="004F469D"/>
    <w:rsid w:val="004F49A6"/>
    <w:rsid w:val="004F4F05"/>
    <w:rsid w:val="004F502F"/>
    <w:rsid w:val="004F50FC"/>
    <w:rsid w:val="004F5661"/>
    <w:rsid w:val="004F58FE"/>
    <w:rsid w:val="004F5F01"/>
    <w:rsid w:val="004F658B"/>
    <w:rsid w:val="004F674F"/>
    <w:rsid w:val="004F67DA"/>
    <w:rsid w:val="004F68CD"/>
    <w:rsid w:val="004F698E"/>
    <w:rsid w:val="004F69C1"/>
    <w:rsid w:val="004F6C83"/>
    <w:rsid w:val="004F6CB5"/>
    <w:rsid w:val="004F6CF9"/>
    <w:rsid w:val="004F73F0"/>
    <w:rsid w:val="004F76E2"/>
    <w:rsid w:val="004F7825"/>
    <w:rsid w:val="004F7881"/>
    <w:rsid w:val="004F79EB"/>
    <w:rsid w:val="004F7F45"/>
    <w:rsid w:val="004F7F8A"/>
    <w:rsid w:val="00500286"/>
    <w:rsid w:val="00500292"/>
    <w:rsid w:val="00500515"/>
    <w:rsid w:val="005005CF"/>
    <w:rsid w:val="00500717"/>
    <w:rsid w:val="005010C3"/>
    <w:rsid w:val="005010E4"/>
    <w:rsid w:val="0050118A"/>
    <w:rsid w:val="005011A7"/>
    <w:rsid w:val="005011D1"/>
    <w:rsid w:val="00501343"/>
    <w:rsid w:val="0050150C"/>
    <w:rsid w:val="0050155A"/>
    <w:rsid w:val="0050158B"/>
    <w:rsid w:val="0050190D"/>
    <w:rsid w:val="00501A1E"/>
    <w:rsid w:val="00501ABD"/>
    <w:rsid w:val="00501EAE"/>
    <w:rsid w:val="00501FBC"/>
    <w:rsid w:val="005027B3"/>
    <w:rsid w:val="005036DE"/>
    <w:rsid w:val="0050396E"/>
    <w:rsid w:val="00503C8E"/>
    <w:rsid w:val="005045B0"/>
    <w:rsid w:val="00504774"/>
    <w:rsid w:val="00504B91"/>
    <w:rsid w:val="00505159"/>
    <w:rsid w:val="0050527E"/>
    <w:rsid w:val="005052FB"/>
    <w:rsid w:val="0050542A"/>
    <w:rsid w:val="00505941"/>
    <w:rsid w:val="00505BB4"/>
    <w:rsid w:val="00505DBD"/>
    <w:rsid w:val="005066E0"/>
    <w:rsid w:val="00506861"/>
    <w:rsid w:val="00506EB8"/>
    <w:rsid w:val="00506EFD"/>
    <w:rsid w:val="0050710C"/>
    <w:rsid w:val="00507193"/>
    <w:rsid w:val="0050743D"/>
    <w:rsid w:val="005074DB"/>
    <w:rsid w:val="00507A30"/>
    <w:rsid w:val="00507FD7"/>
    <w:rsid w:val="005100A4"/>
    <w:rsid w:val="00510257"/>
    <w:rsid w:val="00510A5C"/>
    <w:rsid w:val="00510D3D"/>
    <w:rsid w:val="005110B2"/>
    <w:rsid w:val="00511109"/>
    <w:rsid w:val="00511F8F"/>
    <w:rsid w:val="00512162"/>
    <w:rsid w:val="00512266"/>
    <w:rsid w:val="005122B4"/>
    <w:rsid w:val="005125E8"/>
    <w:rsid w:val="00512723"/>
    <w:rsid w:val="005128AA"/>
    <w:rsid w:val="00512926"/>
    <w:rsid w:val="0051292C"/>
    <w:rsid w:val="00512A24"/>
    <w:rsid w:val="00512DB6"/>
    <w:rsid w:val="00513049"/>
    <w:rsid w:val="005131CF"/>
    <w:rsid w:val="00513947"/>
    <w:rsid w:val="00513AA4"/>
    <w:rsid w:val="00513D4C"/>
    <w:rsid w:val="00513D7B"/>
    <w:rsid w:val="00514212"/>
    <w:rsid w:val="005143FC"/>
    <w:rsid w:val="00514745"/>
    <w:rsid w:val="0051474E"/>
    <w:rsid w:val="0051493C"/>
    <w:rsid w:val="00514A9A"/>
    <w:rsid w:val="00514D60"/>
    <w:rsid w:val="005151F8"/>
    <w:rsid w:val="005153D3"/>
    <w:rsid w:val="00515463"/>
    <w:rsid w:val="005157DD"/>
    <w:rsid w:val="00515DA3"/>
    <w:rsid w:val="0051602E"/>
    <w:rsid w:val="005162F8"/>
    <w:rsid w:val="00516302"/>
    <w:rsid w:val="00516367"/>
    <w:rsid w:val="00516437"/>
    <w:rsid w:val="00516578"/>
    <w:rsid w:val="005166B8"/>
    <w:rsid w:val="0051697B"/>
    <w:rsid w:val="005178E8"/>
    <w:rsid w:val="00517AE1"/>
    <w:rsid w:val="00517BC0"/>
    <w:rsid w:val="00517FFB"/>
    <w:rsid w:val="005205C2"/>
    <w:rsid w:val="005208E1"/>
    <w:rsid w:val="00520A58"/>
    <w:rsid w:val="00521797"/>
    <w:rsid w:val="00521C18"/>
    <w:rsid w:val="0052234B"/>
    <w:rsid w:val="00522BDE"/>
    <w:rsid w:val="00522C3F"/>
    <w:rsid w:val="00523108"/>
    <w:rsid w:val="005231B2"/>
    <w:rsid w:val="00523470"/>
    <w:rsid w:val="00523F3B"/>
    <w:rsid w:val="00523F4B"/>
    <w:rsid w:val="0052448E"/>
    <w:rsid w:val="00524878"/>
    <w:rsid w:val="00524AA9"/>
    <w:rsid w:val="00524EA6"/>
    <w:rsid w:val="00525204"/>
    <w:rsid w:val="00525422"/>
    <w:rsid w:val="00525563"/>
    <w:rsid w:val="00525582"/>
    <w:rsid w:val="00525B45"/>
    <w:rsid w:val="00525C76"/>
    <w:rsid w:val="00525D49"/>
    <w:rsid w:val="00526207"/>
    <w:rsid w:val="0052637E"/>
    <w:rsid w:val="00526791"/>
    <w:rsid w:val="00526A6B"/>
    <w:rsid w:val="00526DB0"/>
    <w:rsid w:val="00527913"/>
    <w:rsid w:val="0053053F"/>
    <w:rsid w:val="00530671"/>
    <w:rsid w:val="005306AA"/>
    <w:rsid w:val="00530763"/>
    <w:rsid w:val="00530CEF"/>
    <w:rsid w:val="0053128E"/>
    <w:rsid w:val="005319AC"/>
    <w:rsid w:val="00531C10"/>
    <w:rsid w:val="00531C27"/>
    <w:rsid w:val="00531D8C"/>
    <w:rsid w:val="00532054"/>
    <w:rsid w:val="00532120"/>
    <w:rsid w:val="00532196"/>
    <w:rsid w:val="00532525"/>
    <w:rsid w:val="005325F9"/>
    <w:rsid w:val="00532F02"/>
    <w:rsid w:val="00533380"/>
    <w:rsid w:val="00533493"/>
    <w:rsid w:val="00533730"/>
    <w:rsid w:val="00533CF9"/>
    <w:rsid w:val="00533D09"/>
    <w:rsid w:val="00533DAD"/>
    <w:rsid w:val="00534295"/>
    <w:rsid w:val="005342D5"/>
    <w:rsid w:val="00534426"/>
    <w:rsid w:val="005348F6"/>
    <w:rsid w:val="005350A7"/>
    <w:rsid w:val="005352CD"/>
    <w:rsid w:val="0053576E"/>
    <w:rsid w:val="00535A10"/>
    <w:rsid w:val="00535A8F"/>
    <w:rsid w:val="00535C8A"/>
    <w:rsid w:val="00536058"/>
    <w:rsid w:val="005360CA"/>
    <w:rsid w:val="005365EA"/>
    <w:rsid w:val="005366CA"/>
    <w:rsid w:val="005367CC"/>
    <w:rsid w:val="0053690D"/>
    <w:rsid w:val="00536CA6"/>
    <w:rsid w:val="005370D4"/>
    <w:rsid w:val="005372F3"/>
    <w:rsid w:val="00537537"/>
    <w:rsid w:val="00537599"/>
    <w:rsid w:val="00537AE1"/>
    <w:rsid w:val="00537D80"/>
    <w:rsid w:val="00537FD6"/>
    <w:rsid w:val="00540097"/>
    <w:rsid w:val="0054009E"/>
    <w:rsid w:val="005401AD"/>
    <w:rsid w:val="00540473"/>
    <w:rsid w:val="00540747"/>
    <w:rsid w:val="005407F1"/>
    <w:rsid w:val="00540C66"/>
    <w:rsid w:val="00540E0A"/>
    <w:rsid w:val="0054142C"/>
    <w:rsid w:val="005415EE"/>
    <w:rsid w:val="005417E6"/>
    <w:rsid w:val="00541961"/>
    <w:rsid w:val="00541A92"/>
    <w:rsid w:val="00541F63"/>
    <w:rsid w:val="00542092"/>
    <w:rsid w:val="005426EE"/>
    <w:rsid w:val="00542BD0"/>
    <w:rsid w:val="00543152"/>
    <w:rsid w:val="0054317B"/>
    <w:rsid w:val="005434EA"/>
    <w:rsid w:val="00543763"/>
    <w:rsid w:val="00543AB9"/>
    <w:rsid w:val="00543AC8"/>
    <w:rsid w:val="00543BAF"/>
    <w:rsid w:val="00543DC9"/>
    <w:rsid w:val="00543E8F"/>
    <w:rsid w:val="005447C7"/>
    <w:rsid w:val="005448A4"/>
    <w:rsid w:val="0054491F"/>
    <w:rsid w:val="00544953"/>
    <w:rsid w:val="00545479"/>
    <w:rsid w:val="005455E5"/>
    <w:rsid w:val="00545FA3"/>
    <w:rsid w:val="005462EE"/>
    <w:rsid w:val="00546331"/>
    <w:rsid w:val="0054650D"/>
    <w:rsid w:val="00546883"/>
    <w:rsid w:val="00546F58"/>
    <w:rsid w:val="00547AC0"/>
    <w:rsid w:val="00547D53"/>
    <w:rsid w:val="00547E41"/>
    <w:rsid w:val="00547E47"/>
    <w:rsid w:val="00550413"/>
    <w:rsid w:val="00550565"/>
    <w:rsid w:val="00550575"/>
    <w:rsid w:val="005505CB"/>
    <w:rsid w:val="00550802"/>
    <w:rsid w:val="00550D04"/>
    <w:rsid w:val="00550FCE"/>
    <w:rsid w:val="0055149C"/>
    <w:rsid w:val="005514FE"/>
    <w:rsid w:val="005515C7"/>
    <w:rsid w:val="00551849"/>
    <w:rsid w:val="00551A87"/>
    <w:rsid w:val="005520C3"/>
    <w:rsid w:val="00552715"/>
    <w:rsid w:val="005529F2"/>
    <w:rsid w:val="00552A16"/>
    <w:rsid w:val="00552BB5"/>
    <w:rsid w:val="00552C12"/>
    <w:rsid w:val="00552D99"/>
    <w:rsid w:val="00553176"/>
    <w:rsid w:val="00553195"/>
    <w:rsid w:val="005531A4"/>
    <w:rsid w:val="00553414"/>
    <w:rsid w:val="00553541"/>
    <w:rsid w:val="00553627"/>
    <w:rsid w:val="00553634"/>
    <w:rsid w:val="00553746"/>
    <w:rsid w:val="00553752"/>
    <w:rsid w:val="0055492C"/>
    <w:rsid w:val="00555212"/>
    <w:rsid w:val="00555356"/>
    <w:rsid w:val="005559FF"/>
    <w:rsid w:val="00555B9E"/>
    <w:rsid w:val="00556021"/>
    <w:rsid w:val="005569FF"/>
    <w:rsid w:val="00556A2B"/>
    <w:rsid w:val="00556BAB"/>
    <w:rsid w:val="00556CBB"/>
    <w:rsid w:val="0055790B"/>
    <w:rsid w:val="00557D08"/>
    <w:rsid w:val="00557D0A"/>
    <w:rsid w:val="00557FFB"/>
    <w:rsid w:val="00560C4F"/>
    <w:rsid w:val="00560CD0"/>
    <w:rsid w:val="005610E8"/>
    <w:rsid w:val="00561849"/>
    <w:rsid w:val="00561E1B"/>
    <w:rsid w:val="00561F59"/>
    <w:rsid w:val="00562092"/>
    <w:rsid w:val="00562589"/>
    <w:rsid w:val="0056259D"/>
    <w:rsid w:val="005625F4"/>
    <w:rsid w:val="00562732"/>
    <w:rsid w:val="00562B9C"/>
    <w:rsid w:val="0056329A"/>
    <w:rsid w:val="005633CB"/>
    <w:rsid w:val="00563487"/>
    <w:rsid w:val="0056386A"/>
    <w:rsid w:val="005639DE"/>
    <w:rsid w:val="005640F4"/>
    <w:rsid w:val="00564415"/>
    <w:rsid w:val="0056493B"/>
    <w:rsid w:val="00564947"/>
    <w:rsid w:val="00564D46"/>
    <w:rsid w:val="00564DB0"/>
    <w:rsid w:val="00564DB7"/>
    <w:rsid w:val="00565466"/>
    <w:rsid w:val="00565A73"/>
    <w:rsid w:val="00565AF9"/>
    <w:rsid w:val="005660DC"/>
    <w:rsid w:val="00566BBB"/>
    <w:rsid w:val="00566CC4"/>
    <w:rsid w:val="00566E6C"/>
    <w:rsid w:val="00567536"/>
    <w:rsid w:val="0056787A"/>
    <w:rsid w:val="00567BEE"/>
    <w:rsid w:val="00570276"/>
    <w:rsid w:val="00570390"/>
    <w:rsid w:val="005704DA"/>
    <w:rsid w:val="00570524"/>
    <w:rsid w:val="00570720"/>
    <w:rsid w:val="0057094C"/>
    <w:rsid w:val="00570C2A"/>
    <w:rsid w:val="005713A6"/>
    <w:rsid w:val="005713CB"/>
    <w:rsid w:val="005718EC"/>
    <w:rsid w:val="00571B69"/>
    <w:rsid w:val="0057239F"/>
    <w:rsid w:val="0057273B"/>
    <w:rsid w:val="00572798"/>
    <w:rsid w:val="00572A78"/>
    <w:rsid w:val="00572CB4"/>
    <w:rsid w:val="00572ED3"/>
    <w:rsid w:val="00573367"/>
    <w:rsid w:val="0057344B"/>
    <w:rsid w:val="00573601"/>
    <w:rsid w:val="00573721"/>
    <w:rsid w:val="00573BD4"/>
    <w:rsid w:val="0057438C"/>
    <w:rsid w:val="005745EB"/>
    <w:rsid w:val="0057477F"/>
    <w:rsid w:val="00574C05"/>
    <w:rsid w:val="005750E0"/>
    <w:rsid w:val="0057616D"/>
    <w:rsid w:val="00576300"/>
    <w:rsid w:val="00576627"/>
    <w:rsid w:val="00576A8F"/>
    <w:rsid w:val="00576B4E"/>
    <w:rsid w:val="00576E69"/>
    <w:rsid w:val="0057735F"/>
    <w:rsid w:val="0057736A"/>
    <w:rsid w:val="00577577"/>
    <w:rsid w:val="00577FA2"/>
    <w:rsid w:val="00580E0C"/>
    <w:rsid w:val="005811D3"/>
    <w:rsid w:val="00581466"/>
    <w:rsid w:val="0058179F"/>
    <w:rsid w:val="005817DF"/>
    <w:rsid w:val="00581D55"/>
    <w:rsid w:val="00582263"/>
    <w:rsid w:val="005823A8"/>
    <w:rsid w:val="00582807"/>
    <w:rsid w:val="00582A9B"/>
    <w:rsid w:val="00582C0C"/>
    <w:rsid w:val="00582DC8"/>
    <w:rsid w:val="005833B1"/>
    <w:rsid w:val="0058367A"/>
    <w:rsid w:val="00583985"/>
    <w:rsid w:val="00583A8C"/>
    <w:rsid w:val="00583BB1"/>
    <w:rsid w:val="005842D4"/>
    <w:rsid w:val="005844FA"/>
    <w:rsid w:val="005845F2"/>
    <w:rsid w:val="00584C44"/>
    <w:rsid w:val="0058523B"/>
    <w:rsid w:val="00585AEA"/>
    <w:rsid w:val="00585B06"/>
    <w:rsid w:val="00586029"/>
    <w:rsid w:val="005862D7"/>
    <w:rsid w:val="00586494"/>
    <w:rsid w:val="00586556"/>
    <w:rsid w:val="005868F1"/>
    <w:rsid w:val="005872E9"/>
    <w:rsid w:val="00587442"/>
    <w:rsid w:val="005875BD"/>
    <w:rsid w:val="005875CF"/>
    <w:rsid w:val="005877F3"/>
    <w:rsid w:val="00587812"/>
    <w:rsid w:val="00587E1D"/>
    <w:rsid w:val="005900BD"/>
    <w:rsid w:val="00590146"/>
    <w:rsid w:val="0059038A"/>
    <w:rsid w:val="00590487"/>
    <w:rsid w:val="00590945"/>
    <w:rsid w:val="00590CC6"/>
    <w:rsid w:val="00590DCF"/>
    <w:rsid w:val="00591347"/>
    <w:rsid w:val="005913FD"/>
    <w:rsid w:val="00591675"/>
    <w:rsid w:val="005917DE"/>
    <w:rsid w:val="00591952"/>
    <w:rsid w:val="00591EA1"/>
    <w:rsid w:val="00592122"/>
    <w:rsid w:val="00592363"/>
    <w:rsid w:val="005924E4"/>
    <w:rsid w:val="005925C3"/>
    <w:rsid w:val="005926AD"/>
    <w:rsid w:val="00592976"/>
    <w:rsid w:val="00592B8F"/>
    <w:rsid w:val="00592D81"/>
    <w:rsid w:val="00592D94"/>
    <w:rsid w:val="0059311C"/>
    <w:rsid w:val="00593561"/>
    <w:rsid w:val="005936F5"/>
    <w:rsid w:val="00593955"/>
    <w:rsid w:val="00593A2C"/>
    <w:rsid w:val="00593AEA"/>
    <w:rsid w:val="00593B78"/>
    <w:rsid w:val="00593FAA"/>
    <w:rsid w:val="0059411B"/>
    <w:rsid w:val="005941EE"/>
    <w:rsid w:val="00594A98"/>
    <w:rsid w:val="00594E7B"/>
    <w:rsid w:val="00595145"/>
    <w:rsid w:val="0059552D"/>
    <w:rsid w:val="00595634"/>
    <w:rsid w:val="00595645"/>
    <w:rsid w:val="00595A12"/>
    <w:rsid w:val="00595CA2"/>
    <w:rsid w:val="00595D0D"/>
    <w:rsid w:val="00595D18"/>
    <w:rsid w:val="00595E22"/>
    <w:rsid w:val="005962F2"/>
    <w:rsid w:val="005963D1"/>
    <w:rsid w:val="005964FD"/>
    <w:rsid w:val="00596729"/>
    <w:rsid w:val="005968AD"/>
    <w:rsid w:val="00596AAE"/>
    <w:rsid w:val="00596BF4"/>
    <w:rsid w:val="00597111"/>
    <w:rsid w:val="0059732E"/>
    <w:rsid w:val="0059759F"/>
    <w:rsid w:val="00597757"/>
    <w:rsid w:val="00597868"/>
    <w:rsid w:val="00597A8C"/>
    <w:rsid w:val="00597BB4"/>
    <w:rsid w:val="00597E31"/>
    <w:rsid w:val="00597EF4"/>
    <w:rsid w:val="005A059D"/>
    <w:rsid w:val="005A0981"/>
    <w:rsid w:val="005A0CEB"/>
    <w:rsid w:val="005A1088"/>
    <w:rsid w:val="005A1331"/>
    <w:rsid w:val="005A147F"/>
    <w:rsid w:val="005A14BC"/>
    <w:rsid w:val="005A14D2"/>
    <w:rsid w:val="005A158E"/>
    <w:rsid w:val="005A168E"/>
    <w:rsid w:val="005A1853"/>
    <w:rsid w:val="005A205F"/>
    <w:rsid w:val="005A2A89"/>
    <w:rsid w:val="005A2AEE"/>
    <w:rsid w:val="005A2F57"/>
    <w:rsid w:val="005A2F6A"/>
    <w:rsid w:val="005A32D1"/>
    <w:rsid w:val="005A3310"/>
    <w:rsid w:val="005A3327"/>
    <w:rsid w:val="005A3730"/>
    <w:rsid w:val="005A3B1D"/>
    <w:rsid w:val="005A3B37"/>
    <w:rsid w:val="005A3BCB"/>
    <w:rsid w:val="005A3C19"/>
    <w:rsid w:val="005A471B"/>
    <w:rsid w:val="005A4735"/>
    <w:rsid w:val="005A486C"/>
    <w:rsid w:val="005A4BA3"/>
    <w:rsid w:val="005A4D81"/>
    <w:rsid w:val="005A4FA3"/>
    <w:rsid w:val="005A5567"/>
    <w:rsid w:val="005A584E"/>
    <w:rsid w:val="005A5B93"/>
    <w:rsid w:val="005A67B2"/>
    <w:rsid w:val="005A681C"/>
    <w:rsid w:val="005A6862"/>
    <w:rsid w:val="005A6A81"/>
    <w:rsid w:val="005A6BA8"/>
    <w:rsid w:val="005A6D72"/>
    <w:rsid w:val="005A7354"/>
    <w:rsid w:val="005A765B"/>
    <w:rsid w:val="005A76A7"/>
    <w:rsid w:val="005A781A"/>
    <w:rsid w:val="005A79C7"/>
    <w:rsid w:val="005A7BF9"/>
    <w:rsid w:val="005A7C04"/>
    <w:rsid w:val="005A7C8E"/>
    <w:rsid w:val="005A7F87"/>
    <w:rsid w:val="005B0297"/>
    <w:rsid w:val="005B037B"/>
    <w:rsid w:val="005B04E0"/>
    <w:rsid w:val="005B0772"/>
    <w:rsid w:val="005B0848"/>
    <w:rsid w:val="005B0865"/>
    <w:rsid w:val="005B08A8"/>
    <w:rsid w:val="005B0900"/>
    <w:rsid w:val="005B0907"/>
    <w:rsid w:val="005B09CE"/>
    <w:rsid w:val="005B12D2"/>
    <w:rsid w:val="005B1476"/>
    <w:rsid w:val="005B1589"/>
    <w:rsid w:val="005B1841"/>
    <w:rsid w:val="005B1AF9"/>
    <w:rsid w:val="005B1C93"/>
    <w:rsid w:val="005B21A9"/>
    <w:rsid w:val="005B250F"/>
    <w:rsid w:val="005B2541"/>
    <w:rsid w:val="005B26AE"/>
    <w:rsid w:val="005B26BE"/>
    <w:rsid w:val="005B2720"/>
    <w:rsid w:val="005B3732"/>
    <w:rsid w:val="005B3875"/>
    <w:rsid w:val="005B3907"/>
    <w:rsid w:val="005B41C5"/>
    <w:rsid w:val="005B41D2"/>
    <w:rsid w:val="005B420D"/>
    <w:rsid w:val="005B4330"/>
    <w:rsid w:val="005B4550"/>
    <w:rsid w:val="005B45CE"/>
    <w:rsid w:val="005B4CD9"/>
    <w:rsid w:val="005B4F39"/>
    <w:rsid w:val="005B4FBE"/>
    <w:rsid w:val="005B5059"/>
    <w:rsid w:val="005B5110"/>
    <w:rsid w:val="005B552A"/>
    <w:rsid w:val="005B584C"/>
    <w:rsid w:val="005B58C8"/>
    <w:rsid w:val="005B6072"/>
    <w:rsid w:val="005B6187"/>
    <w:rsid w:val="005B6678"/>
    <w:rsid w:val="005B6849"/>
    <w:rsid w:val="005B6A10"/>
    <w:rsid w:val="005B6AEE"/>
    <w:rsid w:val="005B6F38"/>
    <w:rsid w:val="005B74D4"/>
    <w:rsid w:val="005B77F5"/>
    <w:rsid w:val="005B7BCC"/>
    <w:rsid w:val="005B7EC5"/>
    <w:rsid w:val="005C05EB"/>
    <w:rsid w:val="005C07A6"/>
    <w:rsid w:val="005C0849"/>
    <w:rsid w:val="005C0B69"/>
    <w:rsid w:val="005C0E47"/>
    <w:rsid w:val="005C1133"/>
    <w:rsid w:val="005C122C"/>
    <w:rsid w:val="005C17C5"/>
    <w:rsid w:val="005C1818"/>
    <w:rsid w:val="005C18C2"/>
    <w:rsid w:val="005C1953"/>
    <w:rsid w:val="005C1B91"/>
    <w:rsid w:val="005C24E8"/>
    <w:rsid w:val="005C266B"/>
    <w:rsid w:val="005C2683"/>
    <w:rsid w:val="005C2C8C"/>
    <w:rsid w:val="005C2D99"/>
    <w:rsid w:val="005C2E1C"/>
    <w:rsid w:val="005C363E"/>
    <w:rsid w:val="005C38D6"/>
    <w:rsid w:val="005C447E"/>
    <w:rsid w:val="005C4C3A"/>
    <w:rsid w:val="005C4C55"/>
    <w:rsid w:val="005C5133"/>
    <w:rsid w:val="005C51B6"/>
    <w:rsid w:val="005C52FE"/>
    <w:rsid w:val="005C5711"/>
    <w:rsid w:val="005C59AB"/>
    <w:rsid w:val="005C5CA1"/>
    <w:rsid w:val="005C6325"/>
    <w:rsid w:val="005C642B"/>
    <w:rsid w:val="005C7B52"/>
    <w:rsid w:val="005C7E11"/>
    <w:rsid w:val="005C7E1A"/>
    <w:rsid w:val="005C7FA7"/>
    <w:rsid w:val="005C7FAB"/>
    <w:rsid w:val="005D026F"/>
    <w:rsid w:val="005D0480"/>
    <w:rsid w:val="005D1B1A"/>
    <w:rsid w:val="005D1BC5"/>
    <w:rsid w:val="005D1CAA"/>
    <w:rsid w:val="005D1D79"/>
    <w:rsid w:val="005D219F"/>
    <w:rsid w:val="005D2279"/>
    <w:rsid w:val="005D2286"/>
    <w:rsid w:val="005D29F7"/>
    <w:rsid w:val="005D2B46"/>
    <w:rsid w:val="005D2D0A"/>
    <w:rsid w:val="005D326B"/>
    <w:rsid w:val="005D32C0"/>
    <w:rsid w:val="005D347B"/>
    <w:rsid w:val="005D34B8"/>
    <w:rsid w:val="005D36C6"/>
    <w:rsid w:val="005D3C0B"/>
    <w:rsid w:val="005D3CE7"/>
    <w:rsid w:val="005D3E7F"/>
    <w:rsid w:val="005D3F0B"/>
    <w:rsid w:val="005D3F54"/>
    <w:rsid w:val="005D4B5D"/>
    <w:rsid w:val="005D50BD"/>
    <w:rsid w:val="005D5374"/>
    <w:rsid w:val="005D5767"/>
    <w:rsid w:val="005D5F13"/>
    <w:rsid w:val="005D69A2"/>
    <w:rsid w:val="005D6D6C"/>
    <w:rsid w:val="005D70C3"/>
    <w:rsid w:val="005D7331"/>
    <w:rsid w:val="005D779D"/>
    <w:rsid w:val="005D7A55"/>
    <w:rsid w:val="005D7ABC"/>
    <w:rsid w:val="005D7BC6"/>
    <w:rsid w:val="005D7EEC"/>
    <w:rsid w:val="005D7F88"/>
    <w:rsid w:val="005E008F"/>
    <w:rsid w:val="005E02C9"/>
    <w:rsid w:val="005E03CA"/>
    <w:rsid w:val="005E0809"/>
    <w:rsid w:val="005E0FA7"/>
    <w:rsid w:val="005E104B"/>
    <w:rsid w:val="005E107A"/>
    <w:rsid w:val="005E146A"/>
    <w:rsid w:val="005E17C7"/>
    <w:rsid w:val="005E1822"/>
    <w:rsid w:val="005E1967"/>
    <w:rsid w:val="005E1C73"/>
    <w:rsid w:val="005E1D31"/>
    <w:rsid w:val="005E26E6"/>
    <w:rsid w:val="005E2B08"/>
    <w:rsid w:val="005E38C1"/>
    <w:rsid w:val="005E39D1"/>
    <w:rsid w:val="005E3AAF"/>
    <w:rsid w:val="005E3B90"/>
    <w:rsid w:val="005E3D13"/>
    <w:rsid w:val="005E4000"/>
    <w:rsid w:val="005E40BF"/>
    <w:rsid w:val="005E416F"/>
    <w:rsid w:val="005E43DC"/>
    <w:rsid w:val="005E4B1E"/>
    <w:rsid w:val="005E5035"/>
    <w:rsid w:val="005E58BE"/>
    <w:rsid w:val="005E5B6F"/>
    <w:rsid w:val="005E5CBC"/>
    <w:rsid w:val="005E5DF2"/>
    <w:rsid w:val="005E5EBA"/>
    <w:rsid w:val="005E607D"/>
    <w:rsid w:val="005E639B"/>
    <w:rsid w:val="005E6810"/>
    <w:rsid w:val="005E6967"/>
    <w:rsid w:val="005E6B24"/>
    <w:rsid w:val="005E6EF5"/>
    <w:rsid w:val="005E7185"/>
    <w:rsid w:val="005E72CE"/>
    <w:rsid w:val="005E78E2"/>
    <w:rsid w:val="005E7917"/>
    <w:rsid w:val="005E79B8"/>
    <w:rsid w:val="005E7B29"/>
    <w:rsid w:val="005E7C0B"/>
    <w:rsid w:val="005E7F25"/>
    <w:rsid w:val="005F00FD"/>
    <w:rsid w:val="005F02C2"/>
    <w:rsid w:val="005F07D2"/>
    <w:rsid w:val="005F07DE"/>
    <w:rsid w:val="005F07FB"/>
    <w:rsid w:val="005F0C56"/>
    <w:rsid w:val="005F0CB7"/>
    <w:rsid w:val="005F0FF1"/>
    <w:rsid w:val="005F1106"/>
    <w:rsid w:val="005F1422"/>
    <w:rsid w:val="005F1C57"/>
    <w:rsid w:val="005F2106"/>
    <w:rsid w:val="005F25C3"/>
    <w:rsid w:val="005F2622"/>
    <w:rsid w:val="005F3402"/>
    <w:rsid w:val="005F3856"/>
    <w:rsid w:val="005F388B"/>
    <w:rsid w:val="005F38B7"/>
    <w:rsid w:val="005F3A8E"/>
    <w:rsid w:val="005F3CFF"/>
    <w:rsid w:val="005F3E45"/>
    <w:rsid w:val="005F419B"/>
    <w:rsid w:val="005F420F"/>
    <w:rsid w:val="005F4EF9"/>
    <w:rsid w:val="005F5638"/>
    <w:rsid w:val="005F56CA"/>
    <w:rsid w:val="005F57A8"/>
    <w:rsid w:val="005F57CC"/>
    <w:rsid w:val="005F5852"/>
    <w:rsid w:val="005F58D3"/>
    <w:rsid w:val="005F5AAA"/>
    <w:rsid w:val="005F6FFA"/>
    <w:rsid w:val="005F71C1"/>
    <w:rsid w:val="005F71D6"/>
    <w:rsid w:val="005F7228"/>
    <w:rsid w:val="005F7996"/>
    <w:rsid w:val="005F7A26"/>
    <w:rsid w:val="005F7BFB"/>
    <w:rsid w:val="005F7E1C"/>
    <w:rsid w:val="006001A6"/>
    <w:rsid w:val="006001D2"/>
    <w:rsid w:val="006006D7"/>
    <w:rsid w:val="00600A7A"/>
    <w:rsid w:val="00600B95"/>
    <w:rsid w:val="00600EB3"/>
    <w:rsid w:val="00600F2E"/>
    <w:rsid w:val="00600F8F"/>
    <w:rsid w:val="00601590"/>
    <w:rsid w:val="006016A8"/>
    <w:rsid w:val="00601853"/>
    <w:rsid w:val="00601E6D"/>
    <w:rsid w:val="00601FDD"/>
    <w:rsid w:val="00602A62"/>
    <w:rsid w:val="00603676"/>
    <w:rsid w:val="006037EB"/>
    <w:rsid w:val="006037EF"/>
    <w:rsid w:val="00603954"/>
    <w:rsid w:val="00604193"/>
    <w:rsid w:val="00604A24"/>
    <w:rsid w:val="00604C13"/>
    <w:rsid w:val="00604CE5"/>
    <w:rsid w:val="0060516F"/>
    <w:rsid w:val="006053B0"/>
    <w:rsid w:val="0060590F"/>
    <w:rsid w:val="00605A23"/>
    <w:rsid w:val="006062A3"/>
    <w:rsid w:val="006065A2"/>
    <w:rsid w:val="00606D80"/>
    <w:rsid w:val="00606F72"/>
    <w:rsid w:val="0060704A"/>
    <w:rsid w:val="00607628"/>
    <w:rsid w:val="00607911"/>
    <w:rsid w:val="00607ADA"/>
    <w:rsid w:val="00607BDF"/>
    <w:rsid w:val="0061051E"/>
    <w:rsid w:val="00610804"/>
    <w:rsid w:val="006109CC"/>
    <w:rsid w:val="00610B6E"/>
    <w:rsid w:val="00610C97"/>
    <w:rsid w:val="00610D6E"/>
    <w:rsid w:val="00610EBF"/>
    <w:rsid w:val="00610ED0"/>
    <w:rsid w:val="00610F09"/>
    <w:rsid w:val="0061122F"/>
    <w:rsid w:val="00611336"/>
    <w:rsid w:val="00611882"/>
    <w:rsid w:val="00611A67"/>
    <w:rsid w:val="00611B12"/>
    <w:rsid w:val="00611DA1"/>
    <w:rsid w:val="00611FE2"/>
    <w:rsid w:val="006120BE"/>
    <w:rsid w:val="00612560"/>
    <w:rsid w:val="00612629"/>
    <w:rsid w:val="0061274E"/>
    <w:rsid w:val="00612757"/>
    <w:rsid w:val="00612774"/>
    <w:rsid w:val="0061289C"/>
    <w:rsid w:val="00613559"/>
    <w:rsid w:val="00613564"/>
    <w:rsid w:val="006136E3"/>
    <w:rsid w:val="00614472"/>
    <w:rsid w:val="00614803"/>
    <w:rsid w:val="00614BA5"/>
    <w:rsid w:val="00614D5B"/>
    <w:rsid w:val="006153B8"/>
    <w:rsid w:val="006156EF"/>
    <w:rsid w:val="00615985"/>
    <w:rsid w:val="00615A3F"/>
    <w:rsid w:val="00616156"/>
    <w:rsid w:val="006162D7"/>
    <w:rsid w:val="006163AD"/>
    <w:rsid w:val="0061656A"/>
    <w:rsid w:val="006166FA"/>
    <w:rsid w:val="00616C77"/>
    <w:rsid w:val="00616F57"/>
    <w:rsid w:val="00617019"/>
    <w:rsid w:val="00617221"/>
    <w:rsid w:val="006176B6"/>
    <w:rsid w:val="006178DF"/>
    <w:rsid w:val="00620582"/>
    <w:rsid w:val="006205E2"/>
    <w:rsid w:val="006207EC"/>
    <w:rsid w:val="00620B3C"/>
    <w:rsid w:val="00620DDB"/>
    <w:rsid w:val="00620EF3"/>
    <w:rsid w:val="006210B2"/>
    <w:rsid w:val="006211AE"/>
    <w:rsid w:val="006213EC"/>
    <w:rsid w:val="00621753"/>
    <w:rsid w:val="00621A54"/>
    <w:rsid w:val="00621AD9"/>
    <w:rsid w:val="00621B55"/>
    <w:rsid w:val="00621F34"/>
    <w:rsid w:val="00621FB5"/>
    <w:rsid w:val="00621FFB"/>
    <w:rsid w:val="006221A4"/>
    <w:rsid w:val="00622267"/>
    <w:rsid w:val="0062249A"/>
    <w:rsid w:val="006224D5"/>
    <w:rsid w:val="00622587"/>
    <w:rsid w:val="0062263B"/>
    <w:rsid w:val="00622884"/>
    <w:rsid w:val="00622B46"/>
    <w:rsid w:val="00622BCC"/>
    <w:rsid w:val="00622E09"/>
    <w:rsid w:val="00623013"/>
    <w:rsid w:val="00623525"/>
    <w:rsid w:val="00623F86"/>
    <w:rsid w:val="006244C6"/>
    <w:rsid w:val="0062483F"/>
    <w:rsid w:val="00624B86"/>
    <w:rsid w:val="00624CB3"/>
    <w:rsid w:val="00625030"/>
    <w:rsid w:val="006252E4"/>
    <w:rsid w:val="00625356"/>
    <w:rsid w:val="006254A0"/>
    <w:rsid w:val="006254CD"/>
    <w:rsid w:val="006254E4"/>
    <w:rsid w:val="006255A4"/>
    <w:rsid w:val="00625808"/>
    <w:rsid w:val="006259A0"/>
    <w:rsid w:val="00625A1E"/>
    <w:rsid w:val="00626046"/>
    <w:rsid w:val="006262F5"/>
    <w:rsid w:val="00626496"/>
    <w:rsid w:val="00626BF7"/>
    <w:rsid w:val="00626CAB"/>
    <w:rsid w:val="00626F58"/>
    <w:rsid w:val="00627076"/>
    <w:rsid w:val="00627915"/>
    <w:rsid w:val="006279B7"/>
    <w:rsid w:val="00627A0F"/>
    <w:rsid w:val="00627B94"/>
    <w:rsid w:val="00627CFD"/>
    <w:rsid w:val="00630059"/>
    <w:rsid w:val="006303BC"/>
    <w:rsid w:val="006307D2"/>
    <w:rsid w:val="00630851"/>
    <w:rsid w:val="00630863"/>
    <w:rsid w:val="00630932"/>
    <w:rsid w:val="00630AD3"/>
    <w:rsid w:val="00630C24"/>
    <w:rsid w:val="00630C96"/>
    <w:rsid w:val="00630E8F"/>
    <w:rsid w:val="0063132D"/>
    <w:rsid w:val="00631414"/>
    <w:rsid w:val="00631A64"/>
    <w:rsid w:val="00631C20"/>
    <w:rsid w:val="00631EE0"/>
    <w:rsid w:val="00632772"/>
    <w:rsid w:val="0063295A"/>
    <w:rsid w:val="0063344B"/>
    <w:rsid w:val="006335EA"/>
    <w:rsid w:val="00633659"/>
    <w:rsid w:val="00633BFE"/>
    <w:rsid w:val="00633D4D"/>
    <w:rsid w:val="006342CF"/>
    <w:rsid w:val="006342DD"/>
    <w:rsid w:val="00634A30"/>
    <w:rsid w:val="00635138"/>
    <w:rsid w:val="006351D9"/>
    <w:rsid w:val="006353F5"/>
    <w:rsid w:val="0063545B"/>
    <w:rsid w:val="00635523"/>
    <w:rsid w:val="00635663"/>
    <w:rsid w:val="006358FB"/>
    <w:rsid w:val="00635B22"/>
    <w:rsid w:val="00635E9B"/>
    <w:rsid w:val="00635F2E"/>
    <w:rsid w:val="006360BE"/>
    <w:rsid w:val="00636A56"/>
    <w:rsid w:val="00636ECA"/>
    <w:rsid w:val="006370D5"/>
    <w:rsid w:val="00637413"/>
    <w:rsid w:val="00637491"/>
    <w:rsid w:val="00637541"/>
    <w:rsid w:val="00637BBF"/>
    <w:rsid w:val="00637C34"/>
    <w:rsid w:val="00637C69"/>
    <w:rsid w:val="00640049"/>
    <w:rsid w:val="00640554"/>
    <w:rsid w:val="006406DB"/>
    <w:rsid w:val="00640831"/>
    <w:rsid w:val="006408F1"/>
    <w:rsid w:val="00640B47"/>
    <w:rsid w:val="00640E10"/>
    <w:rsid w:val="00641161"/>
    <w:rsid w:val="00641451"/>
    <w:rsid w:val="006418D3"/>
    <w:rsid w:val="00641C48"/>
    <w:rsid w:val="00641D8D"/>
    <w:rsid w:val="00641DA2"/>
    <w:rsid w:val="00641F6A"/>
    <w:rsid w:val="006420E5"/>
    <w:rsid w:val="006428CF"/>
    <w:rsid w:val="00642DF3"/>
    <w:rsid w:val="0064315B"/>
    <w:rsid w:val="00643333"/>
    <w:rsid w:val="006434D1"/>
    <w:rsid w:val="0064377F"/>
    <w:rsid w:val="006438BF"/>
    <w:rsid w:val="00643AF8"/>
    <w:rsid w:val="00643C2E"/>
    <w:rsid w:val="00643DE5"/>
    <w:rsid w:val="00643FAA"/>
    <w:rsid w:val="00643FC9"/>
    <w:rsid w:val="00644301"/>
    <w:rsid w:val="00644414"/>
    <w:rsid w:val="00644FE7"/>
    <w:rsid w:val="006453A3"/>
    <w:rsid w:val="0064547D"/>
    <w:rsid w:val="006454AB"/>
    <w:rsid w:val="006454AE"/>
    <w:rsid w:val="006456FF"/>
    <w:rsid w:val="00645D47"/>
    <w:rsid w:val="00646107"/>
    <w:rsid w:val="00646211"/>
    <w:rsid w:val="006464FA"/>
    <w:rsid w:val="00646652"/>
    <w:rsid w:val="006475A6"/>
    <w:rsid w:val="00647731"/>
    <w:rsid w:val="00647ABE"/>
    <w:rsid w:val="00647BCC"/>
    <w:rsid w:val="00647E9E"/>
    <w:rsid w:val="00647F1C"/>
    <w:rsid w:val="00650CE5"/>
    <w:rsid w:val="00650D86"/>
    <w:rsid w:val="00651325"/>
    <w:rsid w:val="0065161B"/>
    <w:rsid w:val="00651E53"/>
    <w:rsid w:val="00651F6B"/>
    <w:rsid w:val="00652671"/>
    <w:rsid w:val="0065292A"/>
    <w:rsid w:val="00652D61"/>
    <w:rsid w:val="00652E8D"/>
    <w:rsid w:val="00653695"/>
    <w:rsid w:val="006539D5"/>
    <w:rsid w:val="00653A0E"/>
    <w:rsid w:val="00653ABC"/>
    <w:rsid w:val="00653B0E"/>
    <w:rsid w:val="00653ED8"/>
    <w:rsid w:val="006540D0"/>
    <w:rsid w:val="00654327"/>
    <w:rsid w:val="00654522"/>
    <w:rsid w:val="00654752"/>
    <w:rsid w:val="00654BA5"/>
    <w:rsid w:val="00654F7E"/>
    <w:rsid w:val="0065506E"/>
    <w:rsid w:val="00655267"/>
    <w:rsid w:val="00655666"/>
    <w:rsid w:val="00655667"/>
    <w:rsid w:val="00655A8C"/>
    <w:rsid w:val="00655E96"/>
    <w:rsid w:val="00655F47"/>
    <w:rsid w:val="0065620A"/>
    <w:rsid w:val="00656471"/>
    <w:rsid w:val="006565FB"/>
    <w:rsid w:val="00656824"/>
    <w:rsid w:val="006569ED"/>
    <w:rsid w:val="00657050"/>
    <w:rsid w:val="006572CC"/>
    <w:rsid w:val="0065730F"/>
    <w:rsid w:val="0065746F"/>
    <w:rsid w:val="00657D00"/>
    <w:rsid w:val="00657D5B"/>
    <w:rsid w:val="00657E89"/>
    <w:rsid w:val="00657F05"/>
    <w:rsid w:val="00660094"/>
    <w:rsid w:val="00660112"/>
    <w:rsid w:val="00660153"/>
    <w:rsid w:val="006601B1"/>
    <w:rsid w:val="00660291"/>
    <w:rsid w:val="00660342"/>
    <w:rsid w:val="006605CA"/>
    <w:rsid w:val="0066080A"/>
    <w:rsid w:val="00660925"/>
    <w:rsid w:val="006609E9"/>
    <w:rsid w:val="00660AC2"/>
    <w:rsid w:val="00660E4D"/>
    <w:rsid w:val="00661330"/>
    <w:rsid w:val="0066180D"/>
    <w:rsid w:val="006619F8"/>
    <w:rsid w:val="00661C1B"/>
    <w:rsid w:val="00661C3D"/>
    <w:rsid w:val="00662698"/>
    <w:rsid w:val="006628FC"/>
    <w:rsid w:val="006629D8"/>
    <w:rsid w:val="00662FFF"/>
    <w:rsid w:val="00663229"/>
    <w:rsid w:val="00663265"/>
    <w:rsid w:val="00663351"/>
    <w:rsid w:val="0066348C"/>
    <w:rsid w:val="006635A2"/>
    <w:rsid w:val="006637D9"/>
    <w:rsid w:val="00663911"/>
    <w:rsid w:val="00663AE4"/>
    <w:rsid w:val="00663E13"/>
    <w:rsid w:val="00664326"/>
    <w:rsid w:val="006645D6"/>
    <w:rsid w:val="00664714"/>
    <w:rsid w:val="00664731"/>
    <w:rsid w:val="00664C59"/>
    <w:rsid w:val="00664C90"/>
    <w:rsid w:val="00665108"/>
    <w:rsid w:val="00665EEA"/>
    <w:rsid w:val="00665F02"/>
    <w:rsid w:val="00665FAF"/>
    <w:rsid w:val="00666921"/>
    <w:rsid w:val="00667C5D"/>
    <w:rsid w:val="00667D8E"/>
    <w:rsid w:val="00667E76"/>
    <w:rsid w:val="00667FE3"/>
    <w:rsid w:val="006704CA"/>
    <w:rsid w:val="0067076E"/>
    <w:rsid w:val="006707DB"/>
    <w:rsid w:val="006709D4"/>
    <w:rsid w:val="00670C68"/>
    <w:rsid w:val="00670EA6"/>
    <w:rsid w:val="00670F46"/>
    <w:rsid w:val="0067120F"/>
    <w:rsid w:val="00671973"/>
    <w:rsid w:val="00671AD5"/>
    <w:rsid w:val="00671C46"/>
    <w:rsid w:val="00671D42"/>
    <w:rsid w:val="00672058"/>
    <w:rsid w:val="006722F8"/>
    <w:rsid w:val="0067244B"/>
    <w:rsid w:val="00672A17"/>
    <w:rsid w:val="00672AA8"/>
    <w:rsid w:val="00672EEA"/>
    <w:rsid w:val="00673262"/>
    <w:rsid w:val="0067345A"/>
    <w:rsid w:val="0067355A"/>
    <w:rsid w:val="00673680"/>
    <w:rsid w:val="006737D2"/>
    <w:rsid w:val="00673A3E"/>
    <w:rsid w:val="00673B11"/>
    <w:rsid w:val="00673B1C"/>
    <w:rsid w:val="00673B68"/>
    <w:rsid w:val="00673BEF"/>
    <w:rsid w:val="00673E58"/>
    <w:rsid w:val="0067420F"/>
    <w:rsid w:val="00674330"/>
    <w:rsid w:val="006746A7"/>
    <w:rsid w:val="00674A79"/>
    <w:rsid w:val="00674C69"/>
    <w:rsid w:val="00674D35"/>
    <w:rsid w:val="006751E8"/>
    <w:rsid w:val="0067528B"/>
    <w:rsid w:val="00675646"/>
    <w:rsid w:val="0067566D"/>
    <w:rsid w:val="006756F3"/>
    <w:rsid w:val="006758FA"/>
    <w:rsid w:val="00675EC8"/>
    <w:rsid w:val="0067626B"/>
    <w:rsid w:val="00676271"/>
    <w:rsid w:val="00676530"/>
    <w:rsid w:val="00676611"/>
    <w:rsid w:val="006768A8"/>
    <w:rsid w:val="00676D32"/>
    <w:rsid w:val="00676F39"/>
    <w:rsid w:val="00676F3E"/>
    <w:rsid w:val="00677601"/>
    <w:rsid w:val="00677B4C"/>
    <w:rsid w:val="00677B72"/>
    <w:rsid w:val="00680224"/>
    <w:rsid w:val="00680452"/>
    <w:rsid w:val="006806C0"/>
    <w:rsid w:val="0068070D"/>
    <w:rsid w:val="00680C2E"/>
    <w:rsid w:val="00680E81"/>
    <w:rsid w:val="006819F4"/>
    <w:rsid w:val="00681A97"/>
    <w:rsid w:val="00681CD8"/>
    <w:rsid w:val="00681F7B"/>
    <w:rsid w:val="00681F95"/>
    <w:rsid w:val="00682165"/>
    <w:rsid w:val="0068232C"/>
    <w:rsid w:val="00682421"/>
    <w:rsid w:val="00682DC4"/>
    <w:rsid w:val="00682F4F"/>
    <w:rsid w:val="006832BD"/>
    <w:rsid w:val="00683537"/>
    <w:rsid w:val="006837F3"/>
    <w:rsid w:val="0068385F"/>
    <w:rsid w:val="006839C0"/>
    <w:rsid w:val="00684A5F"/>
    <w:rsid w:val="00684BC2"/>
    <w:rsid w:val="00684BEC"/>
    <w:rsid w:val="006853D2"/>
    <w:rsid w:val="00685575"/>
    <w:rsid w:val="00685672"/>
    <w:rsid w:val="00685706"/>
    <w:rsid w:val="0068587A"/>
    <w:rsid w:val="00685C70"/>
    <w:rsid w:val="00686387"/>
    <w:rsid w:val="006866B2"/>
    <w:rsid w:val="0068677F"/>
    <w:rsid w:val="00686A5D"/>
    <w:rsid w:val="00686AC5"/>
    <w:rsid w:val="00686BCC"/>
    <w:rsid w:val="00686F73"/>
    <w:rsid w:val="006872D9"/>
    <w:rsid w:val="0068767E"/>
    <w:rsid w:val="00687A13"/>
    <w:rsid w:val="0069000B"/>
    <w:rsid w:val="006900B0"/>
    <w:rsid w:val="0069014D"/>
    <w:rsid w:val="00690311"/>
    <w:rsid w:val="00690AED"/>
    <w:rsid w:val="00690BCA"/>
    <w:rsid w:val="00690C34"/>
    <w:rsid w:val="00690D05"/>
    <w:rsid w:val="00690FBD"/>
    <w:rsid w:val="00691034"/>
    <w:rsid w:val="0069105A"/>
    <w:rsid w:val="0069143C"/>
    <w:rsid w:val="006914AC"/>
    <w:rsid w:val="00691C90"/>
    <w:rsid w:val="00691F5B"/>
    <w:rsid w:val="006921AC"/>
    <w:rsid w:val="0069271A"/>
    <w:rsid w:val="00692EFE"/>
    <w:rsid w:val="0069372F"/>
    <w:rsid w:val="00693BBB"/>
    <w:rsid w:val="00693BFA"/>
    <w:rsid w:val="00693C29"/>
    <w:rsid w:val="00693DE6"/>
    <w:rsid w:val="00693E2E"/>
    <w:rsid w:val="00693E3C"/>
    <w:rsid w:val="00693F06"/>
    <w:rsid w:val="0069401D"/>
    <w:rsid w:val="00694229"/>
    <w:rsid w:val="0069476D"/>
    <w:rsid w:val="00694946"/>
    <w:rsid w:val="00694A22"/>
    <w:rsid w:val="006952DE"/>
    <w:rsid w:val="006956ED"/>
    <w:rsid w:val="00696374"/>
    <w:rsid w:val="0069640A"/>
    <w:rsid w:val="00696969"/>
    <w:rsid w:val="006969E5"/>
    <w:rsid w:val="00696B31"/>
    <w:rsid w:val="00696BE0"/>
    <w:rsid w:val="00696DAD"/>
    <w:rsid w:val="00697188"/>
    <w:rsid w:val="00697D9E"/>
    <w:rsid w:val="006A0035"/>
    <w:rsid w:val="006A04C8"/>
    <w:rsid w:val="006A0FCC"/>
    <w:rsid w:val="006A1056"/>
    <w:rsid w:val="006A16C5"/>
    <w:rsid w:val="006A186C"/>
    <w:rsid w:val="006A19B9"/>
    <w:rsid w:val="006A1ADE"/>
    <w:rsid w:val="006A1B12"/>
    <w:rsid w:val="006A1E70"/>
    <w:rsid w:val="006A2001"/>
    <w:rsid w:val="006A228A"/>
    <w:rsid w:val="006A25F4"/>
    <w:rsid w:val="006A2AB8"/>
    <w:rsid w:val="006A2CDD"/>
    <w:rsid w:val="006A30B7"/>
    <w:rsid w:val="006A3262"/>
    <w:rsid w:val="006A34D7"/>
    <w:rsid w:val="006A3870"/>
    <w:rsid w:val="006A38D2"/>
    <w:rsid w:val="006A3980"/>
    <w:rsid w:val="006A3E3F"/>
    <w:rsid w:val="006A42AD"/>
    <w:rsid w:val="006A4508"/>
    <w:rsid w:val="006A45D7"/>
    <w:rsid w:val="006A48B4"/>
    <w:rsid w:val="006A4AB3"/>
    <w:rsid w:val="006A4BF4"/>
    <w:rsid w:val="006A4C96"/>
    <w:rsid w:val="006A4E18"/>
    <w:rsid w:val="006A4EC0"/>
    <w:rsid w:val="006A5130"/>
    <w:rsid w:val="006A51E2"/>
    <w:rsid w:val="006A5332"/>
    <w:rsid w:val="006A5355"/>
    <w:rsid w:val="006A535A"/>
    <w:rsid w:val="006A549C"/>
    <w:rsid w:val="006A5DA2"/>
    <w:rsid w:val="006A5E9F"/>
    <w:rsid w:val="006A5EB9"/>
    <w:rsid w:val="006A5FEF"/>
    <w:rsid w:val="006A6054"/>
    <w:rsid w:val="006A619F"/>
    <w:rsid w:val="006A63B9"/>
    <w:rsid w:val="006A6465"/>
    <w:rsid w:val="006A658F"/>
    <w:rsid w:val="006A66D7"/>
    <w:rsid w:val="006A6A69"/>
    <w:rsid w:val="006A6B3A"/>
    <w:rsid w:val="006A6B6D"/>
    <w:rsid w:val="006A6C2A"/>
    <w:rsid w:val="006A71A1"/>
    <w:rsid w:val="006A726B"/>
    <w:rsid w:val="006A79E6"/>
    <w:rsid w:val="006A7BFF"/>
    <w:rsid w:val="006A7DCD"/>
    <w:rsid w:val="006A7E9D"/>
    <w:rsid w:val="006A7ED3"/>
    <w:rsid w:val="006B0184"/>
    <w:rsid w:val="006B0325"/>
    <w:rsid w:val="006B03BF"/>
    <w:rsid w:val="006B0AB1"/>
    <w:rsid w:val="006B0BAB"/>
    <w:rsid w:val="006B0C5E"/>
    <w:rsid w:val="006B1810"/>
    <w:rsid w:val="006B2454"/>
    <w:rsid w:val="006B24F1"/>
    <w:rsid w:val="006B2572"/>
    <w:rsid w:val="006B2795"/>
    <w:rsid w:val="006B2EA5"/>
    <w:rsid w:val="006B39D6"/>
    <w:rsid w:val="006B3EBA"/>
    <w:rsid w:val="006B4412"/>
    <w:rsid w:val="006B48CC"/>
    <w:rsid w:val="006B4FE9"/>
    <w:rsid w:val="006B5208"/>
    <w:rsid w:val="006B5466"/>
    <w:rsid w:val="006B55E1"/>
    <w:rsid w:val="006B57F6"/>
    <w:rsid w:val="006B59C4"/>
    <w:rsid w:val="006B5A56"/>
    <w:rsid w:val="006B629D"/>
    <w:rsid w:val="006B6558"/>
    <w:rsid w:val="006B6DE8"/>
    <w:rsid w:val="006B7032"/>
    <w:rsid w:val="006B729F"/>
    <w:rsid w:val="006B73BB"/>
    <w:rsid w:val="006B7403"/>
    <w:rsid w:val="006C01D3"/>
    <w:rsid w:val="006C0298"/>
    <w:rsid w:val="006C0CF6"/>
    <w:rsid w:val="006C0F3B"/>
    <w:rsid w:val="006C0F4F"/>
    <w:rsid w:val="006C0FF6"/>
    <w:rsid w:val="006C139F"/>
    <w:rsid w:val="006C1721"/>
    <w:rsid w:val="006C1D4C"/>
    <w:rsid w:val="006C1E18"/>
    <w:rsid w:val="006C24AC"/>
    <w:rsid w:val="006C2941"/>
    <w:rsid w:val="006C2FD5"/>
    <w:rsid w:val="006C31FB"/>
    <w:rsid w:val="006C3537"/>
    <w:rsid w:val="006C36CD"/>
    <w:rsid w:val="006C376B"/>
    <w:rsid w:val="006C3F0B"/>
    <w:rsid w:val="006C4609"/>
    <w:rsid w:val="006C47FD"/>
    <w:rsid w:val="006C4A7A"/>
    <w:rsid w:val="006C4BBD"/>
    <w:rsid w:val="006C4BD7"/>
    <w:rsid w:val="006C4ED2"/>
    <w:rsid w:val="006C50CD"/>
    <w:rsid w:val="006C5211"/>
    <w:rsid w:val="006C548E"/>
    <w:rsid w:val="006C54DA"/>
    <w:rsid w:val="006C55B2"/>
    <w:rsid w:val="006C5617"/>
    <w:rsid w:val="006C5835"/>
    <w:rsid w:val="006C59D7"/>
    <w:rsid w:val="006C5A48"/>
    <w:rsid w:val="006C5B97"/>
    <w:rsid w:val="006C61B7"/>
    <w:rsid w:val="006C69B1"/>
    <w:rsid w:val="006C6D53"/>
    <w:rsid w:val="006C6FF4"/>
    <w:rsid w:val="006C793E"/>
    <w:rsid w:val="006C7BCE"/>
    <w:rsid w:val="006C7EDB"/>
    <w:rsid w:val="006D068D"/>
    <w:rsid w:val="006D0920"/>
    <w:rsid w:val="006D0C6B"/>
    <w:rsid w:val="006D0E4B"/>
    <w:rsid w:val="006D101C"/>
    <w:rsid w:val="006D143E"/>
    <w:rsid w:val="006D1576"/>
    <w:rsid w:val="006D1618"/>
    <w:rsid w:val="006D18C0"/>
    <w:rsid w:val="006D1AF2"/>
    <w:rsid w:val="006D1EBB"/>
    <w:rsid w:val="006D223F"/>
    <w:rsid w:val="006D2349"/>
    <w:rsid w:val="006D2425"/>
    <w:rsid w:val="006D2847"/>
    <w:rsid w:val="006D299D"/>
    <w:rsid w:val="006D2BD0"/>
    <w:rsid w:val="006D3B50"/>
    <w:rsid w:val="006D3D29"/>
    <w:rsid w:val="006D40BE"/>
    <w:rsid w:val="006D41ED"/>
    <w:rsid w:val="006D4275"/>
    <w:rsid w:val="006D42B6"/>
    <w:rsid w:val="006D4F40"/>
    <w:rsid w:val="006D5422"/>
    <w:rsid w:val="006D5658"/>
    <w:rsid w:val="006D5797"/>
    <w:rsid w:val="006D5A76"/>
    <w:rsid w:val="006D60C8"/>
    <w:rsid w:val="006D6130"/>
    <w:rsid w:val="006D61FE"/>
    <w:rsid w:val="006D625D"/>
    <w:rsid w:val="006D67AD"/>
    <w:rsid w:val="006D69D1"/>
    <w:rsid w:val="006D6A46"/>
    <w:rsid w:val="006D7227"/>
    <w:rsid w:val="006D7240"/>
    <w:rsid w:val="006D7316"/>
    <w:rsid w:val="006D74C0"/>
    <w:rsid w:val="006E0323"/>
    <w:rsid w:val="006E0663"/>
    <w:rsid w:val="006E0E49"/>
    <w:rsid w:val="006E106B"/>
    <w:rsid w:val="006E1183"/>
    <w:rsid w:val="006E1571"/>
    <w:rsid w:val="006E17A4"/>
    <w:rsid w:val="006E1CD8"/>
    <w:rsid w:val="006E2212"/>
    <w:rsid w:val="006E27D6"/>
    <w:rsid w:val="006E2A57"/>
    <w:rsid w:val="006E2E82"/>
    <w:rsid w:val="006E349F"/>
    <w:rsid w:val="006E3645"/>
    <w:rsid w:val="006E369D"/>
    <w:rsid w:val="006E372E"/>
    <w:rsid w:val="006E3ACE"/>
    <w:rsid w:val="006E3E61"/>
    <w:rsid w:val="006E504A"/>
    <w:rsid w:val="006E5112"/>
    <w:rsid w:val="006E547A"/>
    <w:rsid w:val="006E57B1"/>
    <w:rsid w:val="006E5890"/>
    <w:rsid w:val="006E67F0"/>
    <w:rsid w:val="006E685E"/>
    <w:rsid w:val="006E68FF"/>
    <w:rsid w:val="006E6D1B"/>
    <w:rsid w:val="006E726E"/>
    <w:rsid w:val="006E7382"/>
    <w:rsid w:val="006E758A"/>
    <w:rsid w:val="006E7B4A"/>
    <w:rsid w:val="006E7E83"/>
    <w:rsid w:val="006F044B"/>
    <w:rsid w:val="006F0485"/>
    <w:rsid w:val="006F04AD"/>
    <w:rsid w:val="006F05C2"/>
    <w:rsid w:val="006F06FB"/>
    <w:rsid w:val="006F0B7E"/>
    <w:rsid w:val="006F0D15"/>
    <w:rsid w:val="006F0DEB"/>
    <w:rsid w:val="006F128F"/>
    <w:rsid w:val="006F147D"/>
    <w:rsid w:val="006F18C2"/>
    <w:rsid w:val="006F1940"/>
    <w:rsid w:val="006F1A35"/>
    <w:rsid w:val="006F1DDD"/>
    <w:rsid w:val="006F1DF1"/>
    <w:rsid w:val="006F1ECC"/>
    <w:rsid w:val="006F1ED8"/>
    <w:rsid w:val="006F2033"/>
    <w:rsid w:val="006F2215"/>
    <w:rsid w:val="006F27DC"/>
    <w:rsid w:val="006F2DAA"/>
    <w:rsid w:val="006F2E7E"/>
    <w:rsid w:val="006F34C5"/>
    <w:rsid w:val="006F3E30"/>
    <w:rsid w:val="006F3EAB"/>
    <w:rsid w:val="006F435F"/>
    <w:rsid w:val="006F4490"/>
    <w:rsid w:val="006F4851"/>
    <w:rsid w:val="006F48A7"/>
    <w:rsid w:val="006F48F4"/>
    <w:rsid w:val="006F4995"/>
    <w:rsid w:val="006F4CA8"/>
    <w:rsid w:val="006F4D25"/>
    <w:rsid w:val="006F4DED"/>
    <w:rsid w:val="006F5091"/>
    <w:rsid w:val="006F5478"/>
    <w:rsid w:val="006F5889"/>
    <w:rsid w:val="006F58E3"/>
    <w:rsid w:val="006F59B8"/>
    <w:rsid w:val="006F5A0E"/>
    <w:rsid w:val="006F5C71"/>
    <w:rsid w:val="006F6096"/>
    <w:rsid w:val="006F62B4"/>
    <w:rsid w:val="006F6358"/>
    <w:rsid w:val="006F642E"/>
    <w:rsid w:val="006F6457"/>
    <w:rsid w:val="006F6561"/>
    <w:rsid w:val="006F67D1"/>
    <w:rsid w:val="006F69A2"/>
    <w:rsid w:val="006F6BA2"/>
    <w:rsid w:val="006F701C"/>
    <w:rsid w:val="006F704D"/>
    <w:rsid w:val="006F7215"/>
    <w:rsid w:val="006F73E6"/>
    <w:rsid w:val="006F74B3"/>
    <w:rsid w:val="006F7640"/>
    <w:rsid w:val="006F7ACD"/>
    <w:rsid w:val="00700025"/>
    <w:rsid w:val="0070019F"/>
    <w:rsid w:val="007001A0"/>
    <w:rsid w:val="00700892"/>
    <w:rsid w:val="007008D0"/>
    <w:rsid w:val="00700A57"/>
    <w:rsid w:val="0070111B"/>
    <w:rsid w:val="00701221"/>
    <w:rsid w:val="007015D9"/>
    <w:rsid w:val="007017C8"/>
    <w:rsid w:val="00701B1F"/>
    <w:rsid w:val="00701C59"/>
    <w:rsid w:val="00701F01"/>
    <w:rsid w:val="00701F74"/>
    <w:rsid w:val="0070226E"/>
    <w:rsid w:val="007022FC"/>
    <w:rsid w:val="0070242F"/>
    <w:rsid w:val="00702816"/>
    <w:rsid w:val="007028F9"/>
    <w:rsid w:val="00702AAC"/>
    <w:rsid w:val="00702ABA"/>
    <w:rsid w:val="00702B2A"/>
    <w:rsid w:val="00702FF1"/>
    <w:rsid w:val="0070302A"/>
    <w:rsid w:val="007034FE"/>
    <w:rsid w:val="0070378B"/>
    <w:rsid w:val="007038E9"/>
    <w:rsid w:val="00703938"/>
    <w:rsid w:val="00703A68"/>
    <w:rsid w:val="00703E15"/>
    <w:rsid w:val="0070452C"/>
    <w:rsid w:val="007046B0"/>
    <w:rsid w:val="007047D9"/>
    <w:rsid w:val="0070498B"/>
    <w:rsid w:val="00704A48"/>
    <w:rsid w:val="00705229"/>
    <w:rsid w:val="0070523B"/>
    <w:rsid w:val="00705355"/>
    <w:rsid w:val="00705392"/>
    <w:rsid w:val="00705506"/>
    <w:rsid w:val="00705788"/>
    <w:rsid w:val="00705BA0"/>
    <w:rsid w:val="00705BD8"/>
    <w:rsid w:val="00705E77"/>
    <w:rsid w:val="00706037"/>
    <w:rsid w:val="0070622D"/>
    <w:rsid w:val="0070677F"/>
    <w:rsid w:val="00706B0B"/>
    <w:rsid w:val="0070704C"/>
    <w:rsid w:val="00707072"/>
    <w:rsid w:val="0070724F"/>
    <w:rsid w:val="00707B42"/>
    <w:rsid w:val="00707CE2"/>
    <w:rsid w:val="00707D01"/>
    <w:rsid w:val="00707DA2"/>
    <w:rsid w:val="00707E72"/>
    <w:rsid w:val="0071045B"/>
    <w:rsid w:val="0071053C"/>
    <w:rsid w:val="0071081A"/>
    <w:rsid w:val="007108CE"/>
    <w:rsid w:val="00710A82"/>
    <w:rsid w:val="007110BF"/>
    <w:rsid w:val="00711957"/>
    <w:rsid w:val="00711BC8"/>
    <w:rsid w:val="00711F51"/>
    <w:rsid w:val="007125A5"/>
    <w:rsid w:val="00712E31"/>
    <w:rsid w:val="007130B2"/>
    <w:rsid w:val="007134CA"/>
    <w:rsid w:val="00713A6C"/>
    <w:rsid w:val="00713B73"/>
    <w:rsid w:val="007141C2"/>
    <w:rsid w:val="007142AE"/>
    <w:rsid w:val="00714681"/>
    <w:rsid w:val="0071485F"/>
    <w:rsid w:val="00714F28"/>
    <w:rsid w:val="00714FF2"/>
    <w:rsid w:val="007150AA"/>
    <w:rsid w:val="00715373"/>
    <w:rsid w:val="007155E1"/>
    <w:rsid w:val="007155E5"/>
    <w:rsid w:val="00715BE0"/>
    <w:rsid w:val="00715C24"/>
    <w:rsid w:val="00716110"/>
    <w:rsid w:val="0071676F"/>
    <w:rsid w:val="00716911"/>
    <w:rsid w:val="00716FA8"/>
    <w:rsid w:val="00717210"/>
    <w:rsid w:val="0071754B"/>
    <w:rsid w:val="00717551"/>
    <w:rsid w:val="0071778B"/>
    <w:rsid w:val="00717CE5"/>
    <w:rsid w:val="00717E0D"/>
    <w:rsid w:val="00720189"/>
    <w:rsid w:val="007203A7"/>
    <w:rsid w:val="0072057A"/>
    <w:rsid w:val="007205FC"/>
    <w:rsid w:val="00720C99"/>
    <w:rsid w:val="00720D20"/>
    <w:rsid w:val="00720D6B"/>
    <w:rsid w:val="00720DC6"/>
    <w:rsid w:val="00721251"/>
    <w:rsid w:val="007215B1"/>
    <w:rsid w:val="0072177E"/>
    <w:rsid w:val="00721D05"/>
    <w:rsid w:val="00721DAD"/>
    <w:rsid w:val="007221BB"/>
    <w:rsid w:val="007227D5"/>
    <w:rsid w:val="007228A7"/>
    <w:rsid w:val="00722C1D"/>
    <w:rsid w:val="00722CBC"/>
    <w:rsid w:val="00722D33"/>
    <w:rsid w:val="00722D66"/>
    <w:rsid w:val="00722E4D"/>
    <w:rsid w:val="007232C4"/>
    <w:rsid w:val="007239D7"/>
    <w:rsid w:val="00723A72"/>
    <w:rsid w:val="00723D7A"/>
    <w:rsid w:val="00723DED"/>
    <w:rsid w:val="007246BA"/>
    <w:rsid w:val="00724E4D"/>
    <w:rsid w:val="00724FE9"/>
    <w:rsid w:val="00724FF7"/>
    <w:rsid w:val="00725155"/>
    <w:rsid w:val="00725242"/>
    <w:rsid w:val="00725284"/>
    <w:rsid w:val="00725357"/>
    <w:rsid w:val="00725789"/>
    <w:rsid w:val="0072580D"/>
    <w:rsid w:val="0072587C"/>
    <w:rsid w:val="00725CDB"/>
    <w:rsid w:val="00725DCB"/>
    <w:rsid w:val="007261CE"/>
    <w:rsid w:val="0072691F"/>
    <w:rsid w:val="0072693E"/>
    <w:rsid w:val="00726968"/>
    <w:rsid w:val="007269FC"/>
    <w:rsid w:val="00727323"/>
    <w:rsid w:val="00727605"/>
    <w:rsid w:val="0072794F"/>
    <w:rsid w:val="00727AA4"/>
    <w:rsid w:val="00727C33"/>
    <w:rsid w:val="00727C8D"/>
    <w:rsid w:val="00727CAD"/>
    <w:rsid w:val="0073001A"/>
    <w:rsid w:val="0073006E"/>
    <w:rsid w:val="007300F1"/>
    <w:rsid w:val="007301ED"/>
    <w:rsid w:val="007303F8"/>
    <w:rsid w:val="00730471"/>
    <w:rsid w:val="00730518"/>
    <w:rsid w:val="007307A1"/>
    <w:rsid w:val="007309C9"/>
    <w:rsid w:val="00730A73"/>
    <w:rsid w:val="00730FB6"/>
    <w:rsid w:val="00730FC2"/>
    <w:rsid w:val="00730FDD"/>
    <w:rsid w:val="00730FE9"/>
    <w:rsid w:val="0073126B"/>
    <w:rsid w:val="00731276"/>
    <w:rsid w:val="00731755"/>
    <w:rsid w:val="007317DD"/>
    <w:rsid w:val="00731AEF"/>
    <w:rsid w:val="00731C62"/>
    <w:rsid w:val="0073207F"/>
    <w:rsid w:val="00732380"/>
    <w:rsid w:val="00732387"/>
    <w:rsid w:val="007323E2"/>
    <w:rsid w:val="007324BF"/>
    <w:rsid w:val="0073255E"/>
    <w:rsid w:val="007325F5"/>
    <w:rsid w:val="00732617"/>
    <w:rsid w:val="00732A5C"/>
    <w:rsid w:val="00732CB7"/>
    <w:rsid w:val="00732FE5"/>
    <w:rsid w:val="00733999"/>
    <w:rsid w:val="0073404E"/>
    <w:rsid w:val="0073409A"/>
    <w:rsid w:val="0073448F"/>
    <w:rsid w:val="00734B77"/>
    <w:rsid w:val="007350FC"/>
    <w:rsid w:val="0073540B"/>
    <w:rsid w:val="00735A46"/>
    <w:rsid w:val="00735A59"/>
    <w:rsid w:val="00735D3A"/>
    <w:rsid w:val="00735FE5"/>
    <w:rsid w:val="00735FF4"/>
    <w:rsid w:val="0073680C"/>
    <w:rsid w:val="007368ED"/>
    <w:rsid w:val="00736958"/>
    <w:rsid w:val="007369C9"/>
    <w:rsid w:val="00736C20"/>
    <w:rsid w:val="00736DC3"/>
    <w:rsid w:val="0073745E"/>
    <w:rsid w:val="007375E7"/>
    <w:rsid w:val="0073761D"/>
    <w:rsid w:val="00737E8F"/>
    <w:rsid w:val="007402A1"/>
    <w:rsid w:val="007406B4"/>
    <w:rsid w:val="0074093F"/>
    <w:rsid w:val="007409F9"/>
    <w:rsid w:val="00740A9A"/>
    <w:rsid w:val="00740ADC"/>
    <w:rsid w:val="00740D0E"/>
    <w:rsid w:val="00740D9F"/>
    <w:rsid w:val="00740F45"/>
    <w:rsid w:val="00741051"/>
    <w:rsid w:val="00741AC6"/>
    <w:rsid w:val="00741B77"/>
    <w:rsid w:val="00741D42"/>
    <w:rsid w:val="0074217D"/>
    <w:rsid w:val="007427B5"/>
    <w:rsid w:val="0074283D"/>
    <w:rsid w:val="00742866"/>
    <w:rsid w:val="00742BD3"/>
    <w:rsid w:val="00742F4B"/>
    <w:rsid w:val="00743147"/>
    <w:rsid w:val="007431E3"/>
    <w:rsid w:val="007431E7"/>
    <w:rsid w:val="0074345D"/>
    <w:rsid w:val="007434C2"/>
    <w:rsid w:val="00743CDF"/>
    <w:rsid w:val="00744285"/>
    <w:rsid w:val="00744306"/>
    <w:rsid w:val="00744358"/>
    <w:rsid w:val="00744A14"/>
    <w:rsid w:val="00744AB5"/>
    <w:rsid w:val="00744B24"/>
    <w:rsid w:val="00744C1E"/>
    <w:rsid w:val="00744E5A"/>
    <w:rsid w:val="00745031"/>
    <w:rsid w:val="007459E4"/>
    <w:rsid w:val="00745B03"/>
    <w:rsid w:val="00745E3A"/>
    <w:rsid w:val="007461EE"/>
    <w:rsid w:val="007462C3"/>
    <w:rsid w:val="0074631A"/>
    <w:rsid w:val="007463C1"/>
    <w:rsid w:val="0074657C"/>
    <w:rsid w:val="00746A64"/>
    <w:rsid w:val="00746A93"/>
    <w:rsid w:val="00746B56"/>
    <w:rsid w:val="00746C5A"/>
    <w:rsid w:val="00746D81"/>
    <w:rsid w:val="00747239"/>
    <w:rsid w:val="00747341"/>
    <w:rsid w:val="0074783E"/>
    <w:rsid w:val="00747B00"/>
    <w:rsid w:val="00747B74"/>
    <w:rsid w:val="00747F60"/>
    <w:rsid w:val="00750093"/>
    <w:rsid w:val="007504CE"/>
    <w:rsid w:val="00750716"/>
    <w:rsid w:val="00750892"/>
    <w:rsid w:val="00750AC8"/>
    <w:rsid w:val="00750E62"/>
    <w:rsid w:val="007511C5"/>
    <w:rsid w:val="00751615"/>
    <w:rsid w:val="00751635"/>
    <w:rsid w:val="00751C55"/>
    <w:rsid w:val="00751F04"/>
    <w:rsid w:val="00752101"/>
    <w:rsid w:val="00752204"/>
    <w:rsid w:val="00752419"/>
    <w:rsid w:val="007528CA"/>
    <w:rsid w:val="007529E0"/>
    <w:rsid w:val="00752CAE"/>
    <w:rsid w:val="00752F3C"/>
    <w:rsid w:val="007531D8"/>
    <w:rsid w:val="0075338F"/>
    <w:rsid w:val="0075400C"/>
    <w:rsid w:val="0075423E"/>
    <w:rsid w:val="007544C2"/>
    <w:rsid w:val="007545A6"/>
    <w:rsid w:val="0075486B"/>
    <w:rsid w:val="0075486C"/>
    <w:rsid w:val="00754AA8"/>
    <w:rsid w:val="00754B19"/>
    <w:rsid w:val="00755078"/>
    <w:rsid w:val="00755589"/>
    <w:rsid w:val="00756068"/>
    <w:rsid w:val="007560EC"/>
    <w:rsid w:val="00756147"/>
    <w:rsid w:val="0075614B"/>
    <w:rsid w:val="0075618B"/>
    <w:rsid w:val="00756663"/>
    <w:rsid w:val="007567C9"/>
    <w:rsid w:val="00756904"/>
    <w:rsid w:val="007569E4"/>
    <w:rsid w:val="00756ACE"/>
    <w:rsid w:val="00756B74"/>
    <w:rsid w:val="00756C68"/>
    <w:rsid w:val="00756E02"/>
    <w:rsid w:val="00756E64"/>
    <w:rsid w:val="00756EB3"/>
    <w:rsid w:val="00757144"/>
    <w:rsid w:val="00757332"/>
    <w:rsid w:val="007573B0"/>
    <w:rsid w:val="00757E7D"/>
    <w:rsid w:val="00757ED9"/>
    <w:rsid w:val="00757F5D"/>
    <w:rsid w:val="00760009"/>
    <w:rsid w:val="007600BD"/>
    <w:rsid w:val="00760148"/>
    <w:rsid w:val="007602D8"/>
    <w:rsid w:val="007607B6"/>
    <w:rsid w:val="0076099E"/>
    <w:rsid w:val="00760B4C"/>
    <w:rsid w:val="00760B9D"/>
    <w:rsid w:val="00760C12"/>
    <w:rsid w:val="00760F0E"/>
    <w:rsid w:val="00761010"/>
    <w:rsid w:val="00761777"/>
    <w:rsid w:val="0076182C"/>
    <w:rsid w:val="007619D6"/>
    <w:rsid w:val="00762048"/>
    <w:rsid w:val="00762474"/>
    <w:rsid w:val="007628BF"/>
    <w:rsid w:val="0076291B"/>
    <w:rsid w:val="00762C4C"/>
    <w:rsid w:val="00762D3A"/>
    <w:rsid w:val="0076301A"/>
    <w:rsid w:val="00763763"/>
    <w:rsid w:val="00763B0A"/>
    <w:rsid w:val="00763C53"/>
    <w:rsid w:val="00763D43"/>
    <w:rsid w:val="00763E43"/>
    <w:rsid w:val="00763FE7"/>
    <w:rsid w:val="00764615"/>
    <w:rsid w:val="00764700"/>
    <w:rsid w:val="00764820"/>
    <w:rsid w:val="00764D1E"/>
    <w:rsid w:val="00764E73"/>
    <w:rsid w:val="00765493"/>
    <w:rsid w:val="007657B5"/>
    <w:rsid w:val="00765999"/>
    <w:rsid w:val="00765A5B"/>
    <w:rsid w:val="00765A5D"/>
    <w:rsid w:val="00766269"/>
    <w:rsid w:val="007662F5"/>
    <w:rsid w:val="0076745A"/>
    <w:rsid w:val="0076771E"/>
    <w:rsid w:val="00767897"/>
    <w:rsid w:val="007678F6"/>
    <w:rsid w:val="00767D0D"/>
    <w:rsid w:val="00767D1C"/>
    <w:rsid w:val="00767F0C"/>
    <w:rsid w:val="0077001B"/>
    <w:rsid w:val="007700B4"/>
    <w:rsid w:val="00770243"/>
    <w:rsid w:val="00771070"/>
    <w:rsid w:val="0077191A"/>
    <w:rsid w:val="007723E4"/>
    <w:rsid w:val="007724EE"/>
    <w:rsid w:val="0077282F"/>
    <w:rsid w:val="007728A8"/>
    <w:rsid w:val="00772BCF"/>
    <w:rsid w:val="007730BD"/>
    <w:rsid w:val="00773C3C"/>
    <w:rsid w:val="00773E41"/>
    <w:rsid w:val="0077412F"/>
    <w:rsid w:val="007744E9"/>
    <w:rsid w:val="00774507"/>
    <w:rsid w:val="007752DA"/>
    <w:rsid w:val="0077551C"/>
    <w:rsid w:val="00775B01"/>
    <w:rsid w:val="00775D33"/>
    <w:rsid w:val="00775E19"/>
    <w:rsid w:val="00775F03"/>
    <w:rsid w:val="00775F24"/>
    <w:rsid w:val="00776334"/>
    <w:rsid w:val="00776487"/>
    <w:rsid w:val="0077654F"/>
    <w:rsid w:val="00776564"/>
    <w:rsid w:val="00776816"/>
    <w:rsid w:val="00776830"/>
    <w:rsid w:val="00777EA6"/>
    <w:rsid w:val="007800FE"/>
    <w:rsid w:val="0078023D"/>
    <w:rsid w:val="00780352"/>
    <w:rsid w:val="007804AC"/>
    <w:rsid w:val="00780B4A"/>
    <w:rsid w:val="00780F39"/>
    <w:rsid w:val="0078128E"/>
    <w:rsid w:val="0078173C"/>
    <w:rsid w:val="00781975"/>
    <w:rsid w:val="00781B25"/>
    <w:rsid w:val="00782111"/>
    <w:rsid w:val="00782218"/>
    <w:rsid w:val="00782325"/>
    <w:rsid w:val="007827E5"/>
    <w:rsid w:val="00782917"/>
    <w:rsid w:val="0078292F"/>
    <w:rsid w:val="00782A78"/>
    <w:rsid w:val="00783584"/>
    <w:rsid w:val="00783F72"/>
    <w:rsid w:val="007840C9"/>
    <w:rsid w:val="00784318"/>
    <w:rsid w:val="0078459C"/>
    <w:rsid w:val="00784866"/>
    <w:rsid w:val="00784967"/>
    <w:rsid w:val="00784D8A"/>
    <w:rsid w:val="0078510D"/>
    <w:rsid w:val="007854CB"/>
    <w:rsid w:val="007854ED"/>
    <w:rsid w:val="0078553B"/>
    <w:rsid w:val="007857A0"/>
    <w:rsid w:val="007862BE"/>
    <w:rsid w:val="00786597"/>
    <w:rsid w:val="007867DA"/>
    <w:rsid w:val="007868FD"/>
    <w:rsid w:val="00786E1A"/>
    <w:rsid w:val="00787267"/>
    <w:rsid w:val="007872DD"/>
    <w:rsid w:val="00787608"/>
    <w:rsid w:val="00787897"/>
    <w:rsid w:val="00787999"/>
    <w:rsid w:val="00787D61"/>
    <w:rsid w:val="00787DFB"/>
    <w:rsid w:val="00790415"/>
    <w:rsid w:val="00790587"/>
    <w:rsid w:val="0079062A"/>
    <w:rsid w:val="00790D33"/>
    <w:rsid w:val="00790D42"/>
    <w:rsid w:val="00791109"/>
    <w:rsid w:val="00791B04"/>
    <w:rsid w:val="00791BEC"/>
    <w:rsid w:val="00791D73"/>
    <w:rsid w:val="007922E5"/>
    <w:rsid w:val="007925A5"/>
    <w:rsid w:val="0079265A"/>
    <w:rsid w:val="00792768"/>
    <w:rsid w:val="00792B76"/>
    <w:rsid w:val="0079364C"/>
    <w:rsid w:val="00793C65"/>
    <w:rsid w:val="00793F9D"/>
    <w:rsid w:val="0079408B"/>
    <w:rsid w:val="007940EA"/>
    <w:rsid w:val="00794239"/>
    <w:rsid w:val="0079431E"/>
    <w:rsid w:val="00794438"/>
    <w:rsid w:val="00794439"/>
    <w:rsid w:val="0079489C"/>
    <w:rsid w:val="00794F39"/>
    <w:rsid w:val="0079562A"/>
    <w:rsid w:val="0079562D"/>
    <w:rsid w:val="00795724"/>
    <w:rsid w:val="0079575D"/>
    <w:rsid w:val="00795AD9"/>
    <w:rsid w:val="00796397"/>
    <w:rsid w:val="00796810"/>
    <w:rsid w:val="0079747D"/>
    <w:rsid w:val="00797B0B"/>
    <w:rsid w:val="00797F76"/>
    <w:rsid w:val="007A012D"/>
    <w:rsid w:val="007A034A"/>
    <w:rsid w:val="007A07A8"/>
    <w:rsid w:val="007A0912"/>
    <w:rsid w:val="007A0B90"/>
    <w:rsid w:val="007A1072"/>
    <w:rsid w:val="007A107E"/>
    <w:rsid w:val="007A1779"/>
    <w:rsid w:val="007A239B"/>
    <w:rsid w:val="007A26AB"/>
    <w:rsid w:val="007A280F"/>
    <w:rsid w:val="007A2967"/>
    <w:rsid w:val="007A2DF5"/>
    <w:rsid w:val="007A35B0"/>
    <w:rsid w:val="007A3D09"/>
    <w:rsid w:val="007A40E3"/>
    <w:rsid w:val="007A40E4"/>
    <w:rsid w:val="007A4100"/>
    <w:rsid w:val="007A41FC"/>
    <w:rsid w:val="007A45D3"/>
    <w:rsid w:val="007A4C46"/>
    <w:rsid w:val="007A4C8F"/>
    <w:rsid w:val="007A4DF9"/>
    <w:rsid w:val="007A4E75"/>
    <w:rsid w:val="007A4FE7"/>
    <w:rsid w:val="007A529E"/>
    <w:rsid w:val="007A52DE"/>
    <w:rsid w:val="007A599E"/>
    <w:rsid w:val="007A5B1C"/>
    <w:rsid w:val="007A5C32"/>
    <w:rsid w:val="007A5DA2"/>
    <w:rsid w:val="007A6D57"/>
    <w:rsid w:val="007A6D6E"/>
    <w:rsid w:val="007A6FB9"/>
    <w:rsid w:val="007A7126"/>
    <w:rsid w:val="007A7706"/>
    <w:rsid w:val="007A7747"/>
    <w:rsid w:val="007A799B"/>
    <w:rsid w:val="007A7D89"/>
    <w:rsid w:val="007B06D7"/>
    <w:rsid w:val="007B0CE8"/>
    <w:rsid w:val="007B0E93"/>
    <w:rsid w:val="007B1107"/>
    <w:rsid w:val="007B18C2"/>
    <w:rsid w:val="007B1D02"/>
    <w:rsid w:val="007B1D7B"/>
    <w:rsid w:val="007B2761"/>
    <w:rsid w:val="007B294E"/>
    <w:rsid w:val="007B3515"/>
    <w:rsid w:val="007B39D8"/>
    <w:rsid w:val="007B3D97"/>
    <w:rsid w:val="007B4116"/>
    <w:rsid w:val="007B4347"/>
    <w:rsid w:val="007B4467"/>
    <w:rsid w:val="007B45FE"/>
    <w:rsid w:val="007B4680"/>
    <w:rsid w:val="007B4BA5"/>
    <w:rsid w:val="007B4DB5"/>
    <w:rsid w:val="007B4E53"/>
    <w:rsid w:val="007B4F59"/>
    <w:rsid w:val="007B5286"/>
    <w:rsid w:val="007B538C"/>
    <w:rsid w:val="007B5802"/>
    <w:rsid w:val="007B590C"/>
    <w:rsid w:val="007B705D"/>
    <w:rsid w:val="007B7811"/>
    <w:rsid w:val="007B7B1E"/>
    <w:rsid w:val="007B7B76"/>
    <w:rsid w:val="007C1057"/>
    <w:rsid w:val="007C1135"/>
    <w:rsid w:val="007C1CB3"/>
    <w:rsid w:val="007C1D0E"/>
    <w:rsid w:val="007C2188"/>
    <w:rsid w:val="007C227E"/>
    <w:rsid w:val="007C25E4"/>
    <w:rsid w:val="007C3099"/>
    <w:rsid w:val="007C3531"/>
    <w:rsid w:val="007C3703"/>
    <w:rsid w:val="007C39F3"/>
    <w:rsid w:val="007C3A41"/>
    <w:rsid w:val="007C4024"/>
    <w:rsid w:val="007C4C86"/>
    <w:rsid w:val="007C4E24"/>
    <w:rsid w:val="007C5097"/>
    <w:rsid w:val="007C5325"/>
    <w:rsid w:val="007C5571"/>
    <w:rsid w:val="007C56E3"/>
    <w:rsid w:val="007C58C8"/>
    <w:rsid w:val="007C58FE"/>
    <w:rsid w:val="007C5EEE"/>
    <w:rsid w:val="007C5F91"/>
    <w:rsid w:val="007C60C9"/>
    <w:rsid w:val="007C6297"/>
    <w:rsid w:val="007C6D92"/>
    <w:rsid w:val="007C6EC2"/>
    <w:rsid w:val="007C7039"/>
    <w:rsid w:val="007C71C8"/>
    <w:rsid w:val="007C72BE"/>
    <w:rsid w:val="007C73DD"/>
    <w:rsid w:val="007C76BE"/>
    <w:rsid w:val="007C76C2"/>
    <w:rsid w:val="007D0387"/>
    <w:rsid w:val="007D0CDB"/>
    <w:rsid w:val="007D0E5A"/>
    <w:rsid w:val="007D165F"/>
    <w:rsid w:val="007D1744"/>
    <w:rsid w:val="007D1E82"/>
    <w:rsid w:val="007D209D"/>
    <w:rsid w:val="007D2212"/>
    <w:rsid w:val="007D249E"/>
    <w:rsid w:val="007D29C3"/>
    <w:rsid w:val="007D2C6E"/>
    <w:rsid w:val="007D2CC2"/>
    <w:rsid w:val="007D30BA"/>
    <w:rsid w:val="007D3384"/>
    <w:rsid w:val="007D33CA"/>
    <w:rsid w:val="007D342F"/>
    <w:rsid w:val="007D3500"/>
    <w:rsid w:val="007D3597"/>
    <w:rsid w:val="007D36F1"/>
    <w:rsid w:val="007D3E14"/>
    <w:rsid w:val="007D40AE"/>
    <w:rsid w:val="007D4D26"/>
    <w:rsid w:val="007D5A27"/>
    <w:rsid w:val="007D5BD4"/>
    <w:rsid w:val="007D5D2E"/>
    <w:rsid w:val="007D5F53"/>
    <w:rsid w:val="007D6079"/>
    <w:rsid w:val="007D62A2"/>
    <w:rsid w:val="007D67EB"/>
    <w:rsid w:val="007D6839"/>
    <w:rsid w:val="007D6845"/>
    <w:rsid w:val="007D6B9E"/>
    <w:rsid w:val="007D6BE2"/>
    <w:rsid w:val="007D761A"/>
    <w:rsid w:val="007D783B"/>
    <w:rsid w:val="007D78EB"/>
    <w:rsid w:val="007D7935"/>
    <w:rsid w:val="007D7E45"/>
    <w:rsid w:val="007E0174"/>
    <w:rsid w:val="007E0192"/>
    <w:rsid w:val="007E0447"/>
    <w:rsid w:val="007E04C6"/>
    <w:rsid w:val="007E0503"/>
    <w:rsid w:val="007E08A0"/>
    <w:rsid w:val="007E0AD6"/>
    <w:rsid w:val="007E0C78"/>
    <w:rsid w:val="007E0CF5"/>
    <w:rsid w:val="007E0D14"/>
    <w:rsid w:val="007E0D6E"/>
    <w:rsid w:val="007E106C"/>
    <w:rsid w:val="007E13AC"/>
    <w:rsid w:val="007E14DF"/>
    <w:rsid w:val="007E181F"/>
    <w:rsid w:val="007E193E"/>
    <w:rsid w:val="007E1F8F"/>
    <w:rsid w:val="007E25DF"/>
    <w:rsid w:val="007E273E"/>
    <w:rsid w:val="007E29BF"/>
    <w:rsid w:val="007E2BFF"/>
    <w:rsid w:val="007E2F3C"/>
    <w:rsid w:val="007E35AA"/>
    <w:rsid w:val="007E3850"/>
    <w:rsid w:val="007E3A26"/>
    <w:rsid w:val="007E3B15"/>
    <w:rsid w:val="007E3EA2"/>
    <w:rsid w:val="007E417B"/>
    <w:rsid w:val="007E47CA"/>
    <w:rsid w:val="007E4879"/>
    <w:rsid w:val="007E4BF0"/>
    <w:rsid w:val="007E4C41"/>
    <w:rsid w:val="007E5027"/>
    <w:rsid w:val="007E52D2"/>
    <w:rsid w:val="007E5316"/>
    <w:rsid w:val="007E5B9B"/>
    <w:rsid w:val="007E5E16"/>
    <w:rsid w:val="007E60E9"/>
    <w:rsid w:val="007E6DC0"/>
    <w:rsid w:val="007E6F45"/>
    <w:rsid w:val="007E6F7E"/>
    <w:rsid w:val="007E76C7"/>
    <w:rsid w:val="007E77D2"/>
    <w:rsid w:val="007E7D9A"/>
    <w:rsid w:val="007E7E79"/>
    <w:rsid w:val="007F0180"/>
    <w:rsid w:val="007F0A2F"/>
    <w:rsid w:val="007F0DDC"/>
    <w:rsid w:val="007F0FF0"/>
    <w:rsid w:val="007F128E"/>
    <w:rsid w:val="007F13C2"/>
    <w:rsid w:val="007F1A2E"/>
    <w:rsid w:val="007F1A6A"/>
    <w:rsid w:val="007F1AF6"/>
    <w:rsid w:val="007F20E4"/>
    <w:rsid w:val="007F2156"/>
    <w:rsid w:val="007F2304"/>
    <w:rsid w:val="007F26DE"/>
    <w:rsid w:val="007F284C"/>
    <w:rsid w:val="007F2967"/>
    <w:rsid w:val="007F2A84"/>
    <w:rsid w:val="007F2D7E"/>
    <w:rsid w:val="007F3168"/>
    <w:rsid w:val="007F321A"/>
    <w:rsid w:val="007F377D"/>
    <w:rsid w:val="007F3B71"/>
    <w:rsid w:val="007F3C9B"/>
    <w:rsid w:val="007F42C7"/>
    <w:rsid w:val="007F437D"/>
    <w:rsid w:val="007F4422"/>
    <w:rsid w:val="007F46DE"/>
    <w:rsid w:val="007F4908"/>
    <w:rsid w:val="007F4C53"/>
    <w:rsid w:val="007F4C94"/>
    <w:rsid w:val="007F5812"/>
    <w:rsid w:val="007F5D36"/>
    <w:rsid w:val="007F5E1C"/>
    <w:rsid w:val="007F5F1F"/>
    <w:rsid w:val="007F6660"/>
    <w:rsid w:val="007F66F5"/>
    <w:rsid w:val="007F67E4"/>
    <w:rsid w:val="007F6F56"/>
    <w:rsid w:val="007F6F9B"/>
    <w:rsid w:val="007F76E3"/>
    <w:rsid w:val="007F7775"/>
    <w:rsid w:val="007F7B19"/>
    <w:rsid w:val="007F7BBB"/>
    <w:rsid w:val="00800FAE"/>
    <w:rsid w:val="0080109B"/>
    <w:rsid w:val="008010AA"/>
    <w:rsid w:val="008016D8"/>
    <w:rsid w:val="0080173B"/>
    <w:rsid w:val="0080193D"/>
    <w:rsid w:val="00801A1D"/>
    <w:rsid w:val="00801BC1"/>
    <w:rsid w:val="00801C1E"/>
    <w:rsid w:val="00802063"/>
    <w:rsid w:val="00802107"/>
    <w:rsid w:val="0080213A"/>
    <w:rsid w:val="008029B2"/>
    <w:rsid w:val="00802FB0"/>
    <w:rsid w:val="00803134"/>
    <w:rsid w:val="00803722"/>
    <w:rsid w:val="008037B3"/>
    <w:rsid w:val="00803ADD"/>
    <w:rsid w:val="00803B1C"/>
    <w:rsid w:val="00803B87"/>
    <w:rsid w:val="00803CDD"/>
    <w:rsid w:val="00804435"/>
    <w:rsid w:val="00804688"/>
    <w:rsid w:val="008046C5"/>
    <w:rsid w:val="00804C6C"/>
    <w:rsid w:val="00804CA3"/>
    <w:rsid w:val="00804EE8"/>
    <w:rsid w:val="00805164"/>
    <w:rsid w:val="00805639"/>
    <w:rsid w:val="008056EC"/>
    <w:rsid w:val="00805B48"/>
    <w:rsid w:val="00805D82"/>
    <w:rsid w:val="00805DDC"/>
    <w:rsid w:val="0080600A"/>
    <w:rsid w:val="00806221"/>
    <w:rsid w:val="008064FF"/>
    <w:rsid w:val="008065FA"/>
    <w:rsid w:val="00806629"/>
    <w:rsid w:val="00806A32"/>
    <w:rsid w:val="00806AE3"/>
    <w:rsid w:val="00806B04"/>
    <w:rsid w:val="00806BB6"/>
    <w:rsid w:val="00806C7F"/>
    <w:rsid w:val="00806FD2"/>
    <w:rsid w:val="0080713A"/>
    <w:rsid w:val="008071A9"/>
    <w:rsid w:val="008072B8"/>
    <w:rsid w:val="008075C7"/>
    <w:rsid w:val="008076C2"/>
    <w:rsid w:val="00807CB0"/>
    <w:rsid w:val="00807EA6"/>
    <w:rsid w:val="00810348"/>
    <w:rsid w:val="008103FF"/>
    <w:rsid w:val="0081091C"/>
    <w:rsid w:val="008109DA"/>
    <w:rsid w:val="0081119F"/>
    <w:rsid w:val="00811301"/>
    <w:rsid w:val="00811330"/>
    <w:rsid w:val="00811351"/>
    <w:rsid w:val="00811446"/>
    <w:rsid w:val="008114EE"/>
    <w:rsid w:val="0081155C"/>
    <w:rsid w:val="008115D4"/>
    <w:rsid w:val="00811632"/>
    <w:rsid w:val="008117BA"/>
    <w:rsid w:val="00811C63"/>
    <w:rsid w:val="00811C6E"/>
    <w:rsid w:val="00811D63"/>
    <w:rsid w:val="00811DE7"/>
    <w:rsid w:val="00812036"/>
    <w:rsid w:val="0081211D"/>
    <w:rsid w:val="0081218A"/>
    <w:rsid w:val="008127E1"/>
    <w:rsid w:val="00812D45"/>
    <w:rsid w:val="00812E42"/>
    <w:rsid w:val="008130C6"/>
    <w:rsid w:val="00813104"/>
    <w:rsid w:val="00813530"/>
    <w:rsid w:val="00813603"/>
    <w:rsid w:val="00813725"/>
    <w:rsid w:val="00813820"/>
    <w:rsid w:val="00813ACC"/>
    <w:rsid w:val="00813B15"/>
    <w:rsid w:val="00813C61"/>
    <w:rsid w:val="008141A5"/>
    <w:rsid w:val="008148BC"/>
    <w:rsid w:val="00814B33"/>
    <w:rsid w:val="00815026"/>
    <w:rsid w:val="008153DF"/>
    <w:rsid w:val="0081558F"/>
    <w:rsid w:val="008158FB"/>
    <w:rsid w:val="00815BF1"/>
    <w:rsid w:val="00815E04"/>
    <w:rsid w:val="00815E83"/>
    <w:rsid w:val="008163DA"/>
    <w:rsid w:val="00816407"/>
    <w:rsid w:val="0081665E"/>
    <w:rsid w:val="008166E9"/>
    <w:rsid w:val="00816999"/>
    <w:rsid w:val="00816C40"/>
    <w:rsid w:val="00816C64"/>
    <w:rsid w:val="00816D5A"/>
    <w:rsid w:val="00816D7C"/>
    <w:rsid w:val="008171F8"/>
    <w:rsid w:val="0081778C"/>
    <w:rsid w:val="0081782A"/>
    <w:rsid w:val="00817987"/>
    <w:rsid w:val="00817A3B"/>
    <w:rsid w:val="00817B25"/>
    <w:rsid w:val="00820372"/>
    <w:rsid w:val="0082079E"/>
    <w:rsid w:val="00820A87"/>
    <w:rsid w:val="00820C76"/>
    <w:rsid w:val="00820E80"/>
    <w:rsid w:val="00821050"/>
    <w:rsid w:val="008213D7"/>
    <w:rsid w:val="008213F1"/>
    <w:rsid w:val="00821A6C"/>
    <w:rsid w:val="00821AD0"/>
    <w:rsid w:val="00821CD2"/>
    <w:rsid w:val="00822137"/>
    <w:rsid w:val="0082236F"/>
    <w:rsid w:val="00822530"/>
    <w:rsid w:val="0082290D"/>
    <w:rsid w:val="00822AFF"/>
    <w:rsid w:val="00822C0B"/>
    <w:rsid w:val="00822D44"/>
    <w:rsid w:val="00822DBC"/>
    <w:rsid w:val="00823078"/>
    <w:rsid w:val="00823D0D"/>
    <w:rsid w:val="00824003"/>
    <w:rsid w:val="0082417E"/>
    <w:rsid w:val="00824449"/>
    <w:rsid w:val="00824510"/>
    <w:rsid w:val="00824C85"/>
    <w:rsid w:val="00824CBC"/>
    <w:rsid w:val="00825200"/>
    <w:rsid w:val="008252DE"/>
    <w:rsid w:val="008253C6"/>
    <w:rsid w:val="00825726"/>
    <w:rsid w:val="00825E4E"/>
    <w:rsid w:val="00825F11"/>
    <w:rsid w:val="0082601B"/>
    <w:rsid w:val="008260F7"/>
    <w:rsid w:val="0082632E"/>
    <w:rsid w:val="00826423"/>
    <w:rsid w:val="008267C0"/>
    <w:rsid w:val="00826B15"/>
    <w:rsid w:val="00826E6A"/>
    <w:rsid w:val="0082718C"/>
    <w:rsid w:val="00827343"/>
    <w:rsid w:val="00827AC3"/>
    <w:rsid w:val="00827D3C"/>
    <w:rsid w:val="00827F6C"/>
    <w:rsid w:val="00830254"/>
    <w:rsid w:val="0083071D"/>
    <w:rsid w:val="00831049"/>
    <w:rsid w:val="00831121"/>
    <w:rsid w:val="00831151"/>
    <w:rsid w:val="008311BE"/>
    <w:rsid w:val="008318F0"/>
    <w:rsid w:val="00831B7B"/>
    <w:rsid w:val="00831D5F"/>
    <w:rsid w:val="00831F00"/>
    <w:rsid w:val="00831F71"/>
    <w:rsid w:val="00832099"/>
    <w:rsid w:val="0083276E"/>
    <w:rsid w:val="00832798"/>
    <w:rsid w:val="00832EE5"/>
    <w:rsid w:val="0083307A"/>
    <w:rsid w:val="008330D7"/>
    <w:rsid w:val="008331F6"/>
    <w:rsid w:val="00833AC7"/>
    <w:rsid w:val="00833F50"/>
    <w:rsid w:val="0083419C"/>
    <w:rsid w:val="00834323"/>
    <w:rsid w:val="0083440C"/>
    <w:rsid w:val="00834603"/>
    <w:rsid w:val="008347EB"/>
    <w:rsid w:val="00834839"/>
    <w:rsid w:val="0083496C"/>
    <w:rsid w:val="00834B23"/>
    <w:rsid w:val="00834B41"/>
    <w:rsid w:val="00834B65"/>
    <w:rsid w:val="00834BE5"/>
    <w:rsid w:val="00834C2A"/>
    <w:rsid w:val="00834EF6"/>
    <w:rsid w:val="00835047"/>
    <w:rsid w:val="00835302"/>
    <w:rsid w:val="00835567"/>
    <w:rsid w:val="00835960"/>
    <w:rsid w:val="00835E53"/>
    <w:rsid w:val="00835F62"/>
    <w:rsid w:val="008361A5"/>
    <w:rsid w:val="00837264"/>
    <w:rsid w:val="0083737D"/>
    <w:rsid w:val="0083761B"/>
    <w:rsid w:val="008376CD"/>
    <w:rsid w:val="00837E4E"/>
    <w:rsid w:val="008401D8"/>
    <w:rsid w:val="00840967"/>
    <w:rsid w:val="008409E5"/>
    <w:rsid w:val="00840A3D"/>
    <w:rsid w:val="00840F24"/>
    <w:rsid w:val="008414EC"/>
    <w:rsid w:val="0084150C"/>
    <w:rsid w:val="00841CF2"/>
    <w:rsid w:val="00841D22"/>
    <w:rsid w:val="00841E44"/>
    <w:rsid w:val="008429E1"/>
    <w:rsid w:val="00842A81"/>
    <w:rsid w:val="00842BB9"/>
    <w:rsid w:val="00842DE0"/>
    <w:rsid w:val="00843348"/>
    <w:rsid w:val="00843820"/>
    <w:rsid w:val="00843A3D"/>
    <w:rsid w:val="0084437C"/>
    <w:rsid w:val="008447BE"/>
    <w:rsid w:val="00844937"/>
    <w:rsid w:val="00845223"/>
    <w:rsid w:val="00845306"/>
    <w:rsid w:val="00845647"/>
    <w:rsid w:val="008459C3"/>
    <w:rsid w:val="00845B6C"/>
    <w:rsid w:val="00845CF6"/>
    <w:rsid w:val="0084665A"/>
    <w:rsid w:val="00846865"/>
    <w:rsid w:val="00846A53"/>
    <w:rsid w:val="00846AB3"/>
    <w:rsid w:val="008474B6"/>
    <w:rsid w:val="00847605"/>
    <w:rsid w:val="008477F9"/>
    <w:rsid w:val="0084782E"/>
    <w:rsid w:val="008502BE"/>
    <w:rsid w:val="008509C7"/>
    <w:rsid w:val="00851354"/>
    <w:rsid w:val="00851512"/>
    <w:rsid w:val="00851848"/>
    <w:rsid w:val="0085185A"/>
    <w:rsid w:val="00851B12"/>
    <w:rsid w:val="00851DFD"/>
    <w:rsid w:val="00851F29"/>
    <w:rsid w:val="00852482"/>
    <w:rsid w:val="00853377"/>
    <w:rsid w:val="008533CE"/>
    <w:rsid w:val="008536D4"/>
    <w:rsid w:val="00853719"/>
    <w:rsid w:val="00853A64"/>
    <w:rsid w:val="00853C84"/>
    <w:rsid w:val="00853CC9"/>
    <w:rsid w:val="008545CD"/>
    <w:rsid w:val="0085460E"/>
    <w:rsid w:val="008548EC"/>
    <w:rsid w:val="00854BD5"/>
    <w:rsid w:val="00854C14"/>
    <w:rsid w:val="00854C45"/>
    <w:rsid w:val="00854D04"/>
    <w:rsid w:val="00854F19"/>
    <w:rsid w:val="00855162"/>
    <w:rsid w:val="0085545D"/>
    <w:rsid w:val="00855922"/>
    <w:rsid w:val="00855BA2"/>
    <w:rsid w:val="0085656C"/>
    <w:rsid w:val="008565D5"/>
    <w:rsid w:val="00856C75"/>
    <w:rsid w:val="00856E44"/>
    <w:rsid w:val="00857108"/>
    <w:rsid w:val="008571C7"/>
    <w:rsid w:val="00857B90"/>
    <w:rsid w:val="00860961"/>
    <w:rsid w:val="00860AF8"/>
    <w:rsid w:val="00860DD3"/>
    <w:rsid w:val="00861176"/>
    <w:rsid w:val="00861644"/>
    <w:rsid w:val="008619A2"/>
    <w:rsid w:val="008619F5"/>
    <w:rsid w:val="00861B54"/>
    <w:rsid w:val="00861E41"/>
    <w:rsid w:val="00862079"/>
    <w:rsid w:val="00862340"/>
    <w:rsid w:val="00862D21"/>
    <w:rsid w:val="00862D76"/>
    <w:rsid w:val="00862FFF"/>
    <w:rsid w:val="00863297"/>
    <w:rsid w:val="008639BB"/>
    <w:rsid w:val="00863BA3"/>
    <w:rsid w:val="0086400B"/>
    <w:rsid w:val="0086402F"/>
    <w:rsid w:val="00864106"/>
    <w:rsid w:val="008643BC"/>
    <w:rsid w:val="008645AA"/>
    <w:rsid w:val="00864A39"/>
    <w:rsid w:val="0086509D"/>
    <w:rsid w:val="00865500"/>
    <w:rsid w:val="008657C3"/>
    <w:rsid w:val="00865A89"/>
    <w:rsid w:val="00865B7F"/>
    <w:rsid w:val="00865CE5"/>
    <w:rsid w:val="0086609F"/>
    <w:rsid w:val="008662F1"/>
    <w:rsid w:val="008663ED"/>
    <w:rsid w:val="00866442"/>
    <w:rsid w:val="008664CD"/>
    <w:rsid w:val="008668D8"/>
    <w:rsid w:val="00866A5A"/>
    <w:rsid w:val="00866C01"/>
    <w:rsid w:val="00866DCB"/>
    <w:rsid w:val="00867155"/>
    <w:rsid w:val="0086729A"/>
    <w:rsid w:val="00867E3D"/>
    <w:rsid w:val="00867EC1"/>
    <w:rsid w:val="00870115"/>
    <w:rsid w:val="00870360"/>
    <w:rsid w:val="00870D5D"/>
    <w:rsid w:val="00870F6B"/>
    <w:rsid w:val="0087122D"/>
    <w:rsid w:val="0087185D"/>
    <w:rsid w:val="00871D7F"/>
    <w:rsid w:val="00871F0B"/>
    <w:rsid w:val="0087212F"/>
    <w:rsid w:val="00872275"/>
    <w:rsid w:val="0087228F"/>
    <w:rsid w:val="00872293"/>
    <w:rsid w:val="0087251B"/>
    <w:rsid w:val="00872770"/>
    <w:rsid w:val="00872A9B"/>
    <w:rsid w:val="008731F8"/>
    <w:rsid w:val="0087338C"/>
    <w:rsid w:val="008734EF"/>
    <w:rsid w:val="00874B98"/>
    <w:rsid w:val="00874DBF"/>
    <w:rsid w:val="00875277"/>
    <w:rsid w:val="008755E9"/>
    <w:rsid w:val="00875822"/>
    <w:rsid w:val="00875E2B"/>
    <w:rsid w:val="00876577"/>
    <w:rsid w:val="008767D5"/>
    <w:rsid w:val="00876804"/>
    <w:rsid w:val="00876928"/>
    <w:rsid w:val="00876C34"/>
    <w:rsid w:val="00876E01"/>
    <w:rsid w:val="00876EEC"/>
    <w:rsid w:val="00877337"/>
    <w:rsid w:val="008773BD"/>
    <w:rsid w:val="00877B64"/>
    <w:rsid w:val="00877B6C"/>
    <w:rsid w:val="00877D9F"/>
    <w:rsid w:val="00877FB4"/>
    <w:rsid w:val="0088009B"/>
    <w:rsid w:val="008800D3"/>
    <w:rsid w:val="008802D7"/>
    <w:rsid w:val="0088054F"/>
    <w:rsid w:val="00880A7F"/>
    <w:rsid w:val="00880B12"/>
    <w:rsid w:val="00880F8F"/>
    <w:rsid w:val="008810CA"/>
    <w:rsid w:val="0088123D"/>
    <w:rsid w:val="008817A9"/>
    <w:rsid w:val="0088189B"/>
    <w:rsid w:val="00881AEE"/>
    <w:rsid w:val="0088218E"/>
    <w:rsid w:val="0088220D"/>
    <w:rsid w:val="008823DC"/>
    <w:rsid w:val="008825C2"/>
    <w:rsid w:val="00882DB1"/>
    <w:rsid w:val="00883171"/>
    <w:rsid w:val="0088323F"/>
    <w:rsid w:val="0088330C"/>
    <w:rsid w:val="008833DA"/>
    <w:rsid w:val="008835A8"/>
    <w:rsid w:val="00883638"/>
    <w:rsid w:val="00883767"/>
    <w:rsid w:val="00883982"/>
    <w:rsid w:val="00883EA1"/>
    <w:rsid w:val="00885043"/>
    <w:rsid w:val="00885185"/>
    <w:rsid w:val="008851F3"/>
    <w:rsid w:val="00885FE2"/>
    <w:rsid w:val="00885FF7"/>
    <w:rsid w:val="00886051"/>
    <w:rsid w:val="0088628E"/>
    <w:rsid w:val="0088686C"/>
    <w:rsid w:val="00886E59"/>
    <w:rsid w:val="00886FB7"/>
    <w:rsid w:val="00887CC4"/>
    <w:rsid w:val="00887DD4"/>
    <w:rsid w:val="00887FBA"/>
    <w:rsid w:val="00890191"/>
    <w:rsid w:val="00890472"/>
    <w:rsid w:val="00890569"/>
    <w:rsid w:val="008907E2"/>
    <w:rsid w:val="00890B47"/>
    <w:rsid w:val="00891276"/>
    <w:rsid w:val="008915FE"/>
    <w:rsid w:val="00891611"/>
    <w:rsid w:val="00891993"/>
    <w:rsid w:val="00891A27"/>
    <w:rsid w:val="00891D74"/>
    <w:rsid w:val="008920C9"/>
    <w:rsid w:val="008920D9"/>
    <w:rsid w:val="008926F3"/>
    <w:rsid w:val="00892C6D"/>
    <w:rsid w:val="00892EB7"/>
    <w:rsid w:val="0089360A"/>
    <w:rsid w:val="00893809"/>
    <w:rsid w:val="00893880"/>
    <w:rsid w:val="00893D18"/>
    <w:rsid w:val="0089409A"/>
    <w:rsid w:val="00894251"/>
    <w:rsid w:val="008947ED"/>
    <w:rsid w:val="00894F46"/>
    <w:rsid w:val="00895825"/>
    <w:rsid w:val="00895ACF"/>
    <w:rsid w:val="00895C75"/>
    <w:rsid w:val="008964E9"/>
    <w:rsid w:val="008966F8"/>
    <w:rsid w:val="00896805"/>
    <w:rsid w:val="008968F5"/>
    <w:rsid w:val="00896A81"/>
    <w:rsid w:val="00896D61"/>
    <w:rsid w:val="00896DF4"/>
    <w:rsid w:val="00896DFA"/>
    <w:rsid w:val="0089744D"/>
    <w:rsid w:val="00897770"/>
    <w:rsid w:val="00897BD0"/>
    <w:rsid w:val="008A0358"/>
    <w:rsid w:val="008A03BF"/>
    <w:rsid w:val="008A048B"/>
    <w:rsid w:val="008A1351"/>
    <w:rsid w:val="008A136B"/>
    <w:rsid w:val="008A1AE2"/>
    <w:rsid w:val="008A1B08"/>
    <w:rsid w:val="008A1C2C"/>
    <w:rsid w:val="008A23B5"/>
    <w:rsid w:val="008A2934"/>
    <w:rsid w:val="008A2C99"/>
    <w:rsid w:val="008A2D45"/>
    <w:rsid w:val="008A3039"/>
    <w:rsid w:val="008A3133"/>
    <w:rsid w:val="008A35D0"/>
    <w:rsid w:val="008A3641"/>
    <w:rsid w:val="008A37EF"/>
    <w:rsid w:val="008A3B53"/>
    <w:rsid w:val="008A3F30"/>
    <w:rsid w:val="008A3FFE"/>
    <w:rsid w:val="008A4397"/>
    <w:rsid w:val="008A487D"/>
    <w:rsid w:val="008A4930"/>
    <w:rsid w:val="008A4D6A"/>
    <w:rsid w:val="008A4E46"/>
    <w:rsid w:val="008A501D"/>
    <w:rsid w:val="008A5264"/>
    <w:rsid w:val="008A5301"/>
    <w:rsid w:val="008A53E0"/>
    <w:rsid w:val="008A57C7"/>
    <w:rsid w:val="008A5B9D"/>
    <w:rsid w:val="008A5E6C"/>
    <w:rsid w:val="008A617F"/>
    <w:rsid w:val="008A6491"/>
    <w:rsid w:val="008A667D"/>
    <w:rsid w:val="008A69C6"/>
    <w:rsid w:val="008A6ED9"/>
    <w:rsid w:val="008A7A4D"/>
    <w:rsid w:val="008A7AA2"/>
    <w:rsid w:val="008A7F53"/>
    <w:rsid w:val="008B03DF"/>
    <w:rsid w:val="008B0F48"/>
    <w:rsid w:val="008B10F3"/>
    <w:rsid w:val="008B11BF"/>
    <w:rsid w:val="008B122E"/>
    <w:rsid w:val="008B12B3"/>
    <w:rsid w:val="008B166D"/>
    <w:rsid w:val="008B1A30"/>
    <w:rsid w:val="008B1B22"/>
    <w:rsid w:val="008B25AA"/>
    <w:rsid w:val="008B2725"/>
    <w:rsid w:val="008B27A3"/>
    <w:rsid w:val="008B28B3"/>
    <w:rsid w:val="008B28F2"/>
    <w:rsid w:val="008B29E6"/>
    <w:rsid w:val="008B2FBD"/>
    <w:rsid w:val="008B3381"/>
    <w:rsid w:val="008B372E"/>
    <w:rsid w:val="008B40AC"/>
    <w:rsid w:val="008B4149"/>
    <w:rsid w:val="008B43A3"/>
    <w:rsid w:val="008B4541"/>
    <w:rsid w:val="008B46BE"/>
    <w:rsid w:val="008B47D4"/>
    <w:rsid w:val="008B4912"/>
    <w:rsid w:val="008B4D10"/>
    <w:rsid w:val="008B58A3"/>
    <w:rsid w:val="008B5BF3"/>
    <w:rsid w:val="008B5FEE"/>
    <w:rsid w:val="008B6013"/>
    <w:rsid w:val="008B6102"/>
    <w:rsid w:val="008B62B8"/>
    <w:rsid w:val="008B6739"/>
    <w:rsid w:val="008B6A06"/>
    <w:rsid w:val="008B6A5F"/>
    <w:rsid w:val="008B6DF8"/>
    <w:rsid w:val="008B70B0"/>
    <w:rsid w:val="008B7163"/>
    <w:rsid w:val="008B74DE"/>
    <w:rsid w:val="008B7B10"/>
    <w:rsid w:val="008B7CBE"/>
    <w:rsid w:val="008B7D64"/>
    <w:rsid w:val="008B7DEF"/>
    <w:rsid w:val="008B7F99"/>
    <w:rsid w:val="008C01A7"/>
    <w:rsid w:val="008C0820"/>
    <w:rsid w:val="008C0D67"/>
    <w:rsid w:val="008C1265"/>
    <w:rsid w:val="008C129F"/>
    <w:rsid w:val="008C153A"/>
    <w:rsid w:val="008C164B"/>
    <w:rsid w:val="008C18E0"/>
    <w:rsid w:val="008C1AE3"/>
    <w:rsid w:val="008C1D39"/>
    <w:rsid w:val="008C2129"/>
    <w:rsid w:val="008C228B"/>
    <w:rsid w:val="008C2604"/>
    <w:rsid w:val="008C2680"/>
    <w:rsid w:val="008C2C21"/>
    <w:rsid w:val="008C2C6C"/>
    <w:rsid w:val="008C2D18"/>
    <w:rsid w:val="008C3262"/>
    <w:rsid w:val="008C3594"/>
    <w:rsid w:val="008C3690"/>
    <w:rsid w:val="008C395B"/>
    <w:rsid w:val="008C3ACF"/>
    <w:rsid w:val="008C3D5A"/>
    <w:rsid w:val="008C5170"/>
    <w:rsid w:val="008C540D"/>
    <w:rsid w:val="008C5435"/>
    <w:rsid w:val="008C5993"/>
    <w:rsid w:val="008C59A7"/>
    <w:rsid w:val="008C62E5"/>
    <w:rsid w:val="008C62E7"/>
    <w:rsid w:val="008C6467"/>
    <w:rsid w:val="008C66B6"/>
    <w:rsid w:val="008C6ADF"/>
    <w:rsid w:val="008C6E28"/>
    <w:rsid w:val="008C6F3B"/>
    <w:rsid w:val="008C733A"/>
    <w:rsid w:val="008C77D2"/>
    <w:rsid w:val="008C782B"/>
    <w:rsid w:val="008C790F"/>
    <w:rsid w:val="008C7B29"/>
    <w:rsid w:val="008C7C2E"/>
    <w:rsid w:val="008C7C41"/>
    <w:rsid w:val="008C7D36"/>
    <w:rsid w:val="008C7F8A"/>
    <w:rsid w:val="008D000E"/>
    <w:rsid w:val="008D02A7"/>
    <w:rsid w:val="008D02F7"/>
    <w:rsid w:val="008D061D"/>
    <w:rsid w:val="008D0BCA"/>
    <w:rsid w:val="008D0FFC"/>
    <w:rsid w:val="008D10FA"/>
    <w:rsid w:val="008D1288"/>
    <w:rsid w:val="008D1469"/>
    <w:rsid w:val="008D1BA4"/>
    <w:rsid w:val="008D1DFC"/>
    <w:rsid w:val="008D219E"/>
    <w:rsid w:val="008D24EA"/>
    <w:rsid w:val="008D286C"/>
    <w:rsid w:val="008D32C8"/>
    <w:rsid w:val="008D34AE"/>
    <w:rsid w:val="008D36E7"/>
    <w:rsid w:val="008D37DB"/>
    <w:rsid w:val="008D380E"/>
    <w:rsid w:val="008D39BC"/>
    <w:rsid w:val="008D3B72"/>
    <w:rsid w:val="008D4D3F"/>
    <w:rsid w:val="008D51A2"/>
    <w:rsid w:val="008D52DB"/>
    <w:rsid w:val="008D55B7"/>
    <w:rsid w:val="008D5631"/>
    <w:rsid w:val="008D5BE0"/>
    <w:rsid w:val="008D5CCE"/>
    <w:rsid w:val="008D5DA9"/>
    <w:rsid w:val="008D5DFD"/>
    <w:rsid w:val="008D5E69"/>
    <w:rsid w:val="008D621E"/>
    <w:rsid w:val="008D6261"/>
    <w:rsid w:val="008D6832"/>
    <w:rsid w:val="008D6A1C"/>
    <w:rsid w:val="008D6E2D"/>
    <w:rsid w:val="008D6EFF"/>
    <w:rsid w:val="008D7448"/>
    <w:rsid w:val="008D7904"/>
    <w:rsid w:val="008D7937"/>
    <w:rsid w:val="008D79FB"/>
    <w:rsid w:val="008D7DCA"/>
    <w:rsid w:val="008E006E"/>
    <w:rsid w:val="008E035A"/>
    <w:rsid w:val="008E0394"/>
    <w:rsid w:val="008E03E2"/>
    <w:rsid w:val="008E07AC"/>
    <w:rsid w:val="008E0860"/>
    <w:rsid w:val="008E0B39"/>
    <w:rsid w:val="008E0CBE"/>
    <w:rsid w:val="008E0CE3"/>
    <w:rsid w:val="008E0DEB"/>
    <w:rsid w:val="008E1234"/>
    <w:rsid w:val="008E12FB"/>
    <w:rsid w:val="008E132D"/>
    <w:rsid w:val="008E1471"/>
    <w:rsid w:val="008E149C"/>
    <w:rsid w:val="008E150C"/>
    <w:rsid w:val="008E165B"/>
    <w:rsid w:val="008E17FB"/>
    <w:rsid w:val="008E1935"/>
    <w:rsid w:val="008E1EAE"/>
    <w:rsid w:val="008E2132"/>
    <w:rsid w:val="008E2840"/>
    <w:rsid w:val="008E2FDC"/>
    <w:rsid w:val="008E3450"/>
    <w:rsid w:val="008E3A83"/>
    <w:rsid w:val="008E3BD5"/>
    <w:rsid w:val="008E3CDC"/>
    <w:rsid w:val="008E3DCC"/>
    <w:rsid w:val="008E3E06"/>
    <w:rsid w:val="008E3FC6"/>
    <w:rsid w:val="008E4109"/>
    <w:rsid w:val="008E41DA"/>
    <w:rsid w:val="008E4469"/>
    <w:rsid w:val="008E45DF"/>
    <w:rsid w:val="008E4D58"/>
    <w:rsid w:val="008E4FF7"/>
    <w:rsid w:val="008E520E"/>
    <w:rsid w:val="008E54B1"/>
    <w:rsid w:val="008E57C9"/>
    <w:rsid w:val="008E5ABF"/>
    <w:rsid w:val="008E5B3B"/>
    <w:rsid w:val="008E5BA9"/>
    <w:rsid w:val="008E5F62"/>
    <w:rsid w:val="008E6489"/>
    <w:rsid w:val="008E6991"/>
    <w:rsid w:val="008E69EE"/>
    <w:rsid w:val="008E71D3"/>
    <w:rsid w:val="008E738B"/>
    <w:rsid w:val="008E753F"/>
    <w:rsid w:val="008E7AB6"/>
    <w:rsid w:val="008E7AF8"/>
    <w:rsid w:val="008E7B2F"/>
    <w:rsid w:val="008E7D5D"/>
    <w:rsid w:val="008F02FA"/>
    <w:rsid w:val="008F0510"/>
    <w:rsid w:val="008F07D1"/>
    <w:rsid w:val="008F0A6A"/>
    <w:rsid w:val="008F147B"/>
    <w:rsid w:val="008F15A0"/>
    <w:rsid w:val="008F1775"/>
    <w:rsid w:val="008F1B0B"/>
    <w:rsid w:val="008F1B8E"/>
    <w:rsid w:val="008F1BF6"/>
    <w:rsid w:val="008F1C26"/>
    <w:rsid w:val="008F1E07"/>
    <w:rsid w:val="008F21D8"/>
    <w:rsid w:val="008F273D"/>
    <w:rsid w:val="008F30B2"/>
    <w:rsid w:val="008F366A"/>
    <w:rsid w:val="008F3E49"/>
    <w:rsid w:val="008F3E7C"/>
    <w:rsid w:val="008F4173"/>
    <w:rsid w:val="008F4414"/>
    <w:rsid w:val="008F463C"/>
    <w:rsid w:val="008F4739"/>
    <w:rsid w:val="008F48CE"/>
    <w:rsid w:val="008F4A39"/>
    <w:rsid w:val="008F4ABC"/>
    <w:rsid w:val="008F4C08"/>
    <w:rsid w:val="008F5026"/>
    <w:rsid w:val="008F569F"/>
    <w:rsid w:val="008F5734"/>
    <w:rsid w:val="008F57C8"/>
    <w:rsid w:val="008F5B98"/>
    <w:rsid w:val="008F5E28"/>
    <w:rsid w:val="008F5E89"/>
    <w:rsid w:val="008F5F6E"/>
    <w:rsid w:val="008F6504"/>
    <w:rsid w:val="008F6528"/>
    <w:rsid w:val="008F6AB4"/>
    <w:rsid w:val="008F6B1A"/>
    <w:rsid w:val="008F6E4D"/>
    <w:rsid w:val="008F70D2"/>
    <w:rsid w:val="008F74A5"/>
    <w:rsid w:val="008F74BC"/>
    <w:rsid w:val="008F754E"/>
    <w:rsid w:val="008F7A50"/>
    <w:rsid w:val="009004D1"/>
    <w:rsid w:val="009004D5"/>
    <w:rsid w:val="00900686"/>
    <w:rsid w:val="0090075A"/>
    <w:rsid w:val="009008DE"/>
    <w:rsid w:val="00900933"/>
    <w:rsid w:val="00900E4C"/>
    <w:rsid w:val="00901540"/>
    <w:rsid w:val="00901996"/>
    <w:rsid w:val="009019AF"/>
    <w:rsid w:val="00901D6C"/>
    <w:rsid w:val="0090203A"/>
    <w:rsid w:val="0090205D"/>
    <w:rsid w:val="00902247"/>
    <w:rsid w:val="0090282E"/>
    <w:rsid w:val="00902925"/>
    <w:rsid w:val="00902986"/>
    <w:rsid w:val="00902996"/>
    <w:rsid w:val="00902A17"/>
    <w:rsid w:val="00902C07"/>
    <w:rsid w:val="00903DF5"/>
    <w:rsid w:val="00904626"/>
    <w:rsid w:val="009048FD"/>
    <w:rsid w:val="00904E47"/>
    <w:rsid w:val="009050BA"/>
    <w:rsid w:val="00905114"/>
    <w:rsid w:val="00905230"/>
    <w:rsid w:val="0090533B"/>
    <w:rsid w:val="00906709"/>
    <w:rsid w:val="00906AA8"/>
    <w:rsid w:val="00907037"/>
    <w:rsid w:val="009070F8"/>
    <w:rsid w:val="00907757"/>
    <w:rsid w:val="00907C42"/>
    <w:rsid w:val="00907EF7"/>
    <w:rsid w:val="00910501"/>
    <w:rsid w:val="0091064F"/>
    <w:rsid w:val="00910DAC"/>
    <w:rsid w:val="00910DF7"/>
    <w:rsid w:val="00911202"/>
    <w:rsid w:val="00911292"/>
    <w:rsid w:val="0091144E"/>
    <w:rsid w:val="0091171A"/>
    <w:rsid w:val="00911C05"/>
    <w:rsid w:val="00911DAA"/>
    <w:rsid w:val="00911ED8"/>
    <w:rsid w:val="00911F3A"/>
    <w:rsid w:val="00912786"/>
    <w:rsid w:val="00912DB6"/>
    <w:rsid w:val="00912F09"/>
    <w:rsid w:val="00912F8F"/>
    <w:rsid w:val="0091310C"/>
    <w:rsid w:val="009132BA"/>
    <w:rsid w:val="009134CA"/>
    <w:rsid w:val="00913591"/>
    <w:rsid w:val="009135EA"/>
    <w:rsid w:val="0091393C"/>
    <w:rsid w:val="00913A2D"/>
    <w:rsid w:val="00913AD1"/>
    <w:rsid w:val="00913F75"/>
    <w:rsid w:val="0091405D"/>
    <w:rsid w:val="009141D2"/>
    <w:rsid w:val="00914216"/>
    <w:rsid w:val="00914383"/>
    <w:rsid w:val="0091464A"/>
    <w:rsid w:val="009146CA"/>
    <w:rsid w:val="009147AF"/>
    <w:rsid w:val="009147F6"/>
    <w:rsid w:val="00914BBE"/>
    <w:rsid w:val="00914D1D"/>
    <w:rsid w:val="00915546"/>
    <w:rsid w:val="00915B4D"/>
    <w:rsid w:val="00915CAD"/>
    <w:rsid w:val="00915CCE"/>
    <w:rsid w:val="009161F6"/>
    <w:rsid w:val="0091632F"/>
    <w:rsid w:val="00916BD5"/>
    <w:rsid w:val="00916FE2"/>
    <w:rsid w:val="00917174"/>
    <w:rsid w:val="00917497"/>
    <w:rsid w:val="009175E6"/>
    <w:rsid w:val="00917AA4"/>
    <w:rsid w:val="00917F0D"/>
    <w:rsid w:val="0092012D"/>
    <w:rsid w:val="009205BF"/>
    <w:rsid w:val="00920C72"/>
    <w:rsid w:val="00920F2D"/>
    <w:rsid w:val="009211CE"/>
    <w:rsid w:val="009211DE"/>
    <w:rsid w:val="00921235"/>
    <w:rsid w:val="00921283"/>
    <w:rsid w:val="009214E4"/>
    <w:rsid w:val="009216B5"/>
    <w:rsid w:val="00921EBC"/>
    <w:rsid w:val="009220D3"/>
    <w:rsid w:val="00922291"/>
    <w:rsid w:val="00922382"/>
    <w:rsid w:val="009224C9"/>
    <w:rsid w:val="00922528"/>
    <w:rsid w:val="00922718"/>
    <w:rsid w:val="00922F88"/>
    <w:rsid w:val="00923245"/>
    <w:rsid w:val="00923249"/>
    <w:rsid w:val="00923409"/>
    <w:rsid w:val="009234B9"/>
    <w:rsid w:val="00923BD9"/>
    <w:rsid w:val="00923E71"/>
    <w:rsid w:val="00923EA8"/>
    <w:rsid w:val="009246CA"/>
    <w:rsid w:val="00924AC4"/>
    <w:rsid w:val="00925096"/>
    <w:rsid w:val="009255FD"/>
    <w:rsid w:val="0092570D"/>
    <w:rsid w:val="009258A6"/>
    <w:rsid w:val="00925AD2"/>
    <w:rsid w:val="00925CB6"/>
    <w:rsid w:val="00925E07"/>
    <w:rsid w:val="00925F42"/>
    <w:rsid w:val="00926584"/>
    <w:rsid w:val="0092676B"/>
    <w:rsid w:val="009268AF"/>
    <w:rsid w:val="00926A4B"/>
    <w:rsid w:val="00926C69"/>
    <w:rsid w:val="00926CC7"/>
    <w:rsid w:val="0092775D"/>
    <w:rsid w:val="00927DD7"/>
    <w:rsid w:val="0093086A"/>
    <w:rsid w:val="009309A5"/>
    <w:rsid w:val="009309E7"/>
    <w:rsid w:val="00930C94"/>
    <w:rsid w:val="00930F06"/>
    <w:rsid w:val="009312C9"/>
    <w:rsid w:val="009314E4"/>
    <w:rsid w:val="009323D7"/>
    <w:rsid w:val="009324A7"/>
    <w:rsid w:val="00932B67"/>
    <w:rsid w:val="00933204"/>
    <w:rsid w:val="009338C4"/>
    <w:rsid w:val="00933C57"/>
    <w:rsid w:val="00933D65"/>
    <w:rsid w:val="009343E0"/>
    <w:rsid w:val="00934449"/>
    <w:rsid w:val="009345CF"/>
    <w:rsid w:val="009358B1"/>
    <w:rsid w:val="00935D50"/>
    <w:rsid w:val="00935E19"/>
    <w:rsid w:val="00936177"/>
    <w:rsid w:val="00936288"/>
    <w:rsid w:val="009363DA"/>
    <w:rsid w:val="00936571"/>
    <w:rsid w:val="009365CC"/>
    <w:rsid w:val="00936760"/>
    <w:rsid w:val="009367D4"/>
    <w:rsid w:val="00936BB1"/>
    <w:rsid w:val="00936D55"/>
    <w:rsid w:val="00936FE8"/>
    <w:rsid w:val="00937491"/>
    <w:rsid w:val="009374E7"/>
    <w:rsid w:val="00937902"/>
    <w:rsid w:val="00937BF6"/>
    <w:rsid w:val="00937D98"/>
    <w:rsid w:val="00937DBB"/>
    <w:rsid w:val="0094000C"/>
    <w:rsid w:val="00940055"/>
    <w:rsid w:val="00940878"/>
    <w:rsid w:val="00940A9F"/>
    <w:rsid w:val="0094101F"/>
    <w:rsid w:val="00941701"/>
    <w:rsid w:val="009419A7"/>
    <w:rsid w:val="00941B24"/>
    <w:rsid w:val="00941B25"/>
    <w:rsid w:val="00941B44"/>
    <w:rsid w:val="00941E89"/>
    <w:rsid w:val="00941FA3"/>
    <w:rsid w:val="00942438"/>
    <w:rsid w:val="009429B4"/>
    <w:rsid w:val="0094317B"/>
    <w:rsid w:val="009433DD"/>
    <w:rsid w:val="00943598"/>
    <w:rsid w:val="009437A9"/>
    <w:rsid w:val="00943F0D"/>
    <w:rsid w:val="009440F0"/>
    <w:rsid w:val="009446C0"/>
    <w:rsid w:val="009447A5"/>
    <w:rsid w:val="009447B1"/>
    <w:rsid w:val="0094508C"/>
    <w:rsid w:val="009452A6"/>
    <w:rsid w:val="009453FE"/>
    <w:rsid w:val="00945909"/>
    <w:rsid w:val="00945967"/>
    <w:rsid w:val="00946018"/>
    <w:rsid w:val="00946198"/>
    <w:rsid w:val="0094620A"/>
    <w:rsid w:val="009464FF"/>
    <w:rsid w:val="009465BD"/>
    <w:rsid w:val="0094691D"/>
    <w:rsid w:val="00946DA5"/>
    <w:rsid w:val="00946EC2"/>
    <w:rsid w:val="0094707D"/>
    <w:rsid w:val="009470FB"/>
    <w:rsid w:val="009471A5"/>
    <w:rsid w:val="009477C2"/>
    <w:rsid w:val="00947824"/>
    <w:rsid w:val="0094787E"/>
    <w:rsid w:val="00947CEB"/>
    <w:rsid w:val="0095001E"/>
    <w:rsid w:val="0095018C"/>
    <w:rsid w:val="0095032F"/>
    <w:rsid w:val="009507E5"/>
    <w:rsid w:val="00950D86"/>
    <w:rsid w:val="00950E52"/>
    <w:rsid w:val="00950EB2"/>
    <w:rsid w:val="00950FF5"/>
    <w:rsid w:val="009510E4"/>
    <w:rsid w:val="00951D98"/>
    <w:rsid w:val="00951E04"/>
    <w:rsid w:val="0095252D"/>
    <w:rsid w:val="00952936"/>
    <w:rsid w:val="00952B87"/>
    <w:rsid w:val="00952BB6"/>
    <w:rsid w:val="00953164"/>
    <w:rsid w:val="009531C3"/>
    <w:rsid w:val="00953722"/>
    <w:rsid w:val="0095389F"/>
    <w:rsid w:val="009539E2"/>
    <w:rsid w:val="00953D1B"/>
    <w:rsid w:val="0095417D"/>
    <w:rsid w:val="00954522"/>
    <w:rsid w:val="00954A51"/>
    <w:rsid w:val="00955062"/>
    <w:rsid w:val="00955275"/>
    <w:rsid w:val="009552AD"/>
    <w:rsid w:val="0095577E"/>
    <w:rsid w:val="00955DAB"/>
    <w:rsid w:val="00956009"/>
    <w:rsid w:val="00956098"/>
    <w:rsid w:val="0095613D"/>
    <w:rsid w:val="0095677E"/>
    <w:rsid w:val="00956D19"/>
    <w:rsid w:val="0095715C"/>
    <w:rsid w:val="00957399"/>
    <w:rsid w:val="00957843"/>
    <w:rsid w:val="00957C08"/>
    <w:rsid w:val="00957DBC"/>
    <w:rsid w:val="00957ECF"/>
    <w:rsid w:val="00957F5A"/>
    <w:rsid w:val="00957FB6"/>
    <w:rsid w:val="0096007E"/>
    <w:rsid w:val="00960E95"/>
    <w:rsid w:val="00961023"/>
    <w:rsid w:val="009610DB"/>
    <w:rsid w:val="0096147F"/>
    <w:rsid w:val="009618E5"/>
    <w:rsid w:val="00961976"/>
    <w:rsid w:val="0096197C"/>
    <w:rsid w:val="0096200B"/>
    <w:rsid w:val="00962121"/>
    <w:rsid w:val="009623C8"/>
    <w:rsid w:val="009624F7"/>
    <w:rsid w:val="009625EC"/>
    <w:rsid w:val="009626A4"/>
    <w:rsid w:val="009627E8"/>
    <w:rsid w:val="00962BCB"/>
    <w:rsid w:val="00963103"/>
    <w:rsid w:val="009631CE"/>
    <w:rsid w:val="009632DD"/>
    <w:rsid w:val="009633F3"/>
    <w:rsid w:val="00964103"/>
    <w:rsid w:val="0096451A"/>
    <w:rsid w:val="009646EE"/>
    <w:rsid w:val="009648A2"/>
    <w:rsid w:val="009648AD"/>
    <w:rsid w:val="00964923"/>
    <w:rsid w:val="00964AB7"/>
    <w:rsid w:val="0096517C"/>
    <w:rsid w:val="00965942"/>
    <w:rsid w:val="00965EEC"/>
    <w:rsid w:val="00966057"/>
    <w:rsid w:val="009663EE"/>
    <w:rsid w:val="00966840"/>
    <w:rsid w:val="00966925"/>
    <w:rsid w:val="0096697C"/>
    <w:rsid w:val="00966AA3"/>
    <w:rsid w:val="00966D6C"/>
    <w:rsid w:val="00966DDA"/>
    <w:rsid w:val="00966F9A"/>
    <w:rsid w:val="009671EB"/>
    <w:rsid w:val="0096736F"/>
    <w:rsid w:val="00967535"/>
    <w:rsid w:val="009678A3"/>
    <w:rsid w:val="00967B74"/>
    <w:rsid w:val="00967D21"/>
    <w:rsid w:val="00967E7E"/>
    <w:rsid w:val="009703CD"/>
    <w:rsid w:val="009704ED"/>
    <w:rsid w:val="0097063A"/>
    <w:rsid w:val="009706B2"/>
    <w:rsid w:val="009707E8"/>
    <w:rsid w:val="0097088A"/>
    <w:rsid w:val="0097091F"/>
    <w:rsid w:val="00970D8A"/>
    <w:rsid w:val="009717EB"/>
    <w:rsid w:val="00971B5F"/>
    <w:rsid w:val="00971DE1"/>
    <w:rsid w:val="009723A0"/>
    <w:rsid w:val="00972E5F"/>
    <w:rsid w:val="009739CF"/>
    <w:rsid w:val="00973E19"/>
    <w:rsid w:val="00974055"/>
    <w:rsid w:val="00974465"/>
    <w:rsid w:val="00974698"/>
    <w:rsid w:val="00974726"/>
    <w:rsid w:val="00974CE2"/>
    <w:rsid w:val="00974E39"/>
    <w:rsid w:val="009752F0"/>
    <w:rsid w:val="0097536F"/>
    <w:rsid w:val="00975389"/>
    <w:rsid w:val="00975BA8"/>
    <w:rsid w:val="00975BBB"/>
    <w:rsid w:val="00975C07"/>
    <w:rsid w:val="00975FF2"/>
    <w:rsid w:val="009768DD"/>
    <w:rsid w:val="009777BF"/>
    <w:rsid w:val="0097782C"/>
    <w:rsid w:val="00980009"/>
    <w:rsid w:val="00980200"/>
    <w:rsid w:val="0098026F"/>
    <w:rsid w:val="009803D7"/>
    <w:rsid w:val="00980487"/>
    <w:rsid w:val="00980765"/>
    <w:rsid w:val="009807FB"/>
    <w:rsid w:val="00980F7B"/>
    <w:rsid w:val="0098109B"/>
    <w:rsid w:val="00981AF5"/>
    <w:rsid w:val="00981C0F"/>
    <w:rsid w:val="00981C75"/>
    <w:rsid w:val="00981D4E"/>
    <w:rsid w:val="00982264"/>
    <w:rsid w:val="009825D6"/>
    <w:rsid w:val="00982988"/>
    <w:rsid w:val="00982D15"/>
    <w:rsid w:val="0098349A"/>
    <w:rsid w:val="009836C2"/>
    <w:rsid w:val="00983D5B"/>
    <w:rsid w:val="00983D81"/>
    <w:rsid w:val="009840E3"/>
    <w:rsid w:val="0098414D"/>
    <w:rsid w:val="00984673"/>
    <w:rsid w:val="009846D3"/>
    <w:rsid w:val="00984741"/>
    <w:rsid w:val="00984797"/>
    <w:rsid w:val="009848C2"/>
    <w:rsid w:val="00985159"/>
    <w:rsid w:val="009851DA"/>
    <w:rsid w:val="009854E7"/>
    <w:rsid w:val="0098554D"/>
    <w:rsid w:val="00985BC5"/>
    <w:rsid w:val="00986719"/>
    <w:rsid w:val="00986FDD"/>
    <w:rsid w:val="009870FE"/>
    <w:rsid w:val="00987B02"/>
    <w:rsid w:val="00987D39"/>
    <w:rsid w:val="00987D8C"/>
    <w:rsid w:val="00987FD2"/>
    <w:rsid w:val="00990455"/>
    <w:rsid w:val="00990643"/>
    <w:rsid w:val="00990717"/>
    <w:rsid w:val="009911E2"/>
    <w:rsid w:val="0099177F"/>
    <w:rsid w:val="009920F4"/>
    <w:rsid w:val="00992116"/>
    <w:rsid w:val="0099221B"/>
    <w:rsid w:val="00992292"/>
    <w:rsid w:val="0099252F"/>
    <w:rsid w:val="009928CA"/>
    <w:rsid w:val="009929D0"/>
    <w:rsid w:val="00992DDA"/>
    <w:rsid w:val="009930C2"/>
    <w:rsid w:val="00993861"/>
    <w:rsid w:val="00993991"/>
    <w:rsid w:val="00993B29"/>
    <w:rsid w:val="00993C60"/>
    <w:rsid w:val="00993FD4"/>
    <w:rsid w:val="00994140"/>
    <w:rsid w:val="00994143"/>
    <w:rsid w:val="009941E5"/>
    <w:rsid w:val="009948EC"/>
    <w:rsid w:val="00995204"/>
    <w:rsid w:val="00995753"/>
    <w:rsid w:val="00995AF8"/>
    <w:rsid w:val="00995B3C"/>
    <w:rsid w:val="00995B97"/>
    <w:rsid w:val="00995DAD"/>
    <w:rsid w:val="00995FF9"/>
    <w:rsid w:val="009962F1"/>
    <w:rsid w:val="00996369"/>
    <w:rsid w:val="009963AA"/>
    <w:rsid w:val="00996682"/>
    <w:rsid w:val="009975C8"/>
    <w:rsid w:val="009979DF"/>
    <w:rsid w:val="00997D01"/>
    <w:rsid w:val="009A01A3"/>
    <w:rsid w:val="009A03B6"/>
    <w:rsid w:val="009A04D6"/>
    <w:rsid w:val="009A0575"/>
    <w:rsid w:val="009A06F0"/>
    <w:rsid w:val="009A0795"/>
    <w:rsid w:val="009A0840"/>
    <w:rsid w:val="009A0D49"/>
    <w:rsid w:val="009A122D"/>
    <w:rsid w:val="009A15A5"/>
    <w:rsid w:val="009A19F3"/>
    <w:rsid w:val="009A1BEB"/>
    <w:rsid w:val="009A2156"/>
    <w:rsid w:val="009A2224"/>
    <w:rsid w:val="009A244F"/>
    <w:rsid w:val="009A2466"/>
    <w:rsid w:val="009A24A5"/>
    <w:rsid w:val="009A2693"/>
    <w:rsid w:val="009A308D"/>
    <w:rsid w:val="009A309E"/>
    <w:rsid w:val="009A3132"/>
    <w:rsid w:val="009A314A"/>
    <w:rsid w:val="009A31F2"/>
    <w:rsid w:val="009A3991"/>
    <w:rsid w:val="009A3CA1"/>
    <w:rsid w:val="009A3CDD"/>
    <w:rsid w:val="009A43A6"/>
    <w:rsid w:val="009A475E"/>
    <w:rsid w:val="009A49F0"/>
    <w:rsid w:val="009A4F1D"/>
    <w:rsid w:val="009A52C2"/>
    <w:rsid w:val="009A5531"/>
    <w:rsid w:val="009A5D2A"/>
    <w:rsid w:val="009A5DB3"/>
    <w:rsid w:val="009A5F7D"/>
    <w:rsid w:val="009A6371"/>
    <w:rsid w:val="009A646E"/>
    <w:rsid w:val="009A6473"/>
    <w:rsid w:val="009A6570"/>
    <w:rsid w:val="009A6A4F"/>
    <w:rsid w:val="009A6BD4"/>
    <w:rsid w:val="009A6F37"/>
    <w:rsid w:val="009A704B"/>
    <w:rsid w:val="009A7A95"/>
    <w:rsid w:val="009B0B20"/>
    <w:rsid w:val="009B1396"/>
    <w:rsid w:val="009B14D4"/>
    <w:rsid w:val="009B152E"/>
    <w:rsid w:val="009B159E"/>
    <w:rsid w:val="009B2360"/>
    <w:rsid w:val="009B237F"/>
    <w:rsid w:val="009B2693"/>
    <w:rsid w:val="009B2B0E"/>
    <w:rsid w:val="009B2BE6"/>
    <w:rsid w:val="009B2D0B"/>
    <w:rsid w:val="009B2E53"/>
    <w:rsid w:val="009B39B2"/>
    <w:rsid w:val="009B3AE8"/>
    <w:rsid w:val="009B3BCC"/>
    <w:rsid w:val="009B3C45"/>
    <w:rsid w:val="009B3D90"/>
    <w:rsid w:val="009B4177"/>
    <w:rsid w:val="009B434D"/>
    <w:rsid w:val="009B47AF"/>
    <w:rsid w:val="009B4806"/>
    <w:rsid w:val="009B4814"/>
    <w:rsid w:val="009B4993"/>
    <w:rsid w:val="009B4B65"/>
    <w:rsid w:val="009B51A7"/>
    <w:rsid w:val="009B541E"/>
    <w:rsid w:val="009B5698"/>
    <w:rsid w:val="009B57D8"/>
    <w:rsid w:val="009B583C"/>
    <w:rsid w:val="009B604F"/>
    <w:rsid w:val="009B6688"/>
    <w:rsid w:val="009B686E"/>
    <w:rsid w:val="009B6A2C"/>
    <w:rsid w:val="009B70A8"/>
    <w:rsid w:val="009B70D0"/>
    <w:rsid w:val="009B7138"/>
    <w:rsid w:val="009B74AB"/>
    <w:rsid w:val="009B74F7"/>
    <w:rsid w:val="009B753E"/>
    <w:rsid w:val="009B7992"/>
    <w:rsid w:val="009B7AED"/>
    <w:rsid w:val="009B7BCD"/>
    <w:rsid w:val="009C00D3"/>
    <w:rsid w:val="009C0554"/>
    <w:rsid w:val="009C0A12"/>
    <w:rsid w:val="009C0B21"/>
    <w:rsid w:val="009C0E66"/>
    <w:rsid w:val="009C0EA6"/>
    <w:rsid w:val="009C10A3"/>
    <w:rsid w:val="009C10C3"/>
    <w:rsid w:val="009C12CA"/>
    <w:rsid w:val="009C1435"/>
    <w:rsid w:val="009C17B6"/>
    <w:rsid w:val="009C1DBF"/>
    <w:rsid w:val="009C2218"/>
    <w:rsid w:val="009C2549"/>
    <w:rsid w:val="009C2904"/>
    <w:rsid w:val="009C2E37"/>
    <w:rsid w:val="009C2FCA"/>
    <w:rsid w:val="009C3564"/>
    <w:rsid w:val="009C38CD"/>
    <w:rsid w:val="009C3935"/>
    <w:rsid w:val="009C3C2F"/>
    <w:rsid w:val="009C3F22"/>
    <w:rsid w:val="009C4282"/>
    <w:rsid w:val="009C4881"/>
    <w:rsid w:val="009C4EDA"/>
    <w:rsid w:val="009C4F6D"/>
    <w:rsid w:val="009C532C"/>
    <w:rsid w:val="009C57EF"/>
    <w:rsid w:val="009C631B"/>
    <w:rsid w:val="009C6439"/>
    <w:rsid w:val="009C67C9"/>
    <w:rsid w:val="009C71C1"/>
    <w:rsid w:val="009C72DA"/>
    <w:rsid w:val="009C7851"/>
    <w:rsid w:val="009C7A5D"/>
    <w:rsid w:val="009C7BA6"/>
    <w:rsid w:val="009C7DBE"/>
    <w:rsid w:val="009C7F65"/>
    <w:rsid w:val="009D023E"/>
    <w:rsid w:val="009D0421"/>
    <w:rsid w:val="009D09AB"/>
    <w:rsid w:val="009D152F"/>
    <w:rsid w:val="009D1689"/>
    <w:rsid w:val="009D16DD"/>
    <w:rsid w:val="009D1761"/>
    <w:rsid w:val="009D19BF"/>
    <w:rsid w:val="009D1A8F"/>
    <w:rsid w:val="009D1EFC"/>
    <w:rsid w:val="009D2DDB"/>
    <w:rsid w:val="009D2F48"/>
    <w:rsid w:val="009D2F58"/>
    <w:rsid w:val="009D328F"/>
    <w:rsid w:val="009D33BF"/>
    <w:rsid w:val="009D3600"/>
    <w:rsid w:val="009D38FD"/>
    <w:rsid w:val="009D42BE"/>
    <w:rsid w:val="009D4CC0"/>
    <w:rsid w:val="009D532C"/>
    <w:rsid w:val="009D539E"/>
    <w:rsid w:val="009D53FA"/>
    <w:rsid w:val="009D54BB"/>
    <w:rsid w:val="009D55AC"/>
    <w:rsid w:val="009D58FC"/>
    <w:rsid w:val="009D5DAC"/>
    <w:rsid w:val="009D5F8D"/>
    <w:rsid w:val="009D630A"/>
    <w:rsid w:val="009D6AE9"/>
    <w:rsid w:val="009D6D37"/>
    <w:rsid w:val="009D6D3A"/>
    <w:rsid w:val="009D6ED1"/>
    <w:rsid w:val="009D6EE6"/>
    <w:rsid w:val="009D6F9A"/>
    <w:rsid w:val="009D725B"/>
    <w:rsid w:val="009D72EE"/>
    <w:rsid w:val="009D7D80"/>
    <w:rsid w:val="009D7FAE"/>
    <w:rsid w:val="009E0A9A"/>
    <w:rsid w:val="009E0AFA"/>
    <w:rsid w:val="009E0C7E"/>
    <w:rsid w:val="009E0C88"/>
    <w:rsid w:val="009E106B"/>
    <w:rsid w:val="009E10A7"/>
    <w:rsid w:val="009E10B3"/>
    <w:rsid w:val="009E165B"/>
    <w:rsid w:val="009E1C27"/>
    <w:rsid w:val="009E1D1F"/>
    <w:rsid w:val="009E1DEB"/>
    <w:rsid w:val="009E279F"/>
    <w:rsid w:val="009E293E"/>
    <w:rsid w:val="009E3512"/>
    <w:rsid w:val="009E3537"/>
    <w:rsid w:val="009E39A7"/>
    <w:rsid w:val="009E3E7B"/>
    <w:rsid w:val="009E3EFF"/>
    <w:rsid w:val="009E40BA"/>
    <w:rsid w:val="009E4165"/>
    <w:rsid w:val="009E4479"/>
    <w:rsid w:val="009E4622"/>
    <w:rsid w:val="009E477F"/>
    <w:rsid w:val="009E493D"/>
    <w:rsid w:val="009E4CDF"/>
    <w:rsid w:val="009E4DB6"/>
    <w:rsid w:val="009E566F"/>
    <w:rsid w:val="009E5A6B"/>
    <w:rsid w:val="009E5C6A"/>
    <w:rsid w:val="009E6023"/>
    <w:rsid w:val="009E60C2"/>
    <w:rsid w:val="009E6347"/>
    <w:rsid w:val="009E699F"/>
    <w:rsid w:val="009E7201"/>
    <w:rsid w:val="009E754A"/>
    <w:rsid w:val="009E7BD2"/>
    <w:rsid w:val="009E7C09"/>
    <w:rsid w:val="009E7D3E"/>
    <w:rsid w:val="009F0220"/>
    <w:rsid w:val="009F0415"/>
    <w:rsid w:val="009F05B5"/>
    <w:rsid w:val="009F0764"/>
    <w:rsid w:val="009F119A"/>
    <w:rsid w:val="009F1834"/>
    <w:rsid w:val="009F1B28"/>
    <w:rsid w:val="009F1C48"/>
    <w:rsid w:val="009F1DC3"/>
    <w:rsid w:val="009F2009"/>
    <w:rsid w:val="009F2495"/>
    <w:rsid w:val="009F283D"/>
    <w:rsid w:val="009F2B66"/>
    <w:rsid w:val="009F2C61"/>
    <w:rsid w:val="009F312F"/>
    <w:rsid w:val="009F328A"/>
    <w:rsid w:val="009F36D0"/>
    <w:rsid w:val="009F474A"/>
    <w:rsid w:val="009F4F9C"/>
    <w:rsid w:val="009F5200"/>
    <w:rsid w:val="009F52E4"/>
    <w:rsid w:val="009F544A"/>
    <w:rsid w:val="009F559A"/>
    <w:rsid w:val="009F59E7"/>
    <w:rsid w:val="009F5B25"/>
    <w:rsid w:val="009F6BA5"/>
    <w:rsid w:val="009F6F9D"/>
    <w:rsid w:val="009F705E"/>
    <w:rsid w:val="009F7073"/>
    <w:rsid w:val="009F711A"/>
    <w:rsid w:val="009F74D2"/>
    <w:rsid w:val="009F7612"/>
    <w:rsid w:val="009F7F76"/>
    <w:rsid w:val="00A00359"/>
    <w:rsid w:val="00A00638"/>
    <w:rsid w:val="00A009DC"/>
    <w:rsid w:val="00A00A18"/>
    <w:rsid w:val="00A00C6F"/>
    <w:rsid w:val="00A00D3E"/>
    <w:rsid w:val="00A01210"/>
    <w:rsid w:val="00A01428"/>
    <w:rsid w:val="00A01515"/>
    <w:rsid w:val="00A016F0"/>
    <w:rsid w:val="00A018C2"/>
    <w:rsid w:val="00A019C5"/>
    <w:rsid w:val="00A01E5C"/>
    <w:rsid w:val="00A01FEB"/>
    <w:rsid w:val="00A02005"/>
    <w:rsid w:val="00A02176"/>
    <w:rsid w:val="00A023CF"/>
    <w:rsid w:val="00A02448"/>
    <w:rsid w:val="00A0248E"/>
    <w:rsid w:val="00A02494"/>
    <w:rsid w:val="00A024EE"/>
    <w:rsid w:val="00A02522"/>
    <w:rsid w:val="00A02C61"/>
    <w:rsid w:val="00A02D4C"/>
    <w:rsid w:val="00A02F91"/>
    <w:rsid w:val="00A03256"/>
    <w:rsid w:val="00A03346"/>
    <w:rsid w:val="00A035B4"/>
    <w:rsid w:val="00A03859"/>
    <w:rsid w:val="00A038ED"/>
    <w:rsid w:val="00A038FE"/>
    <w:rsid w:val="00A03A2B"/>
    <w:rsid w:val="00A04221"/>
    <w:rsid w:val="00A0431D"/>
    <w:rsid w:val="00A04492"/>
    <w:rsid w:val="00A0484C"/>
    <w:rsid w:val="00A048AC"/>
    <w:rsid w:val="00A048B4"/>
    <w:rsid w:val="00A04986"/>
    <w:rsid w:val="00A04E56"/>
    <w:rsid w:val="00A0507C"/>
    <w:rsid w:val="00A05795"/>
    <w:rsid w:val="00A05CE6"/>
    <w:rsid w:val="00A05E4F"/>
    <w:rsid w:val="00A05F44"/>
    <w:rsid w:val="00A0625C"/>
    <w:rsid w:val="00A063C4"/>
    <w:rsid w:val="00A06687"/>
    <w:rsid w:val="00A06832"/>
    <w:rsid w:val="00A06FD5"/>
    <w:rsid w:val="00A07058"/>
    <w:rsid w:val="00A071F7"/>
    <w:rsid w:val="00A0727B"/>
    <w:rsid w:val="00A072AD"/>
    <w:rsid w:val="00A07570"/>
    <w:rsid w:val="00A078CE"/>
    <w:rsid w:val="00A07B9A"/>
    <w:rsid w:val="00A07F1A"/>
    <w:rsid w:val="00A1025E"/>
    <w:rsid w:val="00A10631"/>
    <w:rsid w:val="00A1071D"/>
    <w:rsid w:val="00A10833"/>
    <w:rsid w:val="00A108FA"/>
    <w:rsid w:val="00A10935"/>
    <w:rsid w:val="00A1107B"/>
    <w:rsid w:val="00A1128D"/>
    <w:rsid w:val="00A113A2"/>
    <w:rsid w:val="00A113CC"/>
    <w:rsid w:val="00A11820"/>
    <w:rsid w:val="00A11A33"/>
    <w:rsid w:val="00A11A40"/>
    <w:rsid w:val="00A125E7"/>
    <w:rsid w:val="00A1289A"/>
    <w:rsid w:val="00A12E26"/>
    <w:rsid w:val="00A1305A"/>
    <w:rsid w:val="00A135AE"/>
    <w:rsid w:val="00A135F3"/>
    <w:rsid w:val="00A136D4"/>
    <w:rsid w:val="00A1380D"/>
    <w:rsid w:val="00A13CE4"/>
    <w:rsid w:val="00A13DE0"/>
    <w:rsid w:val="00A13F07"/>
    <w:rsid w:val="00A13F32"/>
    <w:rsid w:val="00A13F4A"/>
    <w:rsid w:val="00A14291"/>
    <w:rsid w:val="00A14DCA"/>
    <w:rsid w:val="00A1527B"/>
    <w:rsid w:val="00A157B4"/>
    <w:rsid w:val="00A15AB8"/>
    <w:rsid w:val="00A15D02"/>
    <w:rsid w:val="00A16016"/>
    <w:rsid w:val="00A16446"/>
    <w:rsid w:val="00A165AD"/>
    <w:rsid w:val="00A166BC"/>
    <w:rsid w:val="00A1682C"/>
    <w:rsid w:val="00A171AB"/>
    <w:rsid w:val="00A17389"/>
    <w:rsid w:val="00A177E0"/>
    <w:rsid w:val="00A1793D"/>
    <w:rsid w:val="00A179D3"/>
    <w:rsid w:val="00A17AE1"/>
    <w:rsid w:val="00A17BCB"/>
    <w:rsid w:val="00A17DCC"/>
    <w:rsid w:val="00A17E9B"/>
    <w:rsid w:val="00A20270"/>
    <w:rsid w:val="00A205B9"/>
    <w:rsid w:val="00A206DE"/>
    <w:rsid w:val="00A20879"/>
    <w:rsid w:val="00A2090C"/>
    <w:rsid w:val="00A20C32"/>
    <w:rsid w:val="00A20F4D"/>
    <w:rsid w:val="00A21336"/>
    <w:rsid w:val="00A21555"/>
    <w:rsid w:val="00A21764"/>
    <w:rsid w:val="00A21830"/>
    <w:rsid w:val="00A21AB7"/>
    <w:rsid w:val="00A21F45"/>
    <w:rsid w:val="00A22049"/>
    <w:rsid w:val="00A22212"/>
    <w:rsid w:val="00A22A03"/>
    <w:rsid w:val="00A22DBB"/>
    <w:rsid w:val="00A235A2"/>
    <w:rsid w:val="00A23876"/>
    <w:rsid w:val="00A23A03"/>
    <w:rsid w:val="00A23CEF"/>
    <w:rsid w:val="00A23DE1"/>
    <w:rsid w:val="00A240EA"/>
    <w:rsid w:val="00A24510"/>
    <w:rsid w:val="00A246E1"/>
    <w:rsid w:val="00A2482F"/>
    <w:rsid w:val="00A24998"/>
    <w:rsid w:val="00A2532B"/>
    <w:rsid w:val="00A257BB"/>
    <w:rsid w:val="00A25B26"/>
    <w:rsid w:val="00A25DFB"/>
    <w:rsid w:val="00A25E94"/>
    <w:rsid w:val="00A261CE"/>
    <w:rsid w:val="00A261E0"/>
    <w:rsid w:val="00A262AE"/>
    <w:rsid w:val="00A2656B"/>
    <w:rsid w:val="00A269E0"/>
    <w:rsid w:val="00A26F0E"/>
    <w:rsid w:val="00A271E2"/>
    <w:rsid w:val="00A27A89"/>
    <w:rsid w:val="00A27E39"/>
    <w:rsid w:val="00A27EC8"/>
    <w:rsid w:val="00A27F95"/>
    <w:rsid w:val="00A304EE"/>
    <w:rsid w:val="00A30510"/>
    <w:rsid w:val="00A30AE5"/>
    <w:rsid w:val="00A31136"/>
    <w:rsid w:val="00A316AB"/>
    <w:rsid w:val="00A319E0"/>
    <w:rsid w:val="00A32193"/>
    <w:rsid w:val="00A32260"/>
    <w:rsid w:val="00A32306"/>
    <w:rsid w:val="00A3259C"/>
    <w:rsid w:val="00A3259E"/>
    <w:rsid w:val="00A326BF"/>
    <w:rsid w:val="00A32B29"/>
    <w:rsid w:val="00A32BA0"/>
    <w:rsid w:val="00A33244"/>
    <w:rsid w:val="00A3328A"/>
    <w:rsid w:val="00A333E5"/>
    <w:rsid w:val="00A338ED"/>
    <w:rsid w:val="00A33ACA"/>
    <w:rsid w:val="00A33E0B"/>
    <w:rsid w:val="00A344A8"/>
    <w:rsid w:val="00A346DB"/>
    <w:rsid w:val="00A348D5"/>
    <w:rsid w:val="00A34A74"/>
    <w:rsid w:val="00A34C96"/>
    <w:rsid w:val="00A350C0"/>
    <w:rsid w:val="00A35DDD"/>
    <w:rsid w:val="00A36119"/>
    <w:rsid w:val="00A361D8"/>
    <w:rsid w:val="00A36589"/>
    <w:rsid w:val="00A36603"/>
    <w:rsid w:val="00A36617"/>
    <w:rsid w:val="00A3671E"/>
    <w:rsid w:val="00A36A33"/>
    <w:rsid w:val="00A36ADB"/>
    <w:rsid w:val="00A36F43"/>
    <w:rsid w:val="00A3705B"/>
    <w:rsid w:val="00A37477"/>
    <w:rsid w:val="00A37B74"/>
    <w:rsid w:val="00A37D93"/>
    <w:rsid w:val="00A37DAF"/>
    <w:rsid w:val="00A40393"/>
    <w:rsid w:val="00A4078B"/>
    <w:rsid w:val="00A40D96"/>
    <w:rsid w:val="00A40F7F"/>
    <w:rsid w:val="00A410E0"/>
    <w:rsid w:val="00A4124B"/>
    <w:rsid w:val="00A4185C"/>
    <w:rsid w:val="00A41BB3"/>
    <w:rsid w:val="00A41CCB"/>
    <w:rsid w:val="00A4233F"/>
    <w:rsid w:val="00A42483"/>
    <w:rsid w:val="00A42625"/>
    <w:rsid w:val="00A426A3"/>
    <w:rsid w:val="00A4286E"/>
    <w:rsid w:val="00A43592"/>
    <w:rsid w:val="00A439E6"/>
    <w:rsid w:val="00A43CD4"/>
    <w:rsid w:val="00A43DDF"/>
    <w:rsid w:val="00A44427"/>
    <w:rsid w:val="00A44568"/>
    <w:rsid w:val="00A445C8"/>
    <w:rsid w:val="00A44D1E"/>
    <w:rsid w:val="00A44D78"/>
    <w:rsid w:val="00A44FA7"/>
    <w:rsid w:val="00A450C1"/>
    <w:rsid w:val="00A451FA"/>
    <w:rsid w:val="00A454F3"/>
    <w:rsid w:val="00A45523"/>
    <w:rsid w:val="00A46020"/>
    <w:rsid w:val="00A4622B"/>
    <w:rsid w:val="00A4628A"/>
    <w:rsid w:val="00A4678F"/>
    <w:rsid w:val="00A4685C"/>
    <w:rsid w:val="00A468B7"/>
    <w:rsid w:val="00A469C9"/>
    <w:rsid w:val="00A46ACA"/>
    <w:rsid w:val="00A46B67"/>
    <w:rsid w:val="00A46B98"/>
    <w:rsid w:val="00A46D3A"/>
    <w:rsid w:val="00A4737D"/>
    <w:rsid w:val="00A475A2"/>
    <w:rsid w:val="00A475F5"/>
    <w:rsid w:val="00A476C3"/>
    <w:rsid w:val="00A479F3"/>
    <w:rsid w:val="00A50115"/>
    <w:rsid w:val="00A50392"/>
    <w:rsid w:val="00A508C7"/>
    <w:rsid w:val="00A50DC1"/>
    <w:rsid w:val="00A50F91"/>
    <w:rsid w:val="00A51098"/>
    <w:rsid w:val="00A51C6A"/>
    <w:rsid w:val="00A51D8C"/>
    <w:rsid w:val="00A51FF3"/>
    <w:rsid w:val="00A52431"/>
    <w:rsid w:val="00A52500"/>
    <w:rsid w:val="00A5264C"/>
    <w:rsid w:val="00A52CA1"/>
    <w:rsid w:val="00A53B31"/>
    <w:rsid w:val="00A53C21"/>
    <w:rsid w:val="00A53C78"/>
    <w:rsid w:val="00A53EE3"/>
    <w:rsid w:val="00A5432F"/>
    <w:rsid w:val="00A54622"/>
    <w:rsid w:val="00A54672"/>
    <w:rsid w:val="00A54682"/>
    <w:rsid w:val="00A54B54"/>
    <w:rsid w:val="00A55373"/>
    <w:rsid w:val="00A5540E"/>
    <w:rsid w:val="00A559F8"/>
    <w:rsid w:val="00A55A44"/>
    <w:rsid w:val="00A55A72"/>
    <w:rsid w:val="00A55EDA"/>
    <w:rsid w:val="00A55F77"/>
    <w:rsid w:val="00A564B8"/>
    <w:rsid w:val="00A56644"/>
    <w:rsid w:val="00A56B96"/>
    <w:rsid w:val="00A56E96"/>
    <w:rsid w:val="00A57229"/>
    <w:rsid w:val="00A575C7"/>
    <w:rsid w:val="00A5799D"/>
    <w:rsid w:val="00A579E9"/>
    <w:rsid w:val="00A57EBC"/>
    <w:rsid w:val="00A60089"/>
    <w:rsid w:val="00A60920"/>
    <w:rsid w:val="00A60C58"/>
    <w:rsid w:val="00A61056"/>
    <w:rsid w:val="00A61301"/>
    <w:rsid w:val="00A61323"/>
    <w:rsid w:val="00A61555"/>
    <w:rsid w:val="00A61579"/>
    <w:rsid w:val="00A615EA"/>
    <w:rsid w:val="00A61899"/>
    <w:rsid w:val="00A61E6E"/>
    <w:rsid w:val="00A61FBA"/>
    <w:rsid w:val="00A6221A"/>
    <w:rsid w:val="00A62298"/>
    <w:rsid w:val="00A623B7"/>
    <w:rsid w:val="00A625A3"/>
    <w:rsid w:val="00A626F7"/>
    <w:rsid w:val="00A62EAF"/>
    <w:rsid w:val="00A630B7"/>
    <w:rsid w:val="00A63331"/>
    <w:rsid w:val="00A635AB"/>
    <w:rsid w:val="00A64312"/>
    <w:rsid w:val="00A6439F"/>
    <w:rsid w:val="00A644D9"/>
    <w:rsid w:val="00A64594"/>
    <w:rsid w:val="00A64633"/>
    <w:rsid w:val="00A647E8"/>
    <w:rsid w:val="00A64AD7"/>
    <w:rsid w:val="00A64BF5"/>
    <w:rsid w:val="00A64C22"/>
    <w:rsid w:val="00A64D2C"/>
    <w:rsid w:val="00A651A0"/>
    <w:rsid w:val="00A65441"/>
    <w:rsid w:val="00A654F9"/>
    <w:rsid w:val="00A65533"/>
    <w:rsid w:val="00A659AE"/>
    <w:rsid w:val="00A65D7B"/>
    <w:rsid w:val="00A65D7F"/>
    <w:rsid w:val="00A6611E"/>
    <w:rsid w:val="00A663B0"/>
    <w:rsid w:val="00A663F2"/>
    <w:rsid w:val="00A6680A"/>
    <w:rsid w:val="00A66A9F"/>
    <w:rsid w:val="00A66CA6"/>
    <w:rsid w:val="00A6722D"/>
    <w:rsid w:val="00A67394"/>
    <w:rsid w:val="00A677ED"/>
    <w:rsid w:val="00A67A5A"/>
    <w:rsid w:val="00A67BE2"/>
    <w:rsid w:val="00A67D33"/>
    <w:rsid w:val="00A67F10"/>
    <w:rsid w:val="00A701EF"/>
    <w:rsid w:val="00A70342"/>
    <w:rsid w:val="00A70374"/>
    <w:rsid w:val="00A7049E"/>
    <w:rsid w:val="00A70A42"/>
    <w:rsid w:val="00A71088"/>
    <w:rsid w:val="00A7116F"/>
    <w:rsid w:val="00A71178"/>
    <w:rsid w:val="00A714D5"/>
    <w:rsid w:val="00A71857"/>
    <w:rsid w:val="00A718BA"/>
    <w:rsid w:val="00A71FB1"/>
    <w:rsid w:val="00A72214"/>
    <w:rsid w:val="00A72273"/>
    <w:rsid w:val="00A72E1B"/>
    <w:rsid w:val="00A7306F"/>
    <w:rsid w:val="00A734E8"/>
    <w:rsid w:val="00A739E4"/>
    <w:rsid w:val="00A73B56"/>
    <w:rsid w:val="00A74585"/>
    <w:rsid w:val="00A745BF"/>
    <w:rsid w:val="00A74621"/>
    <w:rsid w:val="00A7464C"/>
    <w:rsid w:val="00A746F4"/>
    <w:rsid w:val="00A747D4"/>
    <w:rsid w:val="00A74C49"/>
    <w:rsid w:val="00A74EDD"/>
    <w:rsid w:val="00A74F76"/>
    <w:rsid w:val="00A753B2"/>
    <w:rsid w:val="00A75837"/>
    <w:rsid w:val="00A75EA9"/>
    <w:rsid w:val="00A75FA1"/>
    <w:rsid w:val="00A76681"/>
    <w:rsid w:val="00A766ED"/>
    <w:rsid w:val="00A767D2"/>
    <w:rsid w:val="00A76A36"/>
    <w:rsid w:val="00A76CDF"/>
    <w:rsid w:val="00A77651"/>
    <w:rsid w:val="00A778DF"/>
    <w:rsid w:val="00A77A9F"/>
    <w:rsid w:val="00A77C76"/>
    <w:rsid w:val="00A77FB7"/>
    <w:rsid w:val="00A807B1"/>
    <w:rsid w:val="00A8096C"/>
    <w:rsid w:val="00A80CFB"/>
    <w:rsid w:val="00A811D2"/>
    <w:rsid w:val="00A81482"/>
    <w:rsid w:val="00A81ADC"/>
    <w:rsid w:val="00A81E97"/>
    <w:rsid w:val="00A82162"/>
    <w:rsid w:val="00A827FD"/>
    <w:rsid w:val="00A8286A"/>
    <w:rsid w:val="00A82D52"/>
    <w:rsid w:val="00A82D7C"/>
    <w:rsid w:val="00A82FBE"/>
    <w:rsid w:val="00A83317"/>
    <w:rsid w:val="00A835F0"/>
    <w:rsid w:val="00A83646"/>
    <w:rsid w:val="00A83813"/>
    <w:rsid w:val="00A83ADD"/>
    <w:rsid w:val="00A83FA1"/>
    <w:rsid w:val="00A8400E"/>
    <w:rsid w:val="00A84045"/>
    <w:rsid w:val="00A843A7"/>
    <w:rsid w:val="00A84410"/>
    <w:rsid w:val="00A8441E"/>
    <w:rsid w:val="00A84C75"/>
    <w:rsid w:val="00A84EC1"/>
    <w:rsid w:val="00A84FED"/>
    <w:rsid w:val="00A8512D"/>
    <w:rsid w:val="00A853DE"/>
    <w:rsid w:val="00A856F6"/>
    <w:rsid w:val="00A859E1"/>
    <w:rsid w:val="00A85A3D"/>
    <w:rsid w:val="00A85B98"/>
    <w:rsid w:val="00A85D25"/>
    <w:rsid w:val="00A85DDA"/>
    <w:rsid w:val="00A85FD5"/>
    <w:rsid w:val="00A86023"/>
    <w:rsid w:val="00A8656C"/>
    <w:rsid w:val="00A866A7"/>
    <w:rsid w:val="00A866B8"/>
    <w:rsid w:val="00A86F54"/>
    <w:rsid w:val="00A87254"/>
    <w:rsid w:val="00A87263"/>
    <w:rsid w:val="00A877B9"/>
    <w:rsid w:val="00A87862"/>
    <w:rsid w:val="00A87890"/>
    <w:rsid w:val="00A87B03"/>
    <w:rsid w:val="00A87D00"/>
    <w:rsid w:val="00A87D81"/>
    <w:rsid w:val="00A87F8E"/>
    <w:rsid w:val="00A87FF6"/>
    <w:rsid w:val="00A90038"/>
    <w:rsid w:val="00A90452"/>
    <w:rsid w:val="00A90638"/>
    <w:rsid w:val="00A906DB"/>
    <w:rsid w:val="00A9079A"/>
    <w:rsid w:val="00A90804"/>
    <w:rsid w:val="00A908B9"/>
    <w:rsid w:val="00A90A8D"/>
    <w:rsid w:val="00A90F57"/>
    <w:rsid w:val="00A9207D"/>
    <w:rsid w:val="00A9223B"/>
    <w:rsid w:val="00A92F4F"/>
    <w:rsid w:val="00A92F69"/>
    <w:rsid w:val="00A92FD6"/>
    <w:rsid w:val="00A9300A"/>
    <w:rsid w:val="00A931D1"/>
    <w:rsid w:val="00A934EE"/>
    <w:rsid w:val="00A936D0"/>
    <w:rsid w:val="00A943D9"/>
    <w:rsid w:val="00A94539"/>
    <w:rsid w:val="00A946AD"/>
    <w:rsid w:val="00A94D1F"/>
    <w:rsid w:val="00A968BE"/>
    <w:rsid w:val="00A96D90"/>
    <w:rsid w:val="00A96EDA"/>
    <w:rsid w:val="00A96F65"/>
    <w:rsid w:val="00A97032"/>
    <w:rsid w:val="00A97098"/>
    <w:rsid w:val="00A97112"/>
    <w:rsid w:val="00A9721A"/>
    <w:rsid w:val="00A97555"/>
    <w:rsid w:val="00A979AE"/>
    <w:rsid w:val="00A97A6B"/>
    <w:rsid w:val="00A97B05"/>
    <w:rsid w:val="00AA0340"/>
    <w:rsid w:val="00AA0391"/>
    <w:rsid w:val="00AA0B43"/>
    <w:rsid w:val="00AA0D98"/>
    <w:rsid w:val="00AA0F24"/>
    <w:rsid w:val="00AA13DF"/>
    <w:rsid w:val="00AA16B5"/>
    <w:rsid w:val="00AA1759"/>
    <w:rsid w:val="00AA17BC"/>
    <w:rsid w:val="00AA17E4"/>
    <w:rsid w:val="00AA1E59"/>
    <w:rsid w:val="00AA1FB8"/>
    <w:rsid w:val="00AA2001"/>
    <w:rsid w:val="00AA20AA"/>
    <w:rsid w:val="00AA278B"/>
    <w:rsid w:val="00AA2A6E"/>
    <w:rsid w:val="00AA2EB3"/>
    <w:rsid w:val="00AA32B3"/>
    <w:rsid w:val="00AA32E1"/>
    <w:rsid w:val="00AA3382"/>
    <w:rsid w:val="00AA351F"/>
    <w:rsid w:val="00AA38D1"/>
    <w:rsid w:val="00AA3AFB"/>
    <w:rsid w:val="00AA3F86"/>
    <w:rsid w:val="00AA42AE"/>
    <w:rsid w:val="00AA45A2"/>
    <w:rsid w:val="00AA4707"/>
    <w:rsid w:val="00AA488F"/>
    <w:rsid w:val="00AA4D34"/>
    <w:rsid w:val="00AA4E30"/>
    <w:rsid w:val="00AA4E8E"/>
    <w:rsid w:val="00AA5016"/>
    <w:rsid w:val="00AA53CA"/>
    <w:rsid w:val="00AA5D32"/>
    <w:rsid w:val="00AA5E56"/>
    <w:rsid w:val="00AA5E89"/>
    <w:rsid w:val="00AA5ECE"/>
    <w:rsid w:val="00AA6379"/>
    <w:rsid w:val="00AA6458"/>
    <w:rsid w:val="00AA654C"/>
    <w:rsid w:val="00AA65EF"/>
    <w:rsid w:val="00AA661D"/>
    <w:rsid w:val="00AA6998"/>
    <w:rsid w:val="00AA6AFA"/>
    <w:rsid w:val="00AA6C43"/>
    <w:rsid w:val="00AA6C84"/>
    <w:rsid w:val="00AA75A3"/>
    <w:rsid w:val="00AA7CF3"/>
    <w:rsid w:val="00AA7D14"/>
    <w:rsid w:val="00AA7F83"/>
    <w:rsid w:val="00AB03AB"/>
    <w:rsid w:val="00AB0784"/>
    <w:rsid w:val="00AB07F4"/>
    <w:rsid w:val="00AB0843"/>
    <w:rsid w:val="00AB0880"/>
    <w:rsid w:val="00AB0B99"/>
    <w:rsid w:val="00AB1C86"/>
    <w:rsid w:val="00AB200B"/>
    <w:rsid w:val="00AB21D7"/>
    <w:rsid w:val="00AB266B"/>
    <w:rsid w:val="00AB27FF"/>
    <w:rsid w:val="00AB297B"/>
    <w:rsid w:val="00AB2C92"/>
    <w:rsid w:val="00AB301A"/>
    <w:rsid w:val="00AB32F3"/>
    <w:rsid w:val="00AB3B08"/>
    <w:rsid w:val="00AB3BC0"/>
    <w:rsid w:val="00AB3C74"/>
    <w:rsid w:val="00AB3EF7"/>
    <w:rsid w:val="00AB426B"/>
    <w:rsid w:val="00AB448A"/>
    <w:rsid w:val="00AB4D9D"/>
    <w:rsid w:val="00AB5138"/>
    <w:rsid w:val="00AB5F4B"/>
    <w:rsid w:val="00AB63C7"/>
    <w:rsid w:val="00AB63DC"/>
    <w:rsid w:val="00AB6906"/>
    <w:rsid w:val="00AB6BD8"/>
    <w:rsid w:val="00AB6CC3"/>
    <w:rsid w:val="00AB6F15"/>
    <w:rsid w:val="00AB721C"/>
    <w:rsid w:val="00AB746C"/>
    <w:rsid w:val="00AB79DA"/>
    <w:rsid w:val="00AB7B59"/>
    <w:rsid w:val="00AB7F1B"/>
    <w:rsid w:val="00AB7F24"/>
    <w:rsid w:val="00AC0001"/>
    <w:rsid w:val="00AC0199"/>
    <w:rsid w:val="00AC056F"/>
    <w:rsid w:val="00AC1198"/>
    <w:rsid w:val="00AC13A4"/>
    <w:rsid w:val="00AC141D"/>
    <w:rsid w:val="00AC1B59"/>
    <w:rsid w:val="00AC1D3B"/>
    <w:rsid w:val="00AC1D4D"/>
    <w:rsid w:val="00AC1D55"/>
    <w:rsid w:val="00AC1EA7"/>
    <w:rsid w:val="00AC250B"/>
    <w:rsid w:val="00AC25A9"/>
    <w:rsid w:val="00AC2894"/>
    <w:rsid w:val="00AC2A92"/>
    <w:rsid w:val="00AC3A18"/>
    <w:rsid w:val="00AC3C77"/>
    <w:rsid w:val="00AC3F2B"/>
    <w:rsid w:val="00AC477C"/>
    <w:rsid w:val="00AC4943"/>
    <w:rsid w:val="00AC4EDB"/>
    <w:rsid w:val="00AC514F"/>
    <w:rsid w:val="00AC520B"/>
    <w:rsid w:val="00AC53C4"/>
    <w:rsid w:val="00AC5537"/>
    <w:rsid w:val="00AC5968"/>
    <w:rsid w:val="00AC5C14"/>
    <w:rsid w:val="00AC5C92"/>
    <w:rsid w:val="00AC5DCF"/>
    <w:rsid w:val="00AC617A"/>
    <w:rsid w:val="00AC6283"/>
    <w:rsid w:val="00AC6349"/>
    <w:rsid w:val="00AC6387"/>
    <w:rsid w:val="00AC63A5"/>
    <w:rsid w:val="00AC655A"/>
    <w:rsid w:val="00AC6B42"/>
    <w:rsid w:val="00AC6C67"/>
    <w:rsid w:val="00AC711F"/>
    <w:rsid w:val="00AC77AA"/>
    <w:rsid w:val="00AC7AE6"/>
    <w:rsid w:val="00AC7C6B"/>
    <w:rsid w:val="00AC7CA9"/>
    <w:rsid w:val="00AC7ED6"/>
    <w:rsid w:val="00AD023B"/>
    <w:rsid w:val="00AD024B"/>
    <w:rsid w:val="00AD0798"/>
    <w:rsid w:val="00AD0E77"/>
    <w:rsid w:val="00AD0EDA"/>
    <w:rsid w:val="00AD1067"/>
    <w:rsid w:val="00AD1176"/>
    <w:rsid w:val="00AD1200"/>
    <w:rsid w:val="00AD1398"/>
    <w:rsid w:val="00AD154D"/>
    <w:rsid w:val="00AD186A"/>
    <w:rsid w:val="00AD1C33"/>
    <w:rsid w:val="00AD1F00"/>
    <w:rsid w:val="00AD1F59"/>
    <w:rsid w:val="00AD203E"/>
    <w:rsid w:val="00AD2667"/>
    <w:rsid w:val="00AD29F0"/>
    <w:rsid w:val="00AD2BFE"/>
    <w:rsid w:val="00AD2F43"/>
    <w:rsid w:val="00AD2F92"/>
    <w:rsid w:val="00AD3176"/>
    <w:rsid w:val="00AD3344"/>
    <w:rsid w:val="00AD366E"/>
    <w:rsid w:val="00AD3E37"/>
    <w:rsid w:val="00AD4236"/>
    <w:rsid w:val="00AD4415"/>
    <w:rsid w:val="00AD46B9"/>
    <w:rsid w:val="00AD48B8"/>
    <w:rsid w:val="00AD4FD9"/>
    <w:rsid w:val="00AD5111"/>
    <w:rsid w:val="00AD59C0"/>
    <w:rsid w:val="00AD5A26"/>
    <w:rsid w:val="00AD5BA9"/>
    <w:rsid w:val="00AD5E72"/>
    <w:rsid w:val="00AD5E73"/>
    <w:rsid w:val="00AD609B"/>
    <w:rsid w:val="00AD6161"/>
    <w:rsid w:val="00AD657F"/>
    <w:rsid w:val="00AD6B15"/>
    <w:rsid w:val="00AD7125"/>
    <w:rsid w:val="00AD72A4"/>
    <w:rsid w:val="00AD7397"/>
    <w:rsid w:val="00AD7BBE"/>
    <w:rsid w:val="00AD7C39"/>
    <w:rsid w:val="00AE0A3B"/>
    <w:rsid w:val="00AE0A5B"/>
    <w:rsid w:val="00AE0C04"/>
    <w:rsid w:val="00AE0FA9"/>
    <w:rsid w:val="00AE1062"/>
    <w:rsid w:val="00AE10F6"/>
    <w:rsid w:val="00AE11B9"/>
    <w:rsid w:val="00AE11F3"/>
    <w:rsid w:val="00AE12EE"/>
    <w:rsid w:val="00AE1836"/>
    <w:rsid w:val="00AE1DE0"/>
    <w:rsid w:val="00AE1E5E"/>
    <w:rsid w:val="00AE1F37"/>
    <w:rsid w:val="00AE21F7"/>
    <w:rsid w:val="00AE2418"/>
    <w:rsid w:val="00AE2894"/>
    <w:rsid w:val="00AE298D"/>
    <w:rsid w:val="00AE2CAB"/>
    <w:rsid w:val="00AE2D17"/>
    <w:rsid w:val="00AE2FA2"/>
    <w:rsid w:val="00AE386F"/>
    <w:rsid w:val="00AE38A0"/>
    <w:rsid w:val="00AE4269"/>
    <w:rsid w:val="00AE4332"/>
    <w:rsid w:val="00AE4485"/>
    <w:rsid w:val="00AE4700"/>
    <w:rsid w:val="00AE49CD"/>
    <w:rsid w:val="00AE4B2D"/>
    <w:rsid w:val="00AE512B"/>
    <w:rsid w:val="00AE53BD"/>
    <w:rsid w:val="00AE5EB7"/>
    <w:rsid w:val="00AE651D"/>
    <w:rsid w:val="00AE6749"/>
    <w:rsid w:val="00AE71C6"/>
    <w:rsid w:val="00AE7206"/>
    <w:rsid w:val="00AE754A"/>
    <w:rsid w:val="00AE7908"/>
    <w:rsid w:val="00AE79A6"/>
    <w:rsid w:val="00AE7EE4"/>
    <w:rsid w:val="00AF025B"/>
    <w:rsid w:val="00AF0280"/>
    <w:rsid w:val="00AF07A0"/>
    <w:rsid w:val="00AF0EC7"/>
    <w:rsid w:val="00AF10AC"/>
    <w:rsid w:val="00AF1624"/>
    <w:rsid w:val="00AF17EA"/>
    <w:rsid w:val="00AF1A41"/>
    <w:rsid w:val="00AF240B"/>
    <w:rsid w:val="00AF279E"/>
    <w:rsid w:val="00AF2B33"/>
    <w:rsid w:val="00AF30AB"/>
    <w:rsid w:val="00AF36C1"/>
    <w:rsid w:val="00AF3918"/>
    <w:rsid w:val="00AF3C1D"/>
    <w:rsid w:val="00AF418D"/>
    <w:rsid w:val="00AF44E5"/>
    <w:rsid w:val="00AF54E2"/>
    <w:rsid w:val="00AF5978"/>
    <w:rsid w:val="00AF607F"/>
    <w:rsid w:val="00AF6153"/>
    <w:rsid w:val="00AF6304"/>
    <w:rsid w:val="00AF678F"/>
    <w:rsid w:val="00AF696B"/>
    <w:rsid w:val="00AF6A79"/>
    <w:rsid w:val="00AF6C04"/>
    <w:rsid w:val="00AF7398"/>
    <w:rsid w:val="00AF7401"/>
    <w:rsid w:val="00AF7862"/>
    <w:rsid w:val="00B0054E"/>
    <w:rsid w:val="00B00C04"/>
    <w:rsid w:val="00B00C3F"/>
    <w:rsid w:val="00B01161"/>
    <w:rsid w:val="00B011AD"/>
    <w:rsid w:val="00B01379"/>
    <w:rsid w:val="00B01B31"/>
    <w:rsid w:val="00B01BE4"/>
    <w:rsid w:val="00B02534"/>
    <w:rsid w:val="00B0261D"/>
    <w:rsid w:val="00B02B00"/>
    <w:rsid w:val="00B02FF8"/>
    <w:rsid w:val="00B03118"/>
    <w:rsid w:val="00B0383D"/>
    <w:rsid w:val="00B03989"/>
    <w:rsid w:val="00B03CF2"/>
    <w:rsid w:val="00B03F0F"/>
    <w:rsid w:val="00B04562"/>
    <w:rsid w:val="00B0504C"/>
    <w:rsid w:val="00B05743"/>
    <w:rsid w:val="00B059A1"/>
    <w:rsid w:val="00B05B47"/>
    <w:rsid w:val="00B05C36"/>
    <w:rsid w:val="00B05D7C"/>
    <w:rsid w:val="00B05F9D"/>
    <w:rsid w:val="00B0629D"/>
    <w:rsid w:val="00B063FD"/>
    <w:rsid w:val="00B066B0"/>
    <w:rsid w:val="00B06768"/>
    <w:rsid w:val="00B06876"/>
    <w:rsid w:val="00B069EF"/>
    <w:rsid w:val="00B06C21"/>
    <w:rsid w:val="00B06FAF"/>
    <w:rsid w:val="00B07377"/>
    <w:rsid w:val="00B075B5"/>
    <w:rsid w:val="00B07C8C"/>
    <w:rsid w:val="00B1025C"/>
    <w:rsid w:val="00B104F9"/>
    <w:rsid w:val="00B105A1"/>
    <w:rsid w:val="00B1086E"/>
    <w:rsid w:val="00B10871"/>
    <w:rsid w:val="00B10BE8"/>
    <w:rsid w:val="00B10D14"/>
    <w:rsid w:val="00B11539"/>
    <w:rsid w:val="00B1160E"/>
    <w:rsid w:val="00B118AD"/>
    <w:rsid w:val="00B118CC"/>
    <w:rsid w:val="00B11C0F"/>
    <w:rsid w:val="00B11C97"/>
    <w:rsid w:val="00B12183"/>
    <w:rsid w:val="00B125C6"/>
    <w:rsid w:val="00B127EA"/>
    <w:rsid w:val="00B12B76"/>
    <w:rsid w:val="00B12C35"/>
    <w:rsid w:val="00B13368"/>
    <w:rsid w:val="00B13460"/>
    <w:rsid w:val="00B13555"/>
    <w:rsid w:val="00B139E5"/>
    <w:rsid w:val="00B13DA7"/>
    <w:rsid w:val="00B13E17"/>
    <w:rsid w:val="00B140AF"/>
    <w:rsid w:val="00B141A6"/>
    <w:rsid w:val="00B143C0"/>
    <w:rsid w:val="00B14636"/>
    <w:rsid w:val="00B1495E"/>
    <w:rsid w:val="00B1535E"/>
    <w:rsid w:val="00B15470"/>
    <w:rsid w:val="00B1560C"/>
    <w:rsid w:val="00B15888"/>
    <w:rsid w:val="00B15BA1"/>
    <w:rsid w:val="00B1620C"/>
    <w:rsid w:val="00B16ABC"/>
    <w:rsid w:val="00B16F5F"/>
    <w:rsid w:val="00B17700"/>
    <w:rsid w:val="00B17EFC"/>
    <w:rsid w:val="00B205BA"/>
    <w:rsid w:val="00B208F5"/>
    <w:rsid w:val="00B20C49"/>
    <w:rsid w:val="00B20E24"/>
    <w:rsid w:val="00B20FA7"/>
    <w:rsid w:val="00B21365"/>
    <w:rsid w:val="00B21EE1"/>
    <w:rsid w:val="00B21F18"/>
    <w:rsid w:val="00B22019"/>
    <w:rsid w:val="00B2218C"/>
    <w:rsid w:val="00B2231C"/>
    <w:rsid w:val="00B224EE"/>
    <w:rsid w:val="00B22586"/>
    <w:rsid w:val="00B2284E"/>
    <w:rsid w:val="00B2290C"/>
    <w:rsid w:val="00B229C5"/>
    <w:rsid w:val="00B22C77"/>
    <w:rsid w:val="00B22FCA"/>
    <w:rsid w:val="00B23067"/>
    <w:rsid w:val="00B23542"/>
    <w:rsid w:val="00B235ED"/>
    <w:rsid w:val="00B2390B"/>
    <w:rsid w:val="00B23D0A"/>
    <w:rsid w:val="00B23D6D"/>
    <w:rsid w:val="00B23FA4"/>
    <w:rsid w:val="00B24049"/>
    <w:rsid w:val="00B24344"/>
    <w:rsid w:val="00B24532"/>
    <w:rsid w:val="00B249AB"/>
    <w:rsid w:val="00B24AFF"/>
    <w:rsid w:val="00B24B1B"/>
    <w:rsid w:val="00B2519E"/>
    <w:rsid w:val="00B25226"/>
    <w:rsid w:val="00B253B1"/>
    <w:rsid w:val="00B259F6"/>
    <w:rsid w:val="00B25BA2"/>
    <w:rsid w:val="00B25DAC"/>
    <w:rsid w:val="00B25F60"/>
    <w:rsid w:val="00B25F76"/>
    <w:rsid w:val="00B260A4"/>
    <w:rsid w:val="00B270C9"/>
    <w:rsid w:val="00B270CA"/>
    <w:rsid w:val="00B27244"/>
    <w:rsid w:val="00B272A2"/>
    <w:rsid w:val="00B27980"/>
    <w:rsid w:val="00B27DB1"/>
    <w:rsid w:val="00B27DD5"/>
    <w:rsid w:val="00B27FD4"/>
    <w:rsid w:val="00B3024F"/>
    <w:rsid w:val="00B30D8E"/>
    <w:rsid w:val="00B31237"/>
    <w:rsid w:val="00B317B7"/>
    <w:rsid w:val="00B31C06"/>
    <w:rsid w:val="00B3259B"/>
    <w:rsid w:val="00B32707"/>
    <w:rsid w:val="00B32B65"/>
    <w:rsid w:val="00B33005"/>
    <w:rsid w:val="00B33084"/>
    <w:rsid w:val="00B331F5"/>
    <w:rsid w:val="00B33331"/>
    <w:rsid w:val="00B336A7"/>
    <w:rsid w:val="00B336E0"/>
    <w:rsid w:val="00B33D3E"/>
    <w:rsid w:val="00B3412C"/>
    <w:rsid w:val="00B3436A"/>
    <w:rsid w:val="00B344AA"/>
    <w:rsid w:val="00B34B2B"/>
    <w:rsid w:val="00B34E4A"/>
    <w:rsid w:val="00B34EC9"/>
    <w:rsid w:val="00B350C2"/>
    <w:rsid w:val="00B3516A"/>
    <w:rsid w:val="00B35346"/>
    <w:rsid w:val="00B355D0"/>
    <w:rsid w:val="00B35788"/>
    <w:rsid w:val="00B35B54"/>
    <w:rsid w:val="00B35D53"/>
    <w:rsid w:val="00B35EB1"/>
    <w:rsid w:val="00B3612F"/>
    <w:rsid w:val="00B363E8"/>
    <w:rsid w:val="00B36506"/>
    <w:rsid w:val="00B36C54"/>
    <w:rsid w:val="00B36E29"/>
    <w:rsid w:val="00B36E8A"/>
    <w:rsid w:val="00B36EA3"/>
    <w:rsid w:val="00B3722B"/>
    <w:rsid w:val="00B40CEB"/>
    <w:rsid w:val="00B40EEB"/>
    <w:rsid w:val="00B41481"/>
    <w:rsid w:val="00B415CE"/>
    <w:rsid w:val="00B41FF3"/>
    <w:rsid w:val="00B4212A"/>
    <w:rsid w:val="00B42979"/>
    <w:rsid w:val="00B429C3"/>
    <w:rsid w:val="00B42A2A"/>
    <w:rsid w:val="00B42DEE"/>
    <w:rsid w:val="00B430E7"/>
    <w:rsid w:val="00B4336D"/>
    <w:rsid w:val="00B4358A"/>
    <w:rsid w:val="00B444DA"/>
    <w:rsid w:val="00B44788"/>
    <w:rsid w:val="00B4496A"/>
    <w:rsid w:val="00B44A36"/>
    <w:rsid w:val="00B44AB6"/>
    <w:rsid w:val="00B44AEA"/>
    <w:rsid w:val="00B44DCF"/>
    <w:rsid w:val="00B44E7C"/>
    <w:rsid w:val="00B450DB"/>
    <w:rsid w:val="00B45172"/>
    <w:rsid w:val="00B4521B"/>
    <w:rsid w:val="00B45484"/>
    <w:rsid w:val="00B45B30"/>
    <w:rsid w:val="00B45E25"/>
    <w:rsid w:val="00B46076"/>
    <w:rsid w:val="00B461C1"/>
    <w:rsid w:val="00B46245"/>
    <w:rsid w:val="00B46483"/>
    <w:rsid w:val="00B4696E"/>
    <w:rsid w:val="00B46DA9"/>
    <w:rsid w:val="00B46EBA"/>
    <w:rsid w:val="00B4774D"/>
    <w:rsid w:val="00B47BC7"/>
    <w:rsid w:val="00B47C91"/>
    <w:rsid w:val="00B47EE0"/>
    <w:rsid w:val="00B504B5"/>
    <w:rsid w:val="00B505E6"/>
    <w:rsid w:val="00B50870"/>
    <w:rsid w:val="00B509F8"/>
    <w:rsid w:val="00B5117A"/>
    <w:rsid w:val="00B51197"/>
    <w:rsid w:val="00B51222"/>
    <w:rsid w:val="00B51257"/>
    <w:rsid w:val="00B513F6"/>
    <w:rsid w:val="00B51980"/>
    <w:rsid w:val="00B519BE"/>
    <w:rsid w:val="00B51CAA"/>
    <w:rsid w:val="00B51D6C"/>
    <w:rsid w:val="00B52911"/>
    <w:rsid w:val="00B5297E"/>
    <w:rsid w:val="00B52C23"/>
    <w:rsid w:val="00B52F6C"/>
    <w:rsid w:val="00B538FC"/>
    <w:rsid w:val="00B53BCD"/>
    <w:rsid w:val="00B53D2A"/>
    <w:rsid w:val="00B53FBF"/>
    <w:rsid w:val="00B5418A"/>
    <w:rsid w:val="00B54316"/>
    <w:rsid w:val="00B5431B"/>
    <w:rsid w:val="00B543FA"/>
    <w:rsid w:val="00B544D2"/>
    <w:rsid w:val="00B54DAB"/>
    <w:rsid w:val="00B54EF6"/>
    <w:rsid w:val="00B54F42"/>
    <w:rsid w:val="00B54F66"/>
    <w:rsid w:val="00B5506F"/>
    <w:rsid w:val="00B553D6"/>
    <w:rsid w:val="00B55898"/>
    <w:rsid w:val="00B55B11"/>
    <w:rsid w:val="00B56621"/>
    <w:rsid w:val="00B56755"/>
    <w:rsid w:val="00B5682B"/>
    <w:rsid w:val="00B56BEC"/>
    <w:rsid w:val="00B56D7C"/>
    <w:rsid w:val="00B5721A"/>
    <w:rsid w:val="00B57288"/>
    <w:rsid w:val="00B60139"/>
    <w:rsid w:val="00B6018D"/>
    <w:rsid w:val="00B602D2"/>
    <w:rsid w:val="00B6040D"/>
    <w:rsid w:val="00B60B56"/>
    <w:rsid w:val="00B60B7F"/>
    <w:rsid w:val="00B60EDC"/>
    <w:rsid w:val="00B61054"/>
    <w:rsid w:val="00B61412"/>
    <w:rsid w:val="00B6166B"/>
    <w:rsid w:val="00B6180F"/>
    <w:rsid w:val="00B6184B"/>
    <w:rsid w:val="00B61A59"/>
    <w:rsid w:val="00B61AF2"/>
    <w:rsid w:val="00B61C2C"/>
    <w:rsid w:val="00B61E0C"/>
    <w:rsid w:val="00B61EE0"/>
    <w:rsid w:val="00B61FEE"/>
    <w:rsid w:val="00B62154"/>
    <w:rsid w:val="00B6218F"/>
    <w:rsid w:val="00B625A6"/>
    <w:rsid w:val="00B63194"/>
    <w:rsid w:val="00B641F3"/>
    <w:rsid w:val="00B6469C"/>
    <w:rsid w:val="00B646D5"/>
    <w:rsid w:val="00B64E89"/>
    <w:rsid w:val="00B650FC"/>
    <w:rsid w:val="00B6531D"/>
    <w:rsid w:val="00B65B6C"/>
    <w:rsid w:val="00B66074"/>
    <w:rsid w:val="00B66150"/>
    <w:rsid w:val="00B6632D"/>
    <w:rsid w:val="00B666D5"/>
    <w:rsid w:val="00B667F7"/>
    <w:rsid w:val="00B66A67"/>
    <w:rsid w:val="00B66BA4"/>
    <w:rsid w:val="00B66BB6"/>
    <w:rsid w:val="00B66DD9"/>
    <w:rsid w:val="00B6774C"/>
    <w:rsid w:val="00B6777E"/>
    <w:rsid w:val="00B677D6"/>
    <w:rsid w:val="00B677D7"/>
    <w:rsid w:val="00B67816"/>
    <w:rsid w:val="00B67D91"/>
    <w:rsid w:val="00B67FB0"/>
    <w:rsid w:val="00B701EB"/>
    <w:rsid w:val="00B70510"/>
    <w:rsid w:val="00B7066E"/>
    <w:rsid w:val="00B707B4"/>
    <w:rsid w:val="00B709C1"/>
    <w:rsid w:val="00B70A6B"/>
    <w:rsid w:val="00B70D7F"/>
    <w:rsid w:val="00B70ED6"/>
    <w:rsid w:val="00B71565"/>
    <w:rsid w:val="00B71E89"/>
    <w:rsid w:val="00B721AD"/>
    <w:rsid w:val="00B721BE"/>
    <w:rsid w:val="00B72843"/>
    <w:rsid w:val="00B729A7"/>
    <w:rsid w:val="00B72C11"/>
    <w:rsid w:val="00B72E2B"/>
    <w:rsid w:val="00B73B8C"/>
    <w:rsid w:val="00B73F93"/>
    <w:rsid w:val="00B74018"/>
    <w:rsid w:val="00B747B2"/>
    <w:rsid w:val="00B74845"/>
    <w:rsid w:val="00B74D06"/>
    <w:rsid w:val="00B74E54"/>
    <w:rsid w:val="00B75044"/>
    <w:rsid w:val="00B75105"/>
    <w:rsid w:val="00B75696"/>
    <w:rsid w:val="00B75BD7"/>
    <w:rsid w:val="00B75CBF"/>
    <w:rsid w:val="00B75EA5"/>
    <w:rsid w:val="00B763A3"/>
    <w:rsid w:val="00B765DE"/>
    <w:rsid w:val="00B7660F"/>
    <w:rsid w:val="00B76A6F"/>
    <w:rsid w:val="00B76B75"/>
    <w:rsid w:val="00B771A3"/>
    <w:rsid w:val="00B77C31"/>
    <w:rsid w:val="00B77FCF"/>
    <w:rsid w:val="00B80245"/>
    <w:rsid w:val="00B8024A"/>
    <w:rsid w:val="00B803BF"/>
    <w:rsid w:val="00B80676"/>
    <w:rsid w:val="00B806A6"/>
    <w:rsid w:val="00B80D02"/>
    <w:rsid w:val="00B81032"/>
    <w:rsid w:val="00B810FF"/>
    <w:rsid w:val="00B81294"/>
    <w:rsid w:val="00B81721"/>
    <w:rsid w:val="00B81839"/>
    <w:rsid w:val="00B81915"/>
    <w:rsid w:val="00B81996"/>
    <w:rsid w:val="00B81A4C"/>
    <w:rsid w:val="00B81D62"/>
    <w:rsid w:val="00B82473"/>
    <w:rsid w:val="00B825C3"/>
    <w:rsid w:val="00B825D7"/>
    <w:rsid w:val="00B826A8"/>
    <w:rsid w:val="00B82AC5"/>
    <w:rsid w:val="00B82AEE"/>
    <w:rsid w:val="00B82E70"/>
    <w:rsid w:val="00B82F91"/>
    <w:rsid w:val="00B83A29"/>
    <w:rsid w:val="00B83E11"/>
    <w:rsid w:val="00B83F53"/>
    <w:rsid w:val="00B83FE4"/>
    <w:rsid w:val="00B846D1"/>
    <w:rsid w:val="00B84B7B"/>
    <w:rsid w:val="00B84E8D"/>
    <w:rsid w:val="00B85F09"/>
    <w:rsid w:val="00B8606A"/>
    <w:rsid w:val="00B8624F"/>
    <w:rsid w:val="00B8636A"/>
    <w:rsid w:val="00B86BDD"/>
    <w:rsid w:val="00B86BE2"/>
    <w:rsid w:val="00B8704F"/>
    <w:rsid w:val="00B871A2"/>
    <w:rsid w:val="00B873EB"/>
    <w:rsid w:val="00B87517"/>
    <w:rsid w:val="00B878A9"/>
    <w:rsid w:val="00B87D8A"/>
    <w:rsid w:val="00B90057"/>
    <w:rsid w:val="00B90367"/>
    <w:rsid w:val="00B90645"/>
    <w:rsid w:val="00B907A6"/>
    <w:rsid w:val="00B90B28"/>
    <w:rsid w:val="00B912CB"/>
    <w:rsid w:val="00B912D6"/>
    <w:rsid w:val="00B914AC"/>
    <w:rsid w:val="00B916F5"/>
    <w:rsid w:val="00B91ACA"/>
    <w:rsid w:val="00B922E2"/>
    <w:rsid w:val="00B92AB8"/>
    <w:rsid w:val="00B92F20"/>
    <w:rsid w:val="00B933D1"/>
    <w:rsid w:val="00B937B4"/>
    <w:rsid w:val="00B940AB"/>
    <w:rsid w:val="00B942B8"/>
    <w:rsid w:val="00B94314"/>
    <w:rsid w:val="00B943A6"/>
    <w:rsid w:val="00B94435"/>
    <w:rsid w:val="00B9477C"/>
    <w:rsid w:val="00B947D4"/>
    <w:rsid w:val="00B94947"/>
    <w:rsid w:val="00B94BA0"/>
    <w:rsid w:val="00B94D25"/>
    <w:rsid w:val="00B94D31"/>
    <w:rsid w:val="00B94F07"/>
    <w:rsid w:val="00B94FF7"/>
    <w:rsid w:val="00B95188"/>
    <w:rsid w:val="00B9549D"/>
    <w:rsid w:val="00B955CE"/>
    <w:rsid w:val="00B95A7A"/>
    <w:rsid w:val="00B966C8"/>
    <w:rsid w:val="00B96F79"/>
    <w:rsid w:val="00B97034"/>
    <w:rsid w:val="00B9714E"/>
    <w:rsid w:val="00B974C4"/>
    <w:rsid w:val="00B979B5"/>
    <w:rsid w:val="00B97E23"/>
    <w:rsid w:val="00BA02AF"/>
    <w:rsid w:val="00BA0614"/>
    <w:rsid w:val="00BA06DA"/>
    <w:rsid w:val="00BA0D58"/>
    <w:rsid w:val="00BA0FBD"/>
    <w:rsid w:val="00BA18E8"/>
    <w:rsid w:val="00BA214B"/>
    <w:rsid w:val="00BA2313"/>
    <w:rsid w:val="00BA26FB"/>
    <w:rsid w:val="00BA2766"/>
    <w:rsid w:val="00BA2926"/>
    <w:rsid w:val="00BA2A46"/>
    <w:rsid w:val="00BA32AA"/>
    <w:rsid w:val="00BA3C8D"/>
    <w:rsid w:val="00BA3E77"/>
    <w:rsid w:val="00BA4089"/>
    <w:rsid w:val="00BA451D"/>
    <w:rsid w:val="00BA45DB"/>
    <w:rsid w:val="00BA46E1"/>
    <w:rsid w:val="00BA4C25"/>
    <w:rsid w:val="00BA4EA5"/>
    <w:rsid w:val="00BA5193"/>
    <w:rsid w:val="00BA55B5"/>
    <w:rsid w:val="00BA57F2"/>
    <w:rsid w:val="00BA58C6"/>
    <w:rsid w:val="00BA5A59"/>
    <w:rsid w:val="00BA5A8D"/>
    <w:rsid w:val="00BA5D54"/>
    <w:rsid w:val="00BA6131"/>
    <w:rsid w:val="00BA629F"/>
    <w:rsid w:val="00BA65E2"/>
    <w:rsid w:val="00BA6E83"/>
    <w:rsid w:val="00BA7BAA"/>
    <w:rsid w:val="00BA7C5D"/>
    <w:rsid w:val="00BA7D97"/>
    <w:rsid w:val="00BA7DD1"/>
    <w:rsid w:val="00BB0083"/>
    <w:rsid w:val="00BB0099"/>
    <w:rsid w:val="00BB023B"/>
    <w:rsid w:val="00BB046B"/>
    <w:rsid w:val="00BB0556"/>
    <w:rsid w:val="00BB0577"/>
    <w:rsid w:val="00BB0815"/>
    <w:rsid w:val="00BB081C"/>
    <w:rsid w:val="00BB0E3F"/>
    <w:rsid w:val="00BB0F3E"/>
    <w:rsid w:val="00BB10D4"/>
    <w:rsid w:val="00BB1439"/>
    <w:rsid w:val="00BB1B86"/>
    <w:rsid w:val="00BB1CA8"/>
    <w:rsid w:val="00BB1FDF"/>
    <w:rsid w:val="00BB227E"/>
    <w:rsid w:val="00BB2D9C"/>
    <w:rsid w:val="00BB3A22"/>
    <w:rsid w:val="00BB3C69"/>
    <w:rsid w:val="00BB4D29"/>
    <w:rsid w:val="00BB4F6C"/>
    <w:rsid w:val="00BB5703"/>
    <w:rsid w:val="00BB57E8"/>
    <w:rsid w:val="00BB588F"/>
    <w:rsid w:val="00BB5BDF"/>
    <w:rsid w:val="00BB5C5B"/>
    <w:rsid w:val="00BB5DEA"/>
    <w:rsid w:val="00BB5EE9"/>
    <w:rsid w:val="00BB61B2"/>
    <w:rsid w:val="00BB6890"/>
    <w:rsid w:val="00BB695E"/>
    <w:rsid w:val="00BB6987"/>
    <w:rsid w:val="00BB6A2D"/>
    <w:rsid w:val="00BB6D9D"/>
    <w:rsid w:val="00BB7545"/>
    <w:rsid w:val="00BB7DD1"/>
    <w:rsid w:val="00BC0258"/>
    <w:rsid w:val="00BC03A5"/>
    <w:rsid w:val="00BC0637"/>
    <w:rsid w:val="00BC0AAE"/>
    <w:rsid w:val="00BC0E23"/>
    <w:rsid w:val="00BC0F91"/>
    <w:rsid w:val="00BC1015"/>
    <w:rsid w:val="00BC112F"/>
    <w:rsid w:val="00BC1258"/>
    <w:rsid w:val="00BC1353"/>
    <w:rsid w:val="00BC1673"/>
    <w:rsid w:val="00BC1747"/>
    <w:rsid w:val="00BC180C"/>
    <w:rsid w:val="00BC1A8B"/>
    <w:rsid w:val="00BC24F1"/>
    <w:rsid w:val="00BC2600"/>
    <w:rsid w:val="00BC271F"/>
    <w:rsid w:val="00BC293C"/>
    <w:rsid w:val="00BC2ACB"/>
    <w:rsid w:val="00BC2E60"/>
    <w:rsid w:val="00BC2F0C"/>
    <w:rsid w:val="00BC2F54"/>
    <w:rsid w:val="00BC335A"/>
    <w:rsid w:val="00BC36A2"/>
    <w:rsid w:val="00BC3791"/>
    <w:rsid w:val="00BC3BBE"/>
    <w:rsid w:val="00BC3E8A"/>
    <w:rsid w:val="00BC3F4E"/>
    <w:rsid w:val="00BC4325"/>
    <w:rsid w:val="00BC4586"/>
    <w:rsid w:val="00BC48F8"/>
    <w:rsid w:val="00BC4C2E"/>
    <w:rsid w:val="00BC4EE8"/>
    <w:rsid w:val="00BC50E7"/>
    <w:rsid w:val="00BC5518"/>
    <w:rsid w:val="00BC573E"/>
    <w:rsid w:val="00BC5A30"/>
    <w:rsid w:val="00BC5A37"/>
    <w:rsid w:val="00BC5B24"/>
    <w:rsid w:val="00BC5E06"/>
    <w:rsid w:val="00BC6726"/>
    <w:rsid w:val="00BC6851"/>
    <w:rsid w:val="00BC6B9F"/>
    <w:rsid w:val="00BC6C11"/>
    <w:rsid w:val="00BC6DDD"/>
    <w:rsid w:val="00BC712A"/>
    <w:rsid w:val="00BC7191"/>
    <w:rsid w:val="00BC71F0"/>
    <w:rsid w:val="00BC721E"/>
    <w:rsid w:val="00BC75BD"/>
    <w:rsid w:val="00BC7896"/>
    <w:rsid w:val="00BC79EE"/>
    <w:rsid w:val="00BC7B21"/>
    <w:rsid w:val="00BC7C78"/>
    <w:rsid w:val="00BD0067"/>
    <w:rsid w:val="00BD0136"/>
    <w:rsid w:val="00BD039C"/>
    <w:rsid w:val="00BD069B"/>
    <w:rsid w:val="00BD166F"/>
    <w:rsid w:val="00BD1C42"/>
    <w:rsid w:val="00BD1EE5"/>
    <w:rsid w:val="00BD2866"/>
    <w:rsid w:val="00BD2948"/>
    <w:rsid w:val="00BD2DCD"/>
    <w:rsid w:val="00BD3224"/>
    <w:rsid w:val="00BD3CC8"/>
    <w:rsid w:val="00BD3FA3"/>
    <w:rsid w:val="00BD412E"/>
    <w:rsid w:val="00BD439F"/>
    <w:rsid w:val="00BD446B"/>
    <w:rsid w:val="00BD48A7"/>
    <w:rsid w:val="00BD48EA"/>
    <w:rsid w:val="00BD4A0A"/>
    <w:rsid w:val="00BD53B9"/>
    <w:rsid w:val="00BD582A"/>
    <w:rsid w:val="00BD6209"/>
    <w:rsid w:val="00BD6210"/>
    <w:rsid w:val="00BD6449"/>
    <w:rsid w:val="00BD68B3"/>
    <w:rsid w:val="00BD6C22"/>
    <w:rsid w:val="00BD6D52"/>
    <w:rsid w:val="00BD6DFF"/>
    <w:rsid w:val="00BD7480"/>
    <w:rsid w:val="00BD7A23"/>
    <w:rsid w:val="00BD7F97"/>
    <w:rsid w:val="00BE00AA"/>
    <w:rsid w:val="00BE0B51"/>
    <w:rsid w:val="00BE1387"/>
    <w:rsid w:val="00BE17D0"/>
    <w:rsid w:val="00BE182B"/>
    <w:rsid w:val="00BE194C"/>
    <w:rsid w:val="00BE1990"/>
    <w:rsid w:val="00BE1EEA"/>
    <w:rsid w:val="00BE1FA3"/>
    <w:rsid w:val="00BE2267"/>
    <w:rsid w:val="00BE226A"/>
    <w:rsid w:val="00BE24CD"/>
    <w:rsid w:val="00BE2543"/>
    <w:rsid w:val="00BE260A"/>
    <w:rsid w:val="00BE2A63"/>
    <w:rsid w:val="00BE2D1F"/>
    <w:rsid w:val="00BE2DAF"/>
    <w:rsid w:val="00BE3208"/>
    <w:rsid w:val="00BE34A0"/>
    <w:rsid w:val="00BE3D7C"/>
    <w:rsid w:val="00BE3FC0"/>
    <w:rsid w:val="00BE4107"/>
    <w:rsid w:val="00BE413F"/>
    <w:rsid w:val="00BE45EB"/>
    <w:rsid w:val="00BE5067"/>
    <w:rsid w:val="00BE5112"/>
    <w:rsid w:val="00BE5409"/>
    <w:rsid w:val="00BE5634"/>
    <w:rsid w:val="00BE5932"/>
    <w:rsid w:val="00BE5B26"/>
    <w:rsid w:val="00BE5E29"/>
    <w:rsid w:val="00BE6104"/>
    <w:rsid w:val="00BE629F"/>
    <w:rsid w:val="00BE65D3"/>
    <w:rsid w:val="00BE6700"/>
    <w:rsid w:val="00BE6B89"/>
    <w:rsid w:val="00BE70EA"/>
    <w:rsid w:val="00BE7A6E"/>
    <w:rsid w:val="00BE7AE0"/>
    <w:rsid w:val="00BE7C1C"/>
    <w:rsid w:val="00BF05F8"/>
    <w:rsid w:val="00BF0910"/>
    <w:rsid w:val="00BF0CAF"/>
    <w:rsid w:val="00BF0FF6"/>
    <w:rsid w:val="00BF1432"/>
    <w:rsid w:val="00BF14AE"/>
    <w:rsid w:val="00BF1706"/>
    <w:rsid w:val="00BF173B"/>
    <w:rsid w:val="00BF1779"/>
    <w:rsid w:val="00BF1B7B"/>
    <w:rsid w:val="00BF20C0"/>
    <w:rsid w:val="00BF231D"/>
    <w:rsid w:val="00BF2911"/>
    <w:rsid w:val="00BF2A9F"/>
    <w:rsid w:val="00BF2C3D"/>
    <w:rsid w:val="00BF2E3A"/>
    <w:rsid w:val="00BF3051"/>
    <w:rsid w:val="00BF31E2"/>
    <w:rsid w:val="00BF3204"/>
    <w:rsid w:val="00BF34FE"/>
    <w:rsid w:val="00BF36BE"/>
    <w:rsid w:val="00BF3BD9"/>
    <w:rsid w:val="00BF3F72"/>
    <w:rsid w:val="00BF426D"/>
    <w:rsid w:val="00BF4270"/>
    <w:rsid w:val="00BF44CD"/>
    <w:rsid w:val="00BF4711"/>
    <w:rsid w:val="00BF471F"/>
    <w:rsid w:val="00BF4752"/>
    <w:rsid w:val="00BF4780"/>
    <w:rsid w:val="00BF4A27"/>
    <w:rsid w:val="00BF4E75"/>
    <w:rsid w:val="00BF53F1"/>
    <w:rsid w:val="00BF5631"/>
    <w:rsid w:val="00BF57EE"/>
    <w:rsid w:val="00BF5BA2"/>
    <w:rsid w:val="00BF5E20"/>
    <w:rsid w:val="00BF683A"/>
    <w:rsid w:val="00BF6927"/>
    <w:rsid w:val="00BF6D36"/>
    <w:rsid w:val="00BF6EC8"/>
    <w:rsid w:val="00BF71BD"/>
    <w:rsid w:val="00BF73C6"/>
    <w:rsid w:val="00BF7746"/>
    <w:rsid w:val="00BF7E71"/>
    <w:rsid w:val="00BF7F43"/>
    <w:rsid w:val="00C00420"/>
    <w:rsid w:val="00C005F1"/>
    <w:rsid w:val="00C007A9"/>
    <w:rsid w:val="00C007E1"/>
    <w:rsid w:val="00C0098E"/>
    <w:rsid w:val="00C00A78"/>
    <w:rsid w:val="00C010D2"/>
    <w:rsid w:val="00C0120B"/>
    <w:rsid w:val="00C0120C"/>
    <w:rsid w:val="00C01698"/>
    <w:rsid w:val="00C017BE"/>
    <w:rsid w:val="00C017C1"/>
    <w:rsid w:val="00C01D29"/>
    <w:rsid w:val="00C0202C"/>
    <w:rsid w:val="00C02517"/>
    <w:rsid w:val="00C025AE"/>
    <w:rsid w:val="00C0269F"/>
    <w:rsid w:val="00C02B0E"/>
    <w:rsid w:val="00C02E68"/>
    <w:rsid w:val="00C02E9A"/>
    <w:rsid w:val="00C03090"/>
    <w:rsid w:val="00C035B7"/>
    <w:rsid w:val="00C03625"/>
    <w:rsid w:val="00C03629"/>
    <w:rsid w:val="00C03B25"/>
    <w:rsid w:val="00C03C04"/>
    <w:rsid w:val="00C03D8B"/>
    <w:rsid w:val="00C04279"/>
    <w:rsid w:val="00C04A09"/>
    <w:rsid w:val="00C04AF2"/>
    <w:rsid w:val="00C04C84"/>
    <w:rsid w:val="00C04DBF"/>
    <w:rsid w:val="00C050B7"/>
    <w:rsid w:val="00C050BF"/>
    <w:rsid w:val="00C0520B"/>
    <w:rsid w:val="00C05213"/>
    <w:rsid w:val="00C05C57"/>
    <w:rsid w:val="00C069CC"/>
    <w:rsid w:val="00C06C1D"/>
    <w:rsid w:val="00C071F7"/>
    <w:rsid w:val="00C0773D"/>
    <w:rsid w:val="00C077F5"/>
    <w:rsid w:val="00C07A54"/>
    <w:rsid w:val="00C07B5C"/>
    <w:rsid w:val="00C07BA9"/>
    <w:rsid w:val="00C07E27"/>
    <w:rsid w:val="00C1007A"/>
    <w:rsid w:val="00C10148"/>
    <w:rsid w:val="00C1059B"/>
    <w:rsid w:val="00C1072D"/>
    <w:rsid w:val="00C107C1"/>
    <w:rsid w:val="00C108C8"/>
    <w:rsid w:val="00C10A90"/>
    <w:rsid w:val="00C10ACF"/>
    <w:rsid w:val="00C10AEE"/>
    <w:rsid w:val="00C10CAD"/>
    <w:rsid w:val="00C111D4"/>
    <w:rsid w:val="00C1122B"/>
    <w:rsid w:val="00C114F2"/>
    <w:rsid w:val="00C11585"/>
    <w:rsid w:val="00C11A13"/>
    <w:rsid w:val="00C11A52"/>
    <w:rsid w:val="00C11A92"/>
    <w:rsid w:val="00C12062"/>
    <w:rsid w:val="00C12093"/>
    <w:rsid w:val="00C128C1"/>
    <w:rsid w:val="00C129C8"/>
    <w:rsid w:val="00C12BDD"/>
    <w:rsid w:val="00C12BF8"/>
    <w:rsid w:val="00C12E49"/>
    <w:rsid w:val="00C13221"/>
    <w:rsid w:val="00C137E6"/>
    <w:rsid w:val="00C13EDB"/>
    <w:rsid w:val="00C14029"/>
    <w:rsid w:val="00C14503"/>
    <w:rsid w:val="00C147DE"/>
    <w:rsid w:val="00C150AD"/>
    <w:rsid w:val="00C15258"/>
    <w:rsid w:val="00C159F5"/>
    <w:rsid w:val="00C15FF3"/>
    <w:rsid w:val="00C16230"/>
    <w:rsid w:val="00C16354"/>
    <w:rsid w:val="00C16827"/>
    <w:rsid w:val="00C16905"/>
    <w:rsid w:val="00C16AAC"/>
    <w:rsid w:val="00C16BE7"/>
    <w:rsid w:val="00C16C0A"/>
    <w:rsid w:val="00C16E30"/>
    <w:rsid w:val="00C173EB"/>
    <w:rsid w:val="00C176E4"/>
    <w:rsid w:val="00C17C63"/>
    <w:rsid w:val="00C17C70"/>
    <w:rsid w:val="00C2025F"/>
    <w:rsid w:val="00C2081F"/>
    <w:rsid w:val="00C20878"/>
    <w:rsid w:val="00C212F6"/>
    <w:rsid w:val="00C213D8"/>
    <w:rsid w:val="00C2141C"/>
    <w:rsid w:val="00C21529"/>
    <w:rsid w:val="00C2181A"/>
    <w:rsid w:val="00C2192C"/>
    <w:rsid w:val="00C21C70"/>
    <w:rsid w:val="00C21D59"/>
    <w:rsid w:val="00C21FBE"/>
    <w:rsid w:val="00C22492"/>
    <w:rsid w:val="00C226C8"/>
    <w:rsid w:val="00C229EE"/>
    <w:rsid w:val="00C22A85"/>
    <w:rsid w:val="00C22CAA"/>
    <w:rsid w:val="00C230A4"/>
    <w:rsid w:val="00C2349B"/>
    <w:rsid w:val="00C23690"/>
    <w:rsid w:val="00C23750"/>
    <w:rsid w:val="00C24372"/>
    <w:rsid w:val="00C2446B"/>
    <w:rsid w:val="00C24BBB"/>
    <w:rsid w:val="00C25471"/>
    <w:rsid w:val="00C257BF"/>
    <w:rsid w:val="00C258A2"/>
    <w:rsid w:val="00C25CC9"/>
    <w:rsid w:val="00C260C9"/>
    <w:rsid w:val="00C260EB"/>
    <w:rsid w:val="00C267EA"/>
    <w:rsid w:val="00C26A83"/>
    <w:rsid w:val="00C26D30"/>
    <w:rsid w:val="00C26E45"/>
    <w:rsid w:val="00C275FD"/>
    <w:rsid w:val="00C27CB1"/>
    <w:rsid w:val="00C30948"/>
    <w:rsid w:val="00C30EE3"/>
    <w:rsid w:val="00C30F7D"/>
    <w:rsid w:val="00C31025"/>
    <w:rsid w:val="00C3118F"/>
    <w:rsid w:val="00C317F9"/>
    <w:rsid w:val="00C319CB"/>
    <w:rsid w:val="00C31B51"/>
    <w:rsid w:val="00C31E54"/>
    <w:rsid w:val="00C32682"/>
    <w:rsid w:val="00C329BC"/>
    <w:rsid w:val="00C32B36"/>
    <w:rsid w:val="00C32B55"/>
    <w:rsid w:val="00C32D40"/>
    <w:rsid w:val="00C33D3E"/>
    <w:rsid w:val="00C33D40"/>
    <w:rsid w:val="00C33FDA"/>
    <w:rsid w:val="00C3411B"/>
    <w:rsid w:val="00C3414C"/>
    <w:rsid w:val="00C349C7"/>
    <w:rsid w:val="00C34D74"/>
    <w:rsid w:val="00C35216"/>
    <w:rsid w:val="00C354F9"/>
    <w:rsid w:val="00C35672"/>
    <w:rsid w:val="00C359B7"/>
    <w:rsid w:val="00C35A9D"/>
    <w:rsid w:val="00C35D0A"/>
    <w:rsid w:val="00C35F03"/>
    <w:rsid w:val="00C3657B"/>
    <w:rsid w:val="00C3666E"/>
    <w:rsid w:val="00C36F18"/>
    <w:rsid w:val="00C3761F"/>
    <w:rsid w:val="00C37EE6"/>
    <w:rsid w:val="00C40021"/>
    <w:rsid w:val="00C4012D"/>
    <w:rsid w:val="00C40273"/>
    <w:rsid w:val="00C40340"/>
    <w:rsid w:val="00C4037C"/>
    <w:rsid w:val="00C403CC"/>
    <w:rsid w:val="00C40433"/>
    <w:rsid w:val="00C40A7F"/>
    <w:rsid w:val="00C40D21"/>
    <w:rsid w:val="00C412D1"/>
    <w:rsid w:val="00C41501"/>
    <w:rsid w:val="00C41D06"/>
    <w:rsid w:val="00C42080"/>
    <w:rsid w:val="00C4209B"/>
    <w:rsid w:val="00C427F5"/>
    <w:rsid w:val="00C42935"/>
    <w:rsid w:val="00C429D7"/>
    <w:rsid w:val="00C42B6C"/>
    <w:rsid w:val="00C43464"/>
    <w:rsid w:val="00C43650"/>
    <w:rsid w:val="00C436D5"/>
    <w:rsid w:val="00C437CF"/>
    <w:rsid w:val="00C4398E"/>
    <w:rsid w:val="00C441A3"/>
    <w:rsid w:val="00C445E3"/>
    <w:rsid w:val="00C44736"/>
    <w:rsid w:val="00C447C0"/>
    <w:rsid w:val="00C44A47"/>
    <w:rsid w:val="00C44C7B"/>
    <w:rsid w:val="00C44D4E"/>
    <w:rsid w:val="00C45428"/>
    <w:rsid w:val="00C45434"/>
    <w:rsid w:val="00C45530"/>
    <w:rsid w:val="00C45987"/>
    <w:rsid w:val="00C45992"/>
    <w:rsid w:val="00C45B44"/>
    <w:rsid w:val="00C45D62"/>
    <w:rsid w:val="00C45D74"/>
    <w:rsid w:val="00C45DAE"/>
    <w:rsid w:val="00C4616D"/>
    <w:rsid w:val="00C466E2"/>
    <w:rsid w:val="00C46AB4"/>
    <w:rsid w:val="00C4717F"/>
    <w:rsid w:val="00C4734E"/>
    <w:rsid w:val="00C47756"/>
    <w:rsid w:val="00C479E4"/>
    <w:rsid w:val="00C47FCC"/>
    <w:rsid w:val="00C50089"/>
    <w:rsid w:val="00C50564"/>
    <w:rsid w:val="00C50A0F"/>
    <w:rsid w:val="00C50A2D"/>
    <w:rsid w:val="00C50E5C"/>
    <w:rsid w:val="00C51041"/>
    <w:rsid w:val="00C5117A"/>
    <w:rsid w:val="00C51286"/>
    <w:rsid w:val="00C51B22"/>
    <w:rsid w:val="00C520F1"/>
    <w:rsid w:val="00C5219C"/>
    <w:rsid w:val="00C522A4"/>
    <w:rsid w:val="00C52513"/>
    <w:rsid w:val="00C5275B"/>
    <w:rsid w:val="00C527AD"/>
    <w:rsid w:val="00C52FC2"/>
    <w:rsid w:val="00C53371"/>
    <w:rsid w:val="00C53476"/>
    <w:rsid w:val="00C539F8"/>
    <w:rsid w:val="00C53E3D"/>
    <w:rsid w:val="00C53EFC"/>
    <w:rsid w:val="00C54162"/>
    <w:rsid w:val="00C54184"/>
    <w:rsid w:val="00C5479D"/>
    <w:rsid w:val="00C55026"/>
    <w:rsid w:val="00C554E3"/>
    <w:rsid w:val="00C555DB"/>
    <w:rsid w:val="00C55687"/>
    <w:rsid w:val="00C560AD"/>
    <w:rsid w:val="00C560C6"/>
    <w:rsid w:val="00C562A7"/>
    <w:rsid w:val="00C562CF"/>
    <w:rsid w:val="00C56559"/>
    <w:rsid w:val="00C5676F"/>
    <w:rsid w:val="00C56900"/>
    <w:rsid w:val="00C569FB"/>
    <w:rsid w:val="00C56AD1"/>
    <w:rsid w:val="00C56B56"/>
    <w:rsid w:val="00C57627"/>
    <w:rsid w:val="00C57F3E"/>
    <w:rsid w:val="00C601CB"/>
    <w:rsid w:val="00C60BE3"/>
    <w:rsid w:val="00C60D9A"/>
    <w:rsid w:val="00C60F7C"/>
    <w:rsid w:val="00C6111C"/>
    <w:rsid w:val="00C6111D"/>
    <w:rsid w:val="00C6157D"/>
    <w:rsid w:val="00C61F7F"/>
    <w:rsid w:val="00C620D6"/>
    <w:rsid w:val="00C621BC"/>
    <w:rsid w:val="00C62301"/>
    <w:rsid w:val="00C62352"/>
    <w:rsid w:val="00C624F4"/>
    <w:rsid w:val="00C62806"/>
    <w:rsid w:val="00C62852"/>
    <w:rsid w:val="00C629DB"/>
    <w:rsid w:val="00C62A12"/>
    <w:rsid w:val="00C6313E"/>
    <w:rsid w:val="00C6329B"/>
    <w:rsid w:val="00C633EA"/>
    <w:rsid w:val="00C636BE"/>
    <w:rsid w:val="00C6377D"/>
    <w:rsid w:val="00C639BC"/>
    <w:rsid w:val="00C63C2D"/>
    <w:rsid w:val="00C63DC4"/>
    <w:rsid w:val="00C643F1"/>
    <w:rsid w:val="00C64CC2"/>
    <w:rsid w:val="00C64DCF"/>
    <w:rsid w:val="00C6523E"/>
    <w:rsid w:val="00C65460"/>
    <w:rsid w:val="00C65761"/>
    <w:rsid w:val="00C65882"/>
    <w:rsid w:val="00C658A7"/>
    <w:rsid w:val="00C65D35"/>
    <w:rsid w:val="00C66345"/>
    <w:rsid w:val="00C664BA"/>
    <w:rsid w:val="00C66D12"/>
    <w:rsid w:val="00C66E14"/>
    <w:rsid w:val="00C67404"/>
    <w:rsid w:val="00C679A7"/>
    <w:rsid w:val="00C67B61"/>
    <w:rsid w:val="00C67B80"/>
    <w:rsid w:val="00C70B0F"/>
    <w:rsid w:val="00C70DD3"/>
    <w:rsid w:val="00C70E6C"/>
    <w:rsid w:val="00C7108D"/>
    <w:rsid w:val="00C7131C"/>
    <w:rsid w:val="00C71B19"/>
    <w:rsid w:val="00C71BE7"/>
    <w:rsid w:val="00C71F86"/>
    <w:rsid w:val="00C725E4"/>
    <w:rsid w:val="00C7279E"/>
    <w:rsid w:val="00C727D4"/>
    <w:rsid w:val="00C72F75"/>
    <w:rsid w:val="00C73156"/>
    <w:rsid w:val="00C7346D"/>
    <w:rsid w:val="00C7351C"/>
    <w:rsid w:val="00C73660"/>
    <w:rsid w:val="00C73724"/>
    <w:rsid w:val="00C74857"/>
    <w:rsid w:val="00C75569"/>
    <w:rsid w:val="00C75B3C"/>
    <w:rsid w:val="00C75F36"/>
    <w:rsid w:val="00C766F3"/>
    <w:rsid w:val="00C76CBF"/>
    <w:rsid w:val="00C76D71"/>
    <w:rsid w:val="00C770CB"/>
    <w:rsid w:val="00C770F8"/>
    <w:rsid w:val="00C77183"/>
    <w:rsid w:val="00C773D7"/>
    <w:rsid w:val="00C77420"/>
    <w:rsid w:val="00C77524"/>
    <w:rsid w:val="00C77A68"/>
    <w:rsid w:val="00C8027B"/>
    <w:rsid w:val="00C808B2"/>
    <w:rsid w:val="00C80DDF"/>
    <w:rsid w:val="00C81B77"/>
    <w:rsid w:val="00C81DC4"/>
    <w:rsid w:val="00C81DD1"/>
    <w:rsid w:val="00C81E38"/>
    <w:rsid w:val="00C81F1F"/>
    <w:rsid w:val="00C81FC7"/>
    <w:rsid w:val="00C8235A"/>
    <w:rsid w:val="00C82583"/>
    <w:rsid w:val="00C82D18"/>
    <w:rsid w:val="00C82F9F"/>
    <w:rsid w:val="00C8334F"/>
    <w:rsid w:val="00C83459"/>
    <w:rsid w:val="00C83CC6"/>
    <w:rsid w:val="00C8411E"/>
    <w:rsid w:val="00C8434B"/>
    <w:rsid w:val="00C847A4"/>
    <w:rsid w:val="00C848CF"/>
    <w:rsid w:val="00C8492C"/>
    <w:rsid w:val="00C85C18"/>
    <w:rsid w:val="00C860B4"/>
    <w:rsid w:val="00C8612F"/>
    <w:rsid w:val="00C864E3"/>
    <w:rsid w:val="00C8664D"/>
    <w:rsid w:val="00C86908"/>
    <w:rsid w:val="00C86D46"/>
    <w:rsid w:val="00C87572"/>
    <w:rsid w:val="00C876A4"/>
    <w:rsid w:val="00C877CD"/>
    <w:rsid w:val="00C87829"/>
    <w:rsid w:val="00C87FCC"/>
    <w:rsid w:val="00C90407"/>
    <w:rsid w:val="00C90459"/>
    <w:rsid w:val="00C906E7"/>
    <w:rsid w:val="00C90A3D"/>
    <w:rsid w:val="00C90CDF"/>
    <w:rsid w:val="00C9130F"/>
    <w:rsid w:val="00C91517"/>
    <w:rsid w:val="00C9158B"/>
    <w:rsid w:val="00C915A9"/>
    <w:rsid w:val="00C91C53"/>
    <w:rsid w:val="00C91D3B"/>
    <w:rsid w:val="00C91F03"/>
    <w:rsid w:val="00C9214E"/>
    <w:rsid w:val="00C92243"/>
    <w:rsid w:val="00C92448"/>
    <w:rsid w:val="00C92E22"/>
    <w:rsid w:val="00C92F5E"/>
    <w:rsid w:val="00C93020"/>
    <w:rsid w:val="00C934B1"/>
    <w:rsid w:val="00C93679"/>
    <w:rsid w:val="00C938E4"/>
    <w:rsid w:val="00C942E1"/>
    <w:rsid w:val="00C94318"/>
    <w:rsid w:val="00C944B5"/>
    <w:rsid w:val="00C944E3"/>
    <w:rsid w:val="00C94E2B"/>
    <w:rsid w:val="00C94EA2"/>
    <w:rsid w:val="00C94F11"/>
    <w:rsid w:val="00C9516A"/>
    <w:rsid w:val="00C95315"/>
    <w:rsid w:val="00C953DB"/>
    <w:rsid w:val="00C957CF"/>
    <w:rsid w:val="00C958D1"/>
    <w:rsid w:val="00C9621D"/>
    <w:rsid w:val="00C963F1"/>
    <w:rsid w:val="00C9641B"/>
    <w:rsid w:val="00C96537"/>
    <w:rsid w:val="00C96AD0"/>
    <w:rsid w:val="00C96F40"/>
    <w:rsid w:val="00C97027"/>
    <w:rsid w:val="00C9702A"/>
    <w:rsid w:val="00C972B0"/>
    <w:rsid w:val="00C97845"/>
    <w:rsid w:val="00C97CEF"/>
    <w:rsid w:val="00CA0005"/>
    <w:rsid w:val="00CA02D5"/>
    <w:rsid w:val="00CA0677"/>
    <w:rsid w:val="00CA0CAF"/>
    <w:rsid w:val="00CA0EB5"/>
    <w:rsid w:val="00CA143E"/>
    <w:rsid w:val="00CA2217"/>
    <w:rsid w:val="00CA22A8"/>
    <w:rsid w:val="00CA2798"/>
    <w:rsid w:val="00CA28BE"/>
    <w:rsid w:val="00CA2B92"/>
    <w:rsid w:val="00CA2D19"/>
    <w:rsid w:val="00CA2D63"/>
    <w:rsid w:val="00CA3021"/>
    <w:rsid w:val="00CA318E"/>
    <w:rsid w:val="00CA32D1"/>
    <w:rsid w:val="00CA35D2"/>
    <w:rsid w:val="00CA36C2"/>
    <w:rsid w:val="00CA388E"/>
    <w:rsid w:val="00CA38AB"/>
    <w:rsid w:val="00CA3BB6"/>
    <w:rsid w:val="00CA3BBE"/>
    <w:rsid w:val="00CA3C5D"/>
    <w:rsid w:val="00CA4185"/>
    <w:rsid w:val="00CA4312"/>
    <w:rsid w:val="00CA4609"/>
    <w:rsid w:val="00CA47CF"/>
    <w:rsid w:val="00CA4C7F"/>
    <w:rsid w:val="00CA5037"/>
    <w:rsid w:val="00CA52FA"/>
    <w:rsid w:val="00CA5486"/>
    <w:rsid w:val="00CA598F"/>
    <w:rsid w:val="00CA5B68"/>
    <w:rsid w:val="00CA5CB2"/>
    <w:rsid w:val="00CA5DB8"/>
    <w:rsid w:val="00CA5FB0"/>
    <w:rsid w:val="00CA6B3D"/>
    <w:rsid w:val="00CA6B70"/>
    <w:rsid w:val="00CA7237"/>
    <w:rsid w:val="00CA7750"/>
    <w:rsid w:val="00CA7B1F"/>
    <w:rsid w:val="00CA7E54"/>
    <w:rsid w:val="00CB0051"/>
    <w:rsid w:val="00CB055B"/>
    <w:rsid w:val="00CB08A8"/>
    <w:rsid w:val="00CB08C2"/>
    <w:rsid w:val="00CB0DBD"/>
    <w:rsid w:val="00CB0E20"/>
    <w:rsid w:val="00CB0FA0"/>
    <w:rsid w:val="00CB179C"/>
    <w:rsid w:val="00CB1A24"/>
    <w:rsid w:val="00CB1B1F"/>
    <w:rsid w:val="00CB1C81"/>
    <w:rsid w:val="00CB1F3E"/>
    <w:rsid w:val="00CB216C"/>
    <w:rsid w:val="00CB2275"/>
    <w:rsid w:val="00CB23BD"/>
    <w:rsid w:val="00CB2B28"/>
    <w:rsid w:val="00CB2D76"/>
    <w:rsid w:val="00CB2F36"/>
    <w:rsid w:val="00CB308F"/>
    <w:rsid w:val="00CB3186"/>
    <w:rsid w:val="00CB33E3"/>
    <w:rsid w:val="00CB35D4"/>
    <w:rsid w:val="00CB3656"/>
    <w:rsid w:val="00CB3C28"/>
    <w:rsid w:val="00CB4074"/>
    <w:rsid w:val="00CB429D"/>
    <w:rsid w:val="00CB46AB"/>
    <w:rsid w:val="00CB482A"/>
    <w:rsid w:val="00CB4A36"/>
    <w:rsid w:val="00CB530F"/>
    <w:rsid w:val="00CB539E"/>
    <w:rsid w:val="00CB63CD"/>
    <w:rsid w:val="00CB63F3"/>
    <w:rsid w:val="00CB6505"/>
    <w:rsid w:val="00CB68DC"/>
    <w:rsid w:val="00CB6A77"/>
    <w:rsid w:val="00CB7132"/>
    <w:rsid w:val="00CB716C"/>
    <w:rsid w:val="00CB7542"/>
    <w:rsid w:val="00CB75CF"/>
    <w:rsid w:val="00CB7BC3"/>
    <w:rsid w:val="00CB7DEF"/>
    <w:rsid w:val="00CB7F36"/>
    <w:rsid w:val="00CB7F72"/>
    <w:rsid w:val="00CC00D8"/>
    <w:rsid w:val="00CC0532"/>
    <w:rsid w:val="00CC0671"/>
    <w:rsid w:val="00CC0FE7"/>
    <w:rsid w:val="00CC1001"/>
    <w:rsid w:val="00CC10F1"/>
    <w:rsid w:val="00CC141F"/>
    <w:rsid w:val="00CC19CF"/>
    <w:rsid w:val="00CC1D0B"/>
    <w:rsid w:val="00CC1D32"/>
    <w:rsid w:val="00CC1FC1"/>
    <w:rsid w:val="00CC21E6"/>
    <w:rsid w:val="00CC2321"/>
    <w:rsid w:val="00CC24B2"/>
    <w:rsid w:val="00CC26ED"/>
    <w:rsid w:val="00CC2FEC"/>
    <w:rsid w:val="00CC30C0"/>
    <w:rsid w:val="00CC30EC"/>
    <w:rsid w:val="00CC3654"/>
    <w:rsid w:val="00CC3936"/>
    <w:rsid w:val="00CC3E45"/>
    <w:rsid w:val="00CC414E"/>
    <w:rsid w:val="00CC4676"/>
    <w:rsid w:val="00CC4BD4"/>
    <w:rsid w:val="00CC4D2C"/>
    <w:rsid w:val="00CC4D36"/>
    <w:rsid w:val="00CC4D89"/>
    <w:rsid w:val="00CC55E1"/>
    <w:rsid w:val="00CC5603"/>
    <w:rsid w:val="00CC5645"/>
    <w:rsid w:val="00CC5B61"/>
    <w:rsid w:val="00CC6246"/>
    <w:rsid w:val="00CC62C9"/>
    <w:rsid w:val="00CC70FA"/>
    <w:rsid w:val="00CC7783"/>
    <w:rsid w:val="00CC7907"/>
    <w:rsid w:val="00CC79E4"/>
    <w:rsid w:val="00CC7A3D"/>
    <w:rsid w:val="00CC7B51"/>
    <w:rsid w:val="00CC7BE7"/>
    <w:rsid w:val="00CC7D36"/>
    <w:rsid w:val="00CC7DDB"/>
    <w:rsid w:val="00CC7EF3"/>
    <w:rsid w:val="00CD0082"/>
    <w:rsid w:val="00CD0119"/>
    <w:rsid w:val="00CD0168"/>
    <w:rsid w:val="00CD0217"/>
    <w:rsid w:val="00CD0471"/>
    <w:rsid w:val="00CD08B6"/>
    <w:rsid w:val="00CD0979"/>
    <w:rsid w:val="00CD0A77"/>
    <w:rsid w:val="00CD0A91"/>
    <w:rsid w:val="00CD0E3A"/>
    <w:rsid w:val="00CD1497"/>
    <w:rsid w:val="00CD19DA"/>
    <w:rsid w:val="00CD1A4E"/>
    <w:rsid w:val="00CD1A86"/>
    <w:rsid w:val="00CD1ABB"/>
    <w:rsid w:val="00CD1AF5"/>
    <w:rsid w:val="00CD20EC"/>
    <w:rsid w:val="00CD2649"/>
    <w:rsid w:val="00CD28D8"/>
    <w:rsid w:val="00CD2F06"/>
    <w:rsid w:val="00CD436D"/>
    <w:rsid w:val="00CD460B"/>
    <w:rsid w:val="00CD4A5E"/>
    <w:rsid w:val="00CD4B9C"/>
    <w:rsid w:val="00CD4E9F"/>
    <w:rsid w:val="00CD4EDA"/>
    <w:rsid w:val="00CD518E"/>
    <w:rsid w:val="00CD5602"/>
    <w:rsid w:val="00CD58D9"/>
    <w:rsid w:val="00CD598A"/>
    <w:rsid w:val="00CD5A55"/>
    <w:rsid w:val="00CD5BC8"/>
    <w:rsid w:val="00CD5FD5"/>
    <w:rsid w:val="00CD679E"/>
    <w:rsid w:val="00CD6859"/>
    <w:rsid w:val="00CD6CEF"/>
    <w:rsid w:val="00CD6D45"/>
    <w:rsid w:val="00CD6E92"/>
    <w:rsid w:val="00CD6FBB"/>
    <w:rsid w:val="00CD739D"/>
    <w:rsid w:val="00CD75F3"/>
    <w:rsid w:val="00CD7862"/>
    <w:rsid w:val="00CD79A7"/>
    <w:rsid w:val="00CD7EAD"/>
    <w:rsid w:val="00CD7FC0"/>
    <w:rsid w:val="00CE0315"/>
    <w:rsid w:val="00CE0379"/>
    <w:rsid w:val="00CE03C9"/>
    <w:rsid w:val="00CE04EC"/>
    <w:rsid w:val="00CE0B32"/>
    <w:rsid w:val="00CE0EA1"/>
    <w:rsid w:val="00CE10B4"/>
    <w:rsid w:val="00CE1BC4"/>
    <w:rsid w:val="00CE1CED"/>
    <w:rsid w:val="00CE1F03"/>
    <w:rsid w:val="00CE206D"/>
    <w:rsid w:val="00CE2430"/>
    <w:rsid w:val="00CE26AC"/>
    <w:rsid w:val="00CE29AF"/>
    <w:rsid w:val="00CE2EB7"/>
    <w:rsid w:val="00CE2EDE"/>
    <w:rsid w:val="00CE300E"/>
    <w:rsid w:val="00CE36FE"/>
    <w:rsid w:val="00CE3916"/>
    <w:rsid w:val="00CE3B44"/>
    <w:rsid w:val="00CE3D10"/>
    <w:rsid w:val="00CE4B47"/>
    <w:rsid w:val="00CE4C5E"/>
    <w:rsid w:val="00CE4E69"/>
    <w:rsid w:val="00CE5AC6"/>
    <w:rsid w:val="00CE5BE8"/>
    <w:rsid w:val="00CE628F"/>
    <w:rsid w:val="00CE647E"/>
    <w:rsid w:val="00CE64F4"/>
    <w:rsid w:val="00CE66F1"/>
    <w:rsid w:val="00CE678C"/>
    <w:rsid w:val="00CE687B"/>
    <w:rsid w:val="00CE6CD0"/>
    <w:rsid w:val="00CE6F3D"/>
    <w:rsid w:val="00CE70FD"/>
    <w:rsid w:val="00CE71F6"/>
    <w:rsid w:val="00CE728D"/>
    <w:rsid w:val="00CE75DD"/>
    <w:rsid w:val="00CE7B06"/>
    <w:rsid w:val="00CE7BFC"/>
    <w:rsid w:val="00CE7F00"/>
    <w:rsid w:val="00CF00CF"/>
    <w:rsid w:val="00CF080B"/>
    <w:rsid w:val="00CF0874"/>
    <w:rsid w:val="00CF0926"/>
    <w:rsid w:val="00CF09CA"/>
    <w:rsid w:val="00CF0A94"/>
    <w:rsid w:val="00CF0C08"/>
    <w:rsid w:val="00CF0E97"/>
    <w:rsid w:val="00CF0F24"/>
    <w:rsid w:val="00CF10DE"/>
    <w:rsid w:val="00CF11F8"/>
    <w:rsid w:val="00CF130F"/>
    <w:rsid w:val="00CF1451"/>
    <w:rsid w:val="00CF1481"/>
    <w:rsid w:val="00CF1521"/>
    <w:rsid w:val="00CF16C8"/>
    <w:rsid w:val="00CF1B12"/>
    <w:rsid w:val="00CF1B55"/>
    <w:rsid w:val="00CF1D86"/>
    <w:rsid w:val="00CF21A6"/>
    <w:rsid w:val="00CF22A6"/>
    <w:rsid w:val="00CF2357"/>
    <w:rsid w:val="00CF26CB"/>
    <w:rsid w:val="00CF2877"/>
    <w:rsid w:val="00CF2FFA"/>
    <w:rsid w:val="00CF301E"/>
    <w:rsid w:val="00CF3795"/>
    <w:rsid w:val="00CF414F"/>
    <w:rsid w:val="00CF44D2"/>
    <w:rsid w:val="00CF46C2"/>
    <w:rsid w:val="00CF4D00"/>
    <w:rsid w:val="00CF4DEA"/>
    <w:rsid w:val="00CF5250"/>
    <w:rsid w:val="00CF53DC"/>
    <w:rsid w:val="00CF5532"/>
    <w:rsid w:val="00CF5798"/>
    <w:rsid w:val="00CF589F"/>
    <w:rsid w:val="00CF59A0"/>
    <w:rsid w:val="00CF5BF8"/>
    <w:rsid w:val="00CF5CDA"/>
    <w:rsid w:val="00CF5E81"/>
    <w:rsid w:val="00CF64AA"/>
    <w:rsid w:val="00CF6572"/>
    <w:rsid w:val="00CF658F"/>
    <w:rsid w:val="00CF65EF"/>
    <w:rsid w:val="00CF6813"/>
    <w:rsid w:val="00CF68BE"/>
    <w:rsid w:val="00CF6A8D"/>
    <w:rsid w:val="00CF74DF"/>
    <w:rsid w:val="00CF7765"/>
    <w:rsid w:val="00CF794C"/>
    <w:rsid w:val="00CF7A52"/>
    <w:rsid w:val="00D002F5"/>
    <w:rsid w:val="00D00618"/>
    <w:rsid w:val="00D006AA"/>
    <w:rsid w:val="00D00CAD"/>
    <w:rsid w:val="00D0124D"/>
    <w:rsid w:val="00D015B0"/>
    <w:rsid w:val="00D01B0A"/>
    <w:rsid w:val="00D02596"/>
    <w:rsid w:val="00D025A7"/>
    <w:rsid w:val="00D02671"/>
    <w:rsid w:val="00D02756"/>
    <w:rsid w:val="00D02758"/>
    <w:rsid w:val="00D028BE"/>
    <w:rsid w:val="00D02A0E"/>
    <w:rsid w:val="00D0306D"/>
    <w:rsid w:val="00D0351B"/>
    <w:rsid w:val="00D03A80"/>
    <w:rsid w:val="00D03E0C"/>
    <w:rsid w:val="00D03F49"/>
    <w:rsid w:val="00D0403B"/>
    <w:rsid w:val="00D0430B"/>
    <w:rsid w:val="00D044DE"/>
    <w:rsid w:val="00D04988"/>
    <w:rsid w:val="00D04B9D"/>
    <w:rsid w:val="00D04D54"/>
    <w:rsid w:val="00D04F2C"/>
    <w:rsid w:val="00D0554C"/>
    <w:rsid w:val="00D0557C"/>
    <w:rsid w:val="00D05892"/>
    <w:rsid w:val="00D059F2"/>
    <w:rsid w:val="00D05B13"/>
    <w:rsid w:val="00D063E7"/>
    <w:rsid w:val="00D06A38"/>
    <w:rsid w:val="00D06B64"/>
    <w:rsid w:val="00D07101"/>
    <w:rsid w:val="00D071FA"/>
    <w:rsid w:val="00D07906"/>
    <w:rsid w:val="00D07B91"/>
    <w:rsid w:val="00D07CDC"/>
    <w:rsid w:val="00D100EF"/>
    <w:rsid w:val="00D1082E"/>
    <w:rsid w:val="00D1103D"/>
    <w:rsid w:val="00D11056"/>
    <w:rsid w:val="00D110E4"/>
    <w:rsid w:val="00D11131"/>
    <w:rsid w:val="00D119B1"/>
    <w:rsid w:val="00D11A92"/>
    <w:rsid w:val="00D11BE0"/>
    <w:rsid w:val="00D11E9E"/>
    <w:rsid w:val="00D12293"/>
    <w:rsid w:val="00D123E2"/>
    <w:rsid w:val="00D12698"/>
    <w:rsid w:val="00D12AD8"/>
    <w:rsid w:val="00D12CCC"/>
    <w:rsid w:val="00D12D64"/>
    <w:rsid w:val="00D13281"/>
    <w:rsid w:val="00D1329B"/>
    <w:rsid w:val="00D13301"/>
    <w:rsid w:val="00D13675"/>
    <w:rsid w:val="00D13C67"/>
    <w:rsid w:val="00D14612"/>
    <w:rsid w:val="00D15079"/>
    <w:rsid w:val="00D1544F"/>
    <w:rsid w:val="00D15755"/>
    <w:rsid w:val="00D15832"/>
    <w:rsid w:val="00D15C71"/>
    <w:rsid w:val="00D16800"/>
    <w:rsid w:val="00D16DFF"/>
    <w:rsid w:val="00D170DD"/>
    <w:rsid w:val="00D17588"/>
    <w:rsid w:val="00D17ABA"/>
    <w:rsid w:val="00D17AD5"/>
    <w:rsid w:val="00D20195"/>
    <w:rsid w:val="00D20383"/>
    <w:rsid w:val="00D203C4"/>
    <w:rsid w:val="00D206C2"/>
    <w:rsid w:val="00D20988"/>
    <w:rsid w:val="00D20A66"/>
    <w:rsid w:val="00D20BFC"/>
    <w:rsid w:val="00D20DA8"/>
    <w:rsid w:val="00D20DC7"/>
    <w:rsid w:val="00D21274"/>
    <w:rsid w:val="00D21765"/>
    <w:rsid w:val="00D21778"/>
    <w:rsid w:val="00D21D83"/>
    <w:rsid w:val="00D220A8"/>
    <w:rsid w:val="00D22419"/>
    <w:rsid w:val="00D22B2B"/>
    <w:rsid w:val="00D22C40"/>
    <w:rsid w:val="00D22E21"/>
    <w:rsid w:val="00D232E1"/>
    <w:rsid w:val="00D2335E"/>
    <w:rsid w:val="00D23593"/>
    <w:rsid w:val="00D23862"/>
    <w:rsid w:val="00D24132"/>
    <w:rsid w:val="00D241A2"/>
    <w:rsid w:val="00D24C7D"/>
    <w:rsid w:val="00D24DE3"/>
    <w:rsid w:val="00D25369"/>
    <w:rsid w:val="00D25412"/>
    <w:rsid w:val="00D25DA2"/>
    <w:rsid w:val="00D26A40"/>
    <w:rsid w:val="00D27544"/>
    <w:rsid w:val="00D2758A"/>
    <w:rsid w:val="00D27B29"/>
    <w:rsid w:val="00D27D5C"/>
    <w:rsid w:val="00D27E72"/>
    <w:rsid w:val="00D27E82"/>
    <w:rsid w:val="00D27F70"/>
    <w:rsid w:val="00D30051"/>
    <w:rsid w:val="00D300BD"/>
    <w:rsid w:val="00D30F67"/>
    <w:rsid w:val="00D311DF"/>
    <w:rsid w:val="00D3156D"/>
    <w:rsid w:val="00D31A58"/>
    <w:rsid w:val="00D31BA8"/>
    <w:rsid w:val="00D31BAC"/>
    <w:rsid w:val="00D31BC4"/>
    <w:rsid w:val="00D31D8A"/>
    <w:rsid w:val="00D31EE5"/>
    <w:rsid w:val="00D320F1"/>
    <w:rsid w:val="00D32374"/>
    <w:rsid w:val="00D32944"/>
    <w:rsid w:val="00D32F00"/>
    <w:rsid w:val="00D32FE3"/>
    <w:rsid w:val="00D33154"/>
    <w:rsid w:val="00D332DD"/>
    <w:rsid w:val="00D34006"/>
    <w:rsid w:val="00D34293"/>
    <w:rsid w:val="00D346D3"/>
    <w:rsid w:val="00D3497E"/>
    <w:rsid w:val="00D34F35"/>
    <w:rsid w:val="00D34F55"/>
    <w:rsid w:val="00D35309"/>
    <w:rsid w:val="00D354E9"/>
    <w:rsid w:val="00D359D6"/>
    <w:rsid w:val="00D35C14"/>
    <w:rsid w:val="00D35C1A"/>
    <w:rsid w:val="00D35E91"/>
    <w:rsid w:val="00D35F36"/>
    <w:rsid w:val="00D36087"/>
    <w:rsid w:val="00D363DF"/>
    <w:rsid w:val="00D3642A"/>
    <w:rsid w:val="00D365CD"/>
    <w:rsid w:val="00D36C08"/>
    <w:rsid w:val="00D36F83"/>
    <w:rsid w:val="00D37313"/>
    <w:rsid w:val="00D374EA"/>
    <w:rsid w:val="00D37AED"/>
    <w:rsid w:val="00D401F3"/>
    <w:rsid w:val="00D402B2"/>
    <w:rsid w:val="00D40477"/>
    <w:rsid w:val="00D40570"/>
    <w:rsid w:val="00D4068C"/>
    <w:rsid w:val="00D409C9"/>
    <w:rsid w:val="00D40FA1"/>
    <w:rsid w:val="00D410DD"/>
    <w:rsid w:val="00D4132D"/>
    <w:rsid w:val="00D4140D"/>
    <w:rsid w:val="00D41568"/>
    <w:rsid w:val="00D41598"/>
    <w:rsid w:val="00D41624"/>
    <w:rsid w:val="00D41A5B"/>
    <w:rsid w:val="00D41AA1"/>
    <w:rsid w:val="00D41B2B"/>
    <w:rsid w:val="00D41BCF"/>
    <w:rsid w:val="00D41D70"/>
    <w:rsid w:val="00D41FAB"/>
    <w:rsid w:val="00D42007"/>
    <w:rsid w:val="00D420EC"/>
    <w:rsid w:val="00D4232D"/>
    <w:rsid w:val="00D4254D"/>
    <w:rsid w:val="00D4261A"/>
    <w:rsid w:val="00D42634"/>
    <w:rsid w:val="00D42898"/>
    <w:rsid w:val="00D42C51"/>
    <w:rsid w:val="00D42CFD"/>
    <w:rsid w:val="00D42EC6"/>
    <w:rsid w:val="00D42FDC"/>
    <w:rsid w:val="00D43625"/>
    <w:rsid w:val="00D437BF"/>
    <w:rsid w:val="00D43911"/>
    <w:rsid w:val="00D43C74"/>
    <w:rsid w:val="00D4449C"/>
    <w:rsid w:val="00D44B90"/>
    <w:rsid w:val="00D450B4"/>
    <w:rsid w:val="00D4514A"/>
    <w:rsid w:val="00D453CE"/>
    <w:rsid w:val="00D45441"/>
    <w:rsid w:val="00D45578"/>
    <w:rsid w:val="00D45935"/>
    <w:rsid w:val="00D45A76"/>
    <w:rsid w:val="00D45AB0"/>
    <w:rsid w:val="00D45D6D"/>
    <w:rsid w:val="00D45D98"/>
    <w:rsid w:val="00D461AF"/>
    <w:rsid w:val="00D4650A"/>
    <w:rsid w:val="00D46749"/>
    <w:rsid w:val="00D46B96"/>
    <w:rsid w:val="00D46F44"/>
    <w:rsid w:val="00D46F60"/>
    <w:rsid w:val="00D475A6"/>
    <w:rsid w:val="00D476DD"/>
    <w:rsid w:val="00D47D91"/>
    <w:rsid w:val="00D50114"/>
    <w:rsid w:val="00D50567"/>
    <w:rsid w:val="00D5059F"/>
    <w:rsid w:val="00D51B73"/>
    <w:rsid w:val="00D522A9"/>
    <w:rsid w:val="00D522F7"/>
    <w:rsid w:val="00D52916"/>
    <w:rsid w:val="00D52EE4"/>
    <w:rsid w:val="00D530A2"/>
    <w:rsid w:val="00D53849"/>
    <w:rsid w:val="00D53C97"/>
    <w:rsid w:val="00D53E63"/>
    <w:rsid w:val="00D53EDD"/>
    <w:rsid w:val="00D53F03"/>
    <w:rsid w:val="00D54281"/>
    <w:rsid w:val="00D544E0"/>
    <w:rsid w:val="00D545A5"/>
    <w:rsid w:val="00D546E9"/>
    <w:rsid w:val="00D547BE"/>
    <w:rsid w:val="00D549DF"/>
    <w:rsid w:val="00D54B16"/>
    <w:rsid w:val="00D55063"/>
    <w:rsid w:val="00D55925"/>
    <w:rsid w:val="00D559FB"/>
    <w:rsid w:val="00D55BE4"/>
    <w:rsid w:val="00D560C9"/>
    <w:rsid w:val="00D561AA"/>
    <w:rsid w:val="00D567CF"/>
    <w:rsid w:val="00D568CF"/>
    <w:rsid w:val="00D56AC0"/>
    <w:rsid w:val="00D56AE9"/>
    <w:rsid w:val="00D56D00"/>
    <w:rsid w:val="00D579D8"/>
    <w:rsid w:val="00D60064"/>
    <w:rsid w:val="00D60910"/>
    <w:rsid w:val="00D60B19"/>
    <w:rsid w:val="00D6100E"/>
    <w:rsid w:val="00D61597"/>
    <w:rsid w:val="00D6173F"/>
    <w:rsid w:val="00D6197B"/>
    <w:rsid w:val="00D61A89"/>
    <w:rsid w:val="00D61FBA"/>
    <w:rsid w:val="00D625C0"/>
    <w:rsid w:val="00D62725"/>
    <w:rsid w:val="00D629DE"/>
    <w:rsid w:val="00D62AFE"/>
    <w:rsid w:val="00D62BAE"/>
    <w:rsid w:val="00D62F57"/>
    <w:rsid w:val="00D63039"/>
    <w:rsid w:val="00D63463"/>
    <w:rsid w:val="00D6347F"/>
    <w:rsid w:val="00D636B1"/>
    <w:rsid w:val="00D6440F"/>
    <w:rsid w:val="00D6443B"/>
    <w:rsid w:val="00D64508"/>
    <w:rsid w:val="00D64ECB"/>
    <w:rsid w:val="00D64ECF"/>
    <w:rsid w:val="00D65049"/>
    <w:rsid w:val="00D652CE"/>
    <w:rsid w:val="00D6545A"/>
    <w:rsid w:val="00D65463"/>
    <w:rsid w:val="00D65CEC"/>
    <w:rsid w:val="00D6604B"/>
    <w:rsid w:val="00D66511"/>
    <w:rsid w:val="00D66702"/>
    <w:rsid w:val="00D66872"/>
    <w:rsid w:val="00D66D8D"/>
    <w:rsid w:val="00D670E8"/>
    <w:rsid w:val="00D67405"/>
    <w:rsid w:val="00D6791E"/>
    <w:rsid w:val="00D67CA2"/>
    <w:rsid w:val="00D706DE"/>
    <w:rsid w:val="00D70986"/>
    <w:rsid w:val="00D70A7A"/>
    <w:rsid w:val="00D70C70"/>
    <w:rsid w:val="00D70C85"/>
    <w:rsid w:val="00D70DB6"/>
    <w:rsid w:val="00D70FEA"/>
    <w:rsid w:val="00D710D6"/>
    <w:rsid w:val="00D71187"/>
    <w:rsid w:val="00D711AE"/>
    <w:rsid w:val="00D7196E"/>
    <w:rsid w:val="00D71A89"/>
    <w:rsid w:val="00D71B10"/>
    <w:rsid w:val="00D71C4F"/>
    <w:rsid w:val="00D71D0E"/>
    <w:rsid w:val="00D71F75"/>
    <w:rsid w:val="00D720ED"/>
    <w:rsid w:val="00D72B00"/>
    <w:rsid w:val="00D72B0F"/>
    <w:rsid w:val="00D72D47"/>
    <w:rsid w:val="00D72F92"/>
    <w:rsid w:val="00D7305C"/>
    <w:rsid w:val="00D732D0"/>
    <w:rsid w:val="00D7336A"/>
    <w:rsid w:val="00D73652"/>
    <w:rsid w:val="00D74121"/>
    <w:rsid w:val="00D74CAF"/>
    <w:rsid w:val="00D74D1D"/>
    <w:rsid w:val="00D74D63"/>
    <w:rsid w:val="00D75064"/>
    <w:rsid w:val="00D7539C"/>
    <w:rsid w:val="00D756C4"/>
    <w:rsid w:val="00D75955"/>
    <w:rsid w:val="00D75D40"/>
    <w:rsid w:val="00D75FF1"/>
    <w:rsid w:val="00D762D1"/>
    <w:rsid w:val="00D765B2"/>
    <w:rsid w:val="00D76862"/>
    <w:rsid w:val="00D768B8"/>
    <w:rsid w:val="00D77762"/>
    <w:rsid w:val="00D777A8"/>
    <w:rsid w:val="00D77D9D"/>
    <w:rsid w:val="00D8043B"/>
    <w:rsid w:val="00D8053A"/>
    <w:rsid w:val="00D80CAA"/>
    <w:rsid w:val="00D80CD1"/>
    <w:rsid w:val="00D8111A"/>
    <w:rsid w:val="00D813C6"/>
    <w:rsid w:val="00D81458"/>
    <w:rsid w:val="00D8167D"/>
    <w:rsid w:val="00D81921"/>
    <w:rsid w:val="00D81CFC"/>
    <w:rsid w:val="00D81DCF"/>
    <w:rsid w:val="00D81DE5"/>
    <w:rsid w:val="00D82339"/>
    <w:rsid w:val="00D82400"/>
    <w:rsid w:val="00D8272B"/>
    <w:rsid w:val="00D83003"/>
    <w:rsid w:val="00D8333C"/>
    <w:rsid w:val="00D8363F"/>
    <w:rsid w:val="00D836AF"/>
    <w:rsid w:val="00D83997"/>
    <w:rsid w:val="00D83BFE"/>
    <w:rsid w:val="00D83E79"/>
    <w:rsid w:val="00D84084"/>
    <w:rsid w:val="00D840ED"/>
    <w:rsid w:val="00D843B1"/>
    <w:rsid w:val="00D849C6"/>
    <w:rsid w:val="00D84D9A"/>
    <w:rsid w:val="00D853A3"/>
    <w:rsid w:val="00D86461"/>
    <w:rsid w:val="00D867FA"/>
    <w:rsid w:val="00D869C2"/>
    <w:rsid w:val="00D87105"/>
    <w:rsid w:val="00D872A2"/>
    <w:rsid w:val="00D874AF"/>
    <w:rsid w:val="00D87626"/>
    <w:rsid w:val="00D87B10"/>
    <w:rsid w:val="00D90878"/>
    <w:rsid w:val="00D90D79"/>
    <w:rsid w:val="00D90D99"/>
    <w:rsid w:val="00D90EDA"/>
    <w:rsid w:val="00D91655"/>
    <w:rsid w:val="00D91883"/>
    <w:rsid w:val="00D91D32"/>
    <w:rsid w:val="00D91DD4"/>
    <w:rsid w:val="00D91EE5"/>
    <w:rsid w:val="00D91FEA"/>
    <w:rsid w:val="00D9237F"/>
    <w:rsid w:val="00D92426"/>
    <w:rsid w:val="00D92468"/>
    <w:rsid w:val="00D92477"/>
    <w:rsid w:val="00D927E2"/>
    <w:rsid w:val="00D92F1E"/>
    <w:rsid w:val="00D932FA"/>
    <w:rsid w:val="00D93B6F"/>
    <w:rsid w:val="00D93F77"/>
    <w:rsid w:val="00D94076"/>
    <w:rsid w:val="00D940CE"/>
    <w:rsid w:val="00D947C5"/>
    <w:rsid w:val="00D94859"/>
    <w:rsid w:val="00D94ED0"/>
    <w:rsid w:val="00D9537C"/>
    <w:rsid w:val="00D95F7F"/>
    <w:rsid w:val="00D9602C"/>
    <w:rsid w:val="00D960D6"/>
    <w:rsid w:val="00D9614D"/>
    <w:rsid w:val="00D961D4"/>
    <w:rsid w:val="00D96D35"/>
    <w:rsid w:val="00D9718B"/>
    <w:rsid w:val="00D974BD"/>
    <w:rsid w:val="00D97519"/>
    <w:rsid w:val="00D978F4"/>
    <w:rsid w:val="00DA020C"/>
    <w:rsid w:val="00DA0368"/>
    <w:rsid w:val="00DA065C"/>
    <w:rsid w:val="00DA0ADA"/>
    <w:rsid w:val="00DA0B36"/>
    <w:rsid w:val="00DA0BD7"/>
    <w:rsid w:val="00DA0E87"/>
    <w:rsid w:val="00DA0FC6"/>
    <w:rsid w:val="00DA10F7"/>
    <w:rsid w:val="00DA11BE"/>
    <w:rsid w:val="00DA1392"/>
    <w:rsid w:val="00DA1636"/>
    <w:rsid w:val="00DA1C69"/>
    <w:rsid w:val="00DA1F72"/>
    <w:rsid w:val="00DA20EC"/>
    <w:rsid w:val="00DA261D"/>
    <w:rsid w:val="00DA27D8"/>
    <w:rsid w:val="00DA2AC3"/>
    <w:rsid w:val="00DA2D8D"/>
    <w:rsid w:val="00DA3002"/>
    <w:rsid w:val="00DA3217"/>
    <w:rsid w:val="00DA350F"/>
    <w:rsid w:val="00DA36DA"/>
    <w:rsid w:val="00DA399C"/>
    <w:rsid w:val="00DA3D92"/>
    <w:rsid w:val="00DA3ED4"/>
    <w:rsid w:val="00DA4023"/>
    <w:rsid w:val="00DA4832"/>
    <w:rsid w:val="00DA48AA"/>
    <w:rsid w:val="00DA4B05"/>
    <w:rsid w:val="00DA5050"/>
    <w:rsid w:val="00DA52DE"/>
    <w:rsid w:val="00DA5531"/>
    <w:rsid w:val="00DA5582"/>
    <w:rsid w:val="00DA5D60"/>
    <w:rsid w:val="00DA5E2F"/>
    <w:rsid w:val="00DA6715"/>
    <w:rsid w:val="00DA6815"/>
    <w:rsid w:val="00DA6DD0"/>
    <w:rsid w:val="00DA6F7F"/>
    <w:rsid w:val="00DA7041"/>
    <w:rsid w:val="00DA7346"/>
    <w:rsid w:val="00DA74FD"/>
    <w:rsid w:val="00DA7D05"/>
    <w:rsid w:val="00DB053D"/>
    <w:rsid w:val="00DB094F"/>
    <w:rsid w:val="00DB0ADE"/>
    <w:rsid w:val="00DB0C94"/>
    <w:rsid w:val="00DB0CC9"/>
    <w:rsid w:val="00DB0DA6"/>
    <w:rsid w:val="00DB0F53"/>
    <w:rsid w:val="00DB10A4"/>
    <w:rsid w:val="00DB121D"/>
    <w:rsid w:val="00DB17B5"/>
    <w:rsid w:val="00DB1857"/>
    <w:rsid w:val="00DB1B52"/>
    <w:rsid w:val="00DB206E"/>
    <w:rsid w:val="00DB2240"/>
    <w:rsid w:val="00DB2289"/>
    <w:rsid w:val="00DB22EE"/>
    <w:rsid w:val="00DB247D"/>
    <w:rsid w:val="00DB249B"/>
    <w:rsid w:val="00DB2586"/>
    <w:rsid w:val="00DB2BAC"/>
    <w:rsid w:val="00DB2F0C"/>
    <w:rsid w:val="00DB313B"/>
    <w:rsid w:val="00DB3264"/>
    <w:rsid w:val="00DB341D"/>
    <w:rsid w:val="00DB3463"/>
    <w:rsid w:val="00DB35A6"/>
    <w:rsid w:val="00DB3B68"/>
    <w:rsid w:val="00DB3BE6"/>
    <w:rsid w:val="00DB3E8E"/>
    <w:rsid w:val="00DB402A"/>
    <w:rsid w:val="00DB40E4"/>
    <w:rsid w:val="00DB40FA"/>
    <w:rsid w:val="00DB44F4"/>
    <w:rsid w:val="00DB45FA"/>
    <w:rsid w:val="00DB46B4"/>
    <w:rsid w:val="00DB4B56"/>
    <w:rsid w:val="00DB4E43"/>
    <w:rsid w:val="00DB5049"/>
    <w:rsid w:val="00DB5193"/>
    <w:rsid w:val="00DB54A0"/>
    <w:rsid w:val="00DB5582"/>
    <w:rsid w:val="00DB58CA"/>
    <w:rsid w:val="00DB59CA"/>
    <w:rsid w:val="00DB5E5C"/>
    <w:rsid w:val="00DB5FE7"/>
    <w:rsid w:val="00DB6058"/>
    <w:rsid w:val="00DB61A1"/>
    <w:rsid w:val="00DB635E"/>
    <w:rsid w:val="00DB66F4"/>
    <w:rsid w:val="00DB7079"/>
    <w:rsid w:val="00DB716A"/>
    <w:rsid w:val="00DB743D"/>
    <w:rsid w:val="00DB75AC"/>
    <w:rsid w:val="00DB78E3"/>
    <w:rsid w:val="00DB7B0A"/>
    <w:rsid w:val="00DC0095"/>
    <w:rsid w:val="00DC0368"/>
    <w:rsid w:val="00DC03A4"/>
    <w:rsid w:val="00DC055E"/>
    <w:rsid w:val="00DC057B"/>
    <w:rsid w:val="00DC08BA"/>
    <w:rsid w:val="00DC0C31"/>
    <w:rsid w:val="00DC1438"/>
    <w:rsid w:val="00DC16A1"/>
    <w:rsid w:val="00DC1768"/>
    <w:rsid w:val="00DC19AC"/>
    <w:rsid w:val="00DC1A09"/>
    <w:rsid w:val="00DC1C5F"/>
    <w:rsid w:val="00DC1EC1"/>
    <w:rsid w:val="00DC1F5B"/>
    <w:rsid w:val="00DC207A"/>
    <w:rsid w:val="00DC20E6"/>
    <w:rsid w:val="00DC21CD"/>
    <w:rsid w:val="00DC2366"/>
    <w:rsid w:val="00DC2586"/>
    <w:rsid w:val="00DC26AE"/>
    <w:rsid w:val="00DC2880"/>
    <w:rsid w:val="00DC296F"/>
    <w:rsid w:val="00DC2D5E"/>
    <w:rsid w:val="00DC34A2"/>
    <w:rsid w:val="00DC357C"/>
    <w:rsid w:val="00DC395B"/>
    <w:rsid w:val="00DC3CE7"/>
    <w:rsid w:val="00DC3D84"/>
    <w:rsid w:val="00DC3E71"/>
    <w:rsid w:val="00DC3EDE"/>
    <w:rsid w:val="00DC4095"/>
    <w:rsid w:val="00DC423E"/>
    <w:rsid w:val="00DC4269"/>
    <w:rsid w:val="00DC4C4E"/>
    <w:rsid w:val="00DC5103"/>
    <w:rsid w:val="00DC59D0"/>
    <w:rsid w:val="00DC5D59"/>
    <w:rsid w:val="00DC5E86"/>
    <w:rsid w:val="00DC61F6"/>
    <w:rsid w:val="00DC63F9"/>
    <w:rsid w:val="00DC647B"/>
    <w:rsid w:val="00DC6CD3"/>
    <w:rsid w:val="00DC6E07"/>
    <w:rsid w:val="00DC7006"/>
    <w:rsid w:val="00DC70C5"/>
    <w:rsid w:val="00DC76C7"/>
    <w:rsid w:val="00DC7AAA"/>
    <w:rsid w:val="00DC7C0E"/>
    <w:rsid w:val="00DC7D8E"/>
    <w:rsid w:val="00DD015B"/>
    <w:rsid w:val="00DD01C1"/>
    <w:rsid w:val="00DD0618"/>
    <w:rsid w:val="00DD10B9"/>
    <w:rsid w:val="00DD12F4"/>
    <w:rsid w:val="00DD23CD"/>
    <w:rsid w:val="00DD253B"/>
    <w:rsid w:val="00DD29C0"/>
    <w:rsid w:val="00DD2BB7"/>
    <w:rsid w:val="00DD359D"/>
    <w:rsid w:val="00DD3891"/>
    <w:rsid w:val="00DD3A44"/>
    <w:rsid w:val="00DD3B8B"/>
    <w:rsid w:val="00DD4340"/>
    <w:rsid w:val="00DD44B7"/>
    <w:rsid w:val="00DD4778"/>
    <w:rsid w:val="00DD47CA"/>
    <w:rsid w:val="00DD4870"/>
    <w:rsid w:val="00DD48FF"/>
    <w:rsid w:val="00DD4E55"/>
    <w:rsid w:val="00DD4EBB"/>
    <w:rsid w:val="00DD4F5F"/>
    <w:rsid w:val="00DD4FA0"/>
    <w:rsid w:val="00DD4FD1"/>
    <w:rsid w:val="00DD522C"/>
    <w:rsid w:val="00DD541E"/>
    <w:rsid w:val="00DD544E"/>
    <w:rsid w:val="00DD5456"/>
    <w:rsid w:val="00DD5632"/>
    <w:rsid w:val="00DD5A48"/>
    <w:rsid w:val="00DD5E94"/>
    <w:rsid w:val="00DD6572"/>
    <w:rsid w:val="00DD6753"/>
    <w:rsid w:val="00DD6E80"/>
    <w:rsid w:val="00DD6FB1"/>
    <w:rsid w:val="00DD7472"/>
    <w:rsid w:val="00DD75B1"/>
    <w:rsid w:val="00DD75BC"/>
    <w:rsid w:val="00DD7611"/>
    <w:rsid w:val="00DD7CC6"/>
    <w:rsid w:val="00DE0286"/>
    <w:rsid w:val="00DE0C19"/>
    <w:rsid w:val="00DE0F69"/>
    <w:rsid w:val="00DE114A"/>
    <w:rsid w:val="00DE1270"/>
    <w:rsid w:val="00DE13F5"/>
    <w:rsid w:val="00DE1535"/>
    <w:rsid w:val="00DE16FB"/>
    <w:rsid w:val="00DE1920"/>
    <w:rsid w:val="00DE1CC8"/>
    <w:rsid w:val="00DE1E10"/>
    <w:rsid w:val="00DE2163"/>
    <w:rsid w:val="00DE229E"/>
    <w:rsid w:val="00DE23B6"/>
    <w:rsid w:val="00DE2C6F"/>
    <w:rsid w:val="00DE2EE6"/>
    <w:rsid w:val="00DE32A9"/>
    <w:rsid w:val="00DE336F"/>
    <w:rsid w:val="00DE337C"/>
    <w:rsid w:val="00DE39BC"/>
    <w:rsid w:val="00DE406B"/>
    <w:rsid w:val="00DE4317"/>
    <w:rsid w:val="00DE453C"/>
    <w:rsid w:val="00DE4740"/>
    <w:rsid w:val="00DE4795"/>
    <w:rsid w:val="00DE4A0C"/>
    <w:rsid w:val="00DE5177"/>
    <w:rsid w:val="00DE5561"/>
    <w:rsid w:val="00DE5F45"/>
    <w:rsid w:val="00DE5F57"/>
    <w:rsid w:val="00DE603E"/>
    <w:rsid w:val="00DE6360"/>
    <w:rsid w:val="00DE63DD"/>
    <w:rsid w:val="00DE63E3"/>
    <w:rsid w:val="00DE64D8"/>
    <w:rsid w:val="00DE6AB9"/>
    <w:rsid w:val="00DE6E46"/>
    <w:rsid w:val="00DE6F04"/>
    <w:rsid w:val="00DE6F1E"/>
    <w:rsid w:val="00DE7117"/>
    <w:rsid w:val="00DE72F9"/>
    <w:rsid w:val="00DE744D"/>
    <w:rsid w:val="00DE74F4"/>
    <w:rsid w:val="00DE7B90"/>
    <w:rsid w:val="00DE7C41"/>
    <w:rsid w:val="00DE7C51"/>
    <w:rsid w:val="00DE7F7B"/>
    <w:rsid w:val="00DF0116"/>
    <w:rsid w:val="00DF02FB"/>
    <w:rsid w:val="00DF06D4"/>
    <w:rsid w:val="00DF0732"/>
    <w:rsid w:val="00DF07AE"/>
    <w:rsid w:val="00DF136D"/>
    <w:rsid w:val="00DF14FC"/>
    <w:rsid w:val="00DF1542"/>
    <w:rsid w:val="00DF164B"/>
    <w:rsid w:val="00DF1D67"/>
    <w:rsid w:val="00DF1F5A"/>
    <w:rsid w:val="00DF1F5E"/>
    <w:rsid w:val="00DF2280"/>
    <w:rsid w:val="00DF23CF"/>
    <w:rsid w:val="00DF248E"/>
    <w:rsid w:val="00DF24A2"/>
    <w:rsid w:val="00DF2988"/>
    <w:rsid w:val="00DF2C35"/>
    <w:rsid w:val="00DF2F5C"/>
    <w:rsid w:val="00DF3280"/>
    <w:rsid w:val="00DF3EB5"/>
    <w:rsid w:val="00DF4070"/>
    <w:rsid w:val="00DF40FA"/>
    <w:rsid w:val="00DF4AEF"/>
    <w:rsid w:val="00DF4C83"/>
    <w:rsid w:val="00DF5105"/>
    <w:rsid w:val="00DF533D"/>
    <w:rsid w:val="00DF53C7"/>
    <w:rsid w:val="00DF565C"/>
    <w:rsid w:val="00DF5B84"/>
    <w:rsid w:val="00DF5D0E"/>
    <w:rsid w:val="00DF65EA"/>
    <w:rsid w:val="00DF6659"/>
    <w:rsid w:val="00DF6AAF"/>
    <w:rsid w:val="00DF6E0E"/>
    <w:rsid w:val="00DF6FC3"/>
    <w:rsid w:val="00DF70D9"/>
    <w:rsid w:val="00DF7376"/>
    <w:rsid w:val="00DF7563"/>
    <w:rsid w:val="00DF792C"/>
    <w:rsid w:val="00DF7C99"/>
    <w:rsid w:val="00DF7D44"/>
    <w:rsid w:val="00DF7FF6"/>
    <w:rsid w:val="00E0010D"/>
    <w:rsid w:val="00E003F9"/>
    <w:rsid w:val="00E0058D"/>
    <w:rsid w:val="00E00894"/>
    <w:rsid w:val="00E00CBA"/>
    <w:rsid w:val="00E0150C"/>
    <w:rsid w:val="00E01E0A"/>
    <w:rsid w:val="00E01F49"/>
    <w:rsid w:val="00E0242D"/>
    <w:rsid w:val="00E0260E"/>
    <w:rsid w:val="00E02B1C"/>
    <w:rsid w:val="00E02DE2"/>
    <w:rsid w:val="00E02F7E"/>
    <w:rsid w:val="00E03087"/>
    <w:rsid w:val="00E0321C"/>
    <w:rsid w:val="00E03B61"/>
    <w:rsid w:val="00E03BD8"/>
    <w:rsid w:val="00E03BEE"/>
    <w:rsid w:val="00E040CB"/>
    <w:rsid w:val="00E0470A"/>
    <w:rsid w:val="00E050DA"/>
    <w:rsid w:val="00E0526A"/>
    <w:rsid w:val="00E0595A"/>
    <w:rsid w:val="00E05E1F"/>
    <w:rsid w:val="00E061B0"/>
    <w:rsid w:val="00E06217"/>
    <w:rsid w:val="00E06271"/>
    <w:rsid w:val="00E067F0"/>
    <w:rsid w:val="00E069DD"/>
    <w:rsid w:val="00E06AAC"/>
    <w:rsid w:val="00E06BC8"/>
    <w:rsid w:val="00E0741D"/>
    <w:rsid w:val="00E075A8"/>
    <w:rsid w:val="00E078AE"/>
    <w:rsid w:val="00E0794C"/>
    <w:rsid w:val="00E07B2C"/>
    <w:rsid w:val="00E07D25"/>
    <w:rsid w:val="00E1013A"/>
    <w:rsid w:val="00E108B6"/>
    <w:rsid w:val="00E10925"/>
    <w:rsid w:val="00E10BCF"/>
    <w:rsid w:val="00E10DB0"/>
    <w:rsid w:val="00E1109F"/>
    <w:rsid w:val="00E1110E"/>
    <w:rsid w:val="00E1125F"/>
    <w:rsid w:val="00E11346"/>
    <w:rsid w:val="00E113DC"/>
    <w:rsid w:val="00E11662"/>
    <w:rsid w:val="00E1182F"/>
    <w:rsid w:val="00E1187D"/>
    <w:rsid w:val="00E11962"/>
    <w:rsid w:val="00E11B27"/>
    <w:rsid w:val="00E12128"/>
    <w:rsid w:val="00E1262A"/>
    <w:rsid w:val="00E12733"/>
    <w:rsid w:val="00E12A08"/>
    <w:rsid w:val="00E12ADF"/>
    <w:rsid w:val="00E12B07"/>
    <w:rsid w:val="00E12B67"/>
    <w:rsid w:val="00E12C66"/>
    <w:rsid w:val="00E12F7D"/>
    <w:rsid w:val="00E12FEC"/>
    <w:rsid w:val="00E130BC"/>
    <w:rsid w:val="00E13183"/>
    <w:rsid w:val="00E131F3"/>
    <w:rsid w:val="00E13B0E"/>
    <w:rsid w:val="00E13ECA"/>
    <w:rsid w:val="00E1401A"/>
    <w:rsid w:val="00E14579"/>
    <w:rsid w:val="00E14A4A"/>
    <w:rsid w:val="00E14DAD"/>
    <w:rsid w:val="00E1548F"/>
    <w:rsid w:val="00E155E8"/>
    <w:rsid w:val="00E15D41"/>
    <w:rsid w:val="00E16242"/>
    <w:rsid w:val="00E16545"/>
    <w:rsid w:val="00E174C0"/>
    <w:rsid w:val="00E17542"/>
    <w:rsid w:val="00E17586"/>
    <w:rsid w:val="00E202AC"/>
    <w:rsid w:val="00E205FA"/>
    <w:rsid w:val="00E20A43"/>
    <w:rsid w:val="00E20E95"/>
    <w:rsid w:val="00E211BE"/>
    <w:rsid w:val="00E223C9"/>
    <w:rsid w:val="00E227B3"/>
    <w:rsid w:val="00E22A7F"/>
    <w:rsid w:val="00E22BB6"/>
    <w:rsid w:val="00E230B0"/>
    <w:rsid w:val="00E23326"/>
    <w:rsid w:val="00E23993"/>
    <w:rsid w:val="00E243E2"/>
    <w:rsid w:val="00E2448A"/>
    <w:rsid w:val="00E24D4C"/>
    <w:rsid w:val="00E24FB4"/>
    <w:rsid w:val="00E25A3C"/>
    <w:rsid w:val="00E260D0"/>
    <w:rsid w:val="00E26408"/>
    <w:rsid w:val="00E2659C"/>
    <w:rsid w:val="00E2696F"/>
    <w:rsid w:val="00E26A2F"/>
    <w:rsid w:val="00E27197"/>
    <w:rsid w:val="00E273B8"/>
    <w:rsid w:val="00E278BD"/>
    <w:rsid w:val="00E27D5E"/>
    <w:rsid w:val="00E27DEF"/>
    <w:rsid w:val="00E27E05"/>
    <w:rsid w:val="00E27ECD"/>
    <w:rsid w:val="00E27F6B"/>
    <w:rsid w:val="00E30293"/>
    <w:rsid w:val="00E3032F"/>
    <w:rsid w:val="00E30339"/>
    <w:rsid w:val="00E3061E"/>
    <w:rsid w:val="00E307C6"/>
    <w:rsid w:val="00E30B8D"/>
    <w:rsid w:val="00E30D78"/>
    <w:rsid w:val="00E30EF4"/>
    <w:rsid w:val="00E30FC8"/>
    <w:rsid w:val="00E316B5"/>
    <w:rsid w:val="00E31700"/>
    <w:rsid w:val="00E3196C"/>
    <w:rsid w:val="00E31BFB"/>
    <w:rsid w:val="00E31EAE"/>
    <w:rsid w:val="00E32147"/>
    <w:rsid w:val="00E323E6"/>
    <w:rsid w:val="00E3261B"/>
    <w:rsid w:val="00E32A58"/>
    <w:rsid w:val="00E32D16"/>
    <w:rsid w:val="00E335EC"/>
    <w:rsid w:val="00E337B2"/>
    <w:rsid w:val="00E33856"/>
    <w:rsid w:val="00E339B1"/>
    <w:rsid w:val="00E339FE"/>
    <w:rsid w:val="00E33B5C"/>
    <w:rsid w:val="00E33B7D"/>
    <w:rsid w:val="00E33F52"/>
    <w:rsid w:val="00E341C9"/>
    <w:rsid w:val="00E34349"/>
    <w:rsid w:val="00E343EF"/>
    <w:rsid w:val="00E34438"/>
    <w:rsid w:val="00E346F4"/>
    <w:rsid w:val="00E34790"/>
    <w:rsid w:val="00E34E2E"/>
    <w:rsid w:val="00E3580B"/>
    <w:rsid w:val="00E358EF"/>
    <w:rsid w:val="00E360B8"/>
    <w:rsid w:val="00E3618D"/>
    <w:rsid w:val="00E36290"/>
    <w:rsid w:val="00E36332"/>
    <w:rsid w:val="00E3658C"/>
    <w:rsid w:val="00E369F8"/>
    <w:rsid w:val="00E36D8E"/>
    <w:rsid w:val="00E36DF0"/>
    <w:rsid w:val="00E370D1"/>
    <w:rsid w:val="00E371FF"/>
    <w:rsid w:val="00E373BA"/>
    <w:rsid w:val="00E3744D"/>
    <w:rsid w:val="00E37688"/>
    <w:rsid w:val="00E37AFC"/>
    <w:rsid w:val="00E37B62"/>
    <w:rsid w:val="00E37E6B"/>
    <w:rsid w:val="00E37E86"/>
    <w:rsid w:val="00E37EA5"/>
    <w:rsid w:val="00E37FD1"/>
    <w:rsid w:val="00E402F1"/>
    <w:rsid w:val="00E403C9"/>
    <w:rsid w:val="00E406EC"/>
    <w:rsid w:val="00E40871"/>
    <w:rsid w:val="00E408A8"/>
    <w:rsid w:val="00E409DB"/>
    <w:rsid w:val="00E40BAB"/>
    <w:rsid w:val="00E40CD0"/>
    <w:rsid w:val="00E40F9A"/>
    <w:rsid w:val="00E411B6"/>
    <w:rsid w:val="00E416C8"/>
    <w:rsid w:val="00E41C70"/>
    <w:rsid w:val="00E41D4F"/>
    <w:rsid w:val="00E41D5D"/>
    <w:rsid w:val="00E41D5F"/>
    <w:rsid w:val="00E42493"/>
    <w:rsid w:val="00E424F6"/>
    <w:rsid w:val="00E42A2C"/>
    <w:rsid w:val="00E42E0F"/>
    <w:rsid w:val="00E43214"/>
    <w:rsid w:val="00E4332A"/>
    <w:rsid w:val="00E435DC"/>
    <w:rsid w:val="00E4363E"/>
    <w:rsid w:val="00E43762"/>
    <w:rsid w:val="00E4389E"/>
    <w:rsid w:val="00E43A34"/>
    <w:rsid w:val="00E43A90"/>
    <w:rsid w:val="00E43B45"/>
    <w:rsid w:val="00E43BF3"/>
    <w:rsid w:val="00E43EE5"/>
    <w:rsid w:val="00E441AD"/>
    <w:rsid w:val="00E443AD"/>
    <w:rsid w:val="00E4448B"/>
    <w:rsid w:val="00E44698"/>
    <w:rsid w:val="00E44AB4"/>
    <w:rsid w:val="00E44EDB"/>
    <w:rsid w:val="00E44F3B"/>
    <w:rsid w:val="00E44F64"/>
    <w:rsid w:val="00E45136"/>
    <w:rsid w:val="00E455E2"/>
    <w:rsid w:val="00E45A60"/>
    <w:rsid w:val="00E45BF4"/>
    <w:rsid w:val="00E45FB9"/>
    <w:rsid w:val="00E46610"/>
    <w:rsid w:val="00E468BC"/>
    <w:rsid w:val="00E46C10"/>
    <w:rsid w:val="00E46C76"/>
    <w:rsid w:val="00E46C95"/>
    <w:rsid w:val="00E4724E"/>
    <w:rsid w:val="00E472EE"/>
    <w:rsid w:val="00E473B5"/>
    <w:rsid w:val="00E47F40"/>
    <w:rsid w:val="00E47F91"/>
    <w:rsid w:val="00E47F9A"/>
    <w:rsid w:val="00E50045"/>
    <w:rsid w:val="00E503B3"/>
    <w:rsid w:val="00E50748"/>
    <w:rsid w:val="00E510F0"/>
    <w:rsid w:val="00E51162"/>
    <w:rsid w:val="00E51186"/>
    <w:rsid w:val="00E513D6"/>
    <w:rsid w:val="00E5181B"/>
    <w:rsid w:val="00E518BF"/>
    <w:rsid w:val="00E51965"/>
    <w:rsid w:val="00E522EF"/>
    <w:rsid w:val="00E525E2"/>
    <w:rsid w:val="00E52683"/>
    <w:rsid w:val="00E528D0"/>
    <w:rsid w:val="00E52A1E"/>
    <w:rsid w:val="00E531C8"/>
    <w:rsid w:val="00E53298"/>
    <w:rsid w:val="00E535F6"/>
    <w:rsid w:val="00E5381E"/>
    <w:rsid w:val="00E53D93"/>
    <w:rsid w:val="00E53EA6"/>
    <w:rsid w:val="00E540C0"/>
    <w:rsid w:val="00E54364"/>
    <w:rsid w:val="00E54419"/>
    <w:rsid w:val="00E54603"/>
    <w:rsid w:val="00E5463F"/>
    <w:rsid w:val="00E54AF3"/>
    <w:rsid w:val="00E54BBC"/>
    <w:rsid w:val="00E5520E"/>
    <w:rsid w:val="00E554D9"/>
    <w:rsid w:val="00E55777"/>
    <w:rsid w:val="00E55DE2"/>
    <w:rsid w:val="00E55EC0"/>
    <w:rsid w:val="00E5610F"/>
    <w:rsid w:val="00E56756"/>
    <w:rsid w:val="00E56812"/>
    <w:rsid w:val="00E57141"/>
    <w:rsid w:val="00E571BD"/>
    <w:rsid w:val="00E5753A"/>
    <w:rsid w:val="00E575FA"/>
    <w:rsid w:val="00E5779D"/>
    <w:rsid w:val="00E60016"/>
    <w:rsid w:val="00E60765"/>
    <w:rsid w:val="00E60E01"/>
    <w:rsid w:val="00E61054"/>
    <w:rsid w:val="00E612B8"/>
    <w:rsid w:val="00E613A8"/>
    <w:rsid w:val="00E61940"/>
    <w:rsid w:val="00E61E2C"/>
    <w:rsid w:val="00E61F2A"/>
    <w:rsid w:val="00E62515"/>
    <w:rsid w:val="00E6257F"/>
    <w:rsid w:val="00E625F7"/>
    <w:rsid w:val="00E627B9"/>
    <w:rsid w:val="00E62DB1"/>
    <w:rsid w:val="00E62FA4"/>
    <w:rsid w:val="00E630DC"/>
    <w:rsid w:val="00E631B0"/>
    <w:rsid w:val="00E6349C"/>
    <w:rsid w:val="00E634CC"/>
    <w:rsid w:val="00E63A6C"/>
    <w:rsid w:val="00E64036"/>
    <w:rsid w:val="00E648AF"/>
    <w:rsid w:val="00E649D9"/>
    <w:rsid w:val="00E64C57"/>
    <w:rsid w:val="00E64E74"/>
    <w:rsid w:val="00E6559C"/>
    <w:rsid w:val="00E65E3D"/>
    <w:rsid w:val="00E66331"/>
    <w:rsid w:val="00E670EB"/>
    <w:rsid w:val="00E6730C"/>
    <w:rsid w:val="00E67542"/>
    <w:rsid w:val="00E67B0C"/>
    <w:rsid w:val="00E67DB2"/>
    <w:rsid w:val="00E702CF"/>
    <w:rsid w:val="00E70891"/>
    <w:rsid w:val="00E709D8"/>
    <w:rsid w:val="00E7106F"/>
    <w:rsid w:val="00E7183D"/>
    <w:rsid w:val="00E71FE7"/>
    <w:rsid w:val="00E7207A"/>
    <w:rsid w:val="00E72149"/>
    <w:rsid w:val="00E72392"/>
    <w:rsid w:val="00E726CC"/>
    <w:rsid w:val="00E7272F"/>
    <w:rsid w:val="00E72798"/>
    <w:rsid w:val="00E729DE"/>
    <w:rsid w:val="00E72EA1"/>
    <w:rsid w:val="00E73086"/>
    <w:rsid w:val="00E732CB"/>
    <w:rsid w:val="00E739D9"/>
    <w:rsid w:val="00E73C09"/>
    <w:rsid w:val="00E7416F"/>
    <w:rsid w:val="00E741B7"/>
    <w:rsid w:val="00E74301"/>
    <w:rsid w:val="00E74450"/>
    <w:rsid w:val="00E7450E"/>
    <w:rsid w:val="00E74A62"/>
    <w:rsid w:val="00E74BFB"/>
    <w:rsid w:val="00E75035"/>
    <w:rsid w:val="00E752DE"/>
    <w:rsid w:val="00E7533A"/>
    <w:rsid w:val="00E754D3"/>
    <w:rsid w:val="00E759B1"/>
    <w:rsid w:val="00E75BA7"/>
    <w:rsid w:val="00E75C56"/>
    <w:rsid w:val="00E75D41"/>
    <w:rsid w:val="00E75FF7"/>
    <w:rsid w:val="00E76105"/>
    <w:rsid w:val="00E7629F"/>
    <w:rsid w:val="00E7685C"/>
    <w:rsid w:val="00E77506"/>
    <w:rsid w:val="00E77864"/>
    <w:rsid w:val="00E8009B"/>
    <w:rsid w:val="00E80425"/>
    <w:rsid w:val="00E8058D"/>
    <w:rsid w:val="00E80781"/>
    <w:rsid w:val="00E80D16"/>
    <w:rsid w:val="00E811EE"/>
    <w:rsid w:val="00E8129A"/>
    <w:rsid w:val="00E81791"/>
    <w:rsid w:val="00E81CEA"/>
    <w:rsid w:val="00E820AD"/>
    <w:rsid w:val="00E8231F"/>
    <w:rsid w:val="00E82514"/>
    <w:rsid w:val="00E82860"/>
    <w:rsid w:val="00E82A6C"/>
    <w:rsid w:val="00E833ED"/>
    <w:rsid w:val="00E83743"/>
    <w:rsid w:val="00E837DE"/>
    <w:rsid w:val="00E8399C"/>
    <w:rsid w:val="00E83C5E"/>
    <w:rsid w:val="00E83CCA"/>
    <w:rsid w:val="00E83CEA"/>
    <w:rsid w:val="00E83DCB"/>
    <w:rsid w:val="00E8477E"/>
    <w:rsid w:val="00E84C4A"/>
    <w:rsid w:val="00E84DC9"/>
    <w:rsid w:val="00E84E7D"/>
    <w:rsid w:val="00E84ED4"/>
    <w:rsid w:val="00E8557E"/>
    <w:rsid w:val="00E855A9"/>
    <w:rsid w:val="00E8562E"/>
    <w:rsid w:val="00E859B2"/>
    <w:rsid w:val="00E85B13"/>
    <w:rsid w:val="00E85B8C"/>
    <w:rsid w:val="00E85D90"/>
    <w:rsid w:val="00E86166"/>
    <w:rsid w:val="00E86478"/>
    <w:rsid w:val="00E8692A"/>
    <w:rsid w:val="00E86E17"/>
    <w:rsid w:val="00E86EF3"/>
    <w:rsid w:val="00E86FC3"/>
    <w:rsid w:val="00E87084"/>
    <w:rsid w:val="00E8735F"/>
    <w:rsid w:val="00E874A7"/>
    <w:rsid w:val="00E87512"/>
    <w:rsid w:val="00E87597"/>
    <w:rsid w:val="00E876B1"/>
    <w:rsid w:val="00E876C6"/>
    <w:rsid w:val="00E87D32"/>
    <w:rsid w:val="00E87DEF"/>
    <w:rsid w:val="00E87E3A"/>
    <w:rsid w:val="00E87EEE"/>
    <w:rsid w:val="00E90595"/>
    <w:rsid w:val="00E9078B"/>
    <w:rsid w:val="00E908C9"/>
    <w:rsid w:val="00E90B01"/>
    <w:rsid w:val="00E90FE6"/>
    <w:rsid w:val="00E9103C"/>
    <w:rsid w:val="00E917BC"/>
    <w:rsid w:val="00E91F65"/>
    <w:rsid w:val="00E91F84"/>
    <w:rsid w:val="00E92253"/>
    <w:rsid w:val="00E9234A"/>
    <w:rsid w:val="00E92364"/>
    <w:rsid w:val="00E924DA"/>
    <w:rsid w:val="00E92C56"/>
    <w:rsid w:val="00E92EC6"/>
    <w:rsid w:val="00E9307F"/>
    <w:rsid w:val="00E932F7"/>
    <w:rsid w:val="00E933AE"/>
    <w:rsid w:val="00E935AC"/>
    <w:rsid w:val="00E936B7"/>
    <w:rsid w:val="00E93924"/>
    <w:rsid w:val="00E93936"/>
    <w:rsid w:val="00E93CCE"/>
    <w:rsid w:val="00E944A1"/>
    <w:rsid w:val="00E944DB"/>
    <w:rsid w:val="00E947ED"/>
    <w:rsid w:val="00E94CDE"/>
    <w:rsid w:val="00E94D48"/>
    <w:rsid w:val="00E94ECB"/>
    <w:rsid w:val="00E94F2F"/>
    <w:rsid w:val="00E95147"/>
    <w:rsid w:val="00E9521A"/>
    <w:rsid w:val="00E954FB"/>
    <w:rsid w:val="00E9584E"/>
    <w:rsid w:val="00E958FB"/>
    <w:rsid w:val="00E95B18"/>
    <w:rsid w:val="00E95D6E"/>
    <w:rsid w:val="00E96081"/>
    <w:rsid w:val="00E961D3"/>
    <w:rsid w:val="00E963C1"/>
    <w:rsid w:val="00E9641F"/>
    <w:rsid w:val="00E9643A"/>
    <w:rsid w:val="00E9687D"/>
    <w:rsid w:val="00E96896"/>
    <w:rsid w:val="00E969B6"/>
    <w:rsid w:val="00E96B9C"/>
    <w:rsid w:val="00E96ED2"/>
    <w:rsid w:val="00E96F46"/>
    <w:rsid w:val="00E971D9"/>
    <w:rsid w:val="00EA00C4"/>
    <w:rsid w:val="00EA015D"/>
    <w:rsid w:val="00EA0224"/>
    <w:rsid w:val="00EA097D"/>
    <w:rsid w:val="00EA09AF"/>
    <w:rsid w:val="00EA12BF"/>
    <w:rsid w:val="00EA1672"/>
    <w:rsid w:val="00EA1766"/>
    <w:rsid w:val="00EA19B7"/>
    <w:rsid w:val="00EA1AC7"/>
    <w:rsid w:val="00EA1AD8"/>
    <w:rsid w:val="00EA22C8"/>
    <w:rsid w:val="00EA2A1F"/>
    <w:rsid w:val="00EA2D7C"/>
    <w:rsid w:val="00EA3117"/>
    <w:rsid w:val="00EA3671"/>
    <w:rsid w:val="00EA3763"/>
    <w:rsid w:val="00EA3965"/>
    <w:rsid w:val="00EA3AC3"/>
    <w:rsid w:val="00EA470B"/>
    <w:rsid w:val="00EA4A82"/>
    <w:rsid w:val="00EA4B09"/>
    <w:rsid w:val="00EA4DE6"/>
    <w:rsid w:val="00EA4E06"/>
    <w:rsid w:val="00EA4E58"/>
    <w:rsid w:val="00EA51F9"/>
    <w:rsid w:val="00EA5326"/>
    <w:rsid w:val="00EA5542"/>
    <w:rsid w:val="00EA5654"/>
    <w:rsid w:val="00EA5CCA"/>
    <w:rsid w:val="00EA5DBD"/>
    <w:rsid w:val="00EA69E2"/>
    <w:rsid w:val="00EA6A8E"/>
    <w:rsid w:val="00EA6B54"/>
    <w:rsid w:val="00EA6BB5"/>
    <w:rsid w:val="00EA6C1B"/>
    <w:rsid w:val="00EA70D0"/>
    <w:rsid w:val="00EA712C"/>
    <w:rsid w:val="00EA713B"/>
    <w:rsid w:val="00EA74AD"/>
    <w:rsid w:val="00EA764F"/>
    <w:rsid w:val="00EA7F51"/>
    <w:rsid w:val="00EA7FC1"/>
    <w:rsid w:val="00EB0751"/>
    <w:rsid w:val="00EB0796"/>
    <w:rsid w:val="00EB0B06"/>
    <w:rsid w:val="00EB0D14"/>
    <w:rsid w:val="00EB0E42"/>
    <w:rsid w:val="00EB0F6D"/>
    <w:rsid w:val="00EB128A"/>
    <w:rsid w:val="00EB151C"/>
    <w:rsid w:val="00EB1554"/>
    <w:rsid w:val="00EB1575"/>
    <w:rsid w:val="00EB169A"/>
    <w:rsid w:val="00EB1918"/>
    <w:rsid w:val="00EB1936"/>
    <w:rsid w:val="00EB1C68"/>
    <w:rsid w:val="00EB202A"/>
    <w:rsid w:val="00EB2280"/>
    <w:rsid w:val="00EB23D9"/>
    <w:rsid w:val="00EB2B87"/>
    <w:rsid w:val="00EB2F55"/>
    <w:rsid w:val="00EB2FC6"/>
    <w:rsid w:val="00EB30D8"/>
    <w:rsid w:val="00EB32BD"/>
    <w:rsid w:val="00EB36DB"/>
    <w:rsid w:val="00EB3DFC"/>
    <w:rsid w:val="00EB45A9"/>
    <w:rsid w:val="00EB48AB"/>
    <w:rsid w:val="00EB4A1F"/>
    <w:rsid w:val="00EB4B75"/>
    <w:rsid w:val="00EB530F"/>
    <w:rsid w:val="00EB54D7"/>
    <w:rsid w:val="00EB5897"/>
    <w:rsid w:val="00EB5AD3"/>
    <w:rsid w:val="00EB5C36"/>
    <w:rsid w:val="00EB5FAA"/>
    <w:rsid w:val="00EB6FCC"/>
    <w:rsid w:val="00EB7079"/>
    <w:rsid w:val="00EB7244"/>
    <w:rsid w:val="00EB73BF"/>
    <w:rsid w:val="00EB7494"/>
    <w:rsid w:val="00EB74B1"/>
    <w:rsid w:val="00EB773C"/>
    <w:rsid w:val="00EC0164"/>
    <w:rsid w:val="00EC01FF"/>
    <w:rsid w:val="00EC0339"/>
    <w:rsid w:val="00EC051E"/>
    <w:rsid w:val="00EC0528"/>
    <w:rsid w:val="00EC0B83"/>
    <w:rsid w:val="00EC0F7D"/>
    <w:rsid w:val="00EC125D"/>
    <w:rsid w:val="00EC12F5"/>
    <w:rsid w:val="00EC16E7"/>
    <w:rsid w:val="00EC1ADE"/>
    <w:rsid w:val="00EC1F67"/>
    <w:rsid w:val="00EC2B2B"/>
    <w:rsid w:val="00EC3183"/>
    <w:rsid w:val="00EC35B9"/>
    <w:rsid w:val="00EC364C"/>
    <w:rsid w:val="00EC37EB"/>
    <w:rsid w:val="00EC39FE"/>
    <w:rsid w:val="00EC3C32"/>
    <w:rsid w:val="00EC3FFA"/>
    <w:rsid w:val="00EC40D9"/>
    <w:rsid w:val="00EC4AB9"/>
    <w:rsid w:val="00EC4AC8"/>
    <w:rsid w:val="00EC518D"/>
    <w:rsid w:val="00EC51E0"/>
    <w:rsid w:val="00EC5715"/>
    <w:rsid w:val="00EC5AF3"/>
    <w:rsid w:val="00EC5DBE"/>
    <w:rsid w:val="00EC5EF1"/>
    <w:rsid w:val="00EC61EE"/>
    <w:rsid w:val="00EC63B9"/>
    <w:rsid w:val="00EC6818"/>
    <w:rsid w:val="00EC6C3C"/>
    <w:rsid w:val="00EC6C5A"/>
    <w:rsid w:val="00EC7DBA"/>
    <w:rsid w:val="00EC7FD0"/>
    <w:rsid w:val="00ED0DB0"/>
    <w:rsid w:val="00ED110B"/>
    <w:rsid w:val="00ED14BF"/>
    <w:rsid w:val="00ED1B23"/>
    <w:rsid w:val="00ED1E46"/>
    <w:rsid w:val="00ED1ED2"/>
    <w:rsid w:val="00ED1FF5"/>
    <w:rsid w:val="00ED244F"/>
    <w:rsid w:val="00ED2BDE"/>
    <w:rsid w:val="00ED2BFD"/>
    <w:rsid w:val="00ED2BFF"/>
    <w:rsid w:val="00ED2E58"/>
    <w:rsid w:val="00ED32A9"/>
    <w:rsid w:val="00ED3D21"/>
    <w:rsid w:val="00ED3D93"/>
    <w:rsid w:val="00ED42D3"/>
    <w:rsid w:val="00ED4671"/>
    <w:rsid w:val="00ED46EB"/>
    <w:rsid w:val="00ED4FFD"/>
    <w:rsid w:val="00ED532D"/>
    <w:rsid w:val="00ED57AC"/>
    <w:rsid w:val="00ED5804"/>
    <w:rsid w:val="00ED59D3"/>
    <w:rsid w:val="00ED5C67"/>
    <w:rsid w:val="00ED5F9D"/>
    <w:rsid w:val="00ED6465"/>
    <w:rsid w:val="00ED64FD"/>
    <w:rsid w:val="00ED716A"/>
    <w:rsid w:val="00ED7466"/>
    <w:rsid w:val="00ED7662"/>
    <w:rsid w:val="00ED7C74"/>
    <w:rsid w:val="00ED7CED"/>
    <w:rsid w:val="00EE01A2"/>
    <w:rsid w:val="00EE0524"/>
    <w:rsid w:val="00EE076F"/>
    <w:rsid w:val="00EE0DD7"/>
    <w:rsid w:val="00EE110D"/>
    <w:rsid w:val="00EE128A"/>
    <w:rsid w:val="00EE1680"/>
    <w:rsid w:val="00EE16E4"/>
    <w:rsid w:val="00EE1D0E"/>
    <w:rsid w:val="00EE26B1"/>
    <w:rsid w:val="00EE275D"/>
    <w:rsid w:val="00EE29B2"/>
    <w:rsid w:val="00EE2A6C"/>
    <w:rsid w:val="00EE2B02"/>
    <w:rsid w:val="00EE2F0E"/>
    <w:rsid w:val="00EE2FD2"/>
    <w:rsid w:val="00EE3918"/>
    <w:rsid w:val="00EE3A79"/>
    <w:rsid w:val="00EE3B00"/>
    <w:rsid w:val="00EE3C8C"/>
    <w:rsid w:val="00EE41E4"/>
    <w:rsid w:val="00EE4749"/>
    <w:rsid w:val="00EE4E43"/>
    <w:rsid w:val="00EE4F4A"/>
    <w:rsid w:val="00EE583C"/>
    <w:rsid w:val="00EE5870"/>
    <w:rsid w:val="00EE5875"/>
    <w:rsid w:val="00EE5FF0"/>
    <w:rsid w:val="00EE60B2"/>
    <w:rsid w:val="00EE653D"/>
    <w:rsid w:val="00EE6848"/>
    <w:rsid w:val="00EE698E"/>
    <w:rsid w:val="00EE6CED"/>
    <w:rsid w:val="00EE6F32"/>
    <w:rsid w:val="00EE716D"/>
    <w:rsid w:val="00EE782D"/>
    <w:rsid w:val="00EE7984"/>
    <w:rsid w:val="00EE7C2B"/>
    <w:rsid w:val="00EE7C8C"/>
    <w:rsid w:val="00EF0072"/>
    <w:rsid w:val="00EF0265"/>
    <w:rsid w:val="00EF0639"/>
    <w:rsid w:val="00EF0F62"/>
    <w:rsid w:val="00EF1094"/>
    <w:rsid w:val="00EF1BBA"/>
    <w:rsid w:val="00EF1C49"/>
    <w:rsid w:val="00EF21CE"/>
    <w:rsid w:val="00EF2C51"/>
    <w:rsid w:val="00EF3442"/>
    <w:rsid w:val="00EF385C"/>
    <w:rsid w:val="00EF3B6F"/>
    <w:rsid w:val="00EF3C5E"/>
    <w:rsid w:val="00EF3FB0"/>
    <w:rsid w:val="00EF4055"/>
    <w:rsid w:val="00EF4523"/>
    <w:rsid w:val="00EF4B10"/>
    <w:rsid w:val="00EF4D16"/>
    <w:rsid w:val="00EF4F06"/>
    <w:rsid w:val="00EF53BC"/>
    <w:rsid w:val="00EF53D6"/>
    <w:rsid w:val="00EF5C20"/>
    <w:rsid w:val="00EF5D18"/>
    <w:rsid w:val="00EF619F"/>
    <w:rsid w:val="00EF61A9"/>
    <w:rsid w:val="00EF6363"/>
    <w:rsid w:val="00EF6460"/>
    <w:rsid w:val="00EF6569"/>
    <w:rsid w:val="00EF680C"/>
    <w:rsid w:val="00EF6DB5"/>
    <w:rsid w:val="00EF72C6"/>
    <w:rsid w:val="00EF7420"/>
    <w:rsid w:val="00EF7844"/>
    <w:rsid w:val="00EF7A87"/>
    <w:rsid w:val="00EF7CBC"/>
    <w:rsid w:val="00EF7FC2"/>
    <w:rsid w:val="00F0043F"/>
    <w:rsid w:val="00F00B89"/>
    <w:rsid w:val="00F00DEA"/>
    <w:rsid w:val="00F012A8"/>
    <w:rsid w:val="00F012CE"/>
    <w:rsid w:val="00F01565"/>
    <w:rsid w:val="00F01607"/>
    <w:rsid w:val="00F01889"/>
    <w:rsid w:val="00F018EB"/>
    <w:rsid w:val="00F01C5E"/>
    <w:rsid w:val="00F01FA8"/>
    <w:rsid w:val="00F02171"/>
    <w:rsid w:val="00F02253"/>
    <w:rsid w:val="00F02350"/>
    <w:rsid w:val="00F02697"/>
    <w:rsid w:val="00F02718"/>
    <w:rsid w:val="00F029D2"/>
    <w:rsid w:val="00F029F2"/>
    <w:rsid w:val="00F02B10"/>
    <w:rsid w:val="00F03209"/>
    <w:rsid w:val="00F0345A"/>
    <w:rsid w:val="00F0431B"/>
    <w:rsid w:val="00F04501"/>
    <w:rsid w:val="00F04860"/>
    <w:rsid w:val="00F04976"/>
    <w:rsid w:val="00F04F94"/>
    <w:rsid w:val="00F05315"/>
    <w:rsid w:val="00F056FC"/>
    <w:rsid w:val="00F05A89"/>
    <w:rsid w:val="00F05E37"/>
    <w:rsid w:val="00F06357"/>
    <w:rsid w:val="00F06416"/>
    <w:rsid w:val="00F06445"/>
    <w:rsid w:val="00F06E71"/>
    <w:rsid w:val="00F06F46"/>
    <w:rsid w:val="00F0708B"/>
    <w:rsid w:val="00F070BB"/>
    <w:rsid w:val="00F0730D"/>
    <w:rsid w:val="00F07656"/>
    <w:rsid w:val="00F076DB"/>
    <w:rsid w:val="00F07A23"/>
    <w:rsid w:val="00F07A32"/>
    <w:rsid w:val="00F07AFD"/>
    <w:rsid w:val="00F07E23"/>
    <w:rsid w:val="00F101DF"/>
    <w:rsid w:val="00F1025E"/>
    <w:rsid w:val="00F10338"/>
    <w:rsid w:val="00F1066F"/>
    <w:rsid w:val="00F10BA6"/>
    <w:rsid w:val="00F10BA9"/>
    <w:rsid w:val="00F10C3A"/>
    <w:rsid w:val="00F110EA"/>
    <w:rsid w:val="00F1113C"/>
    <w:rsid w:val="00F11408"/>
    <w:rsid w:val="00F11479"/>
    <w:rsid w:val="00F1196E"/>
    <w:rsid w:val="00F11B85"/>
    <w:rsid w:val="00F11F6F"/>
    <w:rsid w:val="00F12438"/>
    <w:rsid w:val="00F129CB"/>
    <w:rsid w:val="00F12B73"/>
    <w:rsid w:val="00F12B78"/>
    <w:rsid w:val="00F12C22"/>
    <w:rsid w:val="00F12D4D"/>
    <w:rsid w:val="00F132B9"/>
    <w:rsid w:val="00F13924"/>
    <w:rsid w:val="00F139D8"/>
    <w:rsid w:val="00F13BAD"/>
    <w:rsid w:val="00F1415C"/>
    <w:rsid w:val="00F14359"/>
    <w:rsid w:val="00F14720"/>
    <w:rsid w:val="00F14924"/>
    <w:rsid w:val="00F14C76"/>
    <w:rsid w:val="00F15638"/>
    <w:rsid w:val="00F15F94"/>
    <w:rsid w:val="00F1606D"/>
    <w:rsid w:val="00F167FD"/>
    <w:rsid w:val="00F16C4A"/>
    <w:rsid w:val="00F16EFF"/>
    <w:rsid w:val="00F1718F"/>
    <w:rsid w:val="00F174D9"/>
    <w:rsid w:val="00F176AA"/>
    <w:rsid w:val="00F17BAE"/>
    <w:rsid w:val="00F20162"/>
    <w:rsid w:val="00F20356"/>
    <w:rsid w:val="00F2039D"/>
    <w:rsid w:val="00F20445"/>
    <w:rsid w:val="00F2047C"/>
    <w:rsid w:val="00F204ED"/>
    <w:rsid w:val="00F2085F"/>
    <w:rsid w:val="00F20A64"/>
    <w:rsid w:val="00F20EBD"/>
    <w:rsid w:val="00F20F83"/>
    <w:rsid w:val="00F20FC3"/>
    <w:rsid w:val="00F21110"/>
    <w:rsid w:val="00F2129F"/>
    <w:rsid w:val="00F2196F"/>
    <w:rsid w:val="00F21B9D"/>
    <w:rsid w:val="00F21CC5"/>
    <w:rsid w:val="00F21D20"/>
    <w:rsid w:val="00F21E31"/>
    <w:rsid w:val="00F21F17"/>
    <w:rsid w:val="00F2256A"/>
    <w:rsid w:val="00F22584"/>
    <w:rsid w:val="00F22F71"/>
    <w:rsid w:val="00F23269"/>
    <w:rsid w:val="00F232AE"/>
    <w:rsid w:val="00F23363"/>
    <w:rsid w:val="00F23988"/>
    <w:rsid w:val="00F23B0B"/>
    <w:rsid w:val="00F23CA5"/>
    <w:rsid w:val="00F23D49"/>
    <w:rsid w:val="00F2491E"/>
    <w:rsid w:val="00F24B64"/>
    <w:rsid w:val="00F24C0B"/>
    <w:rsid w:val="00F24D18"/>
    <w:rsid w:val="00F24D60"/>
    <w:rsid w:val="00F24F27"/>
    <w:rsid w:val="00F25260"/>
    <w:rsid w:val="00F252C6"/>
    <w:rsid w:val="00F25382"/>
    <w:rsid w:val="00F25A7E"/>
    <w:rsid w:val="00F262A8"/>
    <w:rsid w:val="00F267D1"/>
    <w:rsid w:val="00F269CE"/>
    <w:rsid w:val="00F26E7A"/>
    <w:rsid w:val="00F271CE"/>
    <w:rsid w:val="00F272F4"/>
    <w:rsid w:val="00F27504"/>
    <w:rsid w:val="00F2769A"/>
    <w:rsid w:val="00F276A0"/>
    <w:rsid w:val="00F2783C"/>
    <w:rsid w:val="00F2784E"/>
    <w:rsid w:val="00F27B9D"/>
    <w:rsid w:val="00F27D26"/>
    <w:rsid w:val="00F27E4C"/>
    <w:rsid w:val="00F27EE2"/>
    <w:rsid w:val="00F27F0E"/>
    <w:rsid w:val="00F3049B"/>
    <w:rsid w:val="00F305FE"/>
    <w:rsid w:val="00F30A39"/>
    <w:rsid w:val="00F30C9B"/>
    <w:rsid w:val="00F30F7F"/>
    <w:rsid w:val="00F3213E"/>
    <w:rsid w:val="00F3225F"/>
    <w:rsid w:val="00F3267C"/>
    <w:rsid w:val="00F32911"/>
    <w:rsid w:val="00F32D58"/>
    <w:rsid w:val="00F33D3C"/>
    <w:rsid w:val="00F3439C"/>
    <w:rsid w:val="00F34563"/>
    <w:rsid w:val="00F34696"/>
    <w:rsid w:val="00F348B2"/>
    <w:rsid w:val="00F34DC9"/>
    <w:rsid w:val="00F350CE"/>
    <w:rsid w:val="00F3518A"/>
    <w:rsid w:val="00F35208"/>
    <w:rsid w:val="00F36C98"/>
    <w:rsid w:val="00F36DA3"/>
    <w:rsid w:val="00F36E66"/>
    <w:rsid w:val="00F376A9"/>
    <w:rsid w:val="00F377EB"/>
    <w:rsid w:val="00F37A04"/>
    <w:rsid w:val="00F37C84"/>
    <w:rsid w:val="00F404D6"/>
    <w:rsid w:val="00F409CE"/>
    <w:rsid w:val="00F40ABC"/>
    <w:rsid w:val="00F416FF"/>
    <w:rsid w:val="00F4187B"/>
    <w:rsid w:val="00F4194F"/>
    <w:rsid w:val="00F41975"/>
    <w:rsid w:val="00F42015"/>
    <w:rsid w:val="00F421C1"/>
    <w:rsid w:val="00F42281"/>
    <w:rsid w:val="00F42679"/>
    <w:rsid w:val="00F427EF"/>
    <w:rsid w:val="00F42A05"/>
    <w:rsid w:val="00F42B58"/>
    <w:rsid w:val="00F42E72"/>
    <w:rsid w:val="00F42F20"/>
    <w:rsid w:val="00F4317D"/>
    <w:rsid w:val="00F43428"/>
    <w:rsid w:val="00F43AB9"/>
    <w:rsid w:val="00F43D78"/>
    <w:rsid w:val="00F4436C"/>
    <w:rsid w:val="00F44BDD"/>
    <w:rsid w:val="00F44EDC"/>
    <w:rsid w:val="00F4548E"/>
    <w:rsid w:val="00F45683"/>
    <w:rsid w:val="00F4586B"/>
    <w:rsid w:val="00F45E49"/>
    <w:rsid w:val="00F45F3A"/>
    <w:rsid w:val="00F45FDE"/>
    <w:rsid w:val="00F46278"/>
    <w:rsid w:val="00F464FD"/>
    <w:rsid w:val="00F46653"/>
    <w:rsid w:val="00F467A7"/>
    <w:rsid w:val="00F4680F"/>
    <w:rsid w:val="00F46D83"/>
    <w:rsid w:val="00F47269"/>
    <w:rsid w:val="00F47365"/>
    <w:rsid w:val="00F4737D"/>
    <w:rsid w:val="00F47653"/>
    <w:rsid w:val="00F47A7B"/>
    <w:rsid w:val="00F47B92"/>
    <w:rsid w:val="00F47D82"/>
    <w:rsid w:val="00F47DAE"/>
    <w:rsid w:val="00F47DFD"/>
    <w:rsid w:val="00F47E77"/>
    <w:rsid w:val="00F50083"/>
    <w:rsid w:val="00F504A4"/>
    <w:rsid w:val="00F50AF3"/>
    <w:rsid w:val="00F50B02"/>
    <w:rsid w:val="00F50CB2"/>
    <w:rsid w:val="00F50EBC"/>
    <w:rsid w:val="00F5126F"/>
    <w:rsid w:val="00F5162E"/>
    <w:rsid w:val="00F517B8"/>
    <w:rsid w:val="00F51BE0"/>
    <w:rsid w:val="00F51C48"/>
    <w:rsid w:val="00F51D35"/>
    <w:rsid w:val="00F51ECD"/>
    <w:rsid w:val="00F5261E"/>
    <w:rsid w:val="00F52B43"/>
    <w:rsid w:val="00F52EF8"/>
    <w:rsid w:val="00F53A49"/>
    <w:rsid w:val="00F53D9F"/>
    <w:rsid w:val="00F5427C"/>
    <w:rsid w:val="00F54883"/>
    <w:rsid w:val="00F548CD"/>
    <w:rsid w:val="00F54C3B"/>
    <w:rsid w:val="00F5519C"/>
    <w:rsid w:val="00F55844"/>
    <w:rsid w:val="00F56301"/>
    <w:rsid w:val="00F56B2C"/>
    <w:rsid w:val="00F56B96"/>
    <w:rsid w:val="00F56BB8"/>
    <w:rsid w:val="00F571CF"/>
    <w:rsid w:val="00F5724B"/>
    <w:rsid w:val="00F57688"/>
    <w:rsid w:val="00F576A2"/>
    <w:rsid w:val="00F57717"/>
    <w:rsid w:val="00F57E51"/>
    <w:rsid w:val="00F60839"/>
    <w:rsid w:val="00F6112A"/>
    <w:rsid w:val="00F61235"/>
    <w:rsid w:val="00F61961"/>
    <w:rsid w:val="00F61BDE"/>
    <w:rsid w:val="00F61D9B"/>
    <w:rsid w:val="00F61E13"/>
    <w:rsid w:val="00F6271E"/>
    <w:rsid w:val="00F627E9"/>
    <w:rsid w:val="00F6280A"/>
    <w:rsid w:val="00F62895"/>
    <w:rsid w:val="00F62932"/>
    <w:rsid w:val="00F63703"/>
    <w:rsid w:val="00F639D1"/>
    <w:rsid w:val="00F63B09"/>
    <w:rsid w:val="00F63EA7"/>
    <w:rsid w:val="00F641AD"/>
    <w:rsid w:val="00F64252"/>
    <w:rsid w:val="00F6452C"/>
    <w:rsid w:val="00F64596"/>
    <w:rsid w:val="00F647A0"/>
    <w:rsid w:val="00F64AD7"/>
    <w:rsid w:val="00F656DA"/>
    <w:rsid w:val="00F6577A"/>
    <w:rsid w:val="00F657B6"/>
    <w:rsid w:val="00F66569"/>
    <w:rsid w:val="00F667B3"/>
    <w:rsid w:val="00F66FF0"/>
    <w:rsid w:val="00F67949"/>
    <w:rsid w:val="00F67B04"/>
    <w:rsid w:val="00F67C83"/>
    <w:rsid w:val="00F67D4D"/>
    <w:rsid w:val="00F67F16"/>
    <w:rsid w:val="00F70213"/>
    <w:rsid w:val="00F7048B"/>
    <w:rsid w:val="00F706D4"/>
    <w:rsid w:val="00F70F29"/>
    <w:rsid w:val="00F71048"/>
    <w:rsid w:val="00F71061"/>
    <w:rsid w:val="00F71123"/>
    <w:rsid w:val="00F71E31"/>
    <w:rsid w:val="00F71FD1"/>
    <w:rsid w:val="00F72413"/>
    <w:rsid w:val="00F7256F"/>
    <w:rsid w:val="00F7348F"/>
    <w:rsid w:val="00F7355D"/>
    <w:rsid w:val="00F739E5"/>
    <w:rsid w:val="00F74878"/>
    <w:rsid w:val="00F7492A"/>
    <w:rsid w:val="00F74DD4"/>
    <w:rsid w:val="00F74F22"/>
    <w:rsid w:val="00F75032"/>
    <w:rsid w:val="00F7554E"/>
    <w:rsid w:val="00F75D34"/>
    <w:rsid w:val="00F75F0A"/>
    <w:rsid w:val="00F76299"/>
    <w:rsid w:val="00F7633D"/>
    <w:rsid w:val="00F766FF"/>
    <w:rsid w:val="00F7686B"/>
    <w:rsid w:val="00F76973"/>
    <w:rsid w:val="00F76EA1"/>
    <w:rsid w:val="00F77081"/>
    <w:rsid w:val="00F77315"/>
    <w:rsid w:val="00F775A3"/>
    <w:rsid w:val="00F7778B"/>
    <w:rsid w:val="00F7786E"/>
    <w:rsid w:val="00F77BF1"/>
    <w:rsid w:val="00F77F4A"/>
    <w:rsid w:val="00F77F71"/>
    <w:rsid w:val="00F800A8"/>
    <w:rsid w:val="00F80270"/>
    <w:rsid w:val="00F80717"/>
    <w:rsid w:val="00F80CB2"/>
    <w:rsid w:val="00F80FED"/>
    <w:rsid w:val="00F81162"/>
    <w:rsid w:val="00F81D33"/>
    <w:rsid w:val="00F822FF"/>
    <w:rsid w:val="00F82552"/>
    <w:rsid w:val="00F826B3"/>
    <w:rsid w:val="00F8277F"/>
    <w:rsid w:val="00F82C47"/>
    <w:rsid w:val="00F82C7C"/>
    <w:rsid w:val="00F82E46"/>
    <w:rsid w:val="00F82ED9"/>
    <w:rsid w:val="00F82FDB"/>
    <w:rsid w:val="00F834FF"/>
    <w:rsid w:val="00F83EC6"/>
    <w:rsid w:val="00F8433E"/>
    <w:rsid w:val="00F84B6F"/>
    <w:rsid w:val="00F84DE6"/>
    <w:rsid w:val="00F8543C"/>
    <w:rsid w:val="00F85465"/>
    <w:rsid w:val="00F85543"/>
    <w:rsid w:val="00F8557C"/>
    <w:rsid w:val="00F85C7D"/>
    <w:rsid w:val="00F8651E"/>
    <w:rsid w:val="00F867AC"/>
    <w:rsid w:val="00F868E6"/>
    <w:rsid w:val="00F86A71"/>
    <w:rsid w:val="00F86AD8"/>
    <w:rsid w:val="00F86AE5"/>
    <w:rsid w:val="00F86B16"/>
    <w:rsid w:val="00F87D47"/>
    <w:rsid w:val="00F902D6"/>
    <w:rsid w:val="00F906F3"/>
    <w:rsid w:val="00F90847"/>
    <w:rsid w:val="00F90A15"/>
    <w:rsid w:val="00F90E34"/>
    <w:rsid w:val="00F90FC6"/>
    <w:rsid w:val="00F9142D"/>
    <w:rsid w:val="00F91740"/>
    <w:rsid w:val="00F917EE"/>
    <w:rsid w:val="00F9191B"/>
    <w:rsid w:val="00F9218C"/>
    <w:rsid w:val="00F922B4"/>
    <w:rsid w:val="00F9237B"/>
    <w:rsid w:val="00F923E3"/>
    <w:rsid w:val="00F923ED"/>
    <w:rsid w:val="00F926BE"/>
    <w:rsid w:val="00F9297D"/>
    <w:rsid w:val="00F92C89"/>
    <w:rsid w:val="00F936FA"/>
    <w:rsid w:val="00F93887"/>
    <w:rsid w:val="00F93C20"/>
    <w:rsid w:val="00F93DAA"/>
    <w:rsid w:val="00F941EA"/>
    <w:rsid w:val="00F9427C"/>
    <w:rsid w:val="00F942F2"/>
    <w:rsid w:val="00F94317"/>
    <w:rsid w:val="00F94322"/>
    <w:rsid w:val="00F944F2"/>
    <w:rsid w:val="00F945DF"/>
    <w:rsid w:val="00F94896"/>
    <w:rsid w:val="00F948E5"/>
    <w:rsid w:val="00F94AC6"/>
    <w:rsid w:val="00F94C0C"/>
    <w:rsid w:val="00F94F6E"/>
    <w:rsid w:val="00F94F82"/>
    <w:rsid w:val="00F951F9"/>
    <w:rsid w:val="00F9526F"/>
    <w:rsid w:val="00F9529C"/>
    <w:rsid w:val="00F958AB"/>
    <w:rsid w:val="00F95B14"/>
    <w:rsid w:val="00F95D5B"/>
    <w:rsid w:val="00F95D90"/>
    <w:rsid w:val="00F95FE3"/>
    <w:rsid w:val="00F962D7"/>
    <w:rsid w:val="00F96452"/>
    <w:rsid w:val="00F96863"/>
    <w:rsid w:val="00F96A3B"/>
    <w:rsid w:val="00F96B62"/>
    <w:rsid w:val="00F96BFA"/>
    <w:rsid w:val="00F96CFC"/>
    <w:rsid w:val="00F96D0F"/>
    <w:rsid w:val="00F96D51"/>
    <w:rsid w:val="00F97062"/>
    <w:rsid w:val="00F973ED"/>
    <w:rsid w:val="00F97758"/>
    <w:rsid w:val="00F97C45"/>
    <w:rsid w:val="00F97F5C"/>
    <w:rsid w:val="00FA035D"/>
    <w:rsid w:val="00FA0777"/>
    <w:rsid w:val="00FA0AAF"/>
    <w:rsid w:val="00FA0D4C"/>
    <w:rsid w:val="00FA0F98"/>
    <w:rsid w:val="00FA1149"/>
    <w:rsid w:val="00FA14AC"/>
    <w:rsid w:val="00FA21C2"/>
    <w:rsid w:val="00FA2857"/>
    <w:rsid w:val="00FA2897"/>
    <w:rsid w:val="00FA29F9"/>
    <w:rsid w:val="00FA2D0B"/>
    <w:rsid w:val="00FA2F09"/>
    <w:rsid w:val="00FA2F4C"/>
    <w:rsid w:val="00FA2FF6"/>
    <w:rsid w:val="00FA302E"/>
    <w:rsid w:val="00FA30D7"/>
    <w:rsid w:val="00FA342E"/>
    <w:rsid w:val="00FA379F"/>
    <w:rsid w:val="00FA3F04"/>
    <w:rsid w:val="00FA40EA"/>
    <w:rsid w:val="00FA4192"/>
    <w:rsid w:val="00FA4477"/>
    <w:rsid w:val="00FA4655"/>
    <w:rsid w:val="00FA466D"/>
    <w:rsid w:val="00FA49C1"/>
    <w:rsid w:val="00FA4D8E"/>
    <w:rsid w:val="00FA4EFA"/>
    <w:rsid w:val="00FA50D0"/>
    <w:rsid w:val="00FA55E4"/>
    <w:rsid w:val="00FA5CB4"/>
    <w:rsid w:val="00FA5D40"/>
    <w:rsid w:val="00FA5F1E"/>
    <w:rsid w:val="00FA6074"/>
    <w:rsid w:val="00FA6573"/>
    <w:rsid w:val="00FA6855"/>
    <w:rsid w:val="00FA6CF3"/>
    <w:rsid w:val="00FA6FA8"/>
    <w:rsid w:val="00FA76B4"/>
    <w:rsid w:val="00FA79D5"/>
    <w:rsid w:val="00FA7FD2"/>
    <w:rsid w:val="00FB0200"/>
    <w:rsid w:val="00FB08BA"/>
    <w:rsid w:val="00FB09C9"/>
    <w:rsid w:val="00FB0BCF"/>
    <w:rsid w:val="00FB123D"/>
    <w:rsid w:val="00FB1290"/>
    <w:rsid w:val="00FB13DA"/>
    <w:rsid w:val="00FB1852"/>
    <w:rsid w:val="00FB1C92"/>
    <w:rsid w:val="00FB1DBA"/>
    <w:rsid w:val="00FB21AF"/>
    <w:rsid w:val="00FB21F5"/>
    <w:rsid w:val="00FB2310"/>
    <w:rsid w:val="00FB25ED"/>
    <w:rsid w:val="00FB26B1"/>
    <w:rsid w:val="00FB27B0"/>
    <w:rsid w:val="00FB29B8"/>
    <w:rsid w:val="00FB31F6"/>
    <w:rsid w:val="00FB32A8"/>
    <w:rsid w:val="00FB34D8"/>
    <w:rsid w:val="00FB35A8"/>
    <w:rsid w:val="00FB39BC"/>
    <w:rsid w:val="00FB3B40"/>
    <w:rsid w:val="00FB3DA3"/>
    <w:rsid w:val="00FB3F29"/>
    <w:rsid w:val="00FB3F46"/>
    <w:rsid w:val="00FB4004"/>
    <w:rsid w:val="00FB4233"/>
    <w:rsid w:val="00FB4A53"/>
    <w:rsid w:val="00FB4B1E"/>
    <w:rsid w:val="00FB4E2D"/>
    <w:rsid w:val="00FB4FF8"/>
    <w:rsid w:val="00FB5121"/>
    <w:rsid w:val="00FB517C"/>
    <w:rsid w:val="00FB5554"/>
    <w:rsid w:val="00FB55C7"/>
    <w:rsid w:val="00FB58BC"/>
    <w:rsid w:val="00FB5B94"/>
    <w:rsid w:val="00FB604F"/>
    <w:rsid w:val="00FB62E3"/>
    <w:rsid w:val="00FB6779"/>
    <w:rsid w:val="00FB6C56"/>
    <w:rsid w:val="00FB6EDF"/>
    <w:rsid w:val="00FB7189"/>
    <w:rsid w:val="00FB72DB"/>
    <w:rsid w:val="00FB7AC3"/>
    <w:rsid w:val="00FB7FFC"/>
    <w:rsid w:val="00FC010D"/>
    <w:rsid w:val="00FC0A0F"/>
    <w:rsid w:val="00FC0AF2"/>
    <w:rsid w:val="00FC0EE7"/>
    <w:rsid w:val="00FC16EB"/>
    <w:rsid w:val="00FC1D68"/>
    <w:rsid w:val="00FC20B0"/>
    <w:rsid w:val="00FC21D3"/>
    <w:rsid w:val="00FC2204"/>
    <w:rsid w:val="00FC2409"/>
    <w:rsid w:val="00FC24D8"/>
    <w:rsid w:val="00FC27AB"/>
    <w:rsid w:val="00FC27B6"/>
    <w:rsid w:val="00FC2D3B"/>
    <w:rsid w:val="00FC2DCD"/>
    <w:rsid w:val="00FC3465"/>
    <w:rsid w:val="00FC365A"/>
    <w:rsid w:val="00FC37F7"/>
    <w:rsid w:val="00FC3860"/>
    <w:rsid w:val="00FC38E8"/>
    <w:rsid w:val="00FC3BBF"/>
    <w:rsid w:val="00FC4057"/>
    <w:rsid w:val="00FC4AAC"/>
    <w:rsid w:val="00FC4D97"/>
    <w:rsid w:val="00FC5130"/>
    <w:rsid w:val="00FC5564"/>
    <w:rsid w:val="00FC5652"/>
    <w:rsid w:val="00FC565A"/>
    <w:rsid w:val="00FC5737"/>
    <w:rsid w:val="00FC59DB"/>
    <w:rsid w:val="00FC59F2"/>
    <w:rsid w:val="00FC5C3A"/>
    <w:rsid w:val="00FC5D44"/>
    <w:rsid w:val="00FC5FC0"/>
    <w:rsid w:val="00FC61F7"/>
    <w:rsid w:val="00FC6423"/>
    <w:rsid w:val="00FC6586"/>
    <w:rsid w:val="00FC69C4"/>
    <w:rsid w:val="00FC6FF1"/>
    <w:rsid w:val="00FC7556"/>
    <w:rsid w:val="00FC7DEF"/>
    <w:rsid w:val="00FC7F4B"/>
    <w:rsid w:val="00FC7FDA"/>
    <w:rsid w:val="00FD0A13"/>
    <w:rsid w:val="00FD12D1"/>
    <w:rsid w:val="00FD14DB"/>
    <w:rsid w:val="00FD1A2B"/>
    <w:rsid w:val="00FD24B3"/>
    <w:rsid w:val="00FD26A6"/>
    <w:rsid w:val="00FD2A6F"/>
    <w:rsid w:val="00FD2C29"/>
    <w:rsid w:val="00FD33C2"/>
    <w:rsid w:val="00FD34A0"/>
    <w:rsid w:val="00FD3628"/>
    <w:rsid w:val="00FD3754"/>
    <w:rsid w:val="00FD3CDF"/>
    <w:rsid w:val="00FD3DEE"/>
    <w:rsid w:val="00FD4143"/>
    <w:rsid w:val="00FD48C3"/>
    <w:rsid w:val="00FD4E5D"/>
    <w:rsid w:val="00FD4E9E"/>
    <w:rsid w:val="00FD555F"/>
    <w:rsid w:val="00FD5649"/>
    <w:rsid w:val="00FD5A22"/>
    <w:rsid w:val="00FD5EAB"/>
    <w:rsid w:val="00FD6111"/>
    <w:rsid w:val="00FD62ED"/>
    <w:rsid w:val="00FD6358"/>
    <w:rsid w:val="00FD657B"/>
    <w:rsid w:val="00FD6E9E"/>
    <w:rsid w:val="00FD726B"/>
    <w:rsid w:val="00FD738A"/>
    <w:rsid w:val="00FD7836"/>
    <w:rsid w:val="00FD7A05"/>
    <w:rsid w:val="00FD7ECD"/>
    <w:rsid w:val="00FE0795"/>
    <w:rsid w:val="00FE09E6"/>
    <w:rsid w:val="00FE0BC6"/>
    <w:rsid w:val="00FE0F39"/>
    <w:rsid w:val="00FE0F3C"/>
    <w:rsid w:val="00FE0F8B"/>
    <w:rsid w:val="00FE1009"/>
    <w:rsid w:val="00FE1347"/>
    <w:rsid w:val="00FE17A9"/>
    <w:rsid w:val="00FE1B9C"/>
    <w:rsid w:val="00FE1D0E"/>
    <w:rsid w:val="00FE1D47"/>
    <w:rsid w:val="00FE217F"/>
    <w:rsid w:val="00FE21FC"/>
    <w:rsid w:val="00FE231B"/>
    <w:rsid w:val="00FE26EC"/>
    <w:rsid w:val="00FE2834"/>
    <w:rsid w:val="00FE2895"/>
    <w:rsid w:val="00FE35DA"/>
    <w:rsid w:val="00FE3724"/>
    <w:rsid w:val="00FE3BB0"/>
    <w:rsid w:val="00FE4136"/>
    <w:rsid w:val="00FE439A"/>
    <w:rsid w:val="00FE4B5A"/>
    <w:rsid w:val="00FE540A"/>
    <w:rsid w:val="00FE55CF"/>
    <w:rsid w:val="00FE60A9"/>
    <w:rsid w:val="00FE623F"/>
    <w:rsid w:val="00FE6475"/>
    <w:rsid w:val="00FE6B04"/>
    <w:rsid w:val="00FE6C44"/>
    <w:rsid w:val="00FE710E"/>
    <w:rsid w:val="00FE768D"/>
    <w:rsid w:val="00FE7AA8"/>
    <w:rsid w:val="00FE7C09"/>
    <w:rsid w:val="00FE7C50"/>
    <w:rsid w:val="00FE7C94"/>
    <w:rsid w:val="00FE7FBB"/>
    <w:rsid w:val="00FF0040"/>
    <w:rsid w:val="00FF0195"/>
    <w:rsid w:val="00FF0316"/>
    <w:rsid w:val="00FF0D2D"/>
    <w:rsid w:val="00FF14C8"/>
    <w:rsid w:val="00FF15DC"/>
    <w:rsid w:val="00FF1659"/>
    <w:rsid w:val="00FF16BB"/>
    <w:rsid w:val="00FF1807"/>
    <w:rsid w:val="00FF1B9C"/>
    <w:rsid w:val="00FF230A"/>
    <w:rsid w:val="00FF2326"/>
    <w:rsid w:val="00FF2898"/>
    <w:rsid w:val="00FF28C3"/>
    <w:rsid w:val="00FF3049"/>
    <w:rsid w:val="00FF3777"/>
    <w:rsid w:val="00FF3880"/>
    <w:rsid w:val="00FF38B5"/>
    <w:rsid w:val="00FF46C0"/>
    <w:rsid w:val="00FF4DAD"/>
    <w:rsid w:val="00FF51DA"/>
    <w:rsid w:val="00FF5998"/>
    <w:rsid w:val="00FF59BD"/>
    <w:rsid w:val="00FF5A1B"/>
    <w:rsid w:val="00FF6B3F"/>
    <w:rsid w:val="00FF6E78"/>
    <w:rsid w:val="00FF704F"/>
    <w:rsid w:val="00FF7389"/>
    <w:rsid w:val="00FF7539"/>
    <w:rsid w:val="00FF76E3"/>
    <w:rsid w:val="00FF779B"/>
    <w:rsid w:val="00FF7C6B"/>
    <w:rsid w:val="00FF7F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37D69790"/>
  <w14:defaultImageDpi w14:val="330"/>
  <w15:docId w15:val="{2D0BB1D5-79E9-4C5B-8E9C-9CB4703E7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A681C"/>
    <w:rPr>
      <w:rFonts w:ascii="EC Square Sans Pro" w:hAnsi="EC Square Sans Pro" w:cs="Times New Roman"/>
      <w:sz w:val="20"/>
      <w:lang w:val="en-GB"/>
    </w:rPr>
  </w:style>
  <w:style w:type="paragraph" w:styleId="Heading1">
    <w:name w:val="heading 1"/>
    <w:basedOn w:val="Normal"/>
    <w:next w:val="Normal"/>
    <w:link w:val="Heading1Char"/>
    <w:uiPriority w:val="9"/>
    <w:qFormat/>
    <w:rsid w:val="001626C5"/>
    <w:pPr>
      <w:keepNext/>
      <w:keepLines/>
      <w:widowControl w:val="0"/>
      <w:spacing w:before="480"/>
      <w:outlineLvl w:val="0"/>
    </w:pPr>
    <w:rPr>
      <w:rFonts w:eastAsiaTheme="majorEastAsia" w:cstheme="majorBidi"/>
      <w:b/>
      <w:bCs/>
      <w:color w:val="3B97A5" w:themeColor="accent1" w:themeShade="BF"/>
      <w:sz w:val="28"/>
      <w:szCs w:val="28"/>
      <w:lang w:eastAsia="en-GB"/>
    </w:rPr>
  </w:style>
  <w:style w:type="paragraph" w:styleId="Heading2">
    <w:name w:val="heading 2"/>
    <w:basedOn w:val="Normal"/>
    <w:next w:val="Text1"/>
    <w:link w:val="Heading2Char"/>
    <w:uiPriority w:val="9"/>
    <w:semiHidden/>
    <w:unhideWhenUsed/>
    <w:rsid w:val="00946DA5"/>
    <w:pPr>
      <w:keepNext/>
      <w:tabs>
        <w:tab w:val="num" w:pos="850"/>
      </w:tabs>
      <w:spacing w:before="120" w:after="120"/>
      <w:ind w:left="850" w:hanging="850"/>
      <w:jc w:val="both"/>
      <w:outlineLvl w:val="1"/>
    </w:pPr>
    <w:rPr>
      <w:rFonts w:eastAsiaTheme="majorEastAsia"/>
      <w:b/>
      <w:bCs/>
      <w:sz w:val="24"/>
      <w:szCs w:val="26"/>
    </w:rPr>
  </w:style>
  <w:style w:type="paragraph" w:styleId="Heading3">
    <w:name w:val="heading 3"/>
    <w:basedOn w:val="Normal"/>
    <w:next w:val="Normal"/>
    <w:link w:val="Heading3Char"/>
    <w:uiPriority w:val="9"/>
    <w:semiHidden/>
    <w:unhideWhenUsed/>
    <w:qFormat/>
    <w:rsid w:val="007A45D3"/>
    <w:pPr>
      <w:keepNext/>
      <w:keepLines/>
      <w:spacing w:before="40"/>
      <w:outlineLvl w:val="2"/>
    </w:pPr>
    <w:rPr>
      <w:rFonts w:eastAsiaTheme="majorEastAsia" w:cstheme="majorBidi"/>
      <w:color w:val="27646E" w:themeColor="accent1" w:themeShade="7F"/>
      <w:sz w:val="24"/>
      <w:szCs w:val="24"/>
    </w:rPr>
  </w:style>
  <w:style w:type="paragraph" w:styleId="Heading4">
    <w:name w:val="heading 4"/>
    <w:basedOn w:val="Normal"/>
    <w:next w:val="Text1"/>
    <w:link w:val="Heading4Char"/>
    <w:uiPriority w:val="9"/>
    <w:semiHidden/>
    <w:unhideWhenUsed/>
    <w:qFormat/>
    <w:rsid w:val="00946DA5"/>
    <w:pPr>
      <w:keepNext/>
      <w:tabs>
        <w:tab w:val="num" w:pos="850"/>
      </w:tabs>
      <w:spacing w:before="120" w:after="120"/>
      <w:ind w:left="850" w:hanging="850"/>
      <w:jc w:val="both"/>
      <w:outlineLvl w:val="3"/>
    </w:pPr>
    <w:rPr>
      <w:rFonts w:eastAsiaTheme="majorEastAsia"/>
      <w:bCs/>
      <w:iCs/>
      <w:sz w:val="24"/>
    </w:rPr>
  </w:style>
  <w:style w:type="paragraph" w:styleId="Heading5">
    <w:name w:val="heading 5"/>
    <w:basedOn w:val="Normal"/>
    <w:next w:val="Normal"/>
    <w:link w:val="Heading5Char"/>
    <w:uiPriority w:val="9"/>
    <w:semiHidden/>
    <w:unhideWhenUsed/>
    <w:qFormat/>
    <w:rsid w:val="00BF57EE"/>
    <w:pPr>
      <w:keepNext/>
      <w:keepLines/>
      <w:spacing w:before="200"/>
      <w:outlineLvl w:val="4"/>
    </w:pPr>
    <w:rPr>
      <w:rFonts w:eastAsiaTheme="majorEastAsia" w:cstheme="majorBidi"/>
      <w:color w:val="27646E" w:themeColor="accent1" w:themeShade="7F"/>
    </w:rPr>
  </w:style>
  <w:style w:type="paragraph" w:styleId="Heading6">
    <w:name w:val="heading 6"/>
    <w:basedOn w:val="Normal"/>
    <w:next w:val="Normal"/>
    <w:link w:val="Heading6Char"/>
    <w:uiPriority w:val="9"/>
    <w:semiHidden/>
    <w:unhideWhenUsed/>
    <w:qFormat/>
    <w:rsid w:val="00BF57EE"/>
    <w:pPr>
      <w:keepNext/>
      <w:keepLines/>
      <w:spacing w:before="200"/>
      <w:outlineLvl w:val="5"/>
    </w:pPr>
    <w:rPr>
      <w:rFonts w:eastAsiaTheme="majorEastAsia" w:cstheme="majorBidi"/>
      <w:i/>
      <w:iCs/>
      <w:color w:val="27646E" w:themeColor="accent1" w:themeShade="7F"/>
    </w:rPr>
  </w:style>
  <w:style w:type="paragraph" w:styleId="Heading7">
    <w:name w:val="heading 7"/>
    <w:basedOn w:val="Normal"/>
    <w:next w:val="Normal"/>
    <w:link w:val="Heading7Char"/>
    <w:uiPriority w:val="9"/>
    <w:semiHidden/>
    <w:unhideWhenUsed/>
    <w:qFormat/>
    <w:rsid w:val="00BF57EE"/>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BF57EE"/>
    <w:pPr>
      <w:keepNext/>
      <w:keepLines/>
      <w:spacing w:before="20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BF57EE"/>
    <w:pPr>
      <w:keepNext/>
      <w:keepLines/>
      <w:spacing w:before="200"/>
      <w:outlineLvl w:val="8"/>
    </w:pPr>
    <w:rPr>
      <w:rFonts w:eastAsiaTheme="majorEastAsia" w:cstheme="majorBidi"/>
      <w:i/>
      <w:iCs/>
      <w:color w:val="404040" w:themeColor="text1" w:themeTint="BF"/>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F24D18"/>
    <w:rPr>
      <w:rFonts w:ascii="EC Square Sans Pro" w:hAnsi="EC Square Sans Pro"/>
      <w:color w:val="0000FF"/>
      <w:shd w:val="clear" w:color="auto" w:fill="auto"/>
      <w:lang w:val="en-GB"/>
    </w:rPr>
  </w:style>
  <w:style w:type="paragraph" w:customStyle="1" w:styleId="Pagedecouverture">
    <w:name w:val="Page de couverture"/>
    <w:basedOn w:val="Normal"/>
    <w:next w:val="Normal"/>
    <w:link w:val="PagedecouvertureChar"/>
    <w:rsid w:val="00F24D18"/>
    <w:pPr>
      <w:jc w:val="both"/>
    </w:pPr>
    <w:rPr>
      <w:sz w:val="24"/>
    </w:rPr>
  </w:style>
  <w:style w:type="paragraph" w:styleId="Header">
    <w:name w:val="header"/>
    <w:basedOn w:val="Normal"/>
    <w:link w:val="HeaderChar"/>
    <w:uiPriority w:val="99"/>
    <w:unhideWhenUsed/>
    <w:rsid w:val="00F24D18"/>
    <w:pPr>
      <w:tabs>
        <w:tab w:val="center" w:pos="4536"/>
        <w:tab w:val="right" w:pos="9072"/>
      </w:tabs>
    </w:pPr>
    <w:rPr>
      <w:rFonts w:cstheme="minorBidi"/>
    </w:rPr>
  </w:style>
  <w:style w:type="character" w:customStyle="1" w:styleId="HeaderChar">
    <w:name w:val="Header Char"/>
    <w:basedOn w:val="DefaultParagraphFont"/>
    <w:link w:val="Header"/>
    <w:uiPriority w:val="99"/>
    <w:rsid w:val="00F24D18"/>
    <w:rPr>
      <w:rFonts w:ascii="EC Square Sans Pro" w:hAnsi="EC Square Sans Pro"/>
      <w:sz w:val="20"/>
      <w:lang w:val="en-GB"/>
    </w:rPr>
  </w:style>
  <w:style w:type="paragraph" w:styleId="Footer">
    <w:name w:val="footer"/>
    <w:basedOn w:val="Normal"/>
    <w:link w:val="FooterChar"/>
    <w:uiPriority w:val="99"/>
    <w:unhideWhenUsed/>
    <w:rsid w:val="00F24D18"/>
    <w:pPr>
      <w:tabs>
        <w:tab w:val="center" w:pos="4536"/>
        <w:tab w:val="right" w:pos="9072"/>
      </w:tabs>
    </w:pPr>
    <w:rPr>
      <w:rFonts w:cstheme="minorBidi"/>
    </w:rPr>
  </w:style>
  <w:style w:type="character" w:customStyle="1" w:styleId="FooterChar">
    <w:name w:val="Footer Char"/>
    <w:basedOn w:val="DefaultParagraphFont"/>
    <w:link w:val="Footer"/>
    <w:uiPriority w:val="99"/>
    <w:rsid w:val="00F24D18"/>
    <w:rPr>
      <w:rFonts w:ascii="EC Square Sans Pro" w:hAnsi="EC Square Sans Pro"/>
      <w:sz w:val="20"/>
      <w:lang w:val="en-GB"/>
    </w:rPr>
  </w:style>
  <w:style w:type="paragraph" w:customStyle="1" w:styleId="Forewordbodytext">
    <w:name w:val="Foreword body text"/>
    <w:basedOn w:val="Pagedecouverture"/>
    <w:link w:val="ForewordbodytextChar"/>
    <w:rsid w:val="00C65460"/>
    <w:rPr>
      <w:noProof/>
      <w:sz w:val="18"/>
      <w:lang w:eastAsia="fr-BE"/>
    </w:rPr>
  </w:style>
  <w:style w:type="paragraph" w:customStyle="1" w:styleId="Bulletsgreen">
    <w:name w:val="Bullets green"/>
    <w:basedOn w:val="Forewordbodytext"/>
    <w:link w:val="BulletsgreenChar"/>
    <w:qFormat/>
    <w:rsid w:val="001D7B74"/>
    <w:pPr>
      <w:ind w:left="720" w:hanging="360"/>
    </w:pPr>
    <w:rPr>
      <w:sz w:val="20"/>
      <w:lang w:val="en-IE"/>
    </w:rPr>
  </w:style>
  <w:style w:type="character" w:customStyle="1" w:styleId="PagedecouvertureChar">
    <w:name w:val="Page de couverture Char"/>
    <w:basedOn w:val="DefaultParagraphFont"/>
    <w:link w:val="Pagedecouverture"/>
    <w:rsid w:val="00FE09E6"/>
    <w:rPr>
      <w:rFonts w:ascii="EC Square Sans Pro" w:hAnsi="EC Square Sans Pro" w:cs="Times New Roman"/>
      <w:sz w:val="24"/>
      <w:lang w:val="en-GB"/>
    </w:rPr>
  </w:style>
  <w:style w:type="character" w:customStyle="1" w:styleId="ForewordbodytextChar">
    <w:name w:val="Foreword body text Char"/>
    <w:basedOn w:val="PagedecouvertureChar"/>
    <w:link w:val="Forewordbodytext"/>
    <w:rsid w:val="00C65460"/>
    <w:rPr>
      <w:rFonts w:ascii="EC Square Sans Pro" w:hAnsi="EC Square Sans Pro" w:cs="Times New Roman"/>
      <w:noProof/>
      <w:sz w:val="18"/>
      <w:lang w:val="en-GB" w:eastAsia="fr-BE"/>
    </w:rPr>
  </w:style>
  <w:style w:type="paragraph" w:customStyle="1" w:styleId="HeaderCoverPage">
    <w:name w:val="Header Cover Page"/>
    <w:basedOn w:val="Normal"/>
    <w:link w:val="HeaderCoverPageChar"/>
    <w:rsid w:val="00F24D18"/>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DefaultParagraphFont"/>
    <w:link w:val="HeaderCoverPage"/>
    <w:rsid w:val="00F24D18"/>
    <w:rPr>
      <w:rFonts w:ascii="Times New Roman" w:hAnsi="Times New Roman" w:cs="Times New Roman"/>
      <w:sz w:val="24"/>
      <w:lang w:val="en-GB"/>
    </w:rPr>
  </w:style>
  <w:style w:type="paragraph" w:customStyle="1" w:styleId="SubtitleAMPR">
    <w:name w:val="Subtitle AMPR"/>
    <w:basedOn w:val="Title2Executivesummary"/>
    <w:link w:val="SubtitleAMPRChar"/>
    <w:rsid w:val="00FE09E6"/>
    <w:rPr>
      <w:color w:val="65BBC8"/>
    </w:rPr>
  </w:style>
  <w:style w:type="character" w:customStyle="1" w:styleId="BulletsgreenChar">
    <w:name w:val="Bullets green Char"/>
    <w:basedOn w:val="ForewordbodytextChar"/>
    <w:link w:val="Bulletsgreen"/>
    <w:rsid w:val="001D7B74"/>
    <w:rPr>
      <w:rFonts w:ascii="EC Square Sans Pro" w:hAnsi="EC Square Sans Pro" w:cs="Times New Roman"/>
      <w:noProof/>
      <w:sz w:val="20"/>
      <w:lang w:val="en-IE" w:eastAsia="fr-BE"/>
    </w:rPr>
  </w:style>
  <w:style w:type="character" w:customStyle="1" w:styleId="Heading1Char">
    <w:name w:val="Heading 1 Char"/>
    <w:basedOn w:val="DefaultParagraphFont"/>
    <w:link w:val="Heading1"/>
    <w:uiPriority w:val="9"/>
    <w:rsid w:val="001626C5"/>
    <w:rPr>
      <w:rFonts w:asciiTheme="majorHAnsi" w:eastAsiaTheme="majorEastAsia" w:hAnsiTheme="majorHAnsi" w:cstheme="majorBidi"/>
      <w:b/>
      <w:bCs/>
      <w:color w:val="3B97A5" w:themeColor="accent1" w:themeShade="BF"/>
      <w:sz w:val="28"/>
      <w:szCs w:val="28"/>
      <w:lang w:eastAsia="en-GB"/>
    </w:rPr>
  </w:style>
  <w:style w:type="paragraph" w:styleId="Title">
    <w:name w:val="Title"/>
    <w:basedOn w:val="Normal"/>
    <w:next w:val="Normal"/>
    <w:link w:val="TitleChar"/>
    <w:uiPriority w:val="10"/>
    <w:rsid w:val="001626C5"/>
    <w:pPr>
      <w:pBdr>
        <w:bottom w:val="single" w:sz="8" w:space="4" w:color="65BBC8" w:themeColor="accent1"/>
      </w:pBdr>
      <w:spacing w:after="300"/>
      <w:contextualSpacing/>
    </w:pPr>
    <w:rPr>
      <w:rFonts w:eastAsiaTheme="majorEastAsia" w:cstheme="majorBidi"/>
      <w:color w:val="A1A1A1" w:themeColor="text2" w:themeShade="BF"/>
      <w:spacing w:val="5"/>
      <w:kern w:val="28"/>
      <w:sz w:val="52"/>
      <w:szCs w:val="52"/>
    </w:rPr>
  </w:style>
  <w:style w:type="character" w:customStyle="1" w:styleId="TitleChar">
    <w:name w:val="Title Char"/>
    <w:basedOn w:val="DefaultParagraphFont"/>
    <w:link w:val="Title"/>
    <w:uiPriority w:val="10"/>
    <w:rsid w:val="001626C5"/>
    <w:rPr>
      <w:rFonts w:asciiTheme="majorHAnsi" w:eastAsiaTheme="majorEastAsia" w:hAnsiTheme="majorHAnsi" w:cstheme="majorBidi"/>
      <w:color w:val="A1A1A1" w:themeColor="text2" w:themeShade="BF"/>
      <w:spacing w:val="5"/>
      <w:kern w:val="28"/>
      <w:sz w:val="52"/>
      <w:szCs w:val="52"/>
    </w:rPr>
  </w:style>
  <w:style w:type="paragraph" w:styleId="NormalWeb">
    <w:name w:val="Normal (Web)"/>
    <w:basedOn w:val="Normal"/>
    <w:uiPriority w:val="99"/>
    <w:unhideWhenUsed/>
    <w:rsid w:val="003D3F1A"/>
    <w:rPr>
      <w:rFonts w:eastAsia="Times New Roman"/>
      <w:szCs w:val="20"/>
      <w:lang w:eastAsia="zh-CN"/>
    </w:rPr>
  </w:style>
  <w:style w:type="table" w:styleId="TableGrid">
    <w:name w:val="Table Grid"/>
    <w:aliases w:val="Document Table,CV1,Standard table format,Simple table"/>
    <w:basedOn w:val="TableNormal"/>
    <w:uiPriority w:val="59"/>
    <w:rsid w:val="00F276A0"/>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 Char Char,Footnote Text Char Char Char Char Char,Footnote Text Char1 Char1 Char,Footnote Text Char Char Char1 Char,Footnote Text Char1 Char Char Char Char Char"/>
    <w:basedOn w:val="Normal"/>
    <w:link w:val="FootnoteTextChar"/>
    <w:uiPriority w:val="99"/>
    <w:unhideWhenUsed/>
    <w:qFormat/>
    <w:rsid w:val="00924AC4"/>
    <w:pPr>
      <w:tabs>
        <w:tab w:val="left" w:pos="426"/>
      </w:tabs>
      <w:ind w:left="426" w:hanging="426"/>
    </w:pPr>
    <w:rPr>
      <w:rFonts w:eastAsia="Calibri"/>
      <w:noProof/>
      <w:sz w:val="16"/>
      <w:szCs w:val="20"/>
      <w:lang w:eastAsia="zh-CN"/>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
    <w:basedOn w:val="DefaultParagraphFont"/>
    <w:link w:val="FootnoteText"/>
    <w:uiPriority w:val="99"/>
    <w:qFormat/>
    <w:rsid w:val="00924AC4"/>
    <w:rPr>
      <w:rFonts w:ascii="EC Square Sans Pro" w:eastAsia="Calibri" w:hAnsi="EC Square Sans Pro" w:cs="Times New Roman"/>
      <w:noProof/>
      <w:sz w:val="16"/>
      <w:szCs w:val="20"/>
      <w:lang w:val="en-GB" w:eastAsia="zh-CN"/>
    </w:r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sid w:val="006921AC"/>
    <w:rPr>
      <w:rFonts w:ascii="EC Square Sans Pro" w:hAnsi="EC Square Sans Pro"/>
      <w:sz w:val="16"/>
      <w:szCs w:val="20"/>
      <w:vertAlign w:val="superscript"/>
      <w:lang w:val="en-GB"/>
    </w:rPr>
  </w:style>
  <w:style w:type="paragraph" w:customStyle="1" w:styleId="TITLE3Executivesummary">
    <w:name w:val="TITLE 3 / Executive summary"/>
    <w:basedOn w:val="Normal"/>
    <w:link w:val="TITLE3ExecutivesummaryChar"/>
    <w:qFormat/>
    <w:rsid w:val="00812036"/>
    <w:pPr>
      <w:spacing w:before="240" w:after="240"/>
      <w:ind w:left="720" w:hanging="360"/>
      <w:outlineLvl w:val="2"/>
    </w:pPr>
    <w:rPr>
      <w:b/>
      <w:color w:val="08AA74" w:themeColor="accent3"/>
      <w:sz w:val="24"/>
      <w:lang w:eastAsia="zh-CN"/>
    </w:rPr>
  </w:style>
  <w:style w:type="character" w:customStyle="1" w:styleId="SubtitleAMPRChar">
    <w:name w:val="Subtitle AMPR Char"/>
    <w:basedOn w:val="Title2ExecutivesummaryChar"/>
    <w:link w:val="SubtitleAMPR"/>
    <w:rsid w:val="00FE09E6"/>
    <w:rPr>
      <w:rFonts w:ascii="EC Square Sans Pro" w:eastAsia="EC Square Sans Pro" w:hAnsi="EC Square Sans Pro" w:cs="Times New Roman"/>
      <w:b/>
      <w:color w:val="65BBC8"/>
      <w:sz w:val="28"/>
      <w:szCs w:val="21"/>
      <w:lang w:val="en-GB" w:eastAsia="zh-CN"/>
    </w:rPr>
  </w:style>
  <w:style w:type="paragraph" w:customStyle="1" w:styleId="footnote">
    <w:name w:val="footnote"/>
    <w:basedOn w:val="Normal"/>
    <w:next w:val="Normal"/>
    <w:link w:val="FootnoteReference"/>
    <w:uiPriority w:val="99"/>
    <w:rsid w:val="000D4941"/>
    <w:pPr>
      <w:ind w:left="720" w:hanging="360"/>
      <w:jc w:val="both"/>
    </w:pPr>
    <w:rPr>
      <w:rFonts w:cstheme="minorBidi"/>
      <w:sz w:val="16"/>
      <w:szCs w:val="20"/>
      <w:vertAlign w:val="superscript"/>
    </w:rPr>
  </w:style>
  <w:style w:type="character" w:styleId="CommentReference">
    <w:name w:val="annotation reference"/>
    <w:basedOn w:val="DefaultParagraphFont"/>
    <w:uiPriority w:val="99"/>
    <w:unhideWhenUsed/>
    <w:qFormat/>
    <w:rsid w:val="00F276A0"/>
    <w:rPr>
      <w:rFonts w:ascii="EC Square Sans Pro" w:hAnsi="EC Square Sans Pro"/>
      <w:w w:val="100"/>
      <w:sz w:val="16"/>
      <w:szCs w:val="16"/>
      <w:shd w:val="clear" w:color="auto" w:fill="auto"/>
      <w:lang w:val="en-GB"/>
    </w:rPr>
  </w:style>
  <w:style w:type="paragraph" w:customStyle="1" w:styleId="Annualmgntandperformance">
    <w:name w:val="Annual mgnt and performance"/>
    <w:basedOn w:val="TITLE1Report"/>
    <w:link w:val="AnnualmgntandperformanceChar"/>
    <w:qFormat/>
    <w:rsid w:val="00FE09E6"/>
    <w:rPr>
      <w:color w:val="65BBC8"/>
      <w:lang w:eastAsia="zh-CN"/>
    </w:rPr>
  </w:style>
  <w:style w:type="paragraph" w:customStyle="1" w:styleId="bulletsblue">
    <w:name w:val="bullets blue"/>
    <w:basedOn w:val="BodyText1"/>
    <w:link w:val="bulletsblueChar"/>
    <w:qFormat/>
    <w:rsid w:val="00242FF0"/>
    <w:pPr>
      <w:numPr>
        <w:numId w:val="87"/>
      </w:numPr>
      <w:spacing w:after="240"/>
      <w:contextualSpacing/>
    </w:pPr>
    <w:rPr>
      <w:lang w:val="en-GB"/>
    </w:rPr>
  </w:style>
  <w:style w:type="paragraph" w:styleId="BalloonText">
    <w:name w:val="Balloon Text"/>
    <w:basedOn w:val="Normal"/>
    <w:link w:val="BalloonTextChar"/>
    <w:uiPriority w:val="99"/>
    <w:semiHidden/>
    <w:unhideWhenUsed/>
    <w:rsid w:val="00F276A0"/>
    <w:rPr>
      <w:rFonts w:cs="Segoe UI"/>
      <w:sz w:val="18"/>
      <w:szCs w:val="18"/>
    </w:rPr>
  </w:style>
  <w:style w:type="character" w:customStyle="1" w:styleId="BalloonTextChar">
    <w:name w:val="Balloon Text Char"/>
    <w:basedOn w:val="DefaultParagraphFont"/>
    <w:link w:val="BalloonText"/>
    <w:uiPriority w:val="99"/>
    <w:semiHidden/>
    <w:rsid w:val="00F276A0"/>
    <w:rPr>
      <w:rFonts w:ascii="EC Square Sans Pro" w:hAnsi="EC Square Sans Pro" w:cs="Segoe UI"/>
      <w:sz w:val="18"/>
      <w:szCs w:val="18"/>
      <w:lang w:val="en-GB"/>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OBC Bullet"/>
    <w:basedOn w:val="Normal"/>
    <w:link w:val="ListParagraphChar"/>
    <w:uiPriority w:val="34"/>
    <w:qFormat/>
    <w:rsid w:val="006D60C8"/>
    <w:pPr>
      <w:ind w:left="720"/>
    </w:pPr>
    <w:rPr>
      <w:rFonts w:eastAsia="Calibri"/>
      <w:szCs w:val="20"/>
      <w:lang w:eastAsia="zh-CN"/>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rsid w:val="006D60C8"/>
    <w:rPr>
      <w:rFonts w:ascii="EC Square Sans Pro" w:eastAsia="Calibri" w:hAnsi="EC Square Sans Pro" w:cs="Times New Roman"/>
      <w:sz w:val="20"/>
      <w:szCs w:val="20"/>
      <w:lang w:val="en-GB" w:eastAsia="zh-CN"/>
    </w:rPr>
  </w:style>
  <w:style w:type="paragraph" w:styleId="CommentSubject">
    <w:name w:val="annotation subject"/>
    <w:basedOn w:val="Normal"/>
    <w:next w:val="Normal"/>
    <w:link w:val="CommentSubjectChar"/>
    <w:uiPriority w:val="99"/>
    <w:semiHidden/>
    <w:unhideWhenUsed/>
    <w:rsid w:val="0022044E"/>
    <w:pPr>
      <w:spacing w:after="200"/>
    </w:pPr>
    <w:rPr>
      <w:rFonts w:cstheme="minorBidi"/>
      <w:b/>
      <w:bCs/>
      <w:szCs w:val="20"/>
    </w:rPr>
  </w:style>
  <w:style w:type="character" w:customStyle="1" w:styleId="CommentSubjectChar">
    <w:name w:val="Comment Subject Char"/>
    <w:basedOn w:val="DefaultParagraphFont"/>
    <w:link w:val="CommentSubject"/>
    <w:uiPriority w:val="99"/>
    <w:semiHidden/>
    <w:rsid w:val="0022044E"/>
    <w:rPr>
      <w:rFonts w:ascii="EC Square Sans Pro" w:hAnsi="EC Square Sans Pro"/>
      <w:b/>
      <w:bCs/>
      <w:sz w:val="20"/>
      <w:szCs w:val="20"/>
      <w:lang w:val="en-GB"/>
    </w:rPr>
  </w:style>
  <w:style w:type="character" w:customStyle="1" w:styleId="st">
    <w:name w:val="st"/>
    <w:basedOn w:val="DefaultParagraphFont"/>
    <w:rsid w:val="00C94EA2"/>
    <w:rPr>
      <w:rFonts w:ascii="EC Square Sans Pro" w:hAnsi="EC Square Sans Pro"/>
      <w:lang w:val="en-GB"/>
    </w:rPr>
  </w:style>
  <w:style w:type="paragraph" w:styleId="Revision">
    <w:name w:val="Revision"/>
    <w:hidden/>
    <w:uiPriority w:val="99"/>
    <w:semiHidden/>
    <w:rsid w:val="00556021"/>
  </w:style>
  <w:style w:type="character" w:customStyle="1" w:styleId="Heading3Char">
    <w:name w:val="Heading 3 Char"/>
    <w:basedOn w:val="DefaultParagraphFont"/>
    <w:link w:val="Heading3"/>
    <w:uiPriority w:val="9"/>
    <w:semiHidden/>
    <w:rsid w:val="007A45D3"/>
    <w:rPr>
      <w:rFonts w:asciiTheme="majorHAnsi" w:eastAsiaTheme="majorEastAsia" w:hAnsiTheme="majorHAnsi" w:cstheme="majorBidi"/>
      <w:color w:val="27646E" w:themeColor="accent1" w:themeShade="7F"/>
      <w:sz w:val="24"/>
      <w:szCs w:val="24"/>
    </w:rPr>
  </w:style>
  <w:style w:type="paragraph" w:customStyle="1" w:styleId="Text1">
    <w:name w:val="Text 1"/>
    <w:basedOn w:val="Normal"/>
    <w:rsid w:val="00956098"/>
    <w:pPr>
      <w:spacing w:before="120" w:after="120"/>
      <w:ind w:left="850"/>
      <w:jc w:val="both"/>
    </w:pPr>
    <w:rPr>
      <w:rFonts w:eastAsia="Times New Roman"/>
      <w:sz w:val="24"/>
      <w:szCs w:val="24"/>
    </w:rPr>
  </w:style>
  <w:style w:type="character" w:styleId="Strong">
    <w:name w:val="Strong"/>
    <w:basedOn w:val="DefaultParagraphFont"/>
    <w:uiPriority w:val="22"/>
    <w:qFormat/>
    <w:rsid w:val="004C3093"/>
    <w:rPr>
      <w:rFonts w:ascii="EC Square Sans Pro" w:hAnsi="EC Square Sans Pro"/>
      <w:b/>
      <w:bCs/>
      <w:lang w:val="en-GB"/>
    </w:rPr>
  </w:style>
  <w:style w:type="character" w:customStyle="1" w:styleId="Heading2Char">
    <w:name w:val="Heading 2 Char"/>
    <w:basedOn w:val="DefaultParagraphFont"/>
    <w:link w:val="Heading2"/>
    <w:uiPriority w:val="9"/>
    <w:semiHidden/>
    <w:rsid w:val="00946DA5"/>
    <w:rPr>
      <w:rFonts w:ascii="EC Square Sans Pro" w:eastAsiaTheme="majorEastAsia" w:hAnsi="EC Square Sans Pro" w:cs="Times New Roman"/>
      <w:b/>
      <w:bCs/>
      <w:sz w:val="24"/>
      <w:szCs w:val="26"/>
      <w:lang w:val="en-GB"/>
    </w:rPr>
  </w:style>
  <w:style w:type="character" w:customStyle="1" w:styleId="Heading4Char">
    <w:name w:val="Heading 4 Char"/>
    <w:basedOn w:val="DefaultParagraphFont"/>
    <w:link w:val="Heading4"/>
    <w:uiPriority w:val="9"/>
    <w:semiHidden/>
    <w:rsid w:val="00946DA5"/>
    <w:rPr>
      <w:rFonts w:ascii="EC Square Sans Pro" w:eastAsiaTheme="majorEastAsia" w:hAnsi="EC Square Sans Pro" w:cs="Times New Roman"/>
      <w:bCs/>
      <w:iCs/>
      <w:sz w:val="24"/>
      <w:lang w:val="en-GB"/>
    </w:rPr>
  </w:style>
  <w:style w:type="character" w:customStyle="1" w:styleId="TITLE3ExecutivesummaryChar">
    <w:name w:val="TITLE 3 / Executive summary Char"/>
    <w:basedOn w:val="DefaultParagraphFont"/>
    <w:link w:val="TITLE3Executivesummary"/>
    <w:rsid w:val="000674B8"/>
    <w:rPr>
      <w:rFonts w:ascii="EC Square Sans Pro" w:hAnsi="EC Square Sans Pro" w:cs="Times New Roman"/>
      <w:b/>
      <w:color w:val="08AA74" w:themeColor="accent3"/>
      <w:sz w:val="24"/>
      <w:lang w:val="en-GB" w:eastAsia="zh-CN"/>
    </w:rPr>
  </w:style>
  <w:style w:type="character" w:styleId="Hyperlink">
    <w:name w:val="Hyperlink"/>
    <w:basedOn w:val="DefaultParagraphFont"/>
    <w:uiPriority w:val="99"/>
    <w:unhideWhenUsed/>
    <w:rsid w:val="00C03B25"/>
    <w:rPr>
      <w:rFonts w:ascii="EC Square Sans Pro" w:hAnsi="EC Square Sans Pro"/>
      <w:strike w:val="0"/>
      <w:dstrike w:val="0"/>
      <w:color w:val="auto"/>
      <w:u w:val="none" w:color="65BBC8"/>
      <w:effect w:val="none"/>
      <w:shd w:val="clear" w:color="auto" w:fill="auto"/>
      <w:lang w:val="en-GB"/>
    </w:rPr>
  </w:style>
  <w:style w:type="character" w:customStyle="1" w:styleId="leaf">
    <w:name w:val="leaf"/>
    <w:basedOn w:val="DefaultParagraphFont"/>
    <w:rsid w:val="00946DA5"/>
    <w:rPr>
      <w:rFonts w:ascii="EC Square Sans Pro" w:hAnsi="EC Square Sans Pro"/>
      <w:lang w:val="en-GB"/>
    </w:rPr>
  </w:style>
  <w:style w:type="character" w:styleId="Emphasis">
    <w:name w:val="Emphasis"/>
    <w:aliases w:val="AMPR Emphasis"/>
    <w:basedOn w:val="DefaultParagraphFont"/>
    <w:uiPriority w:val="20"/>
    <w:qFormat/>
    <w:rsid w:val="00946DA5"/>
    <w:rPr>
      <w:rFonts w:ascii="EC Square Sans Pro" w:hAnsi="EC Square Sans Pro"/>
      <w:i/>
      <w:iCs/>
      <w:lang w:val="en-GB"/>
    </w:rPr>
  </w:style>
  <w:style w:type="table" w:styleId="LightShading-Accent6">
    <w:name w:val="Light Shading Accent 6"/>
    <w:basedOn w:val="TableNormal"/>
    <w:uiPriority w:val="60"/>
    <w:rsid w:val="00946DA5"/>
    <w:rPr>
      <w:color w:val="E6A518" w:themeColor="accent6" w:themeShade="BF"/>
      <w:sz w:val="20"/>
      <w:szCs w:val="20"/>
      <w:lang w:eastAsia="en-GB"/>
    </w:rPr>
    <w:tblPr>
      <w:tblStyleRowBandSize w:val="1"/>
      <w:tblStyleColBandSize w:val="1"/>
      <w:tblBorders>
        <w:top w:val="single" w:sz="8" w:space="0" w:color="EFC465" w:themeColor="accent6"/>
        <w:bottom w:val="single" w:sz="8" w:space="0" w:color="EFC465" w:themeColor="accent6"/>
      </w:tblBorders>
    </w:tblPr>
    <w:tblStylePr w:type="fir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lastRow">
      <w:pPr>
        <w:spacing w:before="0" w:after="0" w:line="240" w:lineRule="auto"/>
      </w:pPr>
      <w:rPr>
        <w:b/>
        <w:bCs/>
      </w:rPr>
      <w:tblPr/>
      <w:tcPr>
        <w:tcBorders>
          <w:top w:val="single" w:sz="8" w:space="0" w:color="EFC465" w:themeColor="accent6"/>
          <w:left w:val="nil"/>
          <w:bottom w:val="single" w:sz="8" w:space="0" w:color="EFC46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0D8" w:themeFill="accent6" w:themeFillTint="3F"/>
      </w:tcPr>
    </w:tblStylePr>
    <w:tblStylePr w:type="band1Horz">
      <w:tblPr/>
      <w:tcPr>
        <w:tcBorders>
          <w:left w:val="nil"/>
          <w:right w:val="nil"/>
          <w:insideH w:val="nil"/>
          <w:insideV w:val="nil"/>
        </w:tcBorders>
        <w:shd w:val="clear" w:color="auto" w:fill="FBF0D8" w:themeFill="accent6" w:themeFillTint="3F"/>
      </w:tcPr>
    </w:tblStylePr>
  </w:style>
  <w:style w:type="paragraph" w:styleId="EndnoteText">
    <w:name w:val="endnote text"/>
    <w:basedOn w:val="Normal"/>
    <w:link w:val="EndnoteTextChar"/>
    <w:uiPriority w:val="99"/>
    <w:semiHidden/>
    <w:unhideWhenUsed/>
    <w:rsid w:val="00946DA5"/>
    <w:rPr>
      <w:rFonts w:eastAsia="Calibri" w:cstheme="minorBidi"/>
      <w:szCs w:val="20"/>
    </w:rPr>
  </w:style>
  <w:style w:type="character" w:customStyle="1" w:styleId="EndnoteTextChar">
    <w:name w:val="Endnote Text Char"/>
    <w:basedOn w:val="DefaultParagraphFont"/>
    <w:link w:val="EndnoteText"/>
    <w:uiPriority w:val="99"/>
    <w:semiHidden/>
    <w:rsid w:val="00946DA5"/>
    <w:rPr>
      <w:rFonts w:ascii="Calibri" w:eastAsia="Calibri" w:hAnsi="Calibri"/>
      <w:sz w:val="20"/>
      <w:szCs w:val="20"/>
    </w:rPr>
  </w:style>
  <w:style w:type="character" w:styleId="EndnoteReference">
    <w:name w:val="endnote reference"/>
    <w:basedOn w:val="DefaultParagraphFont"/>
    <w:uiPriority w:val="99"/>
    <w:semiHidden/>
    <w:unhideWhenUsed/>
    <w:rsid w:val="00946DA5"/>
    <w:rPr>
      <w:rFonts w:ascii="EC Square Sans Pro" w:hAnsi="EC Square Sans Pro"/>
      <w:vertAlign w:val="superscript"/>
      <w:lang w:val="en-GB"/>
    </w:rPr>
  </w:style>
  <w:style w:type="paragraph" w:customStyle="1" w:styleId="PSParagraphTitle">
    <w:name w:val="PS_Paragraph_Title"/>
    <w:basedOn w:val="Normal"/>
    <w:link w:val="PSParagraphTitleChar"/>
    <w:qFormat/>
    <w:rsid w:val="00946DA5"/>
    <w:pPr>
      <w:spacing w:before="120" w:after="120"/>
      <w:jc w:val="both"/>
    </w:pPr>
    <w:rPr>
      <w:rFonts w:eastAsia="Times New Roman"/>
      <w:b/>
      <w:i/>
      <w:szCs w:val="20"/>
      <w:lang w:eastAsia="en-GB"/>
    </w:rPr>
  </w:style>
  <w:style w:type="character" w:customStyle="1" w:styleId="PSParagraphTitleChar">
    <w:name w:val="PS_Paragraph_Title Char"/>
    <w:basedOn w:val="DefaultParagraphFont"/>
    <w:link w:val="PSParagraphTitle"/>
    <w:rsid w:val="00946DA5"/>
    <w:rPr>
      <w:rFonts w:ascii="EC Square Sans Pro" w:eastAsia="Times New Roman" w:hAnsi="EC Square Sans Pro" w:cs="Times New Roman"/>
      <w:b/>
      <w:i/>
      <w:sz w:val="20"/>
      <w:szCs w:val="20"/>
      <w:lang w:val="en-GB" w:eastAsia="en-GB"/>
    </w:rPr>
  </w:style>
  <w:style w:type="paragraph" w:customStyle="1" w:styleId="PSParagraphText">
    <w:name w:val="PS_Paragraph_Text"/>
    <w:basedOn w:val="Normal"/>
    <w:link w:val="PSParagraphTextChar"/>
    <w:qFormat/>
    <w:rsid w:val="00946DA5"/>
    <w:pPr>
      <w:spacing w:after="120"/>
      <w:jc w:val="both"/>
    </w:pPr>
    <w:rPr>
      <w:rFonts w:eastAsia="Times New Roman"/>
      <w:szCs w:val="20"/>
      <w:lang w:eastAsia="en-GB"/>
    </w:rPr>
  </w:style>
  <w:style w:type="character" w:customStyle="1" w:styleId="PSParagraphTextChar">
    <w:name w:val="PS_Paragraph_Text Char"/>
    <w:basedOn w:val="DefaultParagraphFont"/>
    <w:link w:val="PSParagraphText"/>
    <w:rsid w:val="00946DA5"/>
    <w:rPr>
      <w:rFonts w:ascii="EC Square Sans Pro" w:eastAsia="Times New Roman" w:hAnsi="EC Square Sans Pro" w:cs="Times New Roman"/>
      <w:sz w:val="20"/>
      <w:szCs w:val="20"/>
      <w:lang w:val="en-GB" w:eastAsia="en-GB"/>
    </w:rPr>
  </w:style>
  <w:style w:type="paragraph" w:styleId="ListBullet">
    <w:name w:val="List Bullet"/>
    <w:basedOn w:val="Normal"/>
    <w:uiPriority w:val="99"/>
    <w:semiHidden/>
    <w:unhideWhenUsed/>
    <w:rsid w:val="00946DA5"/>
    <w:pPr>
      <w:tabs>
        <w:tab w:val="num" w:pos="360"/>
      </w:tabs>
      <w:spacing w:before="120" w:after="120"/>
      <w:ind w:left="360" w:hanging="360"/>
      <w:contextualSpacing/>
      <w:jc w:val="both"/>
    </w:pPr>
    <w:rPr>
      <w:sz w:val="24"/>
    </w:rPr>
  </w:style>
  <w:style w:type="paragraph" w:styleId="ListBullet2">
    <w:name w:val="List Bullet 2"/>
    <w:basedOn w:val="Normal"/>
    <w:uiPriority w:val="99"/>
    <w:semiHidden/>
    <w:unhideWhenUsed/>
    <w:rsid w:val="00946DA5"/>
    <w:pPr>
      <w:tabs>
        <w:tab w:val="num" w:pos="643"/>
      </w:tabs>
      <w:spacing w:before="120" w:after="120"/>
      <w:ind w:left="643" w:hanging="360"/>
      <w:contextualSpacing/>
      <w:jc w:val="both"/>
    </w:pPr>
    <w:rPr>
      <w:sz w:val="24"/>
    </w:rPr>
  </w:style>
  <w:style w:type="paragraph" w:styleId="ListBullet3">
    <w:name w:val="List Bullet 3"/>
    <w:basedOn w:val="Normal"/>
    <w:uiPriority w:val="99"/>
    <w:semiHidden/>
    <w:unhideWhenUsed/>
    <w:rsid w:val="00946DA5"/>
    <w:pPr>
      <w:tabs>
        <w:tab w:val="num" w:pos="926"/>
      </w:tabs>
      <w:spacing w:before="120" w:after="120"/>
      <w:ind w:left="926" w:hanging="360"/>
      <w:contextualSpacing/>
      <w:jc w:val="both"/>
    </w:pPr>
    <w:rPr>
      <w:sz w:val="24"/>
    </w:rPr>
  </w:style>
  <w:style w:type="paragraph" w:styleId="ListBullet4">
    <w:name w:val="List Bullet 4"/>
    <w:basedOn w:val="Normal"/>
    <w:uiPriority w:val="99"/>
    <w:semiHidden/>
    <w:unhideWhenUsed/>
    <w:rsid w:val="00946DA5"/>
    <w:pPr>
      <w:tabs>
        <w:tab w:val="num" w:pos="1209"/>
      </w:tabs>
      <w:spacing w:before="120" w:after="120"/>
      <w:ind w:left="1209" w:hanging="360"/>
      <w:contextualSpacing/>
      <w:jc w:val="both"/>
    </w:pPr>
    <w:rPr>
      <w:sz w:val="24"/>
    </w:rPr>
  </w:style>
  <w:style w:type="table" w:styleId="LightShading-Accent5">
    <w:name w:val="Light Shading Accent 5"/>
    <w:basedOn w:val="TableNormal"/>
    <w:uiPriority w:val="60"/>
    <w:rsid w:val="00946DA5"/>
    <w:rPr>
      <w:color w:val="B76818" w:themeColor="accent5" w:themeShade="BF"/>
      <w:sz w:val="20"/>
      <w:szCs w:val="20"/>
      <w:lang w:eastAsia="en-GB"/>
    </w:rPr>
    <w:tblPr>
      <w:tblStyleRowBandSize w:val="1"/>
      <w:tblStyleColBandSize w:val="1"/>
      <w:tblBorders>
        <w:top w:val="single" w:sz="8" w:space="0" w:color="E48C32" w:themeColor="accent5"/>
        <w:bottom w:val="single" w:sz="8" w:space="0" w:color="E48C32" w:themeColor="accent5"/>
      </w:tblBorders>
    </w:tblPr>
    <w:tblStylePr w:type="fir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lastRow">
      <w:pPr>
        <w:spacing w:before="0" w:after="0" w:line="240" w:lineRule="auto"/>
      </w:pPr>
      <w:rPr>
        <w:b/>
        <w:bCs/>
      </w:rPr>
      <w:tblPr/>
      <w:tcPr>
        <w:tcBorders>
          <w:top w:val="single" w:sz="8" w:space="0" w:color="E48C32" w:themeColor="accent5"/>
          <w:left w:val="nil"/>
          <w:bottom w:val="single" w:sz="8" w:space="0" w:color="E48C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2CC" w:themeFill="accent5" w:themeFillTint="3F"/>
      </w:tcPr>
    </w:tblStylePr>
    <w:tblStylePr w:type="band1Horz">
      <w:tblPr/>
      <w:tcPr>
        <w:tcBorders>
          <w:left w:val="nil"/>
          <w:right w:val="nil"/>
          <w:insideH w:val="nil"/>
          <w:insideV w:val="nil"/>
        </w:tcBorders>
        <w:shd w:val="clear" w:color="auto" w:fill="F8E2CC" w:themeFill="accent5" w:themeFillTint="3F"/>
      </w:tcPr>
    </w:tblStylePr>
  </w:style>
  <w:style w:type="paragraph" w:styleId="TOCHeading">
    <w:name w:val="TOC Heading"/>
    <w:basedOn w:val="Normal"/>
    <w:next w:val="Normal"/>
    <w:uiPriority w:val="39"/>
    <w:unhideWhenUsed/>
    <w:qFormat/>
    <w:rsid w:val="00946DA5"/>
    <w:pPr>
      <w:spacing w:before="120" w:after="240"/>
      <w:jc w:val="center"/>
    </w:pPr>
    <w:rPr>
      <w:b/>
      <w:sz w:val="28"/>
    </w:rPr>
  </w:style>
  <w:style w:type="character" w:customStyle="1" w:styleId="bulletsblueChar">
    <w:name w:val="bullets blue Char"/>
    <w:basedOn w:val="ForewordbodytextChar"/>
    <w:link w:val="bulletsblue"/>
    <w:rsid w:val="00A42625"/>
    <w:rPr>
      <w:rFonts w:ascii="EC Square Sans Pro" w:hAnsi="EC Square Sans Pro" w:cs="Times New Roman"/>
      <w:noProof/>
      <w:color w:val="000000" w:themeColor="text1"/>
      <w:sz w:val="20"/>
      <w:lang w:val="en-GB" w:eastAsia="fr-BE"/>
    </w:rPr>
  </w:style>
  <w:style w:type="paragraph" w:customStyle="1" w:styleId="HeaderLandscape">
    <w:name w:val="HeaderLandscape"/>
    <w:basedOn w:val="Normal"/>
    <w:rsid w:val="00946DA5"/>
    <w:pPr>
      <w:tabs>
        <w:tab w:val="center" w:pos="7285"/>
        <w:tab w:val="right" w:pos="14003"/>
      </w:tabs>
      <w:spacing w:after="120"/>
      <w:jc w:val="both"/>
    </w:pPr>
    <w:rPr>
      <w:sz w:val="24"/>
    </w:rPr>
  </w:style>
  <w:style w:type="paragraph" w:customStyle="1" w:styleId="Text2">
    <w:name w:val="Text 2"/>
    <w:basedOn w:val="Normal"/>
    <w:rsid w:val="00946DA5"/>
    <w:pPr>
      <w:spacing w:before="120" w:after="120"/>
      <w:ind w:left="1417"/>
      <w:jc w:val="both"/>
    </w:pPr>
    <w:rPr>
      <w:sz w:val="24"/>
    </w:rPr>
  </w:style>
  <w:style w:type="paragraph" w:customStyle="1" w:styleId="Text3">
    <w:name w:val="Text 3"/>
    <w:basedOn w:val="Normal"/>
    <w:rsid w:val="00946DA5"/>
    <w:pPr>
      <w:spacing w:before="120" w:after="120"/>
      <w:ind w:left="1984"/>
      <w:jc w:val="both"/>
    </w:pPr>
    <w:rPr>
      <w:sz w:val="24"/>
    </w:rPr>
  </w:style>
  <w:style w:type="paragraph" w:customStyle="1" w:styleId="Text4">
    <w:name w:val="Text 4"/>
    <w:basedOn w:val="Normal"/>
    <w:rsid w:val="00946DA5"/>
    <w:pPr>
      <w:spacing w:before="120" w:after="120"/>
      <w:ind w:left="2551"/>
      <w:jc w:val="both"/>
    </w:pPr>
    <w:rPr>
      <w:sz w:val="24"/>
    </w:rPr>
  </w:style>
  <w:style w:type="paragraph" w:customStyle="1" w:styleId="NormalCentered">
    <w:name w:val="Normal Centered"/>
    <w:basedOn w:val="Normal"/>
    <w:rsid w:val="00946DA5"/>
    <w:pPr>
      <w:spacing w:before="120" w:after="120"/>
      <w:jc w:val="center"/>
    </w:pPr>
    <w:rPr>
      <w:sz w:val="24"/>
    </w:rPr>
  </w:style>
  <w:style w:type="paragraph" w:customStyle="1" w:styleId="NormalLeft">
    <w:name w:val="Normal Left"/>
    <w:basedOn w:val="Normal"/>
    <w:rsid w:val="00946DA5"/>
    <w:pPr>
      <w:spacing w:before="120" w:after="120"/>
    </w:pPr>
    <w:rPr>
      <w:sz w:val="24"/>
    </w:rPr>
  </w:style>
  <w:style w:type="paragraph" w:customStyle="1" w:styleId="NormalRight">
    <w:name w:val="Normal Right"/>
    <w:basedOn w:val="Normal"/>
    <w:rsid w:val="00946DA5"/>
    <w:pPr>
      <w:spacing w:before="120" w:after="120"/>
      <w:jc w:val="right"/>
    </w:pPr>
    <w:rPr>
      <w:sz w:val="24"/>
    </w:rPr>
  </w:style>
  <w:style w:type="paragraph" w:customStyle="1" w:styleId="QuotedText">
    <w:name w:val="Quoted Text"/>
    <w:basedOn w:val="Normal"/>
    <w:link w:val="QuotedTextChar"/>
    <w:rsid w:val="003534FA"/>
    <w:pPr>
      <w:spacing w:before="120" w:after="120"/>
      <w:ind w:left="1417"/>
      <w:jc w:val="both"/>
    </w:pPr>
    <w:rPr>
      <w:i/>
      <w:sz w:val="28"/>
    </w:rPr>
  </w:style>
  <w:style w:type="paragraph" w:customStyle="1" w:styleId="Point0">
    <w:name w:val="Point 0"/>
    <w:basedOn w:val="Normal"/>
    <w:rsid w:val="00946DA5"/>
    <w:pPr>
      <w:spacing w:before="120" w:after="120"/>
      <w:ind w:left="850" w:hanging="850"/>
      <w:jc w:val="both"/>
    </w:pPr>
    <w:rPr>
      <w:sz w:val="24"/>
    </w:rPr>
  </w:style>
  <w:style w:type="paragraph" w:customStyle="1" w:styleId="Point1">
    <w:name w:val="Point 1"/>
    <w:basedOn w:val="Normal"/>
    <w:rsid w:val="00946DA5"/>
    <w:pPr>
      <w:spacing w:before="120" w:after="120"/>
      <w:ind w:left="1417" w:hanging="567"/>
      <w:jc w:val="both"/>
    </w:pPr>
    <w:rPr>
      <w:sz w:val="24"/>
    </w:rPr>
  </w:style>
  <w:style w:type="paragraph" w:customStyle="1" w:styleId="Point2">
    <w:name w:val="Point 2"/>
    <w:basedOn w:val="Normal"/>
    <w:rsid w:val="00946DA5"/>
    <w:pPr>
      <w:spacing w:before="120" w:after="120"/>
      <w:ind w:left="1984" w:hanging="567"/>
      <w:jc w:val="both"/>
    </w:pPr>
    <w:rPr>
      <w:sz w:val="24"/>
    </w:rPr>
  </w:style>
  <w:style w:type="paragraph" w:customStyle="1" w:styleId="Point3">
    <w:name w:val="Point 3"/>
    <w:basedOn w:val="Normal"/>
    <w:rsid w:val="00946DA5"/>
    <w:pPr>
      <w:spacing w:before="120" w:after="120"/>
      <w:ind w:left="2551" w:hanging="567"/>
      <w:jc w:val="both"/>
    </w:pPr>
    <w:rPr>
      <w:sz w:val="24"/>
    </w:rPr>
  </w:style>
  <w:style w:type="paragraph" w:customStyle="1" w:styleId="Point4">
    <w:name w:val="Point 4"/>
    <w:basedOn w:val="Normal"/>
    <w:rsid w:val="00946DA5"/>
    <w:pPr>
      <w:spacing w:before="120" w:after="120"/>
      <w:ind w:left="3118" w:hanging="567"/>
      <w:jc w:val="both"/>
    </w:pPr>
    <w:rPr>
      <w:sz w:val="24"/>
    </w:rPr>
  </w:style>
  <w:style w:type="paragraph" w:customStyle="1" w:styleId="Tiret0">
    <w:name w:val="Tiret 0"/>
    <w:basedOn w:val="Point0"/>
    <w:rsid w:val="00946DA5"/>
    <w:pPr>
      <w:numPr>
        <w:numId w:val="1"/>
      </w:numPr>
    </w:pPr>
  </w:style>
  <w:style w:type="paragraph" w:customStyle="1" w:styleId="Tiret1">
    <w:name w:val="Tiret 1"/>
    <w:basedOn w:val="Point1"/>
    <w:rsid w:val="00946DA5"/>
    <w:pPr>
      <w:numPr>
        <w:numId w:val="2"/>
      </w:numPr>
    </w:pPr>
  </w:style>
  <w:style w:type="paragraph" w:customStyle="1" w:styleId="Tiret2">
    <w:name w:val="Tiret 2"/>
    <w:basedOn w:val="Point2"/>
    <w:rsid w:val="00946DA5"/>
    <w:pPr>
      <w:numPr>
        <w:numId w:val="3"/>
      </w:numPr>
    </w:pPr>
  </w:style>
  <w:style w:type="paragraph" w:customStyle="1" w:styleId="Tiret3">
    <w:name w:val="Tiret 3"/>
    <w:basedOn w:val="Point3"/>
    <w:rsid w:val="00946DA5"/>
    <w:pPr>
      <w:numPr>
        <w:numId w:val="4"/>
      </w:numPr>
    </w:pPr>
  </w:style>
  <w:style w:type="paragraph" w:customStyle="1" w:styleId="Tiret4">
    <w:name w:val="Tiret 4"/>
    <w:basedOn w:val="Point4"/>
    <w:rsid w:val="00946DA5"/>
    <w:pPr>
      <w:numPr>
        <w:numId w:val="5"/>
      </w:numPr>
    </w:pPr>
  </w:style>
  <w:style w:type="paragraph" w:customStyle="1" w:styleId="PointDouble0">
    <w:name w:val="PointDouble 0"/>
    <w:basedOn w:val="Normal"/>
    <w:rsid w:val="00946DA5"/>
    <w:pPr>
      <w:tabs>
        <w:tab w:val="left" w:pos="850"/>
      </w:tabs>
      <w:spacing w:before="120" w:after="120"/>
      <w:ind w:left="1417" w:hanging="1417"/>
      <w:jc w:val="both"/>
    </w:pPr>
    <w:rPr>
      <w:sz w:val="24"/>
    </w:rPr>
  </w:style>
  <w:style w:type="paragraph" w:customStyle="1" w:styleId="PointDouble1">
    <w:name w:val="PointDouble 1"/>
    <w:basedOn w:val="Normal"/>
    <w:rsid w:val="00946DA5"/>
    <w:pPr>
      <w:tabs>
        <w:tab w:val="left" w:pos="1417"/>
      </w:tabs>
      <w:spacing w:before="120" w:after="120"/>
      <w:ind w:left="1984" w:hanging="1134"/>
      <w:jc w:val="both"/>
    </w:pPr>
    <w:rPr>
      <w:sz w:val="24"/>
    </w:rPr>
  </w:style>
  <w:style w:type="paragraph" w:customStyle="1" w:styleId="PointDouble2">
    <w:name w:val="PointDouble 2"/>
    <w:basedOn w:val="Normal"/>
    <w:rsid w:val="00946DA5"/>
    <w:pPr>
      <w:tabs>
        <w:tab w:val="left" w:pos="1984"/>
      </w:tabs>
      <w:spacing w:before="120" w:after="120"/>
      <w:ind w:left="2551" w:hanging="1134"/>
      <w:jc w:val="both"/>
    </w:pPr>
    <w:rPr>
      <w:sz w:val="24"/>
    </w:rPr>
  </w:style>
  <w:style w:type="paragraph" w:customStyle="1" w:styleId="PointDouble3">
    <w:name w:val="PointDouble 3"/>
    <w:basedOn w:val="Normal"/>
    <w:rsid w:val="00946DA5"/>
    <w:pPr>
      <w:tabs>
        <w:tab w:val="left" w:pos="2551"/>
      </w:tabs>
      <w:spacing w:before="120" w:after="120"/>
      <w:ind w:left="3118" w:hanging="1134"/>
      <w:jc w:val="both"/>
    </w:pPr>
    <w:rPr>
      <w:sz w:val="24"/>
    </w:rPr>
  </w:style>
  <w:style w:type="paragraph" w:customStyle="1" w:styleId="PointDouble4">
    <w:name w:val="PointDouble 4"/>
    <w:basedOn w:val="Normal"/>
    <w:rsid w:val="00946DA5"/>
    <w:pPr>
      <w:tabs>
        <w:tab w:val="left" w:pos="3118"/>
      </w:tabs>
      <w:spacing w:before="120" w:after="120"/>
      <w:ind w:left="3685" w:hanging="1134"/>
      <w:jc w:val="both"/>
    </w:pPr>
    <w:rPr>
      <w:sz w:val="24"/>
    </w:rPr>
  </w:style>
  <w:style w:type="paragraph" w:customStyle="1" w:styleId="PointTriple0">
    <w:name w:val="PointTriple 0"/>
    <w:basedOn w:val="Normal"/>
    <w:rsid w:val="00946DA5"/>
    <w:pPr>
      <w:tabs>
        <w:tab w:val="left" w:pos="850"/>
        <w:tab w:val="left" w:pos="1417"/>
      </w:tabs>
      <w:spacing w:before="120" w:after="120"/>
      <w:ind w:left="1984" w:hanging="1984"/>
      <w:jc w:val="both"/>
    </w:pPr>
    <w:rPr>
      <w:sz w:val="24"/>
    </w:rPr>
  </w:style>
  <w:style w:type="paragraph" w:customStyle="1" w:styleId="PointTriple1">
    <w:name w:val="PointTriple 1"/>
    <w:basedOn w:val="Normal"/>
    <w:rsid w:val="00946DA5"/>
    <w:pPr>
      <w:tabs>
        <w:tab w:val="left" w:pos="1417"/>
        <w:tab w:val="left" w:pos="1984"/>
      </w:tabs>
      <w:spacing w:before="120" w:after="120"/>
      <w:ind w:left="2551" w:hanging="1701"/>
      <w:jc w:val="both"/>
    </w:pPr>
    <w:rPr>
      <w:sz w:val="24"/>
    </w:rPr>
  </w:style>
  <w:style w:type="paragraph" w:customStyle="1" w:styleId="PointTriple2">
    <w:name w:val="PointTriple 2"/>
    <w:basedOn w:val="Normal"/>
    <w:rsid w:val="00946DA5"/>
    <w:pPr>
      <w:tabs>
        <w:tab w:val="left" w:pos="1984"/>
        <w:tab w:val="left" w:pos="2551"/>
      </w:tabs>
      <w:spacing w:before="120" w:after="120"/>
      <w:ind w:left="3118" w:hanging="1701"/>
      <w:jc w:val="both"/>
    </w:pPr>
    <w:rPr>
      <w:sz w:val="24"/>
    </w:rPr>
  </w:style>
  <w:style w:type="paragraph" w:customStyle="1" w:styleId="PointTriple3">
    <w:name w:val="PointTriple 3"/>
    <w:basedOn w:val="Normal"/>
    <w:rsid w:val="00946DA5"/>
    <w:pPr>
      <w:tabs>
        <w:tab w:val="left" w:pos="2551"/>
        <w:tab w:val="left" w:pos="3118"/>
      </w:tabs>
      <w:spacing w:before="120" w:after="120"/>
      <w:ind w:left="3685" w:hanging="1701"/>
      <w:jc w:val="both"/>
    </w:pPr>
    <w:rPr>
      <w:sz w:val="24"/>
    </w:rPr>
  </w:style>
  <w:style w:type="paragraph" w:customStyle="1" w:styleId="PointTriple4">
    <w:name w:val="PointTriple 4"/>
    <w:basedOn w:val="Normal"/>
    <w:rsid w:val="00946DA5"/>
    <w:pPr>
      <w:tabs>
        <w:tab w:val="left" w:pos="3118"/>
        <w:tab w:val="left" w:pos="3685"/>
      </w:tabs>
      <w:spacing w:before="120" w:after="120"/>
      <w:ind w:left="4252" w:hanging="1701"/>
      <w:jc w:val="both"/>
    </w:pPr>
    <w:rPr>
      <w:sz w:val="24"/>
    </w:rPr>
  </w:style>
  <w:style w:type="paragraph" w:customStyle="1" w:styleId="NumPar1">
    <w:name w:val="NumPar 1"/>
    <w:basedOn w:val="Normal"/>
    <w:next w:val="Text1"/>
    <w:rsid w:val="00946DA5"/>
    <w:pPr>
      <w:tabs>
        <w:tab w:val="num" w:pos="850"/>
      </w:tabs>
      <w:spacing w:before="120" w:after="120"/>
      <w:ind w:left="850" w:hanging="850"/>
      <w:jc w:val="both"/>
    </w:pPr>
    <w:rPr>
      <w:sz w:val="24"/>
    </w:rPr>
  </w:style>
  <w:style w:type="paragraph" w:customStyle="1" w:styleId="NumPar2">
    <w:name w:val="NumPar 2"/>
    <w:basedOn w:val="Normal"/>
    <w:next w:val="Text1"/>
    <w:rsid w:val="00946DA5"/>
    <w:pPr>
      <w:tabs>
        <w:tab w:val="num" w:pos="850"/>
      </w:tabs>
      <w:spacing w:before="120" w:after="120"/>
      <w:ind w:left="850" w:hanging="850"/>
      <w:jc w:val="both"/>
    </w:pPr>
    <w:rPr>
      <w:sz w:val="24"/>
    </w:rPr>
  </w:style>
  <w:style w:type="paragraph" w:customStyle="1" w:styleId="NumPar3">
    <w:name w:val="NumPar 3"/>
    <w:basedOn w:val="Normal"/>
    <w:next w:val="Text1"/>
    <w:rsid w:val="00946DA5"/>
    <w:pPr>
      <w:tabs>
        <w:tab w:val="num" w:pos="850"/>
      </w:tabs>
      <w:spacing w:before="120" w:after="120"/>
      <w:ind w:left="850" w:hanging="850"/>
      <w:jc w:val="both"/>
    </w:pPr>
    <w:rPr>
      <w:sz w:val="24"/>
    </w:rPr>
  </w:style>
  <w:style w:type="paragraph" w:customStyle="1" w:styleId="NumPar4">
    <w:name w:val="NumPar 4"/>
    <w:basedOn w:val="Normal"/>
    <w:next w:val="Text1"/>
    <w:rsid w:val="00946DA5"/>
    <w:pPr>
      <w:tabs>
        <w:tab w:val="num" w:pos="850"/>
      </w:tabs>
      <w:spacing w:before="120" w:after="120"/>
      <w:ind w:left="850" w:hanging="850"/>
      <w:jc w:val="both"/>
    </w:pPr>
    <w:rPr>
      <w:sz w:val="24"/>
    </w:rPr>
  </w:style>
  <w:style w:type="paragraph" w:customStyle="1" w:styleId="ManualNumPar1">
    <w:name w:val="Manual NumPar 1"/>
    <w:basedOn w:val="Normal"/>
    <w:next w:val="Text1"/>
    <w:rsid w:val="00946DA5"/>
    <w:pPr>
      <w:spacing w:before="120" w:after="120"/>
      <w:ind w:left="850" w:hanging="850"/>
      <w:jc w:val="both"/>
    </w:pPr>
    <w:rPr>
      <w:sz w:val="24"/>
    </w:rPr>
  </w:style>
  <w:style w:type="paragraph" w:customStyle="1" w:styleId="ManualNumPar2">
    <w:name w:val="Manual NumPar 2"/>
    <w:basedOn w:val="Normal"/>
    <w:next w:val="Text1"/>
    <w:rsid w:val="00946DA5"/>
    <w:pPr>
      <w:spacing w:before="120" w:after="120"/>
      <w:ind w:left="850" w:hanging="850"/>
      <w:jc w:val="both"/>
    </w:pPr>
    <w:rPr>
      <w:sz w:val="24"/>
    </w:rPr>
  </w:style>
  <w:style w:type="paragraph" w:customStyle="1" w:styleId="ManualNumPar3">
    <w:name w:val="Manual NumPar 3"/>
    <w:basedOn w:val="Normal"/>
    <w:next w:val="Text1"/>
    <w:rsid w:val="00946DA5"/>
    <w:pPr>
      <w:spacing w:before="120" w:after="120"/>
      <w:ind w:left="850" w:hanging="850"/>
      <w:jc w:val="both"/>
    </w:pPr>
    <w:rPr>
      <w:sz w:val="24"/>
    </w:rPr>
  </w:style>
  <w:style w:type="paragraph" w:customStyle="1" w:styleId="ManualNumPar4">
    <w:name w:val="Manual NumPar 4"/>
    <w:basedOn w:val="Normal"/>
    <w:next w:val="Text1"/>
    <w:rsid w:val="00946DA5"/>
    <w:pPr>
      <w:spacing w:before="120" w:after="120"/>
      <w:ind w:left="850" w:hanging="850"/>
      <w:jc w:val="both"/>
    </w:pPr>
    <w:rPr>
      <w:sz w:val="24"/>
    </w:rPr>
  </w:style>
  <w:style w:type="paragraph" w:customStyle="1" w:styleId="QuotedNumPar">
    <w:name w:val="Quoted NumPar"/>
    <w:basedOn w:val="Normal"/>
    <w:rsid w:val="00946DA5"/>
    <w:pPr>
      <w:spacing w:before="120" w:after="120"/>
      <w:ind w:left="1417" w:hanging="567"/>
      <w:jc w:val="both"/>
    </w:pPr>
    <w:rPr>
      <w:sz w:val="24"/>
    </w:rPr>
  </w:style>
  <w:style w:type="paragraph" w:customStyle="1" w:styleId="ManualHeading1">
    <w:name w:val="Manual Heading 1"/>
    <w:basedOn w:val="Normal"/>
    <w:next w:val="Text1"/>
    <w:rsid w:val="00946DA5"/>
    <w:pPr>
      <w:keepNext/>
      <w:tabs>
        <w:tab w:val="left" w:pos="850"/>
      </w:tabs>
      <w:spacing w:before="360" w:after="120"/>
      <w:ind w:left="850" w:hanging="850"/>
      <w:jc w:val="both"/>
      <w:outlineLvl w:val="0"/>
    </w:pPr>
    <w:rPr>
      <w:b/>
      <w:smallCaps/>
      <w:sz w:val="24"/>
    </w:rPr>
  </w:style>
  <w:style w:type="paragraph" w:customStyle="1" w:styleId="ManualHeading2">
    <w:name w:val="Manual Heading 2"/>
    <w:basedOn w:val="Normal"/>
    <w:next w:val="Text1"/>
    <w:rsid w:val="00946DA5"/>
    <w:pPr>
      <w:keepNext/>
      <w:tabs>
        <w:tab w:val="left" w:pos="850"/>
      </w:tabs>
      <w:spacing w:before="120" w:after="120"/>
      <w:ind w:left="850" w:hanging="850"/>
      <w:jc w:val="both"/>
      <w:outlineLvl w:val="1"/>
    </w:pPr>
    <w:rPr>
      <w:b/>
      <w:sz w:val="24"/>
    </w:rPr>
  </w:style>
  <w:style w:type="paragraph" w:customStyle="1" w:styleId="ManualHeading3">
    <w:name w:val="Manual Heading 3"/>
    <w:basedOn w:val="Normal"/>
    <w:next w:val="Text1"/>
    <w:rsid w:val="00946DA5"/>
    <w:pPr>
      <w:keepNext/>
      <w:tabs>
        <w:tab w:val="left" w:pos="850"/>
      </w:tabs>
      <w:spacing w:before="120" w:after="120"/>
      <w:ind w:left="850" w:hanging="850"/>
      <w:jc w:val="both"/>
      <w:outlineLvl w:val="2"/>
    </w:pPr>
    <w:rPr>
      <w:i/>
      <w:sz w:val="24"/>
    </w:rPr>
  </w:style>
  <w:style w:type="paragraph" w:customStyle="1" w:styleId="ManualHeading4">
    <w:name w:val="Manual Heading 4"/>
    <w:basedOn w:val="Normal"/>
    <w:next w:val="Text1"/>
    <w:rsid w:val="00946DA5"/>
    <w:pPr>
      <w:keepNext/>
      <w:tabs>
        <w:tab w:val="left" w:pos="850"/>
      </w:tabs>
      <w:spacing w:before="120" w:after="120"/>
      <w:ind w:left="850" w:hanging="850"/>
      <w:jc w:val="both"/>
      <w:outlineLvl w:val="3"/>
    </w:pPr>
    <w:rPr>
      <w:sz w:val="24"/>
    </w:rPr>
  </w:style>
  <w:style w:type="paragraph" w:customStyle="1" w:styleId="PartTitle">
    <w:name w:val="PartTitle"/>
    <w:basedOn w:val="Normal"/>
    <w:next w:val="Normal"/>
    <w:rsid w:val="00946DA5"/>
    <w:pPr>
      <w:keepNext/>
      <w:pageBreakBefore/>
      <w:spacing w:before="120" w:after="360"/>
      <w:jc w:val="center"/>
    </w:pPr>
    <w:rPr>
      <w:b/>
      <w:sz w:val="36"/>
    </w:rPr>
  </w:style>
  <w:style w:type="paragraph" w:customStyle="1" w:styleId="SectionTitle">
    <w:name w:val="SectionTitle"/>
    <w:basedOn w:val="Normal"/>
    <w:next w:val="Heading1"/>
    <w:rsid w:val="00946DA5"/>
    <w:pPr>
      <w:keepNext/>
      <w:spacing w:before="120" w:after="360"/>
      <w:jc w:val="center"/>
    </w:pPr>
    <w:rPr>
      <w:b/>
      <w:smallCaps/>
      <w:sz w:val="28"/>
    </w:rPr>
  </w:style>
  <w:style w:type="paragraph" w:customStyle="1" w:styleId="TableTitle">
    <w:name w:val="Table Title"/>
    <w:basedOn w:val="Normal"/>
    <w:next w:val="Normal"/>
    <w:rsid w:val="00946DA5"/>
    <w:pPr>
      <w:spacing w:before="120" w:after="120"/>
      <w:jc w:val="center"/>
    </w:pPr>
    <w:rPr>
      <w:b/>
      <w:sz w:val="24"/>
    </w:rPr>
  </w:style>
  <w:style w:type="character" w:customStyle="1" w:styleId="Marker1">
    <w:name w:val="Marker1"/>
    <w:basedOn w:val="DefaultParagraphFont"/>
    <w:rsid w:val="00946DA5"/>
    <w:rPr>
      <w:rFonts w:ascii="EC Square Sans Pro" w:hAnsi="EC Square Sans Pro"/>
      <w:color w:val="008000"/>
      <w:shd w:val="clear" w:color="auto" w:fill="auto"/>
      <w:lang w:val="en-GB"/>
    </w:rPr>
  </w:style>
  <w:style w:type="character" w:customStyle="1" w:styleId="Marker2">
    <w:name w:val="Marker2"/>
    <w:basedOn w:val="DefaultParagraphFont"/>
    <w:rsid w:val="00946DA5"/>
    <w:rPr>
      <w:rFonts w:ascii="EC Square Sans Pro" w:hAnsi="EC Square Sans Pro"/>
      <w:color w:val="FF0000"/>
      <w:shd w:val="clear" w:color="auto" w:fill="auto"/>
      <w:lang w:val="en-GB"/>
    </w:rPr>
  </w:style>
  <w:style w:type="paragraph" w:customStyle="1" w:styleId="Point0number">
    <w:name w:val="Point 0 (number)"/>
    <w:basedOn w:val="Normal"/>
    <w:rsid w:val="00946DA5"/>
    <w:pPr>
      <w:spacing w:before="120" w:after="120"/>
      <w:jc w:val="both"/>
    </w:pPr>
    <w:rPr>
      <w:sz w:val="24"/>
    </w:rPr>
  </w:style>
  <w:style w:type="paragraph" w:customStyle="1" w:styleId="Point1number">
    <w:name w:val="Point 1 (number)"/>
    <w:basedOn w:val="Normal"/>
    <w:rsid w:val="00946DA5"/>
    <w:pPr>
      <w:spacing w:before="120" w:after="120"/>
      <w:jc w:val="both"/>
    </w:pPr>
    <w:rPr>
      <w:sz w:val="24"/>
    </w:rPr>
  </w:style>
  <w:style w:type="paragraph" w:customStyle="1" w:styleId="Point2number">
    <w:name w:val="Point 2 (number)"/>
    <w:basedOn w:val="Normal"/>
    <w:rsid w:val="00946DA5"/>
    <w:pPr>
      <w:spacing w:before="120" w:after="120"/>
      <w:jc w:val="both"/>
    </w:pPr>
    <w:rPr>
      <w:sz w:val="24"/>
    </w:rPr>
  </w:style>
  <w:style w:type="paragraph" w:customStyle="1" w:styleId="Point3number">
    <w:name w:val="Point 3 (number)"/>
    <w:basedOn w:val="Normal"/>
    <w:rsid w:val="00946DA5"/>
    <w:pPr>
      <w:spacing w:before="120" w:after="120"/>
      <w:jc w:val="both"/>
    </w:pPr>
    <w:rPr>
      <w:sz w:val="24"/>
    </w:rPr>
  </w:style>
  <w:style w:type="paragraph" w:customStyle="1" w:styleId="Point0letter">
    <w:name w:val="Point 0 (letter)"/>
    <w:basedOn w:val="Normal"/>
    <w:rsid w:val="00946DA5"/>
    <w:pPr>
      <w:spacing w:before="120" w:after="120"/>
      <w:jc w:val="both"/>
    </w:pPr>
    <w:rPr>
      <w:sz w:val="24"/>
    </w:rPr>
  </w:style>
  <w:style w:type="paragraph" w:customStyle="1" w:styleId="Point1letter">
    <w:name w:val="Point 1 (letter)"/>
    <w:basedOn w:val="Normal"/>
    <w:rsid w:val="00946DA5"/>
    <w:pPr>
      <w:spacing w:before="120" w:after="120"/>
      <w:jc w:val="both"/>
    </w:pPr>
    <w:rPr>
      <w:sz w:val="24"/>
    </w:rPr>
  </w:style>
  <w:style w:type="paragraph" w:customStyle="1" w:styleId="Point2letter">
    <w:name w:val="Point 2 (letter)"/>
    <w:basedOn w:val="Normal"/>
    <w:rsid w:val="00946DA5"/>
    <w:pPr>
      <w:spacing w:before="120" w:after="120"/>
      <w:jc w:val="both"/>
    </w:pPr>
    <w:rPr>
      <w:sz w:val="24"/>
    </w:rPr>
  </w:style>
  <w:style w:type="paragraph" w:customStyle="1" w:styleId="Point3letter">
    <w:name w:val="Point 3 (letter)"/>
    <w:basedOn w:val="Normal"/>
    <w:rsid w:val="00946DA5"/>
    <w:pPr>
      <w:spacing w:before="120" w:after="120"/>
      <w:jc w:val="both"/>
    </w:pPr>
    <w:rPr>
      <w:sz w:val="24"/>
    </w:rPr>
  </w:style>
  <w:style w:type="paragraph" w:customStyle="1" w:styleId="Point4letter">
    <w:name w:val="Point 4 (letter)"/>
    <w:basedOn w:val="Normal"/>
    <w:rsid w:val="00946DA5"/>
    <w:pPr>
      <w:spacing w:before="120" w:after="120"/>
      <w:jc w:val="both"/>
    </w:pPr>
    <w:rPr>
      <w:sz w:val="24"/>
    </w:rPr>
  </w:style>
  <w:style w:type="paragraph" w:customStyle="1" w:styleId="Langue">
    <w:name w:val="Langue"/>
    <w:basedOn w:val="Normal"/>
    <w:next w:val="Rfrenceinterne"/>
    <w:rsid w:val="00946DA5"/>
    <w:pPr>
      <w:framePr w:wrap="around" w:vAnchor="page" w:hAnchor="text" w:xAlign="center" w:y="14741"/>
      <w:spacing w:after="600"/>
      <w:jc w:val="center"/>
    </w:pPr>
    <w:rPr>
      <w:b/>
      <w:caps/>
      <w:sz w:val="24"/>
    </w:rPr>
  </w:style>
  <w:style w:type="paragraph" w:customStyle="1" w:styleId="Nomdelinstitution">
    <w:name w:val="Nom de l'institution"/>
    <w:basedOn w:val="Normal"/>
    <w:next w:val="Normal"/>
    <w:rsid w:val="00946DA5"/>
    <w:rPr>
      <w:rFonts w:cs="Arial"/>
      <w:sz w:val="24"/>
    </w:rPr>
  </w:style>
  <w:style w:type="paragraph" w:customStyle="1" w:styleId="Rfrenceinstitutionnelle">
    <w:name w:val="Référence institutionnelle"/>
    <w:basedOn w:val="Normal"/>
    <w:next w:val="Normal"/>
    <w:rsid w:val="00946DA5"/>
    <w:pPr>
      <w:spacing w:after="240"/>
      <w:ind w:left="5103"/>
    </w:pPr>
    <w:rPr>
      <w:sz w:val="24"/>
    </w:rPr>
  </w:style>
  <w:style w:type="paragraph" w:customStyle="1" w:styleId="Disclaimer">
    <w:name w:val="Disclaimer"/>
    <w:basedOn w:val="Normal"/>
    <w:rsid w:val="00946DA5"/>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sz w:val="24"/>
    </w:rPr>
  </w:style>
  <w:style w:type="paragraph" w:customStyle="1" w:styleId="BOLDGREEN">
    <w:name w:val="BOLD GREEN"/>
    <w:basedOn w:val="BodyText1"/>
    <w:link w:val="BOLDGREENChar"/>
    <w:qFormat/>
    <w:rsid w:val="0012310E"/>
    <w:rPr>
      <w:b/>
      <w:color w:val="08AA74" w:themeColor="accent3"/>
    </w:rPr>
  </w:style>
  <w:style w:type="paragraph" w:customStyle="1" w:styleId="ManualConsidrant">
    <w:name w:val="Manual Considérant"/>
    <w:basedOn w:val="Normal"/>
    <w:rsid w:val="00946DA5"/>
    <w:pPr>
      <w:spacing w:before="120" w:after="120"/>
      <w:ind w:left="709" w:hanging="709"/>
      <w:jc w:val="both"/>
    </w:pPr>
    <w:rPr>
      <w:sz w:val="24"/>
    </w:rPr>
  </w:style>
  <w:style w:type="paragraph" w:customStyle="1" w:styleId="Personnequisigne">
    <w:name w:val="Personne qui signe"/>
    <w:basedOn w:val="Normal"/>
    <w:next w:val="Normal"/>
    <w:rsid w:val="00946DA5"/>
    <w:pPr>
      <w:tabs>
        <w:tab w:val="left" w:pos="4252"/>
      </w:tabs>
    </w:pPr>
    <w:rPr>
      <w:i/>
      <w:sz w:val="24"/>
    </w:rPr>
  </w:style>
  <w:style w:type="paragraph" w:customStyle="1" w:styleId="Rfrenceinterinstitutionnelle">
    <w:name w:val="Référence interinstitutionnelle"/>
    <w:basedOn w:val="Normal"/>
    <w:next w:val="Statut"/>
    <w:rsid w:val="00946DA5"/>
    <w:pPr>
      <w:ind w:left="5103"/>
    </w:pPr>
    <w:rPr>
      <w:sz w:val="24"/>
    </w:rPr>
  </w:style>
  <w:style w:type="paragraph" w:customStyle="1" w:styleId="Rfrenceinterne">
    <w:name w:val="Référence interne"/>
    <w:basedOn w:val="Normal"/>
    <w:next w:val="Rfrenceinterinstitutionnelle"/>
    <w:rsid w:val="00946DA5"/>
    <w:pPr>
      <w:ind w:left="5103"/>
    </w:pPr>
    <w:rPr>
      <w:sz w:val="24"/>
    </w:rPr>
  </w:style>
  <w:style w:type="paragraph" w:customStyle="1" w:styleId="Statut">
    <w:name w:val="Statut"/>
    <w:basedOn w:val="Normal"/>
    <w:next w:val="Typedudocument"/>
    <w:rsid w:val="00946DA5"/>
    <w:pPr>
      <w:spacing w:after="240"/>
      <w:jc w:val="center"/>
    </w:pPr>
    <w:rPr>
      <w:sz w:val="24"/>
    </w:rPr>
  </w:style>
  <w:style w:type="paragraph" w:customStyle="1" w:styleId="Titrearticle">
    <w:name w:val="Titre article"/>
    <w:basedOn w:val="Normal"/>
    <w:next w:val="Normal"/>
    <w:rsid w:val="00946DA5"/>
    <w:pPr>
      <w:keepNext/>
      <w:spacing w:before="360" w:after="120"/>
      <w:jc w:val="center"/>
    </w:pPr>
    <w:rPr>
      <w:i/>
      <w:sz w:val="24"/>
    </w:rPr>
  </w:style>
  <w:style w:type="paragraph" w:customStyle="1" w:styleId="Typedudocument">
    <w:name w:val="Type du document"/>
    <w:basedOn w:val="Normal"/>
    <w:next w:val="Normal"/>
    <w:rsid w:val="00946DA5"/>
    <w:pPr>
      <w:spacing w:before="360" w:after="180"/>
      <w:jc w:val="center"/>
    </w:pPr>
    <w:rPr>
      <w:b/>
      <w:sz w:val="24"/>
    </w:rPr>
  </w:style>
  <w:style w:type="paragraph" w:customStyle="1" w:styleId="Objetexterne">
    <w:name w:val="Objet externe"/>
    <w:basedOn w:val="Normal"/>
    <w:next w:val="Normal"/>
    <w:rsid w:val="00946DA5"/>
    <w:pPr>
      <w:spacing w:before="120" w:after="120"/>
      <w:jc w:val="both"/>
    </w:pPr>
    <w:rPr>
      <w:i/>
      <w:caps/>
      <w:sz w:val="24"/>
    </w:rPr>
  </w:style>
  <w:style w:type="paragraph" w:customStyle="1" w:styleId="Supertitre">
    <w:name w:val="Supertitre"/>
    <w:basedOn w:val="Normal"/>
    <w:next w:val="Normal"/>
    <w:rsid w:val="00946DA5"/>
    <w:pPr>
      <w:spacing w:after="600"/>
      <w:jc w:val="center"/>
    </w:pPr>
    <w:rPr>
      <w:b/>
      <w:sz w:val="24"/>
    </w:rPr>
  </w:style>
  <w:style w:type="paragraph" w:customStyle="1" w:styleId="Languesfaisantfoi">
    <w:name w:val="Langues faisant foi"/>
    <w:basedOn w:val="Normal"/>
    <w:next w:val="Normal"/>
    <w:rsid w:val="00946DA5"/>
    <w:pPr>
      <w:spacing w:before="360"/>
      <w:jc w:val="center"/>
    </w:pPr>
    <w:rPr>
      <w:sz w:val="24"/>
    </w:rPr>
  </w:style>
  <w:style w:type="paragraph" w:customStyle="1" w:styleId="Rfrencecroise">
    <w:name w:val="Référence croisée"/>
    <w:basedOn w:val="Normal"/>
    <w:rsid w:val="00946DA5"/>
    <w:pPr>
      <w:jc w:val="center"/>
    </w:pPr>
    <w:rPr>
      <w:sz w:val="24"/>
    </w:rPr>
  </w:style>
  <w:style w:type="paragraph" w:customStyle="1" w:styleId="DatedadoptionPagedecouverture">
    <w:name w:val="Date d'adoption (Page de couverture)"/>
    <w:basedOn w:val="Normal"/>
    <w:next w:val="IntrtEEEPagedecouverture"/>
    <w:rsid w:val="00A65D7F"/>
    <w:pPr>
      <w:spacing w:before="360"/>
      <w:jc w:val="center"/>
    </w:pPr>
    <w:rPr>
      <w:b/>
      <w:sz w:val="24"/>
    </w:rPr>
  </w:style>
  <w:style w:type="paragraph" w:customStyle="1" w:styleId="RfrenceinterinstitutionnellePagedecouverture">
    <w:name w:val="Référence interinstitutionnelle (Page de couverture)"/>
    <w:basedOn w:val="Rfrenceinterinstitutionnelle"/>
    <w:next w:val="Normal"/>
    <w:rsid w:val="00946DA5"/>
  </w:style>
  <w:style w:type="paragraph" w:customStyle="1" w:styleId="StatutPagedecouverture">
    <w:name w:val="Statut (Page de couverture)"/>
    <w:basedOn w:val="Statut"/>
    <w:next w:val="TypedudocumentPagedecouverture"/>
    <w:rsid w:val="00946DA5"/>
  </w:style>
  <w:style w:type="paragraph" w:customStyle="1" w:styleId="TypedudocumentPagedecouverture">
    <w:name w:val="Type du document (Page de couverture)"/>
    <w:basedOn w:val="Typedudocument"/>
    <w:next w:val="Normal"/>
    <w:rsid w:val="00946DA5"/>
  </w:style>
  <w:style w:type="paragraph" w:customStyle="1" w:styleId="Volume">
    <w:name w:val="Volume"/>
    <w:basedOn w:val="Normal"/>
    <w:next w:val="Normal"/>
    <w:rsid w:val="00946DA5"/>
    <w:pPr>
      <w:spacing w:after="240"/>
      <w:ind w:left="5103"/>
    </w:pPr>
    <w:rPr>
      <w:sz w:val="24"/>
    </w:rPr>
  </w:style>
  <w:style w:type="paragraph" w:customStyle="1" w:styleId="IntrtEEE">
    <w:name w:val="Intérêt EEE"/>
    <w:basedOn w:val="Languesfaisantfoi"/>
    <w:next w:val="Normal"/>
    <w:rsid w:val="00946DA5"/>
    <w:pPr>
      <w:spacing w:after="240"/>
    </w:pPr>
  </w:style>
  <w:style w:type="paragraph" w:customStyle="1" w:styleId="Typeacteprincipal">
    <w:name w:val="Type acte principal"/>
    <w:basedOn w:val="Normal"/>
    <w:next w:val="Objetacteprincipal"/>
    <w:rsid w:val="00946DA5"/>
    <w:pPr>
      <w:spacing w:after="240"/>
      <w:jc w:val="center"/>
    </w:pPr>
    <w:rPr>
      <w:b/>
      <w:sz w:val="24"/>
    </w:rPr>
  </w:style>
  <w:style w:type="paragraph" w:customStyle="1" w:styleId="Objetacteprincipal">
    <w:name w:val="Objet acte principal"/>
    <w:basedOn w:val="Normal"/>
    <w:next w:val="Titrearticle"/>
    <w:rsid w:val="00946DA5"/>
    <w:pPr>
      <w:spacing w:after="360"/>
      <w:jc w:val="center"/>
    </w:pPr>
    <w:rPr>
      <w:b/>
      <w:sz w:val="24"/>
    </w:rPr>
  </w:style>
  <w:style w:type="paragraph" w:customStyle="1" w:styleId="IntrtEEEPagedecouverture">
    <w:name w:val="Intérêt EEE (Page de couverture)"/>
    <w:basedOn w:val="IntrtEEE"/>
    <w:next w:val="Rfrencecroise"/>
    <w:rsid w:val="00946DA5"/>
  </w:style>
  <w:style w:type="paragraph" w:customStyle="1" w:styleId="TypeacteprincipalPagedecouverture">
    <w:name w:val="Type acte principal (Page de couverture)"/>
    <w:basedOn w:val="Typeacteprincipal"/>
    <w:next w:val="ObjetacteprincipalPagedecouverture"/>
    <w:rsid w:val="00946DA5"/>
  </w:style>
  <w:style w:type="paragraph" w:customStyle="1" w:styleId="ObjetacteprincipalPagedecouverture">
    <w:name w:val="Objet acte principal (Page de couverture)"/>
    <w:basedOn w:val="Objetacteprincipal"/>
    <w:next w:val="Rfrencecroise"/>
    <w:rsid w:val="00946DA5"/>
  </w:style>
  <w:style w:type="paragraph" w:customStyle="1" w:styleId="LanguesfaisantfoiPagedecouverture">
    <w:name w:val="Langues faisant foi (Page de couverture)"/>
    <w:basedOn w:val="Normal"/>
    <w:next w:val="Normal"/>
    <w:rsid w:val="00946DA5"/>
    <w:pPr>
      <w:spacing w:before="360"/>
      <w:jc w:val="center"/>
    </w:pPr>
    <w:rPr>
      <w:sz w:val="24"/>
    </w:rPr>
  </w:style>
  <w:style w:type="paragraph" w:styleId="Caption">
    <w:name w:val="caption"/>
    <w:basedOn w:val="Normal"/>
    <w:next w:val="Normal"/>
    <w:uiPriority w:val="35"/>
    <w:unhideWhenUsed/>
    <w:qFormat/>
    <w:rsid w:val="00946DA5"/>
    <w:pPr>
      <w:spacing w:after="200"/>
      <w:jc w:val="both"/>
    </w:pPr>
    <w:rPr>
      <w:b/>
      <w:bCs/>
      <w:color w:val="65BBC8" w:themeColor="accent1"/>
      <w:sz w:val="18"/>
      <w:szCs w:val="18"/>
    </w:rPr>
  </w:style>
  <w:style w:type="paragraph" w:styleId="TableofFigures">
    <w:name w:val="table of figures"/>
    <w:basedOn w:val="Normal"/>
    <w:next w:val="Normal"/>
    <w:uiPriority w:val="99"/>
    <w:semiHidden/>
    <w:unhideWhenUsed/>
    <w:rsid w:val="00946DA5"/>
    <w:pPr>
      <w:spacing w:before="120"/>
      <w:jc w:val="both"/>
    </w:pPr>
    <w:rPr>
      <w:sz w:val="24"/>
    </w:rPr>
  </w:style>
  <w:style w:type="paragraph" w:styleId="ListNumber">
    <w:name w:val="List Number"/>
    <w:basedOn w:val="Normal"/>
    <w:uiPriority w:val="99"/>
    <w:semiHidden/>
    <w:unhideWhenUsed/>
    <w:rsid w:val="00946DA5"/>
    <w:pPr>
      <w:tabs>
        <w:tab w:val="num" w:pos="360"/>
      </w:tabs>
      <w:spacing w:before="120" w:after="120"/>
      <w:ind w:left="360" w:hanging="360"/>
      <w:contextualSpacing/>
      <w:jc w:val="both"/>
    </w:pPr>
    <w:rPr>
      <w:sz w:val="24"/>
    </w:rPr>
  </w:style>
  <w:style w:type="paragraph" w:styleId="ListNumber2">
    <w:name w:val="List Number 2"/>
    <w:basedOn w:val="Normal"/>
    <w:uiPriority w:val="99"/>
    <w:semiHidden/>
    <w:unhideWhenUsed/>
    <w:rsid w:val="00946DA5"/>
    <w:pPr>
      <w:tabs>
        <w:tab w:val="num" w:pos="643"/>
      </w:tabs>
      <w:spacing w:before="120" w:after="120"/>
      <w:ind w:left="643" w:hanging="360"/>
      <w:contextualSpacing/>
      <w:jc w:val="both"/>
    </w:pPr>
    <w:rPr>
      <w:sz w:val="24"/>
    </w:rPr>
  </w:style>
  <w:style w:type="paragraph" w:styleId="ListNumber3">
    <w:name w:val="List Number 3"/>
    <w:basedOn w:val="Normal"/>
    <w:uiPriority w:val="99"/>
    <w:semiHidden/>
    <w:unhideWhenUsed/>
    <w:rsid w:val="00946DA5"/>
    <w:pPr>
      <w:tabs>
        <w:tab w:val="num" w:pos="926"/>
      </w:tabs>
      <w:spacing w:before="120" w:after="120"/>
      <w:ind w:left="926" w:hanging="360"/>
      <w:contextualSpacing/>
      <w:jc w:val="both"/>
    </w:pPr>
    <w:rPr>
      <w:sz w:val="24"/>
    </w:rPr>
  </w:style>
  <w:style w:type="paragraph" w:styleId="ListNumber4">
    <w:name w:val="List Number 4"/>
    <w:basedOn w:val="Normal"/>
    <w:uiPriority w:val="99"/>
    <w:semiHidden/>
    <w:unhideWhenUsed/>
    <w:rsid w:val="00946DA5"/>
    <w:pPr>
      <w:tabs>
        <w:tab w:val="num" w:pos="1209"/>
      </w:tabs>
      <w:spacing w:before="120" w:after="120"/>
      <w:ind w:left="1209" w:hanging="360"/>
      <w:contextualSpacing/>
      <w:jc w:val="both"/>
    </w:pPr>
    <w:rPr>
      <w:sz w:val="24"/>
    </w:rPr>
  </w:style>
  <w:style w:type="table" w:styleId="LightShading">
    <w:name w:val="Light Shading"/>
    <w:basedOn w:val="TableNormal"/>
    <w:uiPriority w:val="60"/>
    <w:rsid w:val="004D4C9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OGRAMME">
    <w:name w:val="PROGRAMME"/>
    <w:basedOn w:val="Normal"/>
    <w:link w:val="PROGRAMMEChar"/>
    <w:rsid w:val="007369C9"/>
    <w:pPr>
      <w:ind w:right="-1"/>
      <w:outlineLvl w:val="2"/>
    </w:pPr>
    <w:rPr>
      <w:rFonts w:eastAsia="Calibri"/>
      <w:b/>
      <w:noProof/>
      <w:sz w:val="24"/>
      <w:szCs w:val="24"/>
      <w:lang w:eastAsia="zh-CN"/>
    </w:rPr>
  </w:style>
  <w:style w:type="paragraph" w:customStyle="1" w:styleId="HEADINGI">
    <w:name w:val="HEADING I"/>
    <w:basedOn w:val="Header"/>
    <w:link w:val="HEADINGIChar"/>
    <w:rsid w:val="007369C9"/>
    <w:pPr>
      <w:outlineLvl w:val="0"/>
    </w:pPr>
    <w:rPr>
      <w:rFonts w:cs="Times New Roman"/>
      <w:color w:val="FBA900"/>
    </w:rPr>
  </w:style>
  <w:style w:type="character" w:customStyle="1" w:styleId="PROGRAMMEChar">
    <w:name w:val="PROGRAMME Char"/>
    <w:basedOn w:val="DefaultParagraphFont"/>
    <w:link w:val="PROGRAMME"/>
    <w:rsid w:val="007369C9"/>
    <w:rPr>
      <w:rFonts w:ascii="EC Square Sans Pro" w:eastAsia="Calibri" w:hAnsi="EC Square Sans Pro" w:cs="Times New Roman"/>
      <w:b/>
      <w:noProof/>
      <w:sz w:val="24"/>
      <w:szCs w:val="24"/>
      <w:lang w:val="en-GB" w:eastAsia="zh-CN"/>
    </w:rPr>
  </w:style>
  <w:style w:type="character" w:customStyle="1" w:styleId="HEADINGIChar">
    <w:name w:val="HEADING I Char"/>
    <w:basedOn w:val="HeaderChar"/>
    <w:link w:val="HEADINGI"/>
    <w:rsid w:val="007369C9"/>
    <w:rPr>
      <w:rFonts w:ascii="EC Square Sans Pro" w:hAnsi="EC Square Sans Pro" w:cs="Times New Roman"/>
      <w:color w:val="FBA900"/>
      <w:sz w:val="20"/>
      <w:lang w:val="en-GB"/>
    </w:rPr>
  </w:style>
  <w:style w:type="paragraph" w:customStyle="1" w:styleId="HEADINGII">
    <w:name w:val="HEADING II"/>
    <w:basedOn w:val="Header"/>
    <w:link w:val="HEADINGIIChar"/>
    <w:rsid w:val="007369C9"/>
    <w:pPr>
      <w:outlineLvl w:val="0"/>
    </w:pPr>
    <w:rPr>
      <w:rFonts w:cs="Times New Roman"/>
      <w:color w:val="00AF62"/>
    </w:rPr>
  </w:style>
  <w:style w:type="paragraph" w:customStyle="1" w:styleId="HEADINGIII">
    <w:name w:val="HEADING III"/>
    <w:basedOn w:val="Header"/>
    <w:link w:val="HEADINGIIIChar"/>
    <w:rsid w:val="007369C9"/>
    <w:pPr>
      <w:outlineLvl w:val="0"/>
    </w:pPr>
    <w:rPr>
      <w:rFonts w:cs="Times New Roman"/>
      <w:color w:val="C2D341"/>
    </w:rPr>
  </w:style>
  <w:style w:type="character" w:customStyle="1" w:styleId="HEADINGIIChar">
    <w:name w:val="HEADING II Char"/>
    <w:basedOn w:val="HeaderChar"/>
    <w:link w:val="HEADINGII"/>
    <w:rsid w:val="007369C9"/>
    <w:rPr>
      <w:rFonts w:ascii="EC Square Sans Pro" w:hAnsi="EC Square Sans Pro" w:cs="Times New Roman"/>
      <w:color w:val="00AF62"/>
      <w:sz w:val="20"/>
      <w:lang w:val="en-GB"/>
    </w:rPr>
  </w:style>
  <w:style w:type="paragraph" w:customStyle="1" w:styleId="HEADINGIV">
    <w:name w:val="HEADING IV"/>
    <w:basedOn w:val="Header"/>
    <w:link w:val="HEADINGIVChar"/>
    <w:rsid w:val="007369C9"/>
    <w:pPr>
      <w:outlineLvl w:val="0"/>
    </w:pPr>
    <w:rPr>
      <w:rFonts w:cs="Times New Roman"/>
      <w:color w:val="8F00B1"/>
    </w:rPr>
  </w:style>
  <w:style w:type="character" w:customStyle="1" w:styleId="HEADINGIIIChar">
    <w:name w:val="HEADING III Char"/>
    <w:basedOn w:val="HeaderChar"/>
    <w:link w:val="HEADINGIII"/>
    <w:rsid w:val="007369C9"/>
    <w:rPr>
      <w:rFonts w:ascii="EC Square Sans Pro" w:hAnsi="EC Square Sans Pro" w:cs="Times New Roman"/>
      <w:color w:val="C2D341"/>
      <w:sz w:val="20"/>
      <w:lang w:val="en-GB"/>
    </w:rPr>
  </w:style>
  <w:style w:type="paragraph" w:customStyle="1" w:styleId="HEADINGV">
    <w:name w:val="HEADING V"/>
    <w:basedOn w:val="Header"/>
    <w:link w:val="HEADINGVChar"/>
    <w:rsid w:val="007369C9"/>
    <w:pPr>
      <w:outlineLvl w:val="0"/>
    </w:pPr>
    <w:rPr>
      <w:rFonts w:cs="Times New Roman"/>
      <w:color w:val="0079BA"/>
    </w:rPr>
  </w:style>
  <w:style w:type="character" w:customStyle="1" w:styleId="HEADINGIVChar">
    <w:name w:val="HEADING IV Char"/>
    <w:basedOn w:val="HeaderChar"/>
    <w:link w:val="HEADINGIV"/>
    <w:rsid w:val="007369C9"/>
    <w:rPr>
      <w:rFonts w:ascii="EC Square Sans Pro" w:hAnsi="EC Square Sans Pro" w:cs="Times New Roman"/>
      <w:color w:val="8F00B1"/>
      <w:sz w:val="20"/>
      <w:lang w:val="en-GB"/>
    </w:rPr>
  </w:style>
  <w:style w:type="paragraph" w:customStyle="1" w:styleId="HEADINGVI">
    <w:name w:val="HEADING VI"/>
    <w:basedOn w:val="Header"/>
    <w:link w:val="HEADINGVIChar"/>
    <w:rsid w:val="007369C9"/>
    <w:pPr>
      <w:outlineLvl w:val="0"/>
    </w:pPr>
    <w:rPr>
      <w:rFonts w:cs="Times New Roman"/>
      <w:color w:val="EB5850"/>
    </w:rPr>
  </w:style>
  <w:style w:type="character" w:customStyle="1" w:styleId="HEADINGVChar">
    <w:name w:val="HEADING V Char"/>
    <w:basedOn w:val="HeaderChar"/>
    <w:link w:val="HEADINGV"/>
    <w:rsid w:val="007369C9"/>
    <w:rPr>
      <w:rFonts w:ascii="EC Square Sans Pro" w:hAnsi="EC Square Sans Pro" w:cs="Times New Roman"/>
      <w:color w:val="0079BA"/>
      <w:sz w:val="20"/>
      <w:lang w:val="en-GB"/>
    </w:rPr>
  </w:style>
  <w:style w:type="paragraph" w:customStyle="1" w:styleId="OFFHEADING">
    <w:name w:val="OFF HEADING"/>
    <w:basedOn w:val="Header"/>
    <w:link w:val="OFFHEADINGChar"/>
    <w:rsid w:val="007369C9"/>
    <w:pPr>
      <w:outlineLvl w:val="0"/>
    </w:pPr>
    <w:rPr>
      <w:rFonts w:cs="Times New Roman"/>
      <w:color w:val="4ABFDF"/>
    </w:rPr>
  </w:style>
  <w:style w:type="character" w:customStyle="1" w:styleId="HEADINGVIChar">
    <w:name w:val="HEADING VI Char"/>
    <w:basedOn w:val="HeaderChar"/>
    <w:link w:val="HEADINGVI"/>
    <w:rsid w:val="007369C9"/>
    <w:rPr>
      <w:rFonts w:ascii="EC Square Sans Pro" w:hAnsi="EC Square Sans Pro" w:cs="Times New Roman"/>
      <w:color w:val="EB5850"/>
      <w:sz w:val="20"/>
      <w:lang w:val="en-GB"/>
    </w:rPr>
  </w:style>
  <w:style w:type="character" w:customStyle="1" w:styleId="OFFHEADINGChar">
    <w:name w:val="OFF HEADING Char"/>
    <w:basedOn w:val="HeaderChar"/>
    <w:link w:val="OFFHEADING"/>
    <w:rsid w:val="007369C9"/>
    <w:rPr>
      <w:rFonts w:ascii="EC Square Sans Pro" w:hAnsi="EC Square Sans Pro" w:cs="Times New Roman"/>
      <w:color w:val="4ABFDF"/>
      <w:sz w:val="20"/>
      <w:lang w:val="en-GB"/>
    </w:rPr>
  </w:style>
  <w:style w:type="table" w:customStyle="1" w:styleId="LightShading1">
    <w:name w:val="Light Shading1"/>
    <w:basedOn w:val="TableNormal"/>
    <w:next w:val="LightShading"/>
    <w:uiPriority w:val="60"/>
    <w:rsid w:val="0034514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rsid w:val="0092775D"/>
    <w:rPr>
      <w:rFonts w:ascii="EC Square Sans Pro" w:hAnsi="EC Square Sans Pro"/>
      <w:i/>
      <w:iCs/>
      <w:color w:val="404040" w:themeColor="text1" w:themeTint="BF"/>
      <w:lang w:val="en-GB"/>
    </w:rPr>
  </w:style>
  <w:style w:type="character" w:styleId="SubtleReference">
    <w:name w:val="Subtle Reference"/>
    <w:basedOn w:val="DefaultParagraphFont"/>
    <w:uiPriority w:val="31"/>
    <w:qFormat/>
    <w:rsid w:val="0092775D"/>
    <w:rPr>
      <w:rFonts w:ascii="EC Square Sans Pro" w:hAnsi="EC Square Sans Pro"/>
      <w:smallCaps/>
      <w:color w:val="5A5A5A" w:themeColor="text1" w:themeTint="A5"/>
      <w:lang w:val="en-GB"/>
    </w:rPr>
  </w:style>
  <w:style w:type="paragraph" w:customStyle="1" w:styleId="TITLE1Report">
    <w:name w:val="TITLE 1 / Report"/>
    <w:basedOn w:val="Normal"/>
    <w:link w:val="TITLE1ReportChar"/>
    <w:qFormat/>
    <w:rsid w:val="00AC1D4D"/>
    <w:pPr>
      <w:keepNext/>
      <w:keepLines/>
      <w:pageBreakBefore/>
      <w:spacing w:after="120"/>
      <w:outlineLvl w:val="0"/>
    </w:pPr>
    <w:rPr>
      <w:color w:val="65BBC8" w:themeColor="accent1"/>
      <w:sz w:val="52"/>
    </w:rPr>
  </w:style>
  <w:style w:type="paragraph" w:customStyle="1" w:styleId="ExecutiveSummary">
    <w:name w:val="Executive Summary"/>
    <w:basedOn w:val="TITLE1Report"/>
    <w:link w:val="ExecutiveSummaryChar"/>
    <w:rsid w:val="00F262A8"/>
    <w:rPr>
      <w:color w:val="3FB296"/>
    </w:rPr>
  </w:style>
  <w:style w:type="character" w:customStyle="1" w:styleId="TITLE1ReportChar">
    <w:name w:val="TITLE 1 / Report Char"/>
    <w:basedOn w:val="DefaultParagraphFont"/>
    <w:link w:val="TITLE1Report"/>
    <w:rsid w:val="00AC1D4D"/>
    <w:rPr>
      <w:rFonts w:ascii="EC Square Sans Pro" w:hAnsi="EC Square Sans Pro" w:cs="Times New Roman"/>
      <w:color w:val="65BBC8" w:themeColor="accent1"/>
      <w:sz w:val="52"/>
      <w:lang w:val="en-GB"/>
    </w:rPr>
  </w:style>
  <w:style w:type="paragraph" w:customStyle="1" w:styleId="PageNumber1">
    <w:name w:val="Page Number1"/>
    <w:basedOn w:val="Footer"/>
    <w:qFormat/>
    <w:rsid w:val="00F029F2"/>
    <w:pPr>
      <w:jc w:val="center"/>
    </w:pPr>
    <w:rPr>
      <w:b/>
      <w:sz w:val="16"/>
    </w:rPr>
  </w:style>
  <w:style w:type="character" w:customStyle="1" w:styleId="ExecutiveSummaryChar">
    <w:name w:val="Executive Summary Char"/>
    <w:basedOn w:val="TITLE1ReportChar"/>
    <w:link w:val="ExecutiveSummary"/>
    <w:rsid w:val="00F262A8"/>
    <w:rPr>
      <w:rFonts w:ascii="EC Square Sans Cond Pro" w:hAnsi="EC Square Sans Cond Pro" w:cs="Times New Roman"/>
      <w:color w:val="3FB296"/>
      <w:sz w:val="52"/>
      <w:lang w:val="en-GB"/>
    </w:rPr>
  </w:style>
  <w:style w:type="paragraph" w:customStyle="1" w:styleId="Title2Executivesummary">
    <w:name w:val="Title 2 / Executive summary"/>
    <w:basedOn w:val="Normal"/>
    <w:link w:val="Title2ExecutivesummaryChar"/>
    <w:qFormat/>
    <w:rsid w:val="001D7B74"/>
    <w:pPr>
      <w:pBdr>
        <w:top w:val="single" w:sz="12" w:space="1" w:color="3FB296"/>
        <w:bottom w:val="single" w:sz="12" w:space="1" w:color="3FB296"/>
      </w:pBdr>
      <w:spacing w:before="240" w:after="240"/>
      <w:ind w:left="-6" w:right="1"/>
      <w:outlineLvl w:val="1"/>
    </w:pPr>
    <w:rPr>
      <w:rFonts w:eastAsia="EC Square Sans Pro"/>
      <w:b/>
      <w:color w:val="08AA74" w:themeColor="accent3"/>
      <w:sz w:val="28"/>
      <w:szCs w:val="21"/>
      <w:lang w:eastAsia="zh-CN"/>
    </w:rPr>
  </w:style>
  <w:style w:type="character" w:customStyle="1" w:styleId="pagenumberChar">
    <w:name w:val="page number Char"/>
    <w:basedOn w:val="FooterChar"/>
    <w:rsid w:val="00F029F2"/>
    <w:rPr>
      <w:rFonts w:ascii="EC Square Sans Pro" w:hAnsi="EC Square Sans Pro"/>
      <w:b/>
      <w:sz w:val="16"/>
      <w:lang w:val="en-GB"/>
    </w:rPr>
  </w:style>
  <w:style w:type="paragraph" w:customStyle="1" w:styleId="Frame">
    <w:name w:val="Frame"/>
    <w:basedOn w:val="Normal"/>
    <w:rsid w:val="002A580F"/>
    <w:pPr>
      <w:pBdr>
        <w:top w:val="single" w:sz="12" w:space="1" w:color="3FB296"/>
        <w:left w:val="single" w:sz="12" w:space="4" w:color="3FB296"/>
        <w:bottom w:val="single" w:sz="12" w:space="1" w:color="3FB296"/>
        <w:right w:val="single" w:sz="12" w:space="4" w:color="3FB296"/>
      </w:pBdr>
      <w:jc w:val="both"/>
    </w:pPr>
    <w:rPr>
      <w:rFonts w:eastAsia="EC Square Sans Pro"/>
      <w:sz w:val="21"/>
      <w:szCs w:val="21"/>
      <w:lang w:eastAsia="zh-CN"/>
    </w:rPr>
  </w:style>
  <w:style w:type="character" w:customStyle="1" w:styleId="Title2ExecutivesummaryChar">
    <w:name w:val="Title 2 / Executive summary Char"/>
    <w:basedOn w:val="DefaultParagraphFont"/>
    <w:link w:val="Title2Executivesummary"/>
    <w:rsid w:val="001D7B74"/>
    <w:rPr>
      <w:rFonts w:ascii="EC Square Sans Pro" w:eastAsia="EC Square Sans Pro" w:hAnsi="EC Square Sans Pro" w:cs="Times New Roman"/>
      <w:b/>
      <w:color w:val="08AA74" w:themeColor="accent3"/>
      <w:sz w:val="28"/>
      <w:szCs w:val="21"/>
      <w:lang w:val="en-GB" w:eastAsia="zh-CN"/>
    </w:rPr>
  </w:style>
  <w:style w:type="character" w:customStyle="1" w:styleId="AnnualmgntandperformanceChar">
    <w:name w:val="Annual mgnt and performance Char"/>
    <w:basedOn w:val="TITLE1ReportChar"/>
    <w:link w:val="Annualmgntandperformance"/>
    <w:rsid w:val="00FE09E6"/>
    <w:rPr>
      <w:rFonts w:ascii="EC Square Sans Cond Pro" w:hAnsi="EC Square Sans Cond Pro" w:cs="Times New Roman"/>
      <w:color w:val="65BBC8"/>
      <w:sz w:val="52"/>
      <w:lang w:val="en-GB" w:eastAsia="zh-CN"/>
    </w:rPr>
  </w:style>
  <w:style w:type="paragraph" w:customStyle="1" w:styleId="textchart">
    <w:name w:val="text chart"/>
    <w:basedOn w:val="Forewordbodytext"/>
    <w:link w:val="textchartChar"/>
    <w:qFormat/>
    <w:rsid w:val="00126E2F"/>
    <w:pPr>
      <w:jc w:val="left"/>
    </w:pPr>
    <w:rPr>
      <w:i/>
      <w:iCs/>
      <w:sz w:val="16"/>
      <w:szCs w:val="16"/>
      <w:lang w:val="en-IE"/>
    </w:rPr>
  </w:style>
  <w:style w:type="paragraph" w:customStyle="1" w:styleId="BOXE1GREEN">
    <w:name w:val="BOXE 1 / GREEN"/>
    <w:basedOn w:val="BOLDGREEN"/>
    <w:link w:val="BOXE1GREENChar"/>
    <w:qFormat/>
    <w:rsid w:val="0012310E"/>
    <w:pPr>
      <w:pBdr>
        <w:top w:val="single" w:sz="12" w:space="1" w:color="08AA74" w:themeColor="accent3"/>
        <w:left w:val="single" w:sz="12" w:space="4" w:color="08AA74" w:themeColor="accent3"/>
        <w:bottom w:val="single" w:sz="12" w:space="1" w:color="08AA74" w:themeColor="accent3"/>
        <w:right w:val="single" w:sz="12" w:space="4" w:color="08AA74" w:themeColor="accent3"/>
      </w:pBdr>
    </w:pPr>
  </w:style>
  <w:style w:type="character" w:customStyle="1" w:styleId="textchartChar">
    <w:name w:val="text chart Char"/>
    <w:basedOn w:val="ForewordbodytextChar"/>
    <w:link w:val="textchart"/>
    <w:rsid w:val="00126E2F"/>
    <w:rPr>
      <w:rFonts w:ascii="EC Square Sans Pro" w:hAnsi="EC Square Sans Pro" w:cs="Times New Roman"/>
      <w:i/>
      <w:iCs/>
      <w:noProof/>
      <w:sz w:val="16"/>
      <w:szCs w:val="16"/>
      <w:lang w:val="en-IE" w:eastAsia="fr-BE"/>
    </w:rPr>
  </w:style>
  <w:style w:type="paragraph" w:customStyle="1" w:styleId="Annexetitle">
    <w:name w:val="Annexe title"/>
    <w:basedOn w:val="Annualmgntandperformance"/>
    <w:link w:val="AnnexetitleChar"/>
    <w:rsid w:val="00767D1C"/>
    <w:rPr>
      <w:color w:val="8033A3"/>
      <w:lang w:val="en-IE"/>
    </w:rPr>
  </w:style>
  <w:style w:type="paragraph" w:customStyle="1" w:styleId="titleheader">
    <w:name w:val="title header"/>
    <w:basedOn w:val="Header"/>
    <w:link w:val="titleheaderChar"/>
    <w:qFormat/>
    <w:rsid w:val="00767D1C"/>
    <w:rPr>
      <w:rFonts w:cstheme="minorHAnsi"/>
      <w:noProof/>
      <w:color w:val="3FB296"/>
      <w:lang w:eastAsia="fr-BE"/>
    </w:rPr>
  </w:style>
  <w:style w:type="character" w:customStyle="1" w:styleId="AnnexetitleChar">
    <w:name w:val="Annexe title Char"/>
    <w:basedOn w:val="AnnualmgntandperformanceChar"/>
    <w:link w:val="Annexetitle"/>
    <w:rsid w:val="00767D1C"/>
    <w:rPr>
      <w:rFonts w:ascii="EC Square Sans Cond Pro" w:hAnsi="EC Square Sans Cond Pro" w:cs="Times New Roman"/>
      <w:color w:val="8033A3"/>
      <w:sz w:val="52"/>
      <w:lang w:val="en-IE" w:eastAsia="zh-CN"/>
    </w:rPr>
  </w:style>
  <w:style w:type="paragraph" w:customStyle="1" w:styleId="Subtitleannexe">
    <w:name w:val="Subtitle annexe"/>
    <w:basedOn w:val="SubtitleAMPR"/>
    <w:link w:val="SubtitleannexeChar"/>
    <w:rsid w:val="008A69C6"/>
    <w:pPr>
      <w:pBdr>
        <w:top w:val="single" w:sz="12" w:space="1" w:color="8033A3"/>
        <w:bottom w:val="single" w:sz="12" w:space="1" w:color="8033A3"/>
      </w:pBdr>
    </w:pPr>
    <w:rPr>
      <w:color w:val="8033A3"/>
      <w:lang w:val="en-IE"/>
    </w:rPr>
  </w:style>
  <w:style w:type="character" w:customStyle="1" w:styleId="titleheaderChar">
    <w:name w:val="title header Char"/>
    <w:basedOn w:val="HeaderChar"/>
    <w:link w:val="titleheader"/>
    <w:rsid w:val="00767D1C"/>
    <w:rPr>
      <w:rFonts w:ascii="EC Square Sans Pro" w:hAnsi="EC Square Sans Pro" w:cstheme="minorHAnsi"/>
      <w:noProof/>
      <w:color w:val="3FB296"/>
      <w:sz w:val="20"/>
      <w:lang w:val="en-GB" w:eastAsia="fr-BE"/>
    </w:rPr>
  </w:style>
  <w:style w:type="character" w:customStyle="1" w:styleId="SubtitleannexeChar">
    <w:name w:val="Subtitle annexe Char"/>
    <w:basedOn w:val="SubtitleAMPRChar"/>
    <w:link w:val="Subtitleannexe"/>
    <w:rsid w:val="008A69C6"/>
    <w:rPr>
      <w:rFonts w:ascii="EC Square Sans Pro" w:eastAsia="EC Square Sans Pro" w:hAnsi="EC Square Sans Pro" w:cs="Times New Roman"/>
      <w:b/>
      <w:color w:val="8033A3"/>
      <w:sz w:val="28"/>
      <w:szCs w:val="21"/>
      <w:lang w:val="en-IE" w:eastAsia="zh-CN"/>
    </w:rPr>
  </w:style>
  <w:style w:type="paragraph" w:customStyle="1" w:styleId="tablesubtitle">
    <w:name w:val="table subtitle"/>
    <w:basedOn w:val="Normal"/>
    <w:link w:val="tablesubtitleChar"/>
    <w:qFormat/>
    <w:rsid w:val="00A65D7F"/>
    <w:pPr>
      <w:autoSpaceDE w:val="0"/>
      <w:autoSpaceDN w:val="0"/>
      <w:adjustRightInd w:val="0"/>
      <w:jc w:val="both"/>
    </w:pPr>
    <w:rPr>
      <w:rFonts w:eastAsia="Calibri" w:cs="Arial"/>
      <w:b/>
      <w:bCs/>
      <w:color w:val="FFFFFF" w:themeColor="background1"/>
      <w:szCs w:val="20"/>
      <w:lang w:eastAsia="zh-CN"/>
    </w:rPr>
  </w:style>
  <w:style w:type="paragraph" w:customStyle="1" w:styleId="Bulletsannexes">
    <w:name w:val="Bullets annexes"/>
    <w:basedOn w:val="ListParagraph"/>
    <w:link w:val="BulletsannexesChar"/>
    <w:qFormat/>
    <w:rsid w:val="003B7ECA"/>
    <w:pPr>
      <w:autoSpaceDE w:val="0"/>
      <w:autoSpaceDN w:val="0"/>
      <w:adjustRightInd w:val="0"/>
      <w:ind w:hanging="360"/>
      <w:jc w:val="both"/>
    </w:pPr>
    <w:rPr>
      <w:rFonts w:cs="Arial"/>
      <w:iCs/>
      <w:color w:val="000000"/>
    </w:rPr>
  </w:style>
  <w:style w:type="character" w:customStyle="1" w:styleId="BOLDGREENChar">
    <w:name w:val="BOLD GREEN Char"/>
    <w:basedOn w:val="BodyText1Char"/>
    <w:link w:val="BOLDGREEN"/>
    <w:rsid w:val="0012310E"/>
    <w:rPr>
      <w:rFonts w:ascii="EC Square Sans Pro" w:hAnsi="EC Square Sans Pro" w:cs="Times New Roman"/>
      <w:b/>
      <w:noProof/>
      <w:color w:val="08AA74" w:themeColor="accent3"/>
      <w:sz w:val="20"/>
      <w:lang w:val="en-IE" w:eastAsia="fr-BE"/>
    </w:rPr>
  </w:style>
  <w:style w:type="character" w:customStyle="1" w:styleId="tablesubtitleChar">
    <w:name w:val="table subtitle Char"/>
    <w:basedOn w:val="DefaultParagraphFont"/>
    <w:link w:val="tablesubtitle"/>
    <w:rsid w:val="00A65D7F"/>
    <w:rPr>
      <w:rFonts w:ascii="EC Square Sans Pro" w:eastAsia="Calibri" w:hAnsi="EC Square Sans Pro" w:cs="Arial"/>
      <w:b/>
      <w:bCs/>
      <w:color w:val="FFFFFF" w:themeColor="background1"/>
      <w:sz w:val="20"/>
      <w:szCs w:val="20"/>
      <w:lang w:val="en-GB" w:eastAsia="zh-CN"/>
    </w:rPr>
  </w:style>
  <w:style w:type="paragraph" w:customStyle="1" w:styleId="subtitle3purple">
    <w:name w:val="subtitle 3 purple"/>
    <w:basedOn w:val="TITLE3Executivesummary"/>
    <w:link w:val="subtitle3purpleChar"/>
    <w:rsid w:val="003B7ECA"/>
    <w:rPr>
      <w:color w:val="8033A3"/>
    </w:rPr>
  </w:style>
  <w:style w:type="character" w:customStyle="1" w:styleId="BulletsannexesChar">
    <w:name w:val="Bullets annexes Char"/>
    <w:basedOn w:val="ListParagraphChar"/>
    <w:link w:val="Bulletsannexes"/>
    <w:rsid w:val="003B7ECA"/>
    <w:rPr>
      <w:rFonts w:ascii="EC Square Sans Pro" w:eastAsia="Calibri" w:hAnsi="EC Square Sans Pro" w:cs="Arial"/>
      <w:iCs/>
      <w:color w:val="000000"/>
      <w:sz w:val="20"/>
      <w:szCs w:val="20"/>
      <w:lang w:val="en-GB" w:eastAsia="zh-CN"/>
    </w:rPr>
  </w:style>
  <w:style w:type="paragraph" w:customStyle="1" w:styleId="Title4Executivesummary">
    <w:name w:val="Title 4 / Executive summary"/>
    <w:basedOn w:val="BodyText1"/>
    <w:link w:val="Title4ExecutivesummaryChar"/>
    <w:qFormat/>
    <w:rsid w:val="00BC4325"/>
    <w:pPr>
      <w:spacing w:line="360" w:lineRule="auto"/>
      <w:ind w:left="1440" w:hanging="360"/>
      <w:jc w:val="left"/>
    </w:pPr>
    <w:rPr>
      <w:noProof w:val="0"/>
      <w:color w:val="08AA74" w:themeColor="accent3"/>
      <w:sz w:val="22"/>
      <w:szCs w:val="28"/>
      <w:lang w:val="en-GB" w:eastAsia="zh-CN"/>
    </w:rPr>
  </w:style>
  <w:style w:type="character" w:customStyle="1" w:styleId="subtitle3purpleChar">
    <w:name w:val="subtitle 3 purple Char"/>
    <w:basedOn w:val="TITLE3ExecutivesummaryChar"/>
    <w:link w:val="subtitle3purple"/>
    <w:rsid w:val="003B7ECA"/>
    <w:rPr>
      <w:rFonts w:ascii="EC Square Sans Pro" w:hAnsi="EC Square Sans Pro" w:cs="Times New Roman"/>
      <w:b/>
      <w:color w:val="8033A3"/>
      <w:sz w:val="24"/>
      <w:lang w:val="en-IE" w:eastAsia="zh-CN"/>
    </w:rPr>
  </w:style>
  <w:style w:type="paragraph" w:customStyle="1" w:styleId="Tablefootnote">
    <w:name w:val="Table footnote"/>
    <w:basedOn w:val="textchart"/>
    <w:link w:val="TablefootnoteChar"/>
    <w:qFormat/>
    <w:rsid w:val="003747D6"/>
  </w:style>
  <w:style w:type="character" w:customStyle="1" w:styleId="Title4ExecutivesummaryChar">
    <w:name w:val="Title 4 / Executive summary Char"/>
    <w:basedOn w:val="ForewordbodytextChar"/>
    <w:link w:val="Title4Executivesummary"/>
    <w:rsid w:val="00BC4325"/>
    <w:rPr>
      <w:rFonts w:ascii="EC Square Sans Pro" w:hAnsi="EC Square Sans Pro" w:cs="Times New Roman"/>
      <w:noProof/>
      <w:color w:val="08AA74" w:themeColor="accent3"/>
      <w:sz w:val="18"/>
      <w:szCs w:val="28"/>
      <w:lang w:val="en-GB" w:eastAsia="zh-CN"/>
    </w:rPr>
  </w:style>
  <w:style w:type="paragraph" w:customStyle="1" w:styleId="BOXE2GREEN">
    <w:name w:val="BOXE 2 / GREEN"/>
    <w:basedOn w:val="BodyText1"/>
    <w:link w:val="BOXE2GREENChar"/>
    <w:qFormat/>
    <w:rsid w:val="0012310E"/>
    <w:pPr>
      <w:shd w:val="clear" w:color="auto" w:fill="D7F1EA" w:themeFill="accent4" w:themeFillTint="33"/>
    </w:pPr>
  </w:style>
  <w:style w:type="character" w:customStyle="1" w:styleId="TablefootnoteChar">
    <w:name w:val="Table footnote Char"/>
    <w:basedOn w:val="textchartChar"/>
    <w:link w:val="Tablefootnote"/>
    <w:rsid w:val="003747D6"/>
    <w:rPr>
      <w:rFonts w:ascii="EC Square Sans Pro" w:hAnsi="EC Square Sans Pro" w:cs="Times New Roman"/>
      <w:i/>
      <w:iCs/>
      <w:noProof/>
      <w:sz w:val="16"/>
      <w:szCs w:val="16"/>
      <w:lang w:val="en-IE" w:eastAsia="fr-BE"/>
    </w:rPr>
  </w:style>
  <w:style w:type="paragraph" w:styleId="TOC2">
    <w:name w:val="toc 2"/>
    <w:basedOn w:val="Normal"/>
    <w:next w:val="Normal"/>
    <w:autoRedefine/>
    <w:uiPriority w:val="39"/>
    <w:unhideWhenUsed/>
    <w:rsid w:val="00B31C06"/>
    <w:pPr>
      <w:ind w:left="220"/>
    </w:pPr>
    <w:rPr>
      <w:rFonts w:cstheme="minorHAnsi"/>
      <w:smallCaps/>
      <w:szCs w:val="20"/>
    </w:rPr>
  </w:style>
  <w:style w:type="paragraph" w:styleId="TOC3">
    <w:name w:val="toc 3"/>
    <w:basedOn w:val="Normal"/>
    <w:next w:val="Normal"/>
    <w:autoRedefine/>
    <w:uiPriority w:val="39"/>
    <w:unhideWhenUsed/>
    <w:rsid w:val="00B31C06"/>
    <w:pPr>
      <w:ind w:left="440"/>
    </w:pPr>
    <w:rPr>
      <w:rFonts w:cstheme="minorHAnsi"/>
      <w:i/>
      <w:iCs/>
      <w:szCs w:val="20"/>
    </w:rPr>
  </w:style>
  <w:style w:type="paragraph" w:styleId="TOC4">
    <w:name w:val="toc 4"/>
    <w:basedOn w:val="Normal"/>
    <w:next w:val="Normal"/>
    <w:autoRedefine/>
    <w:uiPriority w:val="39"/>
    <w:unhideWhenUsed/>
    <w:rsid w:val="00B31C06"/>
    <w:pPr>
      <w:ind w:left="660"/>
    </w:pPr>
    <w:rPr>
      <w:rFonts w:cstheme="minorHAnsi"/>
      <w:sz w:val="18"/>
      <w:szCs w:val="18"/>
    </w:rPr>
  </w:style>
  <w:style w:type="paragraph" w:styleId="TOC5">
    <w:name w:val="toc 5"/>
    <w:basedOn w:val="Normal"/>
    <w:next w:val="Normal"/>
    <w:autoRedefine/>
    <w:uiPriority w:val="39"/>
    <w:unhideWhenUsed/>
    <w:rsid w:val="00B31C06"/>
    <w:pPr>
      <w:ind w:left="880"/>
    </w:pPr>
    <w:rPr>
      <w:rFonts w:cstheme="minorHAnsi"/>
      <w:sz w:val="18"/>
      <w:szCs w:val="18"/>
    </w:rPr>
  </w:style>
  <w:style w:type="paragraph" w:styleId="TOC6">
    <w:name w:val="toc 6"/>
    <w:basedOn w:val="Normal"/>
    <w:next w:val="Normal"/>
    <w:autoRedefine/>
    <w:uiPriority w:val="39"/>
    <w:unhideWhenUsed/>
    <w:rsid w:val="00B31C06"/>
    <w:pPr>
      <w:ind w:left="1100"/>
    </w:pPr>
    <w:rPr>
      <w:rFonts w:cstheme="minorHAnsi"/>
      <w:sz w:val="18"/>
      <w:szCs w:val="18"/>
    </w:rPr>
  </w:style>
  <w:style w:type="paragraph" w:styleId="TOC7">
    <w:name w:val="toc 7"/>
    <w:basedOn w:val="Normal"/>
    <w:next w:val="Normal"/>
    <w:autoRedefine/>
    <w:uiPriority w:val="39"/>
    <w:unhideWhenUsed/>
    <w:rsid w:val="00B31C06"/>
    <w:pPr>
      <w:ind w:left="1320"/>
    </w:pPr>
    <w:rPr>
      <w:rFonts w:cstheme="minorHAnsi"/>
      <w:sz w:val="18"/>
      <w:szCs w:val="18"/>
    </w:rPr>
  </w:style>
  <w:style w:type="paragraph" w:styleId="TOC8">
    <w:name w:val="toc 8"/>
    <w:basedOn w:val="Normal"/>
    <w:next w:val="Normal"/>
    <w:autoRedefine/>
    <w:uiPriority w:val="39"/>
    <w:unhideWhenUsed/>
    <w:rsid w:val="00B31C06"/>
    <w:pPr>
      <w:ind w:left="1540"/>
    </w:pPr>
    <w:rPr>
      <w:rFonts w:cstheme="minorHAnsi"/>
      <w:sz w:val="18"/>
      <w:szCs w:val="18"/>
    </w:rPr>
  </w:style>
  <w:style w:type="paragraph" w:styleId="TOC9">
    <w:name w:val="toc 9"/>
    <w:basedOn w:val="Normal"/>
    <w:next w:val="Normal"/>
    <w:autoRedefine/>
    <w:uiPriority w:val="39"/>
    <w:unhideWhenUsed/>
    <w:rsid w:val="00B31C06"/>
    <w:pPr>
      <w:ind w:left="1760"/>
    </w:pPr>
    <w:rPr>
      <w:rFonts w:cstheme="minorHAnsi"/>
      <w:sz w:val="18"/>
      <w:szCs w:val="18"/>
    </w:rPr>
  </w:style>
  <w:style w:type="paragraph" w:customStyle="1" w:styleId="Endnote">
    <w:name w:val="Endnote"/>
    <w:basedOn w:val="EndnoteText"/>
    <w:link w:val="EndnoteChar"/>
    <w:qFormat/>
    <w:rsid w:val="004F4230"/>
    <w:pPr>
      <w:spacing w:before="120" w:after="120"/>
    </w:pPr>
  </w:style>
  <w:style w:type="character" w:customStyle="1" w:styleId="EndnoteChar">
    <w:name w:val="Endnote Char"/>
    <w:basedOn w:val="EndnoteTextChar"/>
    <w:link w:val="Endnote"/>
    <w:rsid w:val="004F4230"/>
    <w:rPr>
      <w:rFonts w:ascii="EC Square Sans Pro" w:eastAsia="Calibri" w:hAnsi="EC Square Sans Pro"/>
      <w:sz w:val="20"/>
      <w:szCs w:val="20"/>
      <w:lang w:val="en-GB"/>
    </w:rPr>
  </w:style>
  <w:style w:type="paragraph" w:customStyle="1" w:styleId="TitleforSectionpagebreak">
    <w:name w:val="Title for Section / page break"/>
    <w:basedOn w:val="Normal"/>
    <w:link w:val="TitleforSectionpagebreakChar"/>
    <w:qFormat/>
    <w:rsid w:val="002B79A7"/>
    <w:rPr>
      <w:color w:val="1F4EA2" w:themeColor="background2"/>
      <w:sz w:val="60"/>
      <w:szCs w:val="60"/>
    </w:rPr>
  </w:style>
  <w:style w:type="paragraph" w:customStyle="1" w:styleId="BodyText1">
    <w:name w:val="Body Text 1"/>
    <w:basedOn w:val="Forewordbodytext"/>
    <w:next w:val="BodyText"/>
    <w:link w:val="BodyText1Char"/>
    <w:qFormat/>
    <w:rsid w:val="006921AC"/>
    <w:rPr>
      <w:color w:val="000000" w:themeColor="text1"/>
      <w:sz w:val="20"/>
      <w:lang w:val="en-IE"/>
    </w:rPr>
  </w:style>
  <w:style w:type="character" w:customStyle="1" w:styleId="TitleforSectionpagebreakChar">
    <w:name w:val="Title for Section / page break Char"/>
    <w:basedOn w:val="DefaultParagraphFont"/>
    <w:link w:val="TitleforSectionpagebreak"/>
    <w:rsid w:val="002B79A7"/>
    <w:rPr>
      <w:rFonts w:ascii="EC Square Sans Pro" w:hAnsi="EC Square Sans Pro" w:cs="Times New Roman"/>
      <w:color w:val="1F4EA2" w:themeColor="background2"/>
      <w:sz w:val="60"/>
      <w:szCs w:val="60"/>
      <w:lang w:val="en-GB"/>
    </w:rPr>
  </w:style>
  <w:style w:type="character" w:customStyle="1" w:styleId="BOXE1GREENChar">
    <w:name w:val="BOXE 1 / GREEN Char"/>
    <w:basedOn w:val="BOLDGREENChar"/>
    <w:link w:val="BOXE1GREEN"/>
    <w:rsid w:val="0012310E"/>
    <w:rPr>
      <w:rFonts w:ascii="EC Square Sans Pro" w:hAnsi="EC Square Sans Pro" w:cs="Times New Roman"/>
      <w:b/>
      <w:noProof/>
      <w:color w:val="08AA74" w:themeColor="accent3"/>
      <w:sz w:val="20"/>
      <w:lang w:val="en-IE" w:eastAsia="fr-BE"/>
    </w:rPr>
  </w:style>
  <w:style w:type="character" w:customStyle="1" w:styleId="BodyText1Char">
    <w:name w:val="Body Text 1 Char"/>
    <w:basedOn w:val="ForewordbodytextChar"/>
    <w:link w:val="BodyText1"/>
    <w:rsid w:val="006921AC"/>
    <w:rPr>
      <w:rFonts w:ascii="EC Square Sans Pro" w:hAnsi="EC Square Sans Pro" w:cs="Times New Roman"/>
      <w:noProof/>
      <w:color w:val="000000" w:themeColor="text1"/>
      <w:sz w:val="20"/>
      <w:lang w:val="en-IE" w:eastAsia="fr-BE"/>
    </w:rPr>
  </w:style>
  <w:style w:type="paragraph" w:customStyle="1" w:styleId="BOXE3GREEN">
    <w:name w:val="BOXE 3 / GREEN"/>
    <w:basedOn w:val="BodyText1"/>
    <w:link w:val="BOXE3GREENChar"/>
    <w:qFormat/>
    <w:rsid w:val="00070BCE"/>
    <w:pPr>
      <w:pBdr>
        <w:top w:val="dashSmallGap" w:sz="12" w:space="1" w:color="65BBC8" w:themeColor="accent1"/>
        <w:left w:val="dashSmallGap" w:sz="12" w:space="4" w:color="65BBC8" w:themeColor="accent1"/>
        <w:bottom w:val="dashSmallGap" w:sz="12" w:space="1" w:color="65BBC8" w:themeColor="accent1"/>
        <w:right w:val="dashSmallGap" w:sz="12" w:space="4" w:color="65BBC8" w:themeColor="accent1"/>
      </w:pBdr>
      <w:spacing w:after="120"/>
    </w:pPr>
    <w:rPr>
      <w:lang w:val="en-GB"/>
    </w:rPr>
  </w:style>
  <w:style w:type="character" w:customStyle="1" w:styleId="BOXE2GREENChar">
    <w:name w:val="BOXE 2 / GREEN Char"/>
    <w:basedOn w:val="BodyText1Char"/>
    <w:link w:val="BOXE2GREEN"/>
    <w:rsid w:val="0012310E"/>
    <w:rPr>
      <w:rFonts w:ascii="EC Square Sans Pro" w:hAnsi="EC Square Sans Pro" w:cs="Times New Roman"/>
      <w:noProof/>
      <w:color w:val="000000" w:themeColor="text1"/>
      <w:sz w:val="20"/>
      <w:shd w:val="clear" w:color="auto" w:fill="D7F1EA" w:themeFill="accent4" w:themeFillTint="33"/>
      <w:lang w:val="en-IE" w:eastAsia="fr-BE"/>
    </w:rPr>
  </w:style>
  <w:style w:type="paragraph" w:customStyle="1" w:styleId="Greenbolded">
    <w:name w:val="Green bolded"/>
    <w:basedOn w:val="BodyText1"/>
    <w:link w:val="GreenboldedChar"/>
    <w:qFormat/>
    <w:rsid w:val="00F03209"/>
    <w:rPr>
      <w:b/>
      <w:color w:val="08AA74" w:themeColor="accent3"/>
    </w:rPr>
  </w:style>
  <w:style w:type="character" w:customStyle="1" w:styleId="BOXE3GREENChar">
    <w:name w:val="BOXE 3 / GREEN Char"/>
    <w:basedOn w:val="BodyText1Char"/>
    <w:link w:val="BOXE3GREEN"/>
    <w:rsid w:val="0012310E"/>
    <w:rPr>
      <w:rFonts w:ascii="EC Square Sans Pro" w:hAnsi="EC Square Sans Pro" w:cs="Times New Roman"/>
      <w:noProof/>
      <w:color w:val="000000" w:themeColor="text1"/>
      <w:sz w:val="20"/>
      <w:lang w:val="en-GB" w:eastAsia="fr-BE"/>
    </w:rPr>
  </w:style>
  <w:style w:type="table" w:customStyle="1" w:styleId="BOXBullets">
    <w:name w:val="BOX Bullets"/>
    <w:basedOn w:val="TableNormal"/>
    <w:uiPriority w:val="99"/>
    <w:rsid w:val="00152F6A"/>
    <w:rPr>
      <w:sz w:val="20"/>
    </w:rPr>
    <w:tblPr/>
    <w:tcPr>
      <w:vAlign w:val="center"/>
    </w:tcPr>
  </w:style>
  <w:style w:type="character" w:customStyle="1" w:styleId="GreenboldedChar">
    <w:name w:val="Green bolded Char"/>
    <w:basedOn w:val="BodyText1Char"/>
    <w:link w:val="Greenbolded"/>
    <w:rsid w:val="00F03209"/>
    <w:rPr>
      <w:rFonts w:ascii="EC Square Sans Pro" w:hAnsi="EC Square Sans Pro" w:cs="Times New Roman"/>
      <w:b/>
      <w:noProof/>
      <w:color w:val="08AA74" w:themeColor="accent3"/>
      <w:sz w:val="20"/>
      <w:lang w:val="en-IE" w:eastAsia="fr-BE"/>
    </w:rPr>
  </w:style>
  <w:style w:type="table" w:customStyle="1" w:styleId="Tablegreen">
    <w:name w:val="Table green"/>
    <w:basedOn w:val="TableNormal"/>
    <w:uiPriority w:val="99"/>
    <w:rsid w:val="00152F6A"/>
    <w:tblPr/>
  </w:style>
  <w:style w:type="paragraph" w:customStyle="1" w:styleId="AMPRPageNumber">
    <w:name w:val="AMPR Page Number"/>
    <w:basedOn w:val="Normal"/>
    <w:link w:val="AMPRPageNumberChar"/>
    <w:qFormat/>
    <w:rsid w:val="00BC4325"/>
    <w:pPr>
      <w:pBdr>
        <w:top w:val="single" w:sz="4" w:space="1" w:color="0070C0"/>
      </w:pBdr>
      <w:spacing w:after="100"/>
      <w:jc w:val="center"/>
    </w:pPr>
    <w:rPr>
      <w:rFonts w:eastAsia="Times New Roman"/>
      <w:color w:val="0070C0"/>
      <w:sz w:val="32"/>
      <w:szCs w:val="24"/>
      <w:lang w:eastAsia="en-GB"/>
    </w:rPr>
  </w:style>
  <w:style w:type="character" w:customStyle="1" w:styleId="AMPRPageNumberChar">
    <w:name w:val="AMPR Page Number Char"/>
    <w:basedOn w:val="DefaultParagraphFont"/>
    <w:link w:val="AMPRPageNumber"/>
    <w:rsid w:val="00BC4325"/>
    <w:rPr>
      <w:rFonts w:ascii="EC Square Sans Pro" w:eastAsia="Times New Roman" w:hAnsi="EC Square Sans Pro" w:cs="Times New Roman"/>
      <w:color w:val="0070C0"/>
      <w:sz w:val="32"/>
      <w:szCs w:val="24"/>
      <w:lang w:val="en-GB" w:eastAsia="en-GB"/>
    </w:rPr>
  </w:style>
  <w:style w:type="table" w:customStyle="1" w:styleId="GridTable6Colorful-Accent51">
    <w:name w:val="Grid Table 6 Colorful - Accent 51"/>
    <w:basedOn w:val="TableNormal"/>
    <w:uiPriority w:val="51"/>
    <w:rsid w:val="009343E0"/>
    <w:rPr>
      <w:color w:val="B76818" w:themeColor="accent5" w:themeShade="BF"/>
      <w:lang w:val="en-GB"/>
    </w:rPr>
    <w:tblPr>
      <w:tblStyleRowBandSize w:val="1"/>
      <w:tblStyleColBandSize w:val="1"/>
      <w:tblBorders>
        <w:top w:val="single" w:sz="4" w:space="0" w:color="EEB983" w:themeColor="accent5" w:themeTint="99"/>
        <w:left w:val="single" w:sz="4" w:space="0" w:color="EEB983" w:themeColor="accent5" w:themeTint="99"/>
        <w:bottom w:val="single" w:sz="4" w:space="0" w:color="EEB983" w:themeColor="accent5" w:themeTint="99"/>
        <w:right w:val="single" w:sz="4" w:space="0" w:color="EEB983" w:themeColor="accent5" w:themeTint="99"/>
        <w:insideH w:val="single" w:sz="4" w:space="0" w:color="EEB983" w:themeColor="accent5" w:themeTint="99"/>
        <w:insideV w:val="single" w:sz="4" w:space="0" w:color="EEB983" w:themeColor="accent5" w:themeTint="99"/>
      </w:tblBorders>
    </w:tblPr>
    <w:tblStylePr w:type="firstRow">
      <w:rPr>
        <w:b/>
        <w:bCs/>
      </w:rPr>
      <w:tblPr/>
      <w:tcPr>
        <w:tcBorders>
          <w:bottom w:val="single" w:sz="12" w:space="0" w:color="EEB983" w:themeColor="accent5" w:themeTint="99"/>
        </w:tcBorders>
      </w:tcPr>
    </w:tblStylePr>
    <w:tblStylePr w:type="lastRow">
      <w:rPr>
        <w:b/>
        <w:bCs/>
      </w:rPr>
      <w:tblPr/>
      <w:tcPr>
        <w:tcBorders>
          <w:top w:val="double" w:sz="4" w:space="0" w:color="EEB983" w:themeColor="accent5" w:themeTint="99"/>
        </w:tcBorders>
      </w:tcPr>
    </w:tblStylePr>
    <w:tblStylePr w:type="firstCol">
      <w:rPr>
        <w:b/>
        <w:bCs/>
      </w:rPr>
    </w:tblStylePr>
    <w:tblStylePr w:type="lastCol">
      <w:rPr>
        <w:b/>
        <w:bCs/>
      </w:rPr>
    </w:tblStylePr>
    <w:tblStylePr w:type="band1Vert">
      <w:tblPr/>
      <w:tcPr>
        <w:shd w:val="clear" w:color="auto" w:fill="F9E7D5" w:themeFill="accent5" w:themeFillTint="33"/>
      </w:tcPr>
    </w:tblStylePr>
    <w:tblStylePr w:type="band1Horz">
      <w:tblPr/>
      <w:tcPr>
        <w:shd w:val="clear" w:color="auto" w:fill="F9E7D5" w:themeFill="accent5" w:themeFillTint="33"/>
      </w:tcPr>
    </w:tblStylePr>
  </w:style>
  <w:style w:type="paragraph" w:styleId="CommentText">
    <w:name w:val="annotation text"/>
    <w:basedOn w:val="Normal"/>
    <w:link w:val="CommentTextChar"/>
    <w:uiPriority w:val="99"/>
    <w:unhideWhenUsed/>
    <w:qFormat/>
    <w:rsid w:val="009343E0"/>
    <w:rPr>
      <w:szCs w:val="20"/>
    </w:rPr>
  </w:style>
  <w:style w:type="character" w:customStyle="1" w:styleId="CommentTextChar">
    <w:name w:val="Comment Text Char"/>
    <w:basedOn w:val="DefaultParagraphFont"/>
    <w:link w:val="CommentText"/>
    <w:uiPriority w:val="99"/>
    <w:rsid w:val="009343E0"/>
    <w:rPr>
      <w:rFonts w:ascii="EC Square Sans Pro" w:hAnsi="EC Square Sans Pro" w:cs="Times New Roman"/>
      <w:sz w:val="20"/>
      <w:szCs w:val="20"/>
      <w:lang w:val="en-GB"/>
    </w:rPr>
  </w:style>
  <w:style w:type="paragraph" w:customStyle="1" w:styleId="Paragraph">
    <w:name w:val="Paragraph"/>
    <w:basedOn w:val="Normal"/>
    <w:link w:val="ParagraphChar"/>
    <w:qFormat/>
    <w:rsid w:val="009343E0"/>
    <w:pPr>
      <w:spacing w:after="120"/>
      <w:jc w:val="both"/>
    </w:pPr>
    <w:rPr>
      <w:rFonts w:eastAsia="Times New Roman"/>
      <w:sz w:val="24"/>
      <w:szCs w:val="24"/>
    </w:rPr>
  </w:style>
  <w:style w:type="character" w:customStyle="1" w:styleId="ParagraphChar">
    <w:name w:val="Paragraph Char"/>
    <w:basedOn w:val="DefaultParagraphFont"/>
    <w:link w:val="Paragraph"/>
    <w:rsid w:val="009343E0"/>
    <w:rPr>
      <w:rFonts w:ascii="EC Square Sans Pro" w:eastAsia="Times New Roman" w:hAnsi="EC Square Sans Pro" w:cs="Times New Roman"/>
      <w:sz w:val="24"/>
      <w:szCs w:val="24"/>
      <w:lang w:val="en-GB"/>
    </w:rPr>
  </w:style>
  <w:style w:type="paragraph" w:customStyle="1" w:styleId="Subtitleblue">
    <w:name w:val="Subtitle blue"/>
    <w:basedOn w:val="Normal"/>
    <w:link w:val="SubtitleblueChar"/>
    <w:qFormat/>
    <w:rsid w:val="00133290"/>
    <w:pPr>
      <w:keepNext/>
      <w:spacing w:after="240"/>
    </w:pPr>
    <w:rPr>
      <w:b/>
      <w:i/>
      <w:color w:val="65BBC8"/>
      <w:lang w:eastAsia="zh-CN"/>
    </w:rPr>
  </w:style>
  <w:style w:type="character" w:customStyle="1" w:styleId="SubtitleblueChar">
    <w:name w:val="Subtitle blue Char"/>
    <w:basedOn w:val="DefaultParagraphFont"/>
    <w:link w:val="Subtitleblue"/>
    <w:rsid w:val="006921AC"/>
    <w:rPr>
      <w:rFonts w:ascii="EC Square Sans Pro" w:hAnsi="EC Square Sans Pro" w:cs="Times New Roman"/>
      <w:b/>
      <w:i/>
      <w:color w:val="65BBC8"/>
      <w:sz w:val="20"/>
      <w:lang w:val="en-GB" w:eastAsia="zh-CN"/>
    </w:rPr>
  </w:style>
  <w:style w:type="paragraph" w:customStyle="1" w:styleId="BOX1BLUE">
    <w:name w:val="BOX 1 / BLUE"/>
    <w:basedOn w:val="BOXE1GREEN"/>
    <w:link w:val="BOX1BLUEChar"/>
    <w:qFormat/>
    <w:rsid w:val="006921AC"/>
    <w:pPr>
      <w:pBdr>
        <w:top w:val="single" w:sz="12" w:space="1" w:color="65BBC8" w:themeColor="accent1"/>
        <w:left w:val="single" w:sz="12" w:space="4" w:color="65BBC8" w:themeColor="accent1"/>
        <w:bottom w:val="single" w:sz="12" w:space="1" w:color="65BBC8" w:themeColor="accent1"/>
        <w:right w:val="single" w:sz="12" w:space="4" w:color="65BBC8" w:themeColor="accent1"/>
      </w:pBdr>
    </w:pPr>
    <w:rPr>
      <w:color w:val="65BBC8" w:themeColor="accent1"/>
      <w:lang w:val="en-US"/>
    </w:rPr>
  </w:style>
  <w:style w:type="paragraph" w:customStyle="1" w:styleId="Subtitle3blue">
    <w:name w:val="Subtitle 3 blue"/>
    <w:basedOn w:val="Normal"/>
    <w:link w:val="Subtitle3blueChar"/>
    <w:qFormat/>
    <w:rsid w:val="003534FA"/>
    <w:rPr>
      <w:b/>
      <w:color w:val="65BBC8"/>
      <w:lang w:eastAsia="zh-CN"/>
    </w:rPr>
  </w:style>
  <w:style w:type="character" w:customStyle="1" w:styleId="BOX1BLUEChar">
    <w:name w:val="BOX 1 / BLUE Char"/>
    <w:basedOn w:val="BOXE1GREENChar"/>
    <w:link w:val="BOX1BLUE"/>
    <w:rsid w:val="006921AC"/>
    <w:rPr>
      <w:rFonts w:ascii="EC Square Sans Pro" w:hAnsi="EC Square Sans Pro" w:cs="Times New Roman"/>
      <w:b/>
      <w:noProof/>
      <w:color w:val="65BBC8" w:themeColor="accent1"/>
      <w:sz w:val="20"/>
      <w:lang w:val="en-US" w:eastAsia="fr-BE"/>
    </w:rPr>
  </w:style>
  <w:style w:type="paragraph" w:styleId="BodyText">
    <w:name w:val="Body Text"/>
    <w:basedOn w:val="Normal"/>
    <w:link w:val="BodyTextChar"/>
    <w:unhideWhenUsed/>
    <w:qFormat/>
    <w:rsid w:val="006921AC"/>
    <w:pPr>
      <w:spacing w:after="120"/>
    </w:pPr>
  </w:style>
  <w:style w:type="character" w:customStyle="1" w:styleId="BodyTextChar">
    <w:name w:val="Body Text Char"/>
    <w:basedOn w:val="DefaultParagraphFont"/>
    <w:link w:val="BodyText"/>
    <w:rsid w:val="006921AC"/>
    <w:rPr>
      <w:rFonts w:asciiTheme="majorHAnsi" w:hAnsiTheme="majorHAnsi" w:cs="Times New Roman"/>
      <w:sz w:val="20"/>
    </w:rPr>
  </w:style>
  <w:style w:type="character" w:customStyle="1" w:styleId="Subtitle3blueChar">
    <w:name w:val="Subtitle 3 blue Char"/>
    <w:basedOn w:val="DefaultParagraphFont"/>
    <w:link w:val="Subtitle3blue"/>
    <w:rsid w:val="003534FA"/>
    <w:rPr>
      <w:rFonts w:ascii="EC Square Sans Pro" w:hAnsi="EC Square Sans Pro" w:cs="Times New Roman"/>
      <w:b/>
      <w:color w:val="65BBC8"/>
      <w:sz w:val="20"/>
      <w:lang w:val="en-GB" w:eastAsia="zh-CN"/>
    </w:rPr>
  </w:style>
  <w:style w:type="paragraph" w:customStyle="1" w:styleId="TITLE3Blue">
    <w:name w:val="TITLE 3 Blue"/>
    <w:basedOn w:val="Normal"/>
    <w:link w:val="TITLE3BlueChar"/>
    <w:rsid w:val="009A15A5"/>
    <w:pPr>
      <w:ind w:left="644" w:hanging="360"/>
    </w:pPr>
    <w:rPr>
      <w:color w:val="65BBC8" w:themeColor="accent1"/>
    </w:rPr>
  </w:style>
  <w:style w:type="paragraph" w:customStyle="1" w:styleId="TITLE1EXECUTIVESUMMARY">
    <w:name w:val="TITLE 1 / EXECUTIVE SUMMARY"/>
    <w:basedOn w:val="TITLE1Report"/>
    <w:link w:val="TITLE1EXECUTIVESUMMARYChar"/>
    <w:qFormat/>
    <w:rsid w:val="00812036"/>
    <w:rPr>
      <w:color w:val="08AA74" w:themeColor="accent3"/>
      <w:lang w:val="en-IE"/>
    </w:rPr>
  </w:style>
  <w:style w:type="character" w:customStyle="1" w:styleId="TITLE3BlueChar">
    <w:name w:val="TITLE 3 Blue Char"/>
    <w:basedOn w:val="TITLE3ExecutivesummaryChar"/>
    <w:link w:val="TITLE3Blue"/>
    <w:rsid w:val="009A15A5"/>
    <w:rPr>
      <w:rFonts w:asciiTheme="majorHAnsi" w:hAnsiTheme="majorHAnsi" w:cs="Times New Roman"/>
      <w:b w:val="0"/>
      <w:color w:val="65BBC8" w:themeColor="accent1"/>
      <w:sz w:val="20"/>
      <w:lang w:val="en-IE" w:eastAsia="zh-CN"/>
    </w:rPr>
  </w:style>
  <w:style w:type="paragraph" w:customStyle="1" w:styleId="Title2Report">
    <w:name w:val="Title 2 / Report"/>
    <w:basedOn w:val="Normal"/>
    <w:link w:val="Title2ReportChar"/>
    <w:qFormat/>
    <w:rsid w:val="00392493"/>
    <w:pPr>
      <w:keepNext/>
      <w:keepLines/>
      <w:pBdr>
        <w:top w:val="single" w:sz="12" w:space="1" w:color="65BBC8"/>
        <w:bottom w:val="single" w:sz="12" w:space="1" w:color="65BBC8"/>
      </w:pBdr>
      <w:spacing w:before="480" w:after="240" w:line="276" w:lineRule="auto"/>
      <w:ind w:left="-6"/>
      <w:outlineLvl w:val="1"/>
    </w:pPr>
    <w:rPr>
      <w:rFonts w:eastAsia="EC Square Sans Pro"/>
      <w:b/>
      <w:color w:val="65BBC8"/>
      <w:sz w:val="28"/>
      <w:szCs w:val="21"/>
      <w:lang w:eastAsia="zh-CN"/>
    </w:rPr>
  </w:style>
  <w:style w:type="character" w:customStyle="1" w:styleId="TITLE1EXECUTIVESUMMARYChar">
    <w:name w:val="TITLE 1 / EXECUTIVE SUMMARY Char"/>
    <w:basedOn w:val="TITLE1ReportChar"/>
    <w:link w:val="TITLE1EXECUTIVESUMMARY"/>
    <w:rsid w:val="00812036"/>
    <w:rPr>
      <w:rFonts w:ascii="EC Square Sans Pro" w:hAnsi="EC Square Sans Pro" w:cs="Times New Roman"/>
      <w:color w:val="08AA74" w:themeColor="accent3"/>
      <w:sz w:val="52"/>
      <w:lang w:val="en-IE"/>
    </w:rPr>
  </w:style>
  <w:style w:type="paragraph" w:customStyle="1" w:styleId="Title3Report">
    <w:name w:val="Title 3 / Report"/>
    <w:basedOn w:val="TITLE3Executivesummary"/>
    <w:link w:val="Title3ReportChar"/>
    <w:qFormat/>
    <w:rsid w:val="006E685E"/>
    <w:pPr>
      <w:ind w:left="0" w:firstLine="0"/>
    </w:pPr>
    <w:rPr>
      <w:color w:val="65BBC8"/>
    </w:rPr>
  </w:style>
  <w:style w:type="character" w:customStyle="1" w:styleId="Title2ReportChar">
    <w:name w:val="Title 2 / Report Char"/>
    <w:basedOn w:val="Title2ExecutivesummaryChar"/>
    <w:link w:val="Title2Report"/>
    <w:rsid w:val="007925A5"/>
    <w:rPr>
      <w:rFonts w:ascii="EC Square Sans Pro" w:eastAsia="EC Square Sans Pro" w:hAnsi="EC Square Sans Pro" w:cs="Times New Roman"/>
      <w:b/>
      <w:color w:val="65BBC8"/>
      <w:sz w:val="28"/>
      <w:szCs w:val="21"/>
      <w:lang w:val="en-GB" w:eastAsia="zh-CN"/>
    </w:rPr>
  </w:style>
  <w:style w:type="paragraph" w:customStyle="1" w:styleId="QuoteReport">
    <w:name w:val="Quote Report"/>
    <w:basedOn w:val="QuotedText"/>
    <w:link w:val="QuoteReportChar"/>
    <w:qFormat/>
    <w:rsid w:val="000D4941"/>
    <w:pPr>
      <w:ind w:left="41"/>
      <w:jc w:val="center"/>
    </w:pPr>
    <w:rPr>
      <w:rFonts w:eastAsia="Calibri"/>
      <w:color w:val="65BBC8" w:themeColor="accent1"/>
      <w:lang w:val="en-IE" w:eastAsia="zh-CN"/>
    </w:rPr>
  </w:style>
  <w:style w:type="character" w:customStyle="1" w:styleId="Title3ReportChar">
    <w:name w:val="Title 3 / Report Char"/>
    <w:basedOn w:val="TITLE3ExecutivesummaryChar"/>
    <w:link w:val="Title3Report"/>
    <w:rsid w:val="006E685E"/>
    <w:rPr>
      <w:rFonts w:ascii="EC Square Sans Pro" w:hAnsi="EC Square Sans Pro" w:cs="Times New Roman"/>
      <w:b/>
      <w:color w:val="65BBC8"/>
      <w:sz w:val="24"/>
      <w:lang w:val="en-GB" w:eastAsia="zh-CN"/>
    </w:rPr>
  </w:style>
  <w:style w:type="paragraph" w:customStyle="1" w:styleId="Title1Corporate">
    <w:name w:val="Title 1 / Corporate"/>
    <w:basedOn w:val="TITLE1Report"/>
    <w:link w:val="Title1CorporateChar"/>
    <w:qFormat/>
    <w:rsid w:val="000D4941"/>
    <w:rPr>
      <w:color w:val="1F4EA2" w:themeColor="background2"/>
    </w:rPr>
  </w:style>
  <w:style w:type="character" w:customStyle="1" w:styleId="QuotedTextChar">
    <w:name w:val="Quoted Text Char"/>
    <w:basedOn w:val="DefaultParagraphFont"/>
    <w:link w:val="QuotedText"/>
    <w:rsid w:val="000D4941"/>
    <w:rPr>
      <w:rFonts w:asciiTheme="majorHAnsi" w:hAnsiTheme="majorHAnsi" w:cs="Times New Roman"/>
      <w:i/>
      <w:sz w:val="28"/>
    </w:rPr>
  </w:style>
  <w:style w:type="character" w:customStyle="1" w:styleId="QuoteReportChar">
    <w:name w:val="Quote Report Char"/>
    <w:basedOn w:val="QuotedTextChar"/>
    <w:link w:val="QuoteReport"/>
    <w:rsid w:val="000D4941"/>
    <w:rPr>
      <w:rFonts w:asciiTheme="majorHAnsi" w:eastAsia="Calibri" w:hAnsiTheme="majorHAnsi" w:cs="Times New Roman"/>
      <w:i/>
      <w:color w:val="65BBC8" w:themeColor="accent1"/>
      <w:sz w:val="28"/>
      <w:lang w:val="en-IE" w:eastAsia="zh-CN"/>
    </w:rPr>
  </w:style>
  <w:style w:type="paragraph" w:customStyle="1" w:styleId="Datagraphs">
    <w:name w:val="Data graphs"/>
    <w:basedOn w:val="Forewordbodytext"/>
    <w:link w:val="DatagraphsChar"/>
    <w:qFormat/>
    <w:rsid w:val="00081565"/>
  </w:style>
  <w:style w:type="character" w:customStyle="1" w:styleId="Title1CorporateChar">
    <w:name w:val="Title 1 / Corporate Char"/>
    <w:basedOn w:val="TITLE1ReportChar"/>
    <w:link w:val="Title1Corporate"/>
    <w:rsid w:val="000D4941"/>
    <w:rPr>
      <w:rFonts w:ascii="EC Square Sans Pro" w:hAnsi="EC Square Sans Pro" w:cs="Times New Roman"/>
      <w:color w:val="1F4EA2" w:themeColor="background2"/>
      <w:sz w:val="52"/>
      <w:lang w:val="en-GB"/>
    </w:rPr>
  </w:style>
  <w:style w:type="paragraph" w:customStyle="1" w:styleId="BOX3Blue">
    <w:name w:val="BOX 3 / Blue"/>
    <w:basedOn w:val="BOXE3GREEN"/>
    <w:link w:val="BOX3BlueChar"/>
    <w:qFormat/>
    <w:rsid w:val="00AA5E56"/>
    <w:rPr>
      <w:b/>
      <w:color w:val="65BBC8"/>
    </w:rPr>
  </w:style>
  <w:style w:type="character" w:customStyle="1" w:styleId="DatagraphsChar">
    <w:name w:val="Data graphs Char"/>
    <w:basedOn w:val="ForewordbodytextChar"/>
    <w:link w:val="Datagraphs"/>
    <w:rsid w:val="00081565"/>
    <w:rPr>
      <w:rFonts w:ascii="EC Square Sans Pro" w:hAnsi="EC Square Sans Pro" w:cs="Times New Roman"/>
      <w:noProof/>
      <w:sz w:val="18"/>
      <w:lang w:val="fr-BE" w:eastAsia="fr-BE"/>
    </w:rPr>
  </w:style>
  <w:style w:type="paragraph" w:customStyle="1" w:styleId="BOX2Blue">
    <w:name w:val="BOX 2 /Blue"/>
    <w:basedOn w:val="BOXE2GREEN"/>
    <w:link w:val="BOX2BlueChar"/>
    <w:qFormat/>
    <w:rsid w:val="00DE5F57"/>
    <w:pPr>
      <w:pBdr>
        <w:top w:val="single" w:sz="4" w:space="4" w:color="E5F6FA" w:themeColor="accent2" w:themeTint="33"/>
        <w:left w:val="single" w:sz="4" w:space="4" w:color="E5F6FA" w:themeColor="accent2" w:themeTint="33"/>
        <w:bottom w:val="single" w:sz="4" w:space="4" w:color="E5F6FA" w:themeColor="accent2" w:themeTint="33"/>
        <w:right w:val="single" w:sz="4" w:space="4" w:color="E5F6FA" w:themeColor="accent2" w:themeTint="33"/>
      </w:pBdr>
      <w:shd w:val="clear" w:color="auto" w:fill="E5F6FA" w:themeFill="accent2" w:themeFillTint="33"/>
    </w:pPr>
    <w:rPr>
      <w:lang w:val="en-GB"/>
    </w:rPr>
  </w:style>
  <w:style w:type="character" w:customStyle="1" w:styleId="BOX3BlueChar">
    <w:name w:val="BOX 3 / Blue Char"/>
    <w:basedOn w:val="BOXE3GREENChar"/>
    <w:link w:val="BOX3Blue"/>
    <w:rsid w:val="00AA5E56"/>
    <w:rPr>
      <w:rFonts w:ascii="EC Square Sans Pro" w:hAnsi="EC Square Sans Pro" w:cs="Times New Roman"/>
      <w:b/>
      <w:noProof/>
      <w:color w:val="65BBC8"/>
      <w:sz w:val="20"/>
      <w:lang w:val="en-GB" w:eastAsia="fr-BE"/>
    </w:rPr>
  </w:style>
  <w:style w:type="paragraph" w:customStyle="1" w:styleId="Title4Blue">
    <w:name w:val="Title 4 / Blue"/>
    <w:basedOn w:val="Title4Executivesummary"/>
    <w:link w:val="Title4BlueChar"/>
    <w:qFormat/>
    <w:rsid w:val="006D6A46"/>
    <w:rPr>
      <w:color w:val="65BBC8" w:themeColor="accent1"/>
    </w:rPr>
  </w:style>
  <w:style w:type="character" w:customStyle="1" w:styleId="BOX2BlueChar">
    <w:name w:val="BOX 2 /Blue Char"/>
    <w:basedOn w:val="BOXE2GREENChar"/>
    <w:link w:val="BOX2Blue"/>
    <w:rsid w:val="00DE5F57"/>
    <w:rPr>
      <w:rFonts w:ascii="EC Square Sans Pro" w:hAnsi="EC Square Sans Pro" w:cs="Times New Roman"/>
      <w:noProof/>
      <w:color w:val="000000" w:themeColor="text1"/>
      <w:sz w:val="20"/>
      <w:shd w:val="clear" w:color="auto" w:fill="E5F6FA" w:themeFill="accent2" w:themeFillTint="33"/>
      <w:lang w:val="en-GB" w:eastAsia="fr-BE"/>
    </w:rPr>
  </w:style>
  <w:style w:type="character" w:customStyle="1" w:styleId="Title4BlueChar">
    <w:name w:val="Title 4 / Blue Char"/>
    <w:basedOn w:val="Title4ExecutivesummaryChar"/>
    <w:link w:val="Title4Blue"/>
    <w:rsid w:val="006D6A46"/>
    <w:rPr>
      <w:rFonts w:ascii="EC Square Sans Pro" w:hAnsi="EC Square Sans Pro" w:cs="Times New Roman"/>
      <w:noProof/>
      <w:color w:val="65BBC8" w:themeColor="accent1"/>
      <w:sz w:val="18"/>
      <w:szCs w:val="28"/>
      <w:lang w:val="en-GB" w:eastAsia="zh-CN"/>
    </w:rPr>
  </w:style>
  <w:style w:type="paragraph" w:customStyle="1" w:styleId="Title1Annexes">
    <w:name w:val="Title 1 / Annexes"/>
    <w:basedOn w:val="Annexetitle"/>
    <w:link w:val="Title1AnnexesChar"/>
    <w:qFormat/>
    <w:rsid w:val="001F0451"/>
    <w:rPr>
      <w:color w:val="E48C32" w:themeColor="accent5"/>
    </w:rPr>
  </w:style>
  <w:style w:type="paragraph" w:customStyle="1" w:styleId="Title1Endnotes">
    <w:name w:val="Title 1 / Endnotes"/>
    <w:basedOn w:val="Annexetitle"/>
    <w:link w:val="Title1EndnotesChar"/>
    <w:qFormat/>
    <w:rsid w:val="001F0451"/>
    <w:rPr>
      <w:color w:val="EFC465" w:themeColor="accent6"/>
    </w:rPr>
  </w:style>
  <w:style w:type="character" w:customStyle="1" w:styleId="Title1AnnexesChar">
    <w:name w:val="Title 1 / Annexes Char"/>
    <w:basedOn w:val="AnnexetitleChar"/>
    <w:link w:val="Title1Annexes"/>
    <w:rsid w:val="001F0451"/>
    <w:rPr>
      <w:rFonts w:ascii="EC Square Sans Pro" w:hAnsi="EC Square Sans Pro" w:cs="Times New Roman"/>
      <w:color w:val="E48C32" w:themeColor="accent5"/>
      <w:sz w:val="52"/>
      <w:lang w:val="en-IE" w:eastAsia="zh-CN"/>
    </w:rPr>
  </w:style>
  <w:style w:type="paragraph" w:customStyle="1" w:styleId="Title2Annexes">
    <w:name w:val="Title 2 / Annexes"/>
    <w:basedOn w:val="Subtitleannexe"/>
    <w:link w:val="Title2AnnexesChar"/>
    <w:qFormat/>
    <w:rsid w:val="007046B0"/>
    <w:pPr>
      <w:pBdr>
        <w:top w:val="single" w:sz="12" w:space="1" w:color="E48C32"/>
        <w:bottom w:val="single" w:sz="12" w:space="1" w:color="E48C32"/>
      </w:pBdr>
    </w:pPr>
    <w:rPr>
      <w:color w:val="E48C32" w:themeColor="accent5"/>
    </w:rPr>
  </w:style>
  <w:style w:type="character" w:customStyle="1" w:styleId="Title1EndnotesChar">
    <w:name w:val="Title 1 / Endnotes Char"/>
    <w:basedOn w:val="AnnexetitleChar"/>
    <w:link w:val="Title1Endnotes"/>
    <w:rsid w:val="001F0451"/>
    <w:rPr>
      <w:rFonts w:ascii="EC Square Sans Pro" w:hAnsi="EC Square Sans Pro" w:cs="Times New Roman"/>
      <w:color w:val="EFC465" w:themeColor="accent6"/>
      <w:sz w:val="52"/>
      <w:lang w:val="en-IE" w:eastAsia="zh-CN"/>
    </w:rPr>
  </w:style>
  <w:style w:type="paragraph" w:customStyle="1" w:styleId="Title3Annexes">
    <w:name w:val="Title 3 / Annexes"/>
    <w:basedOn w:val="Title3Report"/>
    <w:link w:val="Title3AnnexesChar"/>
    <w:qFormat/>
    <w:rsid w:val="007046B0"/>
    <w:pPr>
      <w:ind w:left="720" w:hanging="360"/>
    </w:pPr>
    <w:rPr>
      <w:color w:val="E48C32" w:themeColor="accent5"/>
    </w:rPr>
  </w:style>
  <w:style w:type="character" w:customStyle="1" w:styleId="Title2AnnexesChar">
    <w:name w:val="Title 2 / Annexes Char"/>
    <w:basedOn w:val="SubtitleannexeChar"/>
    <w:link w:val="Title2Annexes"/>
    <w:rsid w:val="007046B0"/>
    <w:rPr>
      <w:rFonts w:ascii="EC Square Sans Pro" w:eastAsia="EC Square Sans Pro" w:hAnsi="EC Square Sans Pro" w:cs="Times New Roman"/>
      <w:b/>
      <w:color w:val="E48C32" w:themeColor="accent5"/>
      <w:sz w:val="28"/>
      <w:szCs w:val="21"/>
      <w:lang w:val="en-IE" w:eastAsia="zh-CN"/>
    </w:rPr>
  </w:style>
  <w:style w:type="paragraph" w:customStyle="1" w:styleId="Title4annexes">
    <w:name w:val="Title 4 / annexes"/>
    <w:basedOn w:val="Title3Annexes"/>
    <w:link w:val="Title4annexesChar"/>
    <w:qFormat/>
    <w:rsid w:val="007046B0"/>
    <w:pPr>
      <w:ind w:left="1440"/>
    </w:pPr>
    <w:rPr>
      <w:b w:val="0"/>
    </w:rPr>
  </w:style>
  <w:style w:type="character" w:customStyle="1" w:styleId="Title3AnnexesChar">
    <w:name w:val="Title 3 / Annexes Char"/>
    <w:basedOn w:val="Title3ReportChar"/>
    <w:link w:val="Title3Annexes"/>
    <w:rsid w:val="007046B0"/>
    <w:rPr>
      <w:rFonts w:ascii="EC Square Sans Pro" w:hAnsi="EC Square Sans Pro" w:cs="Times New Roman"/>
      <w:b/>
      <w:color w:val="E48C32" w:themeColor="accent5"/>
      <w:sz w:val="24"/>
      <w:lang w:val="en-GB" w:eastAsia="zh-CN"/>
    </w:rPr>
  </w:style>
  <w:style w:type="paragraph" w:customStyle="1" w:styleId="AARText">
    <w:name w:val="AAR Text"/>
    <w:basedOn w:val="Normal"/>
    <w:link w:val="AARTextChar"/>
    <w:rsid w:val="007046B0"/>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Title4annexesChar">
    <w:name w:val="Title 4 / annexes Char"/>
    <w:basedOn w:val="Title3AnnexesChar"/>
    <w:link w:val="Title4annexes"/>
    <w:rsid w:val="007046B0"/>
    <w:rPr>
      <w:rFonts w:ascii="EC Square Sans Pro" w:hAnsi="EC Square Sans Pro" w:cs="Times New Roman"/>
      <w:b w:val="0"/>
      <w:color w:val="E48C32" w:themeColor="accent5"/>
      <w:sz w:val="24"/>
      <w:lang w:val="en-GB" w:eastAsia="zh-CN"/>
    </w:rPr>
  </w:style>
  <w:style w:type="character" w:customStyle="1" w:styleId="AARTextChar">
    <w:name w:val="AAR Text Char"/>
    <w:link w:val="AARText"/>
    <w:rsid w:val="007046B0"/>
    <w:rPr>
      <w:rFonts w:ascii="EC Square Sans Pro" w:eastAsia="Times New Roman" w:hAnsi="EC Square Sans Pro" w:cs="Times New Roman"/>
      <w:color w:val="7F7F7F" w:themeColor="text1" w:themeTint="80"/>
      <w:sz w:val="19"/>
      <w:szCs w:val="24"/>
      <w:lang w:val="en-GB" w:eastAsia="en-GB"/>
    </w:rPr>
  </w:style>
  <w:style w:type="paragraph" w:customStyle="1" w:styleId="1AMPRText">
    <w:name w:val="1 AMPR Text"/>
    <w:basedOn w:val="Normal"/>
    <w:link w:val="1AMPRTextChar"/>
    <w:qFormat/>
    <w:rsid w:val="007046B0"/>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1AMPRTextChar">
    <w:name w:val="1 AMPR Text Char"/>
    <w:link w:val="1AMPRText"/>
    <w:rsid w:val="007046B0"/>
    <w:rPr>
      <w:rFonts w:ascii="EC Square Sans Pro" w:eastAsia="Times New Roman" w:hAnsi="EC Square Sans Pro" w:cs="Times New Roman"/>
      <w:color w:val="7F7F7F" w:themeColor="text1" w:themeTint="80"/>
      <w:sz w:val="19"/>
      <w:szCs w:val="24"/>
      <w:lang w:val="en-GB" w:eastAsia="en-GB"/>
    </w:rPr>
  </w:style>
  <w:style w:type="paragraph" w:customStyle="1" w:styleId="tabletext">
    <w:name w:val="table text"/>
    <w:basedOn w:val="Normal"/>
    <w:link w:val="tabletextChar"/>
    <w:qFormat/>
    <w:rsid w:val="007228A7"/>
    <w:pPr>
      <w:widowControl w:val="0"/>
      <w:autoSpaceDE w:val="0"/>
      <w:autoSpaceDN w:val="0"/>
      <w:adjustRightInd w:val="0"/>
      <w:jc w:val="center"/>
    </w:pPr>
    <w:rPr>
      <w:rFonts w:eastAsia="Calibri" w:cs="Arial"/>
      <w:color w:val="000000" w:themeColor="text1"/>
      <w:sz w:val="17"/>
      <w:szCs w:val="24"/>
      <w:u w:val="single"/>
      <w:lang w:eastAsia="en-GB"/>
    </w:rPr>
  </w:style>
  <w:style w:type="paragraph" w:customStyle="1" w:styleId="tabletext2">
    <w:name w:val="table text 2"/>
    <w:basedOn w:val="Normal"/>
    <w:link w:val="tabletext2Char"/>
    <w:qFormat/>
    <w:rsid w:val="002D0A61"/>
    <w:pPr>
      <w:widowControl w:val="0"/>
      <w:autoSpaceDE w:val="0"/>
      <w:autoSpaceDN w:val="0"/>
      <w:adjustRightInd w:val="0"/>
    </w:pPr>
    <w:rPr>
      <w:rFonts w:eastAsia="Times New Roman" w:cs="Arial"/>
      <w:b/>
      <w:color w:val="FFFFFF" w:themeColor="background1"/>
      <w:sz w:val="18"/>
      <w:szCs w:val="18"/>
      <w:lang w:eastAsia="zh-CN"/>
    </w:rPr>
  </w:style>
  <w:style w:type="character" w:customStyle="1" w:styleId="tabletextChar">
    <w:name w:val="table text Char"/>
    <w:basedOn w:val="DefaultParagraphFont"/>
    <w:link w:val="tabletext"/>
    <w:rsid w:val="007228A7"/>
    <w:rPr>
      <w:rFonts w:ascii="EC Square Sans Pro" w:eastAsia="Calibri" w:hAnsi="EC Square Sans Pro" w:cs="Arial"/>
      <w:color w:val="000000" w:themeColor="text1"/>
      <w:sz w:val="17"/>
      <w:szCs w:val="24"/>
      <w:u w:val="single"/>
      <w:lang w:val="en-GB" w:eastAsia="en-GB"/>
    </w:rPr>
  </w:style>
  <w:style w:type="paragraph" w:customStyle="1" w:styleId="BulletsletteringAnnexes">
    <w:name w:val="Bullets lettering Annexes"/>
    <w:basedOn w:val="Normal"/>
    <w:link w:val="BulletsletteringAnnexesChar"/>
    <w:qFormat/>
    <w:rsid w:val="0079747D"/>
    <w:pPr>
      <w:spacing w:line="26" w:lineRule="atLeast"/>
      <w:ind w:left="1004" w:hanging="360"/>
      <w:contextualSpacing/>
      <w:jc w:val="both"/>
    </w:pPr>
    <w:rPr>
      <w:rFonts w:eastAsia="Times New Roman" w:cs="Arial"/>
      <w:szCs w:val="20"/>
      <w:lang w:val="en-IE" w:eastAsia="en-GB"/>
    </w:rPr>
  </w:style>
  <w:style w:type="character" w:customStyle="1" w:styleId="tabletext2Char">
    <w:name w:val="table text 2 Char"/>
    <w:basedOn w:val="DefaultParagraphFont"/>
    <w:link w:val="tabletext2"/>
    <w:rsid w:val="002D0A61"/>
    <w:rPr>
      <w:rFonts w:asciiTheme="majorHAnsi" w:eastAsia="Times New Roman" w:hAnsiTheme="majorHAnsi" w:cs="Arial"/>
      <w:b/>
      <w:color w:val="FFFFFF" w:themeColor="background1"/>
      <w:sz w:val="18"/>
      <w:szCs w:val="18"/>
      <w:lang w:eastAsia="zh-CN"/>
    </w:rPr>
  </w:style>
  <w:style w:type="paragraph" w:customStyle="1" w:styleId="endnotestext">
    <w:name w:val="endnotes text"/>
    <w:basedOn w:val="BodyText1"/>
    <w:link w:val="endnotestextChar"/>
    <w:qFormat/>
    <w:rsid w:val="00B81839"/>
  </w:style>
  <w:style w:type="character" w:customStyle="1" w:styleId="BulletsletteringAnnexesChar">
    <w:name w:val="Bullets lettering Annexes Char"/>
    <w:basedOn w:val="DefaultParagraphFont"/>
    <w:link w:val="BulletsletteringAnnexes"/>
    <w:rsid w:val="0079747D"/>
    <w:rPr>
      <w:rFonts w:ascii="EC Square Sans Pro" w:eastAsia="Times New Roman" w:hAnsi="EC Square Sans Pro" w:cs="Arial"/>
      <w:sz w:val="20"/>
      <w:szCs w:val="20"/>
      <w:lang w:val="en-IE" w:eastAsia="en-GB"/>
    </w:rPr>
  </w:style>
  <w:style w:type="paragraph" w:styleId="TOC1">
    <w:name w:val="toc 1"/>
    <w:basedOn w:val="Normal"/>
    <w:next w:val="Normal"/>
    <w:autoRedefine/>
    <w:uiPriority w:val="39"/>
    <w:unhideWhenUsed/>
    <w:rsid w:val="00117B07"/>
    <w:pPr>
      <w:tabs>
        <w:tab w:val="right" w:leader="dot" w:pos="9063"/>
      </w:tabs>
      <w:spacing w:after="100"/>
    </w:pPr>
  </w:style>
  <w:style w:type="character" w:customStyle="1" w:styleId="endnotestextChar">
    <w:name w:val="endnotes text Char"/>
    <w:basedOn w:val="BodyText1Char"/>
    <w:link w:val="endnotestext"/>
    <w:rsid w:val="00B81839"/>
    <w:rPr>
      <w:rFonts w:ascii="EC Square Sans Pro" w:hAnsi="EC Square Sans Pro" w:cs="Times New Roman"/>
      <w:noProof/>
      <w:color w:val="000000" w:themeColor="text1"/>
      <w:sz w:val="20"/>
      <w:lang w:val="en-IE" w:eastAsia="fr-BE"/>
    </w:rPr>
  </w:style>
  <w:style w:type="paragraph" w:customStyle="1" w:styleId="FooterCoverPage">
    <w:name w:val="Footer Cover Page"/>
    <w:basedOn w:val="Normal"/>
    <w:link w:val="FooterCoverPageChar"/>
    <w:rsid w:val="008E57C9"/>
    <w:pPr>
      <w:tabs>
        <w:tab w:val="center" w:pos="4535"/>
        <w:tab w:val="right" w:pos="9071"/>
        <w:tab w:val="right" w:pos="9921"/>
      </w:tabs>
      <w:spacing w:before="360"/>
      <w:ind w:left="-850" w:right="-850"/>
    </w:pPr>
    <w:rPr>
      <w:rFonts w:ascii="Times New Roman" w:hAnsi="Times New Roman"/>
      <w:sz w:val="24"/>
    </w:rPr>
  </w:style>
  <w:style w:type="character" w:customStyle="1" w:styleId="FooterCoverPageChar">
    <w:name w:val="Footer Cover Page Char"/>
    <w:basedOn w:val="Title1CorporateChar"/>
    <w:link w:val="FooterCoverPage"/>
    <w:rsid w:val="008E57C9"/>
    <w:rPr>
      <w:rFonts w:ascii="Times New Roman" w:hAnsi="Times New Roman" w:cs="Times New Roman"/>
      <w:color w:val="1F4EA2" w:themeColor="background2"/>
      <w:sz w:val="24"/>
      <w:lang w:val="en-GB"/>
    </w:rPr>
  </w:style>
  <w:style w:type="paragraph" w:customStyle="1" w:styleId="FooterSensitivity">
    <w:name w:val="Footer Sensitivity"/>
    <w:basedOn w:val="Normal"/>
    <w:link w:val="FooterSensitivityChar"/>
    <w:rsid w:val="008E57C9"/>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b/>
      <w:sz w:val="32"/>
    </w:rPr>
  </w:style>
  <w:style w:type="character" w:customStyle="1" w:styleId="FooterSensitivityChar">
    <w:name w:val="Footer Sensitivity Char"/>
    <w:basedOn w:val="Title1CorporateChar"/>
    <w:link w:val="FooterSensitivity"/>
    <w:rsid w:val="008E57C9"/>
    <w:rPr>
      <w:rFonts w:ascii="Times New Roman" w:hAnsi="Times New Roman" w:cs="Times New Roman"/>
      <w:b/>
      <w:color w:val="1F4EA2" w:themeColor="background2"/>
      <w:sz w:val="32"/>
      <w:lang w:val="en-GB"/>
    </w:rPr>
  </w:style>
  <w:style w:type="paragraph" w:customStyle="1" w:styleId="HeaderSensitivity">
    <w:name w:val="Header Sensitivity"/>
    <w:basedOn w:val="Normal"/>
    <w:link w:val="HeaderSensitivityChar"/>
    <w:rsid w:val="008E57C9"/>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Title1CorporateChar"/>
    <w:link w:val="HeaderSensitivity"/>
    <w:rsid w:val="008E57C9"/>
    <w:rPr>
      <w:rFonts w:ascii="Times New Roman" w:hAnsi="Times New Roman" w:cs="Times New Roman"/>
      <w:b/>
      <w:color w:val="1F4EA2" w:themeColor="background2"/>
      <w:sz w:val="32"/>
      <w:lang w:val="en-GB"/>
    </w:rPr>
  </w:style>
  <w:style w:type="paragraph" w:customStyle="1" w:styleId="Default">
    <w:name w:val="Default"/>
    <w:rsid w:val="001B412E"/>
    <w:pPr>
      <w:autoSpaceDE w:val="0"/>
      <w:autoSpaceDN w:val="0"/>
      <w:adjustRightInd w:val="0"/>
      <w:spacing w:after="200" w:line="276" w:lineRule="auto"/>
    </w:pPr>
    <w:rPr>
      <w:rFonts w:ascii="EC Square Sans Pro" w:hAnsi="EC Square Sans Pro" w:cs="Times New Roman"/>
      <w:color w:val="000000"/>
      <w:sz w:val="24"/>
      <w:szCs w:val="24"/>
      <w:lang w:val="en-GB"/>
    </w:rPr>
  </w:style>
  <w:style w:type="table" w:customStyle="1" w:styleId="TableGrid1">
    <w:name w:val="Table Grid1"/>
    <w:basedOn w:val="TableNormal"/>
    <w:next w:val="TableGrid"/>
    <w:uiPriority w:val="59"/>
    <w:rsid w:val="00062156"/>
    <w:pPr>
      <w:spacing w:after="200" w:line="276" w:lineRule="auto"/>
    </w:pPr>
    <w:rPr>
      <w:rFonts w:ascii="Calibri" w:eastAsia="Calibri" w:hAnsi="Calibri" w:cs="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dnormal">
    <w:name w:val="prdnormal"/>
    <w:basedOn w:val="DefaultParagraphFont"/>
    <w:rsid w:val="00B66DD9"/>
    <w:rPr>
      <w:rFonts w:ascii="EC Square Sans Pro" w:hAnsi="EC Square Sans Pro"/>
      <w:lang w:val="en-GB"/>
    </w:rPr>
  </w:style>
  <w:style w:type="paragraph" w:customStyle="1" w:styleId="green-Subtitle">
    <w:name w:val="green-Subtitle"/>
    <w:basedOn w:val="Normal"/>
    <w:qFormat/>
    <w:rsid w:val="00D20BFC"/>
    <w:pPr>
      <w:widowControl w:val="0"/>
      <w:autoSpaceDE w:val="0"/>
      <w:autoSpaceDN w:val="0"/>
      <w:adjustRightInd w:val="0"/>
      <w:spacing w:before="560" w:after="120" w:line="276" w:lineRule="auto"/>
    </w:pPr>
    <w:rPr>
      <w:rFonts w:eastAsia="Times New Roman" w:cs="Calibri"/>
      <w:b/>
      <w:color w:val="1C7A68"/>
      <w:sz w:val="25"/>
      <w:szCs w:val="20"/>
      <w:lang w:eastAsia="en-GB"/>
    </w:rPr>
  </w:style>
  <w:style w:type="paragraph" w:customStyle="1" w:styleId="Quote1">
    <w:name w:val="Quote1"/>
    <w:basedOn w:val="Normal"/>
    <w:rsid w:val="00D20BFC"/>
    <w:pPr>
      <w:widowControl w:val="0"/>
      <w:autoSpaceDE w:val="0"/>
      <w:autoSpaceDN w:val="0"/>
      <w:adjustRightInd w:val="0"/>
      <w:spacing w:after="200" w:line="276" w:lineRule="auto"/>
      <w:ind w:left="708"/>
    </w:pPr>
    <w:rPr>
      <w:rFonts w:eastAsia="Times New Roman" w:cs="Calibri"/>
      <w:i/>
      <w:color w:val="0F2651" w:themeColor="background2" w:themeShade="80"/>
      <w:sz w:val="22"/>
      <w:szCs w:val="20"/>
      <w:lang w:eastAsia="en-GB"/>
    </w:rPr>
  </w:style>
  <w:style w:type="character" w:styleId="FollowedHyperlink">
    <w:name w:val="FollowedHyperlink"/>
    <w:basedOn w:val="DefaultParagraphFont"/>
    <w:uiPriority w:val="99"/>
    <w:semiHidden/>
    <w:unhideWhenUsed/>
    <w:rsid w:val="006F1ED8"/>
    <w:rPr>
      <w:rFonts w:ascii="EC Square Sans Pro" w:hAnsi="EC Square Sans Pro"/>
      <w:color w:val="F79646" w:themeColor="followedHyperlink"/>
      <w:u w:val="single"/>
      <w:lang w:val="en-GB"/>
    </w:rPr>
  </w:style>
  <w:style w:type="paragraph" w:customStyle="1" w:styleId="Body">
    <w:name w:val="Body"/>
    <w:basedOn w:val="Normal"/>
    <w:link w:val="BodyChar"/>
    <w:qFormat/>
    <w:rsid w:val="00075BF5"/>
    <w:pPr>
      <w:spacing w:after="240"/>
    </w:pPr>
    <w:rPr>
      <w:rFonts w:eastAsia="Times New Roman"/>
      <w:sz w:val="18"/>
      <w:szCs w:val="20"/>
    </w:rPr>
  </w:style>
  <w:style w:type="character" w:customStyle="1" w:styleId="BodyChar">
    <w:name w:val="Body Char"/>
    <w:link w:val="Body"/>
    <w:rsid w:val="00075BF5"/>
    <w:rPr>
      <w:rFonts w:ascii="EC Square Sans Pro" w:eastAsia="Times New Roman" w:hAnsi="EC Square Sans Pro" w:cs="Times New Roman"/>
      <w:sz w:val="18"/>
      <w:szCs w:val="20"/>
      <w:lang w:val="en-GB"/>
    </w:rPr>
  </w:style>
  <w:style w:type="paragraph" w:customStyle="1" w:styleId="agencestableauxchiffrestitre">
    <w:name w:val="agences_tableaux_chiffres_titre"/>
    <w:basedOn w:val="Normal"/>
    <w:rsid w:val="00075BF5"/>
    <w:pPr>
      <w:spacing w:before="100" w:beforeAutospacing="1" w:after="100" w:afterAutospacing="1"/>
    </w:pPr>
    <w:rPr>
      <w:rFonts w:eastAsia="Times New Roman"/>
      <w:b/>
      <w:sz w:val="18"/>
      <w:szCs w:val="18"/>
      <w:lang w:eastAsia="en-GB"/>
    </w:rPr>
  </w:style>
  <w:style w:type="paragraph" w:customStyle="1" w:styleId="Pardfaut">
    <w:name w:val="Par défaut"/>
    <w:rsid w:val="00AB21D7"/>
    <w:pPr>
      <w:pBdr>
        <w:top w:val="nil"/>
        <w:left w:val="nil"/>
        <w:bottom w:val="nil"/>
        <w:right w:val="nil"/>
        <w:between w:val="nil"/>
        <w:bar w:val="nil"/>
      </w:pBdr>
    </w:pPr>
    <w:rPr>
      <w:rFonts w:ascii="EC Square Sans Pro" w:eastAsia="Arial Unicode MS" w:hAnsi="EC Square Sans Pro" w:cs="Arial Unicode MS"/>
      <w:color w:val="000000"/>
      <w:bdr w:val="nil"/>
      <w:lang w:val="en-GB" w:eastAsia="en-GB"/>
    </w:rPr>
  </w:style>
  <w:style w:type="character" w:customStyle="1" w:styleId="Bodytext2">
    <w:name w:val="Body text (2)"/>
    <w:basedOn w:val="DefaultParagraphFont"/>
    <w:rsid w:val="00AB21D7"/>
    <w:rPr>
      <w:rFonts w:ascii="EC Square Sans Pro" w:eastAsia="Arial" w:hAnsi="EC Square Sans Pro" w:cs="Arial"/>
      <w:b w:val="0"/>
      <w:bCs w:val="0"/>
      <w:i w:val="0"/>
      <w:iCs w:val="0"/>
      <w:smallCaps w:val="0"/>
      <w:strike w:val="0"/>
      <w:color w:val="1D1D1B"/>
      <w:spacing w:val="0"/>
      <w:w w:val="100"/>
      <w:position w:val="0"/>
      <w:sz w:val="14"/>
      <w:szCs w:val="14"/>
      <w:u w:val="none"/>
      <w:lang w:val="en-GB" w:eastAsia="en-US" w:bidi="en-US"/>
    </w:rPr>
  </w:style>
  <w:style w:type="paragraph" w:customStyle="1" w:styleId="sub-sub-title">
    <w:name w:val="sub-sub-title"/>
    <w:basedOn w:val="Normal"/>
    <w:qFormat/>
    <w:rsid w:val="00130BF2"/>
    <w:pPr>
      <w:widowControl w:val="0"/>
      <w:autoSpaceDE w:val="0"/>
      <w:autoSpaceDN w:val="0"/>
      <w:adjustRightInd w:val="0"/>
      <w:spacing w:after="120"/>
    </w:pPr>
    <w:rPr>
      <w:rFonts w:eastAsia="Times New Roman" w:cs="Calibri"/>
      <w:b/>
      <w:color w:val="1C7A68"/>
      <w:szCs w:val="20"/>
      <w:lang w:eastAsia="en-GB"/>
    </w:rPr>
  </w:style>
  <w:style w:type="paragraph" w:customStyle="1" w:styleId="doc-ti">
    <w:name w:val="doc-ti"/>
    <w:basedOn w:val="Normal"/>
    <w:rsid w:val="00017D44"/>
    <w:pPr>
      <w:spacing w:before="100" w:beforeAutospacing="1" w:after="100" w:afterAutospacing="1"/>
    </w:pPr>
    <w:rPr>
      <w:rFonts w:eastAsia="Times New Roman"/>
      <w:sz w:val="24"/>
      <w:szCs w:val="24"/>
      <w:lang w:eastAsia="en-GB"/>
    </w:rPr>
  </w:style>
  <w:style w:type="paragraph" w:customStyle="1" w:styleId="AMPRBox">
    <w:name w:val="AMPR Box"/>
    <w:basedOn w:val="Normal"/>
    <w:link w:val="AMPRBoxChar"/>
    <w:qFormat/>
    <w:rsid w:val="00203430"/>
    <w:pPr>
      <w:keepLines/>
      <w:widowControl w:val="0"/>
      <w:pBdr>
        <w:top w:val="single" w:sz="18" w:space="5" w:color="0070C0"/>
        <w:left w:val="single" w:sz="18" w:space="5" w:color="0070C0"/>
        <w:bottom w:val="single" w:sz="18" w:space="5" w:color="0070C0"/>
        <w:right w:val="single" w:sz="18" w:space="5" w:color="0070C0"/>
      </w:pBdr>
      <w:shd w:val="clear" w:color="auto" w:fill="F7F7F7" w:themeFill="text2" w:themeFillTint="33"/>
      <w:autoSpaceDE w:val="0"/>
      <w:autoSpaceDN w:val="0"/>
      <w:adjustRightInd w:val="0"/>
      <w:spacing w:before="120" w:after="100" w:line="276" w:lineRule="auto"/>
      <w:ind w:left="113" w:right="113"/>
      <w:jc w:val="both"/>
    </w:pPr>
    <w:rPr>
      <w:rFonts w:eastAsia="Calibri"/>
      <w:i/>
      <w:color w:val="000000" w:themeColor="text1"/>
      <w:sz w:val="19"/>
      <w:szCs w:val="19"/>
      <w:lang w:eastAsia="en-GB"/>
    </w:rPr>
  </w:style>
  <w:style w:type="character" w:customStyle="1" w:styleId="AMPRBoxChar">
    <w:name w:val="AMPR Box Char"/>
    <w:basedOn w:val="PSParagraphTextChar"/>
    <w:link w:val="AMPRBox"/>
    <w:rsid w:val="00203430"/>
    <w:rPr>
      <w:rFonts w:ascii="EC Square Sans Pro" w:eastAsia="Calibri" w:hAnsi="EC Square Sans Pro" w:cs="Times New Roman"/>
      <w:i/>
      <w:color w:val="000000" w:themeColor="text1"/>
      <w:sz w:val="19"/>
      <w:szCs w:val="19"/>
      <w:shd w:val="clear" w:color="auto" w:fill="F7F7F7" w:themeFill="text2" w:themeFillTint="33"/>
      <w:lang w:val="en-GB" w:eastAsia="en-GB"/>
    </w:rPr>
  </w:style>
  <w:style w:type="table" w:customStyle="1" w:styleId="GridTable6Colorful-Accent41">
    <w:name w:val="Grid Table 6 Colorful - Accent 41"/>
    <w:basedOn w:val="TableNormal"/>
    <w:uiPriority w:val="51"/>
    <w:rsid w:val="009E40BA"/>
    <w:rPr>
      <w:color w:val="2F856F" w:themeColor="accent4" w:themeShade="BF"/>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blStylePr w:type="firstRow">
      <w:rPr>
        <w:b/>
        <w:bCs/>
      </w:rPr>
      <w:tblPr/>
      <w:tcPr>
        <w:tcBorders>
          <w:bottom w:val="single" w:sz="12" w:space="0" w:color="87D4C1" w:themeColor="accent4" w:themeTint="99"/>
        </w:tcBorders>
      </w:tcPr>
    </w:tblStylePr>
    <w:tblStylePr w:type="lastRow">
      <w:rPr>
        <w:b/>
        <w:bCs/>
      </w:rPr>
      <w:tblPr/>
      <w:tcPr>
        <w:tcBorders>
          <w:top w:val="double" w:sz="4" w:space="0" w:color="87D4C1" w:themeColor="accent4" w:themeTint="99"/>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GridTable4-Accent41">
    <w:name w:val="Grid Table 4 - Accent 41"/>
    <w:basedOn w:val="TableNormal"/>
    <w:uiPriority w:val="49"/>
    <w:rsid w:val="009E40BA"/>
    <w:pPr>
      <w:jc w:val="center"/>
    </w:pPr>
    <w:rPr>
      <w:sz w:val="20"/>
    </w:rPr>
    <w:tblPr>
      <w:tblStyleRowBandSize w:val="1"/>
      <w:tblStyleColBandSize w:val="1"/>
      <w:tblBorders>
        <w:top w:val="single" w:sz="4" w:space="0" w:color="87D4C1" w:themeColor="accent4" w:themeTint="99"/>
        <w:left w:val="single" w:sz="4" w:space="0" w:color="87D4C1" w:themeColor="accent4" w:themeTint="99"/>
        <w:bottom w:val="single" w:sz="4" w:space="0" w:color="87D4C1" w:themeColor="accent4" w:themeTint="99"/>
        <w:right w:val="single" w:sz="4" w:space="0" w:color="87D4C1" w:themeColor="accent4" w:themeTint="99"/>
        <w:insideH w:val="single" w:sz="4" w:space="0" w:color="87D4C1" w:themeColor="accent4" w:themeTint="99"/>
        <w:insideV w:val="single" w:sz="4" w:space="0" w:color="87D4C1" w:themeColor="accent4" w:themeTint="99"/>
      </w:tblBorders>
    </w:tblPr>
    <w:tcPr>
      <w:vAlign w:val="center"/>
    </w:tcPr>
    <w:tblStylePr w:type="firstRow">
      <w:rPr>
        <w:b/>
        <w:bCs/>
        <w:color w:val="FFFFFF" w:themeColor="background1"/>
      </w:rPr>
      <w:tblPr/>
      <w:tcPr>
        <w:tcBorders>
          <w:top w:val="single" w:sz="4" w:space="0" w:color="3FB296" w:themeColor="accent4"/>
          <w:left w:val="single" w:sz="4" w:space="0" w:color="3FB296" w:themeColor="accent4"/>
          <w:bottom w:val="single" w:sz="4" w:space="0" w:color="3FB296" w:themeColor="accent4"/>
          <w:right w:val="single" w:sz="4" w:space="0" w:color="3FB296" w:themeColor="accent4"/>
          <w:insideH w:val="nil"/>
          <w:insideV w:val="nil"/>
        </w:tcBorders>
        <w:shd w:val="clear" w:color="auto" w:fill="3FB296" w:themeFill="accent4"/>
      </w:tcPr>
    </w:tblStylePr>
    <w:tblStylePr w:type="lastRow">
      <w:rPr>
        <w:b/>
        <w:bCs/>
      </w:rPr>
      <w:tblPr/>
      <w:tcPr>
        <w:tcBorders>
          <w:top w:val="double" w:sz="4" w:space="0" w:color="3FB296" w:themeColor="accent4"/>
        </w:tcBorders>
      </w:tcPr>
    </w:tblStylePr>
    <w:tblStylePr w:type="firstCol">
      <w:rPr>
        <w:b/>
        <w:bCs/>
      </w:rPr>
    </w:tblStylePr>
    <w:tblStylePr w:type="lastCol">
      <w:rPr>
        <w:b/>
        <w:bCs/>
      </w:rPr>
    </w:tblStylePr>
    <w:tblStylePr w:type="band1Vert">
      <w:tblPr/>
      <w:tcPr>
        <w:shd w:val="clear" w:color="auto" w:fill="D7F1EA" w:themeFill="accent4" w:themeFillTint="33"/>
      </w:tcPr>
    </w:tblStylePr>
    <w:tblStylePr w:type="band1Horz">
      <w:tblPr/>
      <w:tcPr>
        <w:shd w:val="clear" w:color="auto" w:fill="D7F1EA" w:themeFill="accent4" w:themeFillTint="33"/>
      </w:tcPr>
    </w:tblStylePr>
  </w:style>
  <w:style w:type="table" w:customStyle="1" w:styleId="GridTable4-Accent11">
    <w:name w:val="Grid Table 4 - Accent 11"/>
    <w:basedOn w:val="TableNormal"/>
    <w:uiPriority w:val="49"/>
    <w:rsid w:val="009E40BA"/>
    <w:tblPr>
      <w:tblStyleRowBandSize w:val="1"/>
      <w:tblStyleColBandSize w:val="1"/>
      <w:tblBorders>
        <w:top w:val="single" w:sz="4" w:space="0" w:color="A2D6DE" w:themeColor="accent1" w:themeTint="99"/>
        <w:left w:val="single" w:sz="4" w:space="0" w:color="A2D6DE" w:themeColor="accent1" w:themeTint="99"/>
        <w:bottom w:val="single" w:sz="4" w:space="0" w:color="A2D6DE" w:themeColor="accent1" w:themeTint="99"/>
        <w:right w:val="single" w:sz="4" w:space="0" w:color="A2D6DE" w:themeColor="accent1" w:themeTint="99"/>
        <w:insideH w:val="single" w:sz="4" w:space="0" w:color="A2D6DE" w:themeColor="accent1" w:themeTint="99"/>
        <w:insideV w:val="single" w:sz="4" w:space="0" w:color="A2D6DE" w:themeColor="accent1" w:themeTint="99"/>
      </w:tblBorders>
    </w:tblPr>
    <w:tblStylePr w:type="firstRow">
      <w:rPr>
        <w:b/>
        <w:bCs/>
        <w:color w:val="FFFFFF" w:themeColor="background1"/>
      </w:rPr>
      <w:tblPr/>
      <w:tcPr>
        <w:tcBorders>
          <w:top w:val="single" w:sz="4" w:space="0" w:color="65BBC8" w:themeColor="accent1"/>
          <w:left w:val="single" w:sz="4" w:space="0" w:color="65BBC8" w:themeColor="accent1"/>
          <w:bottom w:val="single" w:sz="4" w:space="0" w:color="65BBC8" w:themeColor="accent1"/>
          <w:right w:val="single" w:sz="4" w:space="0" w:color="65BBC8" w:themeColor="accent1"/>
          <w:insideH w:val="nil"/>
          <w:insideV w:val="nil"/>
        </w:tcBorders>
        <w:shd w:val="clear" w:color="auto" w:fill="65BBC8" w:themeFill="accent1"/>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6Colorful-Accent11">
    <w:name w:val="List Table 6 Colorful - Accent 11"/>
    <w:basedOn w:val="TableNormal"/>
    <w:uiPriority w:val="51"/>
    <w:rsid w:val="009E40BA"/>
    <w:rPr>
      <w:color w:val="3B97A5" w:themeColor="accent1" w:themeShade="BF"/>
    </w:rPr>
    <w:tblPr>
      <w:tblStyleRowBandSize w:val="1"/>
      <w:tblStyleColBandSize w:val="1"/>
      <w:tblBorders>
        <w:top w:val="single" w:sz="4" w:space="0" w:color="65BBC8" w:themeColor="accent1"/>
        <w:bottom w:val="single" w:sz="4" w:space="0" w:color="65BBC8" w:themeColor="accent1"/>
      </w:tblBorders>
    </w:tblPr>
    <w:tblStylePr w:type="firstRow">
      <w:rPr>
        <w:b/>
        <w:bCs/>
      </w:rPr>
      <w:tblPr/>
      <w:tcPr>
        <w:tcBorders>
          <w:bottom w:val="single" w:sz="4" w:space="0" w:color="65BBC8" w:themeColor="accent1"/>
        </w:tcBorders>
      </w:tcPr>
    </w:tblStylePr>
    <w:tblStylePr w:type="lastRow">
      <w:rPr>
        <w:b/>
        <w:bCs/>
      </w:rPr>
      <w:tblPr/>
      <w:tcPr>
        <w:tcBorders>
          <w:top w:val="double" w:sz="4" w:space="0" w:color="65BBC8" w:themeColor="accent1"/>
        </w:tcBorders>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ListTable2-Accent11">
    <w:name w:val="List Table 2 - Accent 11"/>
    <w:basedOn w:val="TableNormal"/>
    <w:uiPriority w:val="47"/>
    <w:rsid w:val="009E40BA"/>
    <w:tblPr>
      <w:tblStyleRowBandSize w:val="1"/>
      <w:tblStyleColBandSize w:val="1"/>
      <w:tblBorders>
        <w:top w:val="single" w:sz="4" w:space="0" w:color="A2D6DE" w:themeColor="accent1" w:themeTint="99"/>
        <w:bottom w:val="single" w:sz="4" w:space="0" w:color="A2D6DE" w:themeColor="accent1" w:themeTint="99"/>
        <w:insideH w:val="single" w:sz="4" w:space="0" w:color="A2D6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table" w:customStyle="1" w:styleId="GridTable2-Accent11">
    <w:name w:val="Grid Table 2 - Accent 11"/>
    <w:basedOn w:val="TableNormal"/>
    <w:uiPriority w:val="47"/>
    <w:rsid w:val="009E40BA"/>
    <w:tblPr>
      <w:tblStyleRowBandSize w:val="1"/>
      <w:tblStyleColBandSize w:val="1"/>
      <w:tblBorders>
        <w:top w:val="single" w:sz="2" w:space="0" w:color="A2D6DE" w:themeColor="accent1" w:themeTint="99"/>
        <w:bottom w:val="single" w:sz="2" w:space="0" w:color="A2D6DE" w:themeColor="accent1" w:themeTint="99"/>
        <w:insideH w:val="single" w:sz="2" w:space="0" w:color="A2D6DE" w:themeColor="accent1" w:themeTint="99"/>
        <w:insideV w:val="single" w:sz="2" w:space="0" w:color="A2D6DE" w:themeColor="accent1" w:themeTint="99"/>
      </w:tblBorders>
    </w:tblPr>
    <w:tcPr>
      <w:vAlign w:val="center"/>
    </w:tcPr>
    <w:tblStylePr w:type="firstRow">
      <w:rPr>
        <w:b/>
        <w:bCs/>
      </w:rPr>
      <w:tblPr/>
      <w:tcPr>
        <w:tcBorders>
          <w:top w:val="nil"/>
          <w:bottom w:val="single" w:sz="12" w:space="0" w:color="A2D6DE" w:themeColor="accent1" w:themeTint="99"/>
          <w:insideH w:val="nil"/>
          <w:insideV w:val="nil"/>
        </w:tcBorders>
        <w:shd w:val="clear" w:color="auto" w:fill="FFFFFF" w:themeFill="background1"/>
      </w:tcPr>
    </w:tblStylePr>
    <w:tblStylePr w:type="lastRow">
      <w:rPr>
        <w:b/>
        <w:bCs/>
      </w:rPr>
      <w:tblPr/>
      <w:tcPr>
        <w:tcBorders>
          <w:top w:val="double" w:sz="2" w:space="0" w:color="A2D6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F1F4" w:themeFill="accent1" w:themeFillTint="33"/>
      </w:tcPr>
    </w:tblStylePr>
    <w:tblStylePr w:type="band1Horz">
      <w:tblPr/>
      <w:tcPr>
        <w:shd w:val="clear" w:color="auto" w:fill="E0F1F4" w:themeFill="accent1" w:themeFillTint="33"/>
      </w:tcPr>
    </w:tblStylePr>
  </w:style>
  <w:style w:type="paragraph" w:customStyle="1" w:styleId="CM1">
    <w:name w:val="CM1"/>
    <w:basedOn w:val="Default"/>
    <w:next w:val="Default"/>
    <w:uiPriority w:val="99"/>
    <w:rsid w:val="00B56BEC"/>
    <w:pPr>
      <w:spacing w:after="0" w:line="240" w:lineRule="auto"/>
    </w:pPr>
    <w:rPr>
      <w:rFonts w:cstheme="minorBidi"/>
      <w:color w:val="auto"/>
    </w:rPr>
  </w:style>
  <w:style w:type="paragraph" w:customStyle="1" w:styleId="CM3">
    <w:name w:val="CM3"/>
    <w:basedOn w:val="Default"/>
    <w:next w:val="Default"/>
    <w:uiPriority w:val="99"/>
    <w:rsid w:val="00B56BEC"/>
    <w:pPr>
      <w:spacing w:after="0" w:line="240" w:lineRule="auto"/>
    </w:pPr>
    <w:rPr>
      <w:rFonts w:cstheme="minorBidi"/>
      <w:color w:val="auto"/>
    </w:rPr>
  </w:style>
  <w:style w:type="paragraph" w:customStyle="1" w:styleId="AMPRTABLECHART">
    <w:name w:val="AMPR TABLECHART"/>
    <w:basedOn w:val="Normal"/>
    <w:link w:val="AMPRTABLECHARTChar"/>
    <w:qFormat/>
    <w:rsid w:val="009B74AB"/>
    <w:pPr>
      <w:spacing w:after="100" w:line="241" w:lineRule="exact"/>
      <w:jc w:val="both"/>
    </w:pPr>
    <w:rPr>
      <w:rFonts w:eastAsia="Times New Roman"/>
      <w:i/>
      <w:noProof/>
      <w:color w:val="7F7F7F" w:themeColor="text1" w:themeTint="80"/>
      <w:sz w:val="16"/>
      <w:szCs w:val="24"/>
      <w:lang w:eastAsia="en-GB"/>
    </w:rPr>
  </w:style>
  <w:style w:type="character" w:customStyle="1" w:styleId="AMPRTABLECHARTChar">
    <w:name w:val="AMPR TABLECHART Char"/>
    <w:basedOn w:val="DefaultParagraphFont"/>
    <w:link w:val="AMPRTABLECHART"/>
    <w:rsid w:val="009B74AB"/>
    <w:rPr>
      <w:rFonts w:ascii="EC Square Sans Pro" w:eastAsia="Times New Roman" w:hAnsi="EC Square Sans Pro" w:cs="Times New Roman"/>
      <w:i/>
      <w:noProof/>
      <w:color w:val="7F7F7F" w:themeColor="text1" w:themeTint="80"/>
      <w:sz w:val="16"/>
      <w:szCs w:val="24"/>
      <w:lang w:val="en-GB" w:eastAsia="en-GB"/>
    </w:rPr>
  </w:style>
  <w:style w:type="paragraph" w:customStyle="1" w:styleId="AMPRRunningTitle">
    <w:name w:val="AMPR Running Title"/>
    <w:basedOn w:val="Normal"/>
    <w:link w:val="AMPRRunningTitleChar"/>
    <w:qFormat/>
    <w:rsid w:val="009B74AB"/>
    <w:pPr>
      <w:widowControl w:val="0"/>
      <w:spacing w:before="360" w:line="312" w:lineRule="auto"/>
    </w:pPr>
    <w:rPr>
      <w:rFonts w:eastAsia="Times New Roman" w:cs="Arial"/>
      <w:b/>
      <w:color w:val="0070C0"/>
      <w:szCs w:val="24"/>
      <w:u w:val="single"/>
      <w:lang w:eastAsia="en-GB"/>
    </w:rPr>
  </w:style>
  <w:style w:type="character" w:customStyle="1" w:styleId="AMPRRunningTitleChar">
    <w:name w:val="AMPR Running Title Char"/>
    <w:basedOn w:val="DefaultParagraphFont"/>
    <w:link w:val="AMPRRunningTitle"/>
    <w:rsid w:val="009B74AB"/>
    <w:rPr>
      <w:rFonts w:ascii="EC Square Sans Pro" w:eastAsia="Times New Roman" w:hAnsi="EC Square Sans Pro" w:cs="Arial"/>
      <w:b/>
      <w:color w:val="0070C0"/>
      <w:sz w:val="20"/>
      <w:szCs w:val="24"/>
      <w:u w:val="single"/>
      <w:lang w:val="en-GB" w:eastAsia="en-GB"/>
    </w:rPr>
  </w:style>
  <w:style w:type="paragraph" w:customStyle="1" w:styleId="AMPRRunningTitleHIGH">
    <w:name w:val="AMPR Running Title HIGH"/>
    <w:aliases w:val="HIGH Running title"/>
    <w:basedOn w:val="AMPRRunningTitle"/>
    <w:link w:val="AMPRRunningTitleHIGHChar"/>
    <w:qFormat/>
    <w:locked/>
    <w:rsid w:val="009B74AB"/>
    <w:pPr>
      <w:spacing w:before="0"/>
    </w:pPr>
  </w:style>
  <w:style w:type="character" w:customStyle="1" w:styleId="AMPRRunningTitleHIGHChar">
    <w:name w:val="AMPR Running Title HIGH Char"/>
    <w:aliases w:val="HIGH Running title Char"/>
    <w:basedOn w:val="AMPRRunningTitleChar"/>
    <w:link w:val="AMPRRunningTitleHIGH"/>
    <w:rsid w:val="009B74AB"/>
    <w:rPr>
      <w:rFonts w:ascii="Arial" w:eastAsia="Times New Roman" w:hAnsi="Arial" w:cs="Arial"/>
      <w:b/>
      <w:color w:val="0070C0"/>
      <w:sz w:val="20"/>
      <w:szCs w:val="24"/>
      <w:u w:val="single"/>
      <w:lang w:val="en-GB" w:eastAsia="en-GB"/>
    </w:rPr>
  </w:style>
  <w:style w:type="table" w:styleId="MediumShading2-Accent1">
    <w:name w:val="Medium Shading 2 Accent 1"/>
    <w:basedOn w:val="TableNormal"/>
    <w:uiPriority w:val="64"/>
    <w:rsid w:val="009B74AB"/>
    <w:rPr>
      <w:rFonts w:ascii="Calibri" w:eastAsia="Calibri" w:hAnsi="Calibri"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B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BBC8" w:themeFill="accent1"/>
      </w:tcPr>
    </w:tblStylePr>
    <w:tblStylePr w:type="lastCol">
      <w:rPr>
        <w:b/>
        <w:bCs/>
        <w:color w:val="FFFFFF" w:themeColor="background1"/>
      </w:rPr>
      <w:tblPr/>
      <w:tcPr>
        <w:tcBorders>
          <w:left w:val="nil"/>
          <w:right w:val="nil"/>
          <w:insideH w:val="nil"/>
          <w:insideV w:val="nil"/>
        </w:tcBorders>
        <w:shd w:val="clear" w:color="auto" w:fill="65B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MPRText">
    <w:name w:val="AMPR Text"/>
    <w:basedOn w:val="Normal"/>
    <w:link w:val="AMPRTextChar"/>
    <w:qFormat/>
    <w:rsid w:val="00404D7C"/>
    <w:pPr>
      <w:widowControl w:val="0"/>
      <w:autoSpaceDE w:val="0"/>
      <w:autoSpaceDN w:val="0"/>
      <w:adjustRightInd w:val="0"/>
      <w:spacing w:after="100" w:line="241" w:lineRule="exact"/>
      <w:jc w:val="both"/>
    </w:pPr>
    <w:rPr>
      <w:rFonts w:eastAsia="Times New Roman"/>
      <w:color w:val="7F7F7F" w:themeColor="text1" w:themeTint="80"/>
      <w:sz w:val="19"/>
      <w:szCs w:val="24"/>
      <w:lang w:eastAsia="en-GB"/>
    </w:rPr>
  </w:style>
  <w:style w:type="character" w:customStyle="1" w:styleId="AMPRTextChar">
    <w:name w:val="AMPR Text Char"/>
    <w:link w:val="AMPRText"/>
    <w:rsid w:val="00404D7C"/>
    <w:rPr>
      <w:rFonts w:ascii="EC Square Sans Pro" w:eastAsia="Times New Roman" w:hAnsi="EC Square Sans Pro" w:cs="Times New Roman"/>
      <w:color w:val="7F7F7F" w:themeColor="text1" w:themeTint="80"/>
      <w:sz w:val="19"/>
      <w:szCs w:val="24"/>
      <w:lang w:val="en-GB" w:eastAsia="en-GB"/>
    </w:rPr>
  </w:style>
  <w:style w:type="paragraph" w:customStyle="1" w:styleId="TONNYBOX">
    <w:name w:val="TONNYBOX"/>
    <w:basedOn w:val="BodyText1"/>
    <w:next w:val="BodyText1"/>
    <w:link w:val="TONNYBOXChar"/>
    <w:qFormat/>
    <w:rsid w:val="004D550C"/>
    <w:pPr>
      <w:pBdr>
        <w:top w:val="dotted" w:sz="4" w:space="1" w:color="87D4C1" w:themeColor="accent4" w:themeTint="99"/>
        <w:left w:val="dotted" w:sz="4" w:space="4" w:color="87D4C1" w:themeColor="accent4" w:themeTint="99"/>
        <w:bottom w:val="dotted" w:sz="4" w:space="1" w:color="87D4C1" w:themeColor="accent4" w:themeTint="99"/>
        <w:right w:val="dotted" w:sz="4" w:space="4" w:color="87D4C1" w:themeColor="accent4" w:themeTint="99"/>
      </w:pBdr>
      <w:shd w:val="clear" w:color="auto" w:fill="D7F1EA" w:themeFill="accent4" w:themeFillTint="33"/>
      <w:spacing w:before="60" w:after="60"/>
      <w:ind w:left="119" w:right="119"/>
    </w:pPr>
    <w:rPr>
      <w:rFonts w:eastAsia="Calibri"/>
      <w:color w:val="1F594A" w:themeColor="accent4" w:themeShade="80"/>
      <w:sz w:val="18"/>
      <w:lang w:val="en-GB"/>
    </w:rPr>
  </w:style>
  <w:style w:type="paragraph" w:customStyle="1" w:styleId="Normal1">
    <w:name w:val="Normal1"/>
    <w:basedOn w:val="Normal"/>
    <w:rsid w:val="006475A6"/>
    <w:pPr>
      <w:spacing w:before="100" w:beforeAutospacing="1" w:after="100" w:afterAutospacing="1"/>
    </w:pPr>
    <w:rPr>
      <w:rFonts w:eastAsia="Times New Roman"/>
      <w:sz w:val="24"/>
      <w:szCs w:val="24"/>
      <w:lang w:eastAsia="en-GB"/>
    </w:rPr>
  </w:style>
  <w:style w:type="character" w:customStyle="1" w:styleId="TONNYBOXChar">
    <w:name w:val="TONNYBOX Char"/>
    <w:basedOn w:val="BodyText1Char"/>
    <w:link w:val="TONNYBOX"/>
    <w:rsid w:val="004D550C"/>
    <w:rPr>
      <w:rFonts w:ascii="EC Square Sans Pro" w:eastAsia="Calibri" w:hAnsi="EC Square Sans Pro" w:cs="Times New Roman"/>
      <w:noProof/>
      <w:color w:val="1F594A" w:themeColor="accent4" w:themeShade="80"/>
      <w:sz w:val="18"/>
      <w:shd w:val="clear" w:color="auto" w:fill="D7F1EA" w:themeFill="accent4" w:themeFillTint="33"/>
      <w:lang w:val="en-GB" w:eastAsia="fr-BE"/>
    </w:rPr>
  </w:style>
  <w:style w:type="paragraph" w:customStyle="1" w:styleId="AMPRExampleBox">
    <w:name w:val="AMPR Example Box"/>
    <w:basedOn w:val="AMPRBox"/>
    <w:link w:val="AMPRExampleBoxChar"/>
    <w:qFormat/>
    <w:rsid w:val="007A012D"/>
    <w:pPr>
      <w:pBdr>
        <w:top w:val="dashSmallGap" w:sz="12" w:space="7" w:color="7F7F7F" w:themeColor="text1" w:themeTint="80"/>
        <w:left w:val="dashSmallGap" w:sz="12" w:space="7" w:color="7F7F7F" w:themeColor="text1" w:themeTint="80"/>
        <w:bottom w:val="dashSmallGap" w:sz="12" w:space="7" w:color="7F7F7F" w:themeColor="text1" w:themeTint="80"/>
        <w:right w:val="dashSmallGap" w:sz="12" w:space="7" w:color="7F7F7F" w:themeColor="text1" w:themeTint="80"/>
      </w:pBdr>
      <w:shd w:val="clear" w:color="auto" w:fill="D9D9D9" w:themeFill="background1" w:themeFillShade="D9"/>
    </w:pPr>
    <w:rPr>
      <w:color w:val="0070C0"/>
    </w:rPr>
  </w:style>
  <w:style w:type="character" w:customStyle="1" w:styleId="AMPRExampleBoxChar">
    <w:name w:val="AMPR Example Box Char"/>
    <w:basedOn w:val="AMPRBoxChar"/>
    <w:link w:val="AMPRExampleBox"/>
    <w:rsid w:val="007A012D"/>
    <w:rPr>
      <w:rFonts w:ascii="Arial" w:eastAsia="Calibri" w:hAnsi="Arial" w:cs="Times New Roman"/>
      <w:i/>
      <w:color w:val="0070C0"/>
      <w:sz w:val="19"/>
      <w:szCs w:val="19"/>
      <w:shd w:val="clear" w:color="auto" w:fill="D9D9D9" w:themeFill="background1" w:themeFillShade="D9"/>
      <w:lang w:val="en" w:eastAsia="en-GB"/>
    </w:rPr>
  </w:style>
  <w:style w:type="paragraph" w:customStyle="1" w:styleId="TONNYSpacer">
    <w:name w:val="TONNYSpacer"/>
    <w:basedOn w:val="BodyText"/>
    <w:next w:val="TONNYBOX"/>
    <w:link w:val="TONNYSpacerChar"/>
    <w:qFormat/>
    <w:rsid w:val="00184517"/>
    <w:pPr>
      <w:spacing w:after="0"/>
    </w:pPr>
    <w:rPr>
      <w:rFonts w:eastAsia="Calibri"/>
      <w:sz w:val="12"/>
      <w:lang w:eastAsia="fr-BE"/>
    </w:rPr>
  </w:style>
  <w:style w:type="character" w:customStyle="1" w:styleId="TONNYSpacerChar">
    <w:name w:val="TONNYSpacer Char"/>
    <w:basedOn w:val="BodyTextChar"/>
    <w:link w:val="TONNYSpacer"/>
    <w:rsid w:val="00184517"/>
    <w:rPr>
      <w:rFonts w:asciiTheme="majorHAnsi" w:eastAsia="Calibri" w:hAnsiTheme="majorHAnsi" w:cs="Times New Roman"/>
      <w:sz w:val="12"/>
      <w:lang w:val="en-GB" w:eastAsia="fr-BE"/>
    </w:rPr>
  </w:style>
  <w:style w:type="table" w:customStyle="1" w:styleId="GridTable1Light-Accent11">
    <w:name w:val="Grid Table 1 Light - Accent 11"/>
    <w:basedOn w:val="TableNormal"/>
    <w:uiPriority w:val="46"/>
    <w:rsid w:val="00074C6E"/>
    <w:tblPr>
      <w:tblStyleRowBandSize w:val="1"/>
      <w:tblStyleColBandSize w:val="1"/>
      <w:tblBorders>
        <w:top w:val="single" w:sz="4" w:space="0" w:color="C1E3E9" w:themeColor="accent1" w:themeTint="66"/>
        <w:left w:val="single" w:sz="4" w:space="0" w:color="C1E3E9" w:themeColor="accent1" w:themeTint="66"/>
        <w:bottom w:val="single" w:sz="4" w:space="0" w:color="C1E3E9" w:themeColor="accent1" w:themeTint="66"/>
        <w:right w:val="single" w:sz="4" w:space="0" w:color="C1E3E9" w:themeColor="accent1" w:themeTint="66"/>
        <w:insideH w:val="single" w:sz="4" w:space="0" w:color="C1E3E9" w:themeColor="accent1" w:themeTint="66"/>
        <w:insideV w:val="single" w:sz="4" w:space="0" w:color="C1E3E9" w:themeColor="accent1" w:themeTint="66"/>
      </w:tblBorders>
    </w:tblPr>
    <w:tblStylePr w:type="firstRow">
      <w:rPr>
        <w:b/>
        <w:bCs/>
      </w:rPr>
      <w:tblPr/>
      <w:tcPr>
        <w:tcBorders>
          <w:bottom w:val="single" w:sz="12" w:space="0" w:color="A2D6DE" w:themeColor="accent1" w:themeTint="99"/>
        </w:tcBorders>
      </w:tcPr>
    </w:tblStylePr>
    <w:tblStylePr w:type="lastRow">
      <w:rPr>
        <w:b/>
        <w:bCs/>
      </w:rPr>
      <w:tblPr/>
      <w:tcPr>
        <w:tcBorders>
          <w:top w:val="double" w:sz="2" w:space="0" w:color="A2D6DE" w:themeColor="accent1"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semiHidden/>
    <w:rsid w:val="00BF57EE"/>
    <w:rPr>
      <w:rFonts w:ascii="EC Square Sans Pro" w:eastAsiaTheme="majorEastAsia" w:hAnsi="EC Square Sans Pro" w:cstheme="majorBidi"/>
      <w:color w:val="27646E" w:themeColor="accent1" w:themeShade="7F"/>
      <w:sz w:val="20"/>
      <w:lang w:val="en-GB"/>
    </w:rPr>
  </w:style>
  <w:style w:type="character" w:customStyle="1" w:styleId="Heading6Char">
    <w:name w:val="Heading 6 Char"/>
    <w:basedOn w:val="DefaultParagraphFont"/>
    <w:link w:val="Heading6"/>
    <w:uiPriority w:val="9"/>
    <w:rsid w:val="00BF57EE"/>
    <w:rPr>
      <w:rFonts w:ascii="EC Square Sans Pro" w:eastAsiaTheme="majorEastAsia" w:hAnsi="EC Square Sans Pro" w:cstheme="majorBidi"/>
      <w:i/>
      <w:iCs/>
      <w:color w:val="27646E" w:themeColor="accent1" w:themeShade="7F"/>
      <w:sz w:val="20"/>
      <w:lang w:val="en-GB"/>
    </w:rPr>
  </w:style>
  <w:style w:type="character" w:customStyle="1" w:styleId="Heading7Char">
    <w:name w:val="Heading 7 Char"/>
    <w:basedOn w:val="DefaultParagraphFont"/>
    <w:link w:val="Heading7"/>
    <w:uiPriority w:val="9"/>
    <w:semiHidden/>
    <w:rsid w:val="00BF57EE"/>
    <w:rPr>
      <w:rFonts w:ascii="EC Square Sans Pro" w:eastAsiaTheme="majorEastAsia" w:hAnsi="EC Square Sans Pro" w:cstheme="majorBidi"/>
      <w:i/>
      <w:iCs/>
      <w:color w:val="404040" w:themeColor="text1" w:themeTint="BF"/>
      <w:sz w:val="20"/>
      <w:lang w:val="en-GB"/>
    </w:rPr>
  </w:style>
  <w:style w:type="character" w:customStyle="1" w:styleId="Heading8Char">
    <w:name w:val="Heading 8 Char"/>
    <w:basedOn w:val="DefaultParagraphFont"/>
    <w:link w:val="Heading8"/>
    <w:uiPriority w:val="9"/>
    <w:semiHidden/>
    <w:rsid w:val="00BF57EE"/>
    <w:rPr>
      <w:rFonts w:ascii="EC Square Sans Pro" w:eastAsiaTheme="majorEastAsia" w:hAnsi="EC Square Sans Pro"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BF57EE"/>
    <w:rPr>
      <w:rFonts w:ascii="EC Square Sans Pro" w:eastAsiaTheme="majorEastAsia" w:hAnsi="EC Square Sans Pro" w:cstheme="majorBidi"/>
      <w:i/>
      <w:iCs/>
      <w:color w:val="404040" w:themeColor="text1" w:themeTint="BF"/>
      <w:sz w:val="20"/>
      <w:szCs w:val="20"/>
      <w:lang w:val="en-GB"/>
    </w:rPr>
  </w:style>
  <w:style w:type="paragraph" w:styleId="Bibliography">
    <w:name w:val="Bibliography"/>
    <w:basedOn w:val="Normal"/>
    <w:next w:val="Normal"/>
    <w:uiPriority w:val="37"/>
    <w:semiHidden/>
    <w:unhideWhenUsed/>
    <w:rsid w:val="00BF57EE"/>
  </w:style>
  <w:style w:type="paragraph" w:styleId="BlockText">
    <w:name w:val="Block Text"/>
    <w:basedOn w:val="Normal"/>
    <w:uiPriority w:val="99"/>
    <w:semiHidden/>
    <w:unhideWhenUsed/>
    <w:rsid w:val="00BF57EE"/>
    <w:pPr>
      <w:pBdr>
        <w:top w:val="single" w:sz="2" w:space="10" w:color="65BBC8" w:themeColor="accent1" w:shadow="1" w:frame="1"/>
        <w:left w:val="single" w:sz="2" w:space="10" w:color="65BBC8" w:themeColor="accent1" w:shadow="1" w:frame="1"/>
        <w:bottom w:val="single" w:sz="2" w:space="10" w:color="65BBC8" w:themeColor="accent1" w:shadow="1" w:frame="1"/>
        <w:right w:val="single" w:sz="2" w:space="10" w:color="65BBC8" w:themeColor="accent1" w:shadow="1" w:frame="1"/>
      </w:pBdr>
      <w:ind w:left="1152" w:right="1152"/>
    </w:pPr>
    <w:rPr>
      <w:rFonts w:eastAsiaTheme="minorEastAsia" w:cstheme="minorBidi"/>
      <w:i/>
      <w:iCs/>
      <w:color w:val="65BBC8" w:themeColor="accent1"/>
    </w:rPr>
  </w:style>
  <w:style w:type="paragraph" w:styleId="BodyText20">
    <w:name w:val="Body Text 2"/>
    <w:basedOn w:val="Normal"/>
    <w:link w:val="BodyText2Char"/>
    <w:uiPriority w:val="99"/>
    <w:semiHidden/>
    <w:unhideWhenUsed/>
    <w:rsid w:val="00BF57EE"/>
    <w:pPr>
      <w:spacing w:after="120" w:line="480" w:lineRule="auto"/>
    </w:pPr>
  </w:style>
  <w:style w:type="character" w:customStyle="1" w:styleId="BodyText2Char">
    <w:name w:val="Body Text 2 Char"/>
    <w:basedOn w:val="DefaultParagraphFont"/>
    <w:link w:val="BodyText20"/>
    <w:uiPriority w:val="99"/>
    <w:semiHidden/>
    <w:rsid w:val="00BF57EE"/>
    <w:rPr>
      <w:rFonts w:ascii="EC Square Sans Pro" w:hAnsi="EC Square Sans Pro" w:cs="Times New Roman"/>
      <w:sz w:val="20"/>
      <w:lang w:val="en-GB"/>
    </w:rPr>
  </w:style>
  <w:style w:type="paragraph" w:styleId="BodyText3">
    <w:name w:val="Body Text 3"/>
    <w:basedOn w:val="Normal"/>
    <w:link w:val="BodyText3Char"/>
    <w:uiPriority w:val="99"/>
    <w:semiHidden/>
    <w:unhideWhenUsed/>
    <w:rsid w:val="00BF57EE"/>
    <w:pPr>
      <w:spacing w:after="120"/>
    </w:pPr>
    <w:rPr>
      <w:sz w:val="16"/>
      <w:szCs w:val="16"/>
    </w:rPr>
  </w:style>
  <w:style w:type="character" w:customStyle="1" w:styleId="BodyText3Char">
    <w:name w:val="Body Text 3 Char"/>
    <w:basedOn w:val="DefaultParagraphFont"/>
    <w:link w:val="BodyText3"/>
    <w:uiPriority w:val="99"/>
    <w:semiHidden/>
    <w:rsid w:val="00BF57EE"/>
    <w:rPr>
      <w:rFonts w:ascii="EC Square Sans Pro" w:hAnsi="EC Square Sans Pro" w:cs="Times New Roman"/>
      <w:sz w:val="16"/>
      <w:szCs w:val="16"/>
      <w:lang w:val="en-GB"/>
    </w:rPr>
  </w:style>
  <w:style w:type="paragraph" w:styleId="BodyTextFirstIndent">
    <w:name w:val="Body Text First Indent"/>
    <w:basedOn w:val="BodyText"/>
    <w:link w:val="BodyTextFirstIndentChar"/>
    <w:uiPriority w:val="99"/>
    <w:semiHidden/>
    <w:unhideWhenUsed/>
    <w:rsid w:val="00BF57EE"/>
    <w:pPr>
      <w:spacing w:after="0"/>
      <w:ind w:firstLine="360"/>
    </w:pPr>
  </w:style>
  <w:style w:type="character" w:customStyle="1" w:styleId="BodyTextFirstIndentChar">
    <w:name w:val="Body Text First Indent Char"/>
    <w:basedOn w:val="BodyTextChar"/>
    <w:link w:val="BodyTextFirstIndent"/>
    <w:uiPriority w:val="99"/>
    <w:semiHidden/>
    <w:rsid w:val="00BF57EE"/>
    <w:rPr>
      <w:rFonts w:ascii="EC Square Sans Pro" w:hAnsi="EC Square Sans Pro" w:cs="Times New Roman"/>
      <w:sz w:val="20"/>
      <w:lang w:val="en-GB"/>
    </w:rPr>
  </w:style>
  <w:style w:type="paragraph" w:styleId="BodyTextIndent">
    <w:name w:val="Body Text Indent"/>
    <w:basedOn w:val="Normal"/>
    <w:link w:val="BodyTextIndentChar"/>
    <w:uiPriority w:val="99"/>
    <w:semiHidden/>
    <w:unhideWhenUsed/>
    <w:rsid w:val="00BF57EE"/>
    <w:pPr>
      <w:spacing w:after="120"/>
      <w:ind w:left="283"/>
    </w:pPr>
  </w:style>
  <w:style w:type="character" w:customStyle="1" w:styleId="BodyTextIndentChar">
    <w:name w:val="Body Text Indent Char"/>
    <w:basedOn w:val="DefaultParagraphFont"/>
    <w:link w:val="BodyTextIndent"/>
    <w:uiPriority w:val="99"/>
    <w:semiHidden/>
    <w:rsid w:val="00BF57EE"/>
    <w:rPr>
      <w:rFonts w:ascii="EC Square Sans Pro" w:hAnsi="EC Square Sans Pro" w:cs="Times New Roman"/>
      <w:sz w:val="20"/>
      <w:lang w:val="en-GB"/>
    </w:rPr>
  </w:style>
  <w:style w:type="paragraph" w:styleId="BodyTextFirstIndent2">
    <w:name w:val="Body Text First Indent 2"/>
    <w:basedOn w:val="BodyTextIndent"/>
    <w:link w:val="BodyTextFirstIndent2Char"/>
    <w:uiPriority w:val="99"/>
    <w:semiHidden/>
    <w:unhideWhenUsed/>
    <w:rsid w:val="00BF57EE"/>
    <w:pPr>
      <w:spacing w:after="0"/>
      <w:ind w:left="360" w:firstLine="360"/>
    </w:pPr>
  </w:style>
  <w:style w:type="character" w:customStyle="1" w:styleId="BodyTextFirstIndent2Char">
    <w:name w:val="Body Text First Indent 2 Char"/>
    <w:basedOn w:val="BodyTextIndentChar"/>
    <w:link w:val="BodyTextFirstIndent2"/>
    <w:uiPriority w:val="99"/>
    <w:semiHidden/>
    <w:rsid w:val="00BF57EE"/>
    <w:rPr>
      <w:rFonts w:ascii="EC Square Sans Pro" w:hAnsi="EC Square Sans Pro" w:cs="Times New Roman"/>
      <w:sz w:val="20"/>
      <w:lang w:val="en-GB"/>
    </w:rPr>
  </w:style>
  <w:style w:type="paragraph" w:styleId="BodyTextIndent2">
    <w:name w:val="Body Text Indent 2"/>
    <w:basedOn w:val="Normal"/>
    <w:link w:val="BodyTextIndent2Char"/>
    <w:uiPriority w:val="99"/>
    <w:semiHidden/>
    <w:unhideWhenUsed/>
    <w:rsid w:val="00BF57EE"/>
    <w:pPr>
      <w:spacing w:after="120" w:line="480" w:lineRule="auto"/>
      <w:ind w:left="283"/>
    </w:pPr>
  </w:style>
  <w:style w:type="character" w:customStyle="1" w:styleId="BodyTextIndent2Char">
    <w:name w:val="Body Text Indent 2 Char"/>
    <w:basedOn w:val="DefaultParagraphFont"/>
    <w:link w:val="BodyTextIndent2"/>
    <w:uiPriority w:val="99"/>
    <w:semiHidden/>
    <w:rsid w:val="00BF57EE"/>
    <w:rPr>
      <w:rFonts w:ascii="EC Square Sans Pro" w:hAnsi="EC Square Sans Pro" w:cs="Times New Roman"/>
      <w:sz w:val="20"/>
      <w:lang w:val="en-GB"/>
    </w:rPr>
  </w:style>
  <w:style w:type="paragraph" w:styleId="BodyTextIndent3">
    <w:name w:val="Body Text Indent 3"/>
    <w:basedOn w:val="Normal"/>
    <w:link w:val="BodyTextIndent3Char"/>
    <w:uiPriority w:val="99"/>
    <w:semiHidden/>
    <w:unhideWhenUsed/>
    <w:rsid w:val="00BF57E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F57EE"/>
    <w:rPr>
      <w:rFonts w:ascii="EC Square Sans Pro" w:hAnsi="EC Square Sans Pro" w:cs="Times New Roman"/>
      <w:sz w:val="16"/>
      <w:szCs w:val="16"/>
      <w:lang w:val="en-GB"/>
    </w:rPr>
  </w:style>
  <w:style w:type="character" w:styleId="BookTitle">
    <w:name w:val="Book Title"/>
    <w:basedOn w:val="DefaultParagraphFont"/>
    <w:uiPriority w:val="33"/>
    <w:rsid w:val="00BF57EE"/>
    <w:rPr>
      <w:rFonts w:ascii="EC Square Sans Pro" w:hAnsi="EC Square Sans Pro"/>
      <w:b/>
      <w:bCs/>
      <w:smallCaps/>
      <w:spacing w:val="5"/>
      <w:lang w:val="en-GB"/>
    </w:rPr>
  </w:style>
  <w:style w:type="paragraph" w:styleId="Closing">
    <w:name w:val="Closing"/>
    <w:basedOn w:val="Normal"/>
    <w:link w:val="ClosingChar"/>
    <w:uiPriority w:val="99"/>
    <w:semiHidden/>
    <w:unhideWhenUsed/>
    <w:rsid w:val="00BF57EE"/>
    <w:pPr>
      <w:ind w:left="4252"/>
    </w:pPr>
  </w:style>
  <w:style w:type="character" w:customStyle="1" w:styleId="ClosingChar">
    <w:name w:val="Closing Char"/>
    <w:basedOn w:val="DefaultParagraphFont"/>
    <w:link w:val="Closing"/>
    <w:uiPriority w:val="99"/>
    <w:semiHidden/>
    <w:rsid w:val="00BF57EE"/>
    <w:rPr>
      <w:rFonts w:ascii="EC Square Sans Pro" w:hAnsi="EC Square Sans Pro" w:cs="Times New Roman"/>
      <w:sz w:val="20"/>
      <w:lang w:val="en-GB"/>
    </w:rPr>
  </w:style>
  <w:style w:type="paragraph" w:styleId="Date">
    <w:name w:val="Date"/>
    <w:basedOn w:val="Normal"/>
    <w:next w:val="Normal"/>
    <w:link w:val="DateChar"/>
    <w:uiPriority w:val="99"/>
    <w:semiHidden/>
    <w:unhideWhenUsed/>
    <w:rsid w:val="00BF57EE"/>
  </w:style>
  <w:style w:type="character" w:customStyle="1" w:styleId="DateChar">
    <w:name w:val="Date Char"/>
    <w:basedOn w:val="DefaultParagraphFont"/>
    <w:link w:val="Date"/>
    <w:uiPriority w:val="99"/>
    <w:semiHidden/>
    <w:rsid w:val="00BF57EE"/>
    <w:rPr>
      <w:rFonts w:ascii="EC Square Sans Pro" w:hAnsi="EC Square Sans Pro" w:cs="Times New Roman"/>
      <w:sz w:val="20"/>
      <w:lang w:val="en-GB"/>
    </w:rPr>
  </w:style>
  <w:style w:type="paragraph" w:styleId="DocumentMap">
    <w:name w:val="Document Map"/>
    <w:basedOn w:val="Normal"/>
    <w:link w:val="DocumentMapChar"/>
    <w:uiPriority w:val="99"/>
    <w:semiHidden/>
    <w:unhideWhenUsed/>
    <w:rsid w:val="00BF57EE"/>
    <w:rPr>
      <w:rFonts w:cs="Tahoma"/>
      <w:sz w:val="16"/>
      <w:szCs w:val="16"/>
    </w:rPr>
  </w:style>
  <w:style w:type="character" w:customStyle="1" w:styleId="DocumentMapChar">
    <w:name w:val="Document Map Char"/>
    <w:basedOn w:val="DefaultParagraphFont"/>
    <w:link w:val="DocumentMap"/>
    <w:uiPriority w:val="99"/>
    <w:semiHidden/>
    <w:rsid w:val="00BF57EE"/>
    <w:rPr>
      <w:rFonts w:ascii="EC Square Sans Pro" w:hAnsi="EC Square Sans Pro" w:cs="Tahoma"/>
      <w:sz w:val="16"/>
      <w:szCs w:val="16"/>
      <w:lang w:val="en-GB"/>
    </w:rPr>
  </w:style>
  <w:style w:type="paragraph" w:styleId="E-mailSignature">
    <w:name w:val="E-mail Signature"/>
    <w:basedOn w:val="Normal"/>
    <w:link w:val="E-mailSignatureChar"/>
    <w:uiPriority w:val="99"/>
    <w:semiHidden/>
    <w:unhideWhenUsed/>
    <w:rsid w:val="00BF57EE"/>
  </w:style>
  <w:style w:type="character" w:customStyle="1" w:styleId="E-mailSignatureChar">
    <w:name w:val="E-mail Signature Char"/>
    <w:basedOn w:val="DefaultParagraphFont"/>
    <w:link w:val="E-mailSignature"/>
    <w:uiPriority w:val="99"/>
    <w:semiHidden/>
    <w:rsid w:val="00BF57EE"/>
    <w:rPr>
      <w:rFonts w:ascii="EC Square Sans Pro" w:hAnsi="EC Square Sans Pro" w:cs="Times New Roman"/>
      <w:sz w:val="20"/>
      <w:lang w:val="en-GB"/>
    </w:rPr>
  </w:style>
  <w:style w:type="paragraph" w:styleId="EnvelopeAddress">
    <w:name w:val="envelope address"/>
    <w:basedOn w:val="Normal"/>
    <w:uiPriority w:val="99"/>
    <w:semiHidden/>
    <w:unhideWhenUsed/>
    <w:rsid w:val="00BF57EE"/>
    <w:pPr>
      <w:framePr w:w="7920" w:h="1980" w:hRule="exact" w:hSpace="180" w:wrap="auto" w:hAnchor="page" w:xAlign="center" w:yAlign="bottom"/>
      <w:ind w:left="2880"/>
    </w:pPr>
    <w:rPr>
      <w:rFonts w:eastAsiaTheme="majorEastAsia" w:cstheme="majorBidi"/>
      <w:sz w:val="24"/>
      <w:szCs w:val="24"/>
    </w:rPr>
  </w:style>
  <w:style w:type="paragraph" w:styleId="EnvelopeReturn">
    <w:name w:val="envelope return"/>
    <w:basedOn w:val="Normal"/>
    <w:uiPriority w:val="99"/>
    <w:semiHidden/>
    <w:unhideWhenUsed/>
    <w:rsid w:val="00BF57EE"/>
    <w:rPr>
      <w:rFonts w:eastAsiaTheme="majorEastAsia" w:cstheme="majorBidi"/>
      <w:szCs w:val="20"/>
    </w:rPr>
  </w:style>
  <w:style w:type="character" w:styleId="HTMLAcronym">
    <w:name w:val="HTML Acronym"/>
    <w:basedOn w:val="DefaultParagraphFont"/>
    <w:uiPriority w:val="99"/>
    <w:semiHidden/>
    <w:unhideWhenUsed/>
    <w:rsid w:val="00BF57EE"/>
    <w:rPr>
      <w:rFonts w:ascii="EC Square Sans Pro" w:hAnsi="EC Square Sans Pro"/>
      <w:lang w:val="en-GB"/>
    </w:rPr>
  </w:style>
  <w:style w:type="paragraph" w:styleId="HTMLAddress">
    <w:name w:val="HTML Address"/>
    <w:basedOn w:val="Normal"/>
    <w:link w:val="HTMLAddressChar"/>
    <w:uiPriority w:val="99"/>
    <w:semiHidden/>
    <w:unhideWhenUsed/>
    <w:rsid w:val="00BF57EE"/>
    <w:rPr>
      <w:i/>
      <w:iCs/>
    </w:rPr>
  </w:style>
  <w:style w:type="character" w:customStyle="1" w:styleId="HTMLAddressChar">
    <w:name w:val="HTML Address Char"/>
    <w:basedOn w:val="DefaultParagraphFont"/>
    <w:link w:val="HTMLAddress"/>
    <w:uiPriority w:val="99"/>
    <w:semiHidden/>
    <w:rsid w:val="00BF57EE"/>
    <w:rPr>
      <w:rFonts w:ascii="EC Square Sans Pro" w:hAnsi="EC Square Sans Pro" w:cs="Times New Roman"/>
      <w:i/>
      <w:iCs/>
      <w:sz w:val="20"/>
      <w:lang w:val="en-GB"/>
    </w:rPr>
  </w:style>
  <w:style w:type="character" w:styleId="HTMLCite">
    <w:name w:val="HTML Cite"/>
    <w:basedOn w:val="DefaultParagraphFont"/>
    <w:uiPriority w:val="99"/>
    <w:semiHidden/>
    <w:unhideWhenUsed/>
    <w:rsid w:val="00BF57EE"/>
    <w:rPr>
      <w:rFonts w:ascii="EC Square Sans Pro" w:hAnsi="EC Square Sans Pro"/>
      <w:i/>
      <w:iCs/>
      <w:lang w:val="en-GB"/>
    </w:rPr>
  </w:style>
  <w:style w:type="character" w:styleId="HTMLCode">
    <w:name w:val="HTML Code"/>
    <w:basedOn w:val="DefaultParagraphFont"/>
    <w:uiPriority w:val="99"/>
    <w:semiHidden/>
    <w:unhideWhenUsed/>
    <w:rsid w:val="00BF57EE"/>
    <w:rPr>
      <w:rFonts w:ascii="EC Square Sans Pro" w:hAnsi="EC Square Sans Pro" w:cs="Consolas"/>
      <w:sz w:val="20"/>
      <w:szCs w:val="20"/>
      <w:lang w:val="en-GB"/>
    </w:rPr>
  </w:style>
  <w:style w:type="character" w:styleId="HTMLDefinition">
    <w:name w:val="HTML Definition"/>
    <w:basedOn w:val="DefaultParagraphFont"/>
    <w:uiPriority w:val="99"/>
    <w:semiHidden/>
    <w:unhideWhenUsed/>
    <w:rsid w:val="00BF57EE"/>
    <w:rPr>
      <w:rFonts w:ascii="EC Square Sans Pro" w:hAnsi="EC Square Sans Pro"/>
      <w:i/>
      <w:iCs/>
      <w:lang w:val="en-GB"/>
    </w:rPr>
  </w:style>
  <w:style w:type="character" w:styleId="HTMLKeyboard">
    <w:name w:val="HTML Keyboard"/>
    <w:basedOn w:val="DefaultParagraphFont"/>
    <w:uiPriority w:val="99"/>
    <w:semiHidden/>
    <w:unhideWhenUsed/>
    <w:rsid w:val="00BF57EE"/>
    <w:rPr>
      <w:rFonts w:ascii="EC Square Sans Pro" w:hAnsi="EC Square Sans Pro" w:cs="Consolas"/>
      <w:sz w:val="20"/>
      <w:szCs w:val="20"/>
      <w:lang w:val="en-GB"/>
    </w:rPr>
  </w:style>
  <w:style w:type="paragraph" w:styleId="HTMLPreformatted">
    <w:name w:val="HTML Preformatted"/>
    <w:basedOn w:val="Normal"/>
    <w:link w:val="HTMLPreformattedChar"/>
    <w:uiPriority w:val="99"/>
    <w:semiHidden/>
    <w:unhideWhenUsed/>
    <w:rsid w:val="00BF57EE"/>
    <w:rPr>
      <w:rFonts w:cs="Consolas"/>
      <w:szCs w:val="20"/>
    </w:rPr>
  </w:style>
  <w:style w:type="character" w:customStyle="1" w:styleId="HTMLPreformattedChar">
    <w:name w:val="HTML Preformatted Char"/>
    <w:basedOn w:val="DefaultParagraphFont"/>
    <w:link w:val="HTMLPreformatted"/>
    <w:uiPriority w:val="99"/>
    <w:semiHidden/>
    <w:rsid w:val="00BF57EE"/>
    <w:rPr>
      <w:rFonts w:ascii="EC Square Sans Pro" w:hAnsi="EC Square Sans Pro" w:cs="Consolas"/>
      <w:sz w:val="20"/>
      <w:szCs w:val="20"/>
      <w:lang w:val="en-GB"/>
    </w:rPr>
  </w:style>
  <w:style w:type="character" w:styleId="HTMLSample">
    <w:name w:val="HTML Sample"/>
    <w:basedOn w:val="DefaultParagraphFont"/>
    <w:uiPriority w:val="99"/>
    <w:semiHidden/>
    <w:unhideWhenUsed/>
    <w:rsid w:val="00BF57EE"/>
    <w:rPr>
      <w:rFonts w:ascii="EC Square Sans Pro" w:hAnsi="EC Square Sans Pro" w:cs="Consolas"/>
      <w:sz w:val="24"/>
      <w:szCs w:val="24"/>
      <w:lang w:val="en-GB"/>
    </w:rPr>
  </w:style>
  <w:style w:type="character" w:styleId="HTMLTypewriter">
    <w:name w:val="HTML Typewriter"/>
    <w:basedOn w:val="DefaultParagraphFont"/>
    <w:uiPriority w:val="99"/>
    <w:semiHidden/>
    <w:unhideWhenUsed/>
    <w:rsid w:val="00BF57EE"/>
    <w:rPr>
      <w:rFonts w:ascii="EC Square Sans Pro" w:hAnsi="EC Square Sans Pro" w:cs="Consolas"/>
      <w:sz w:val="20"/>
      <w:szCs w:val="20"/>
      <w:lang w:val="en-GB"/>
    </w:rPr>
  </w:style>
  <w:style w:type="character" w:styleId="HTMLVariable">
    <w:name w:val="HTML Variable"/>
    <w:basedOn w:val="DefaultParagraphFont"/>
    <w:uiPriority w:val="99"/>
    <w:semiHidden/>
    <w:unhideWhenUsed/>
    <w:rsid w:val="00BF57EE"/>
    <w:rPr>
      <w:rFonts w:ascii="EC Square Sans Pro" w:hAnsi="EC Square Sans Pro"/>
      <w:i/>
      <w:iCs/>
      <w:lang w:val="en-GB"/>
    </w:rPr>
  </w:style>
  <w:style w:type="paragraph" w:styleId="Index1">
    <w:name w:val="index 1"/>
    <w:basedOn w:val="Normal"/>
    <w:next w:val="Normal"/>
    <w:autoRedefine/>
    <w:uiPriority w:val="99"/>
    <w:semiHidden/>
    <w:unhideWhenUsed/>
    <w:rsid w:val="00BF57EE"/>
    <w:pPr>
      <w:ind w:left="200" w:hanging="200"/>
    </w:pPr>
  </w:style>
  <w:style w:type="paragraph" w:styleId="Index2">
    <w:name w:val="index 2"/>
    <w:basedOn w:val="Normal"/>
    <w:next w:val="Normal"/>
    <w:autoRedefine/>
    <w:uiPriority w:val="99"/>
    <w:semiHidden/>
    <w:unhideWhenUsed/>
    <w:rsid w:val="00BF57EE"/>
    <w:pPr>
      <w:ind w:left="400" w:hanging="200"/>
    </w:pPr>
  </w:style>
  <w:style w:type="paragraph" w:styleId="Index3">
    <w:name w:val="index 3"/>
    <w:basedOn w:val="Normal"/>
    <w:next w:val="Normal"/>
    <w:autoRedefine/>
    <w:uiPriority w:val="99"/>
    <w:semiHidden/>
    <w:unhideWhenUsed/>
    <w:rsid w:val="00BF57EE"/>
    <w:pPr>
      <w:ind w:left="600" w:hanging="200"/>
    </w:pPr>
  </w:style>
  <w:style w:type="paragraph" w:styleId="Index4">
    <w:name w:val="index 4"/>
    <w:basedOn w:val="Normal"/>
    <w:next w:val="Normal"/>
    <w:autoRedefine/>
    <w:uiPriority w:val="99"/>
    <w:semiHidden/>
    <w:unhideWhenUsed/>
    <w:rsid w:val="00BF57EE"/>
    <w:pPr>
      <w:ind w:left="800" w:hanging="200"/>
    </w:pPr>
  </w:style>
  <w:style w:type="paragraph" w:styleId="Index5">
    <w:name w:val="index 5"/>
    <w:basedOn w:val="Normal"/>
    <w:next w:val="Normal"/>
    <w:autoRedefine/>
    <w:uiPriority w:val="99"/>
    <w:semiHidden/>
    <w:unhideWhenUsed/>
    <w:rsid w:val="00BF57EE"/>
    <w:pPr>
      <w:ind w:left="1000" w:hanging="200"/>
    </w:pPr>
  </w:style>
  <w:style w:type="paragraph" w:styleId="Index6">
    <w:name w:val="index 6"/>
    <w:basedOn w:val="Normal"/>
    <w:next w:val="Normal"/>
    <w:autoRedefine/>
    <w:uiPriority w:val="99"/>
    <w:semiHidden/>
    <w:unhideWhenUsed/>
    <w:rsid w:val="00BF57EE"/>
    <w:pPr>
      <w:ind w:left="1200" w:hanging="200"/>
    </w:pPr>
  </w:style>
  <w:style w:type="paragraph" w:styleId="Index7">
    <w:name w:val="index 7"/>
    <w:basedOn w:val="Normal"/>
    <w:next w:val="Normal"/>
    <w:autoRedefine/>
    <w:uiPriority w:val="99"/>
    <w:semiHidden/>
    <w:unhideWhenUsed/>
    <w:rsid w:val="00BF57EE"/>
    <w:pPr>
      <w:ind w:left="1400" w:hanging="200"/>
    </w:pPr>
  </w:style>
  <w:style w:type="paragraph" w:styleId="Index8">
    <w:name w:val="index 8"/>
    <w:basedOn w:val="Normal"/>
    <w:next w:val="Normal"/>
    <w:autoRedefine/>
    <w:uiPriority w:val="99"/>
    <w:semiHidden/>
    <w:unhideWhenUsed/>
    <w:rsid w:val="00BF57EE"/>
    <w:pPr>
      <w:ind w:left="1600" w:hanging="200"/>
    </w:pPr>
  </w:style>
  <w:style w:type="paragraph" w:styleId="Index9">
    <w:name w:val="index 9"/>
    <w:basedOn w:val="Normal"/>
    <w:next w:val="Normal"/>
    <w:autoRedefine/>
    <w:uiPriority w:val="99"/>
    <w:semiHidden/>
    <w:unhideWhenUsed/>
    <w:rsid w:val="00BF57EE"/>
    <w:pPr>
      <w:ind w:left="1800" w:hanging="200"/>
    </w:pPr>
  </w:style>
  <w:style w:type="paragraph" w:styleId="IndexHeading">
    <w:name w:val="index heading"/>
    <w:basedOn w:val="Normal"/>
    <w:next w:val="Index1"/>
    <w:uiPriority w:val="99"/>
    <w:semiHidden/>
    <w:unhideWhenUsed/>
    <w:rsid w:val="00BF57EE"/>
    <w:rPr>
      <w:rFonts w:eastAsiaTheme="majorEastAsia" w:cstheme="majorBidi"/>
      <w:b/>
      <w:bCs/>
    </w:rPr>
  </w:style>
  <w:style w:type="character" w:styleId="IntenseEmphasis">
    <w:name w:val="Intense Emphasis"/>
    <w:basedOn w:val="DefaultParagraphFont"/>
    <w:uiPriority w:val="21"/>
    <w:rsid w:val="00BF57EE"/>
    <w:rPr>
      <w:rFonts w:ascii="EC Square Sans Pro" w:hAnsi="EC Square Sans Pro"/>
      <w:b/>
      <w:bCs/>
      <w:i/>
      <w:iCs/>
      <w:color w:val="65BBC8" w:themeColor="accent1"/>
      <w:lang w:val="en-GB"/>
    </w:rPr>
  </w:style>
  <w:style w:type="paragraph" w:styleId="IntenseQuote">
    <w:name w:val="Intense Quote"/>
    <w:basedOn w:val="Normal"/>
    <w:next w:val="Normal"/>
    <w:link w:val="IntenseQuoteChar"/>
    <w:uiPriority w:val="30"/>
    <w:rsid w:val="00BF57EE"/>
    <w:pPr>
      <w:pBdr>
        <w:bottom w:val="single" w:sz="4" w:space="4" w:color="65BBC8" w:themeColor="accent1"/>
      </w:pBdr>
      <w:spacing w:before="200" w:after="280"/>
      <w:ind w:left="936" w:right="936"/>
    </w:pPr>
    <w:rPr>
      <w:b/>
      <w:bCs/>
      <w:i/>
      <w:iCs/>
      <w:color w:val="65BBC8" w:themeColor="accent1"/>
    </w:rPr>
  </w:style>
  <w:style w:type="character" w:customStyle="1" w:styleId="IntenseQuoteChar">
    <w:name w:val="Intense Quote Char"/>
    <w:basedOn w:val="DefaultParagraphFont"/>
    <w:link w:val="IntenseQuote"/>
    <w:uiPriority w:val="30"/>
    <w:rsid w:val="00BF57EE"/>
    <w:rPr>
      <w:rFonts w:ascii="EC Square Sans Pro" w:hAnsi="EC Square Sans Pro" w:cs="Times New Roman"/>
      <w:b/>
      <w:bCs/>
      <w:i/>
      <w:iCs/>
      <w:color w:val="65BBC8" w:themeColor="accent1"/>
      <w:sz w:val="20"/>
      <w:lang w:val="en-GB"/>
    </w:rPr>
  </w:style>
  <w:style w:type="character" w:styleId="IntenseReference">
    <w:name w:val="Intense Reference"/>
    <w:basedOn w:val="DefaultParagraphFont"/>
    <w:uiPriority w:val="32"/>
    <w:rsid w:val="00BF57EE"/>
    <w:rPr>
      <w:rFonts w:ascii="EC Square Sans Pro" w:hAnsi="EC Square Sans Pro"/>
      <w:b/>
      <w:bCs/>
      <w:smallCaps/>
      <w:color w:val="82D2E8" w:themeColor="accent2"/>
      <w:spacing w:val="5"/>
      <w:u w:val="single"/>
      <w:lang w:val="en-GB"/>
    </w:rPr>
  </w:style>
  <w:style w:type="character" w:styleId="LineNumber">
    <w:name w:val="line number"/>
    <w:basedOn w:val="DefaultParagraphFont"/>
    <w:uiPriority w:val="99"/>
    <w:semiHidden/>
    <w:unhideWhenUsed/>
    <w:rsid w:val="00BF57EE"/>
    <w:rPr>
      <w:rFonts w:ascii="EC Square Sans Pro" w:hAnsi="EC Square Sans Pro"/>
      <w:lang w:val="en-GB"/>
    </w:rPr>
  </w:style>
  <w:style w:type="paragraph" w:styleId="List">
    <w:name w:val="List"/>
    <w:basedOn w:val="Normal"/>
    <w:uiPriority w:val="99"/>
    <w:semiHidden/>
    <w:unhideWhenUsed/>
    <w:rsid w:val="00BF57EE"/>
    <w:pPr>
      <w:ind w:left="283" w:hanging="283"/>
      <w:contextualSpacing/>
    </w:pPr>
  </w:style>
  <w:style w:type="paragraph" w:styleId="List2">
    <w:name w:val="List 2"/>
    <w:basedOn w:val="Normal"/>
    <w:uiPriority w:val="99"/>
    <w:semiHidden/>
    <w:unhideWhenUsed/>
    <w:rsid w:val="00BF57EE"/>
    <w:pPr>
      <w:ind w:left="566" w:hanging="283"/>
      <w:contextualSpacing/>
    </w:pPr>
  </w:style>
  <w:style w:type="paragraph" w:styleId="List3">
    <w:name w:val="List 3"/>
    <w:basedOn w:val="Normal"/>
    <w:uiPriority w:val="99"/>
    <w:semiHidden/>
    <w:unhideWhenUsed/>
    <w:rsid w:val="00BF57EE"/>
    <w:pPr>
      <w:ind w:left="849" w:hanging="283"/>
      <w:contextualSpacing/>
    </w:pPr>
  </w:style>
  <w:style w:type="paragraph" w:styleId="List4">
    <w:name w:val="List 4"/>
    <w:basedOn w:val="Normal"/>
    <w:uiPriority w:val="99"/>
    <w:semiHidden/>
    <w:unhideWhenUsed/>
    <w:rsid w:val="00BF57EE"/>
    <w:pPr>
      <w:ind w:left="1132" w:hanging="283"/>
      <w:contextualSpacing/>
    </w:pPr>
  </w:style>
  <w:style w:type="paragraph" w:styleId="List5">
    <w:name w:val="List 5"/>
    <w:basedOn w:val="Normal"/>
    <w:uiPriority w:val="99"/>
    <w:semiHidden/>
    <w:unhideWhenUsed/>
    <w:rsid w:val="00BF57EE"/>
    <w:pPr>
      <w:ind w:left="1415" w:hanging="283"/>
      <w:contextualSpacing/>
    </w:pPr>
  </w:style>
  <w:style w:type="paragraph" w:styleId="ListBullet5">
    <w:name w:val="List Bullet 5"/>
    <w:basedOn w:val="Normal"/>
    <w:uiPriority w:val="99"/>
    <w:semiHidden/>
    <w:unhideWhenUsed/>
    <w:rsid w:val="00BF57EE"/>
    <w:pPr>
      <w:numPr>
        <w:numId w:val="9"/>
      </w:numPr>
      <w:contextualSpacing/>
    </w:pPr>
  </w:style>
  <w:style w:type="paragraph" w:styleId="ListContinue">
    <w:name w:val="List Continue"/>
    <w:basedOn w:val="Normal"/>
    <w:uiPriority w:val="99"/>
    <w:semiHidden/>
    <w:unhideWhenUsed/>
    <w:rsid w:val="00BF57EE"/>
    <w:pPr>
      <w:spacing w:after="120"/>
      <w:ind w:left="283"/>
      <w:contextualSpacing/>
    </w:pPr>
  </w:style>
  <w:style w:type="paragraph" w:styleId="ListContinue2">
    <w:name w:val="List Continue 2"/>
    <w:basedOn w:val="Normal"/>
    <w:uiPriority w:val="99"/>
    <w:semiHidden/>
    <w:unhideWhenUsed/>
    <w:rsid w:val="00BF57EE"/>
    <w:pPr>
      <w:spacing w:after="120"/>
      <w:ind w:left="566"/>
      <w:contextualSpacing/>
    </w:pPr>
  </w:style>
  <w:style w:type="paragraph" w:styleId="ListContinue3">
    <w:name w:val="List Continue 3"/>
    <w:basedOn w:val="Normal"/>
    <w:uiPriority w:val="99"/>
    <w:semiHidden/>
    <w:unhideWhenUsed/>
    <w:rsid w:val="00BF57EE"/>
    <w:pPr>
      <w:spacing w:after="120"/>
      <w:ind w:left="849"/>
      <w:contextualSpacing/>
    </w:pPr>
  </w:style>
  <w:style w:type="paragraph" w:styleId="ListContinue4">
    <w:name w:val="List Continue 4"/>
    <w:basedOn w:val="Normal"/>
    <w:uiPriority w:val="99"/>
    <w:semiHidden/>
    <w:unhideWhenUsed/>
    <w:rsid w:val="00BF57EE"/>
    <w:pPr>
      <w:spacing w:after="120"/>
      <w:ind w:left="1132"/>
      <w:contextualSpacing/>
    </w:pPr>
  </w:style>
  <w:style w:type="paragraph" w:styleId="ListContinue5">
    <w:name w:val="List Continue 5"/>
    <w:basedOn w:val="Normal"/>
    <w:uiPriority w:val="99"/>
    <w:semiHidden/>
    <w:unhideWhenUsed/>
    <w:rsid w:val="00BF57EE"/>
    <w:pPr>
      <w:spacing w:after="120"/>
      <w:ind w:left="1415"/>
      <w:contextualSpacing/>
    </w:pPr>
  </w:style>
  <w:style w:type="paragraph" w:styleId="ListNumber5">
    <w:name w:val="List Number 5"/>
    <w:basedOn w:val="Normal"/>
    <w:uiPriority w:val="99"/>
    <w:semiHidden/>
    <w:unhideWhenUsed/>
    <w:rsid w:val="00BF57EE"/>
    <w:pPr>
      <w:numPr>
        <w:numId w:val="10"/>
      </w:numPr>
      <w:contextualSpacing/>
    </w:pPr>
  </w:style>
  <w:style w:type="paragraph" w:styleId="MacroText">
    <w:name w:val="macro"/>
    <w:link w:val="MacroTextChar"/>
    <w:uiPriority w:val="99"/>
    <w:semiHidden/>
    <w:unhideWhenUsed/>
    <w:rsid w:val="00BF57EE"/>
    <w:pPr>
      <w:tabs>
        <w:tab w:val="left" w:pos="480"/>
        <w:tab w:val="left" w:pos="960"/>
        <w:tab w:val="left" w:pos="1440"/>
        <w:tab w:val="left" w:pos="1920"/>
        <w:tab w:val="left" w:pos="2400"/>
        <w:tab w:val="left" w:pos="2880"/>
        <w:tab w:val="left" w:pos="3360"/>
        <w:tab w:val="left" w:pos="3840"/>
        <w:tab w:val="left" w:pos="4320"/>
      </w:tabs>
    </w:pPr>
    <w:rPr>
      <w:rFonts w:ascii="EC Square Sans Pro" w:hAnsi="EC Square Sans Pro" w:cs="Consolas"/>
      <w:sz w:val="20"/>
      <w:szCs w:val="20"/>
      <w:lang w:val="en-GB"/>
    </w:rPr>
  </w:style>
  <w:style w:type="character" w:customStyle="1" w:styleId="MacroTextChar">
    <w:name w:val="Macro Text Char"/>
    <w:basedOn w:val="DefaultParagraphFont"/>
    <w:link w:val="MacroText"/>
    <w:uiPriority w:val="99"/>
    <w:semiHidden/>
    <w:rsid w:val="00BF57EE"/>
    <w:rPr>
      <w:rFonts w:ascii="EC Square Sans Pro" w:hAnsi="EC Square Sans Pro" w:cs="Consolas"/>
      <w:sz w:val="20"/>
      <w:szCs w:val="20"/>
      <w:lang w:val="en-GB"/>
    </w:rPr>
  </w:style>
  <w:style w:type="paragraph" w:styleId="MessageHeader">
    <w:name w:val="Message Header"/>
    <w:basedOn w:val="Normal"/>
    <w:link w:val="MessageHeaderChar"/>
    <w:uiPriority w:val="99"/>
    <w:semiHidden/>
    <w:unhideWhenUsed/>
    <w:rsid w:val="00BF57EE"/>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BF57EE"/>
    <w:rPr>
      <w:rFonts w:ascii="EC Square Sans Pro" w:eastAsiaTheme="majorEastAsia" w:hAnsi="EC Square Sans Pro" w:cstheme="majorBidi"/>
      <w:sz w:val="24"/>
      <w:szCs w:val="24"/>
      <w:shd w:val="pct20" w:color="auto" w:fill="auto"/>
      <w:lang w:val="en-GB"/>
    </w:rPr>
  </w:style>
  <w:style w:type="paragraph" w:styleId="NoSpacing">
    <w:name w:val="No Spacing"/>
    <w:uiPriority w:val="1"/>
    <w:rsid w:val="00BF57EE"/>
    <w:rPr>
      <w:rFonts w:ascii="EC Square Sans Pro" w:hAnsi="EC Square Sans Pro" w:cs="Times New Roman"/>
      <w:sz w:val="20"/>
      <w:lang w:val="en-GB"/>
    </w:rPr>
  </w:style>
  <w:style w:type="paragraph" w:styleId="NormalIndent">
    <w:name w:val="Normal Indent"/>
    <w:basedOn w:val="Normal"/>
    <w:uiPriority w:val="99"/>
    <w:semiHidden/>
    <w:unhideWhenUsed/>
    <w:rsid w:val="00BF57EE"/>
    <w:pPr>
      <w:ind w:left="720"/>
    </w:pPr>
  </w:style>
  <w:style w:type="paragraph" w:styleId="NoteHeading">
    <w:name w:val="Note Heading"/>
    <w:basedOn w:val="Normal"/>
    <w:next w:val="Normal"/>
    <w:link w:val="NoteHeadingChar"/>
    <w:uiPriority w:val="99"/>
    <w:semiHidden/>
    <w:unhideWhenUsed/>
    <w:rsid w:val="00BF57EE"/>
  </w:style>
  <w:style w:type="character" w:customStyle="1" w:styleId="NoteHeadingChar">
    <w:name w:val="Note Heading Char"/>
    <w:basedOn w:val="DefaultParagraphFont"/>
    <w:link w:val="NoteHeading"/>
    <w:uiPriority w:val="99"/>
    <w:semiHidden/>
    <w:rsid w:val="00BF57EE"/>
    <w:rPr>
      <w:rFonts w:ascii="EC Square Sans Pro" w:hAnsi="EC Square Sans Pro" w:cs="Times New Roman"/>
      <w:sz w:val="20"/>
      <w:lang w:val="en-GB"/>
    </w:rPr>
  </w:style>
  <w:style w:type="character" w:styleId="PageNumber">
    <w:name w:val="page number"/>
    <w:basedOn w:val="DefaultParagraphFont"/>
    <w:uiPriority w:val="99"/>
    <w:semiHidden/>
    <w:unhideWhenUsed/>
    <w:rsid w:val="00BF57EE"/>
    <w:rPr>
      <w:rFonts w:ascii="EC Square Sans Pro" w:hAnsi="EC Square Sans Pro"/>
      <w:lang w:val="en-GB"/>
    </w:rPr>
  </w:style>
  <w:style w:type="character" w:styleId="PlaceholderText">
    <w:name w:val="Placeholder Text"/>
    <w:basedOn w:val="DefaultParagraphFont"/>
    <w:uiPriority w:val="99"/>
    <w:semiHidden/>
    <w:rsid w:val="00BF57EE"/>
    <w:rPr>
      <w:rFonts w:ascii="EC Square Sans Pro" w:hAnsi="EC Square Sans Pro"/>
      <w:color w:val="808080"/>
      <w:lang w:val="en-GB"/>
    </w:rPr>
  </w:style>
  <w:style w:type="paragraph" w:styleId="PlainText">
    <w:name w:val="Plain Text"/>
    <w:basedOn w:val="Normal"/>
    <w:link w:val="PlainTextChar"/>
    <w:uiPriority w:val="99"/>
    <w:semiHidden/>
    <w:unhideWhenUsed/>
    <w:rsid w:val="00BF57EE"/>
    <w:rPr>
      <w:rFonts w:cs="Consolas"/>
      <w:sz w:val="21"/>
      <w:szCs w:val="21"/>
    </w:rPr>
  </w:style>
  <w:style w:type="character" w:customStyle="1" w:styleId="PlainTextChar">
    <w:name w:val="Plain Text Char"/>
    <w:basedOn w:val="DefaultParagraphFont"/>
    <w:link w:val="PlainText"/>
    <w:uiPriority w:val="99"/>
    <w:semiHidden/>
    <w:rsid w:val="00BF57EE"/>
    <w:rPr>
      <w:rFonts w:ascii="EC Square Sans Pro" w:hAnsi="EC Square Sans Pro" w:cs="Consolas"/>
      <w:sz w:val="21"/>
      <w:szCs w:val="21"/>
      <w:lang w:val="en-GB"/>
    </w:rPr>
  </w:style>
  <w:style w:type="paragraph" w:styleId="Quote">
    <w:name w:val="Quote"/>
    <w:basedOn w:val="Normal"/>
    <w:next w:val="Normal"/>
    <w:link w:val="QuoteChar"/>
    <w:uiPriority w:val="29"/>
    <w:qFormat/>
    <w:rsid w:val="00BF57EE"/>
    <w:rPr>
      <w:i/>
      <w:iCs/>
      <w:color w:val="000000" w:themeColor="text1"/>
    </w:rPr>
  </w:style>
  <w:style w:type="character" w:customStyle="1" w:styleId="QuoteChar">
    <w:name w:val="Quote Char"/>
    <w:basedOn w:val="DefaultParagraphFont"/>
    <w:link w:val="Quote"/>
    <w:uiPriority w:val="29"/>
    <w:rsid w:val="00BF57EE"/>
    <w:rPr>
      <w:rFonts w:ascii="EC Square Sans Pro" w:hAnsi="EC Square Sans Pro" w:cs="Times New Roman"/>
      <w:i/>
      <w:iCs/>
      <w:color w:val="000000" w:themeColor="text1"/>
      <w:sz w:val="20"/>
      <w:lang w:val="en-GB"/>
    </w:rPr>
  </w:style>
  <w:style w:type="paragraph" w:styleId="Salutation">
    <w:name w:val="Salutation"/>
    <w:basedOn w:val="Normal"/>
    <w:next w:val="Normal"/>
    <w:link w:val="SalutationChar"/>
    <w:uiPriority w:val="99"/>
    <w:semiHidden/>
    <w:unhideWhenUsed/>
    <w:rsid w:val="00BF57EE"/>
  </w:style>
  <w:style w:type="character" w:customStyle="1" w:styleId="SalutationChar">
    <w:name w:val="Salutation Char"/>
    <w:basedOn w:val="DefaultParagraphFont"/>
    <w:link w:val="Salutation"/>
    <w:uiPriority w:val="99"/>
    <w:semiHidden/>
    <w:rsid w:val="00BF57EE"/>
    <w:rPr>
      <w:rFonts w:ascii="EC Square Sans Pro" w:hAnsi="EC Square Sans Pro" w:cs="Times New Roman"/>
      <w:sz w:val="20"/>
      <w:lang w:val="en-GB"/>
    </w:rPr>
  </w:style>
  <w:style w:type="paragraph" w:styleId="Signature">
    <w:name w:val="Signature"/>
    <w:basedOn w:val="Normal"/>
    <w:link w:val="SignatureChar"/>
    <w:uiPriority w:val="99"/>
    <w:semiHidden/>
    <w:unhideWhenUsed/>
    <w:rsid w:val="00BF57EE"/>
    <w:pPr>
      <w:ind w:left="4252"/>
    </w:pPr>
  </w:style>
  <w:style w:type="character" w:customStyle="1" w:styleId="SignatureChar">
    <w:name w:val="Signature Char"/>
    <w:basedOn w:val="DefaultParagraphFont"/>
    <w:link w:val="Signature"/>
    <w:uiPriority w:val="99"/>
    <w:semiHidden/>
    <w:rsid w:val="00BF57EE"/>
    <w:rPr>
      <w:rFonts w:ascii="EC Square Sans Pro" w:hAnsi="EC Square Sans Pro" w:cs="Times New Roman"/>
      <w:sz w:val="20"/>
      <w:lang w:val="en-GB"/>
    </w:rPr>
  </w:style>
  <w:style w:type="paragraph" w:styleId="Subtitle">
    <w:name w:val="Subtitle"/>
    <w:basedOn w:val="Normal"/>
    <w:next w:val="Normal"/>
    <w:link w:val="SubtitleChar"/>
    <w:uiPriority w:val="11"/>
    <w:rsid w:val="00BF57EE"/>
    <w:pPr>
      <w:numPr>
        <w:ilvl w:val="1"/>
      </w:numPr>
    </w:pPr>
    <w:rPr>
      <w:rFonts w:eastAsiaTheme="majorEastAsia" w:cstheme="majorBidi"/>
      <w:i/>
      <w:iCs/>
      <w:color w:val="65BBC8" w:themeColor="accent1"/>
      <w:spacing w:val="15"/>
      <w:sz w:val="24"/>
      <w:szCs w:val="24"/>
    </w:rPr>
  </w:style>
  <w:style w:type="character" w:customStyle="1" w:styleId="SubtitleChar">
    <w:name w:val="Subtitle Char"/>
    <w:basedOn w:val="DefaultParagraphFont"/>
    <w:link w:val="Subtitle"/>
    <w:uiPriority w:val="11"/>
    <w:rsid w:val="00BF57EE"/>
    <w:rPr>
      <w:rFonts w:ascii="EC Square Sans Pro" w:eastAsiaTheme="majorEastAsia" w:hAnsi="EC Square Sans Pro" w:cstheme="majorBidi"/>
      <w:i/>
      <w:iCs/>
      <w:color w:val="65BBC8" w:themeColor="accent1"/>
      <w:spacing w:val="15"/>
      <w:sz w:val="24"/>
      <w:szCs w:val="24"/>
      <w:lang w:val="en-GB"/>
    </w:rPr>
  </w:style>
  <w:style w:type="paragraph" w:styleId="TableofAuthorities">
    <w:name w:val="table of authorities"/>
    <w:basedOn w:val="Normal"/>
    <w:next w:val="Normal"/>
    <w:uiPriority w:val="99"/>
    <w:semiHidden/>
    <w:unhideWhenUsed/>
    <w:rsid w:val="00BF57EE"/>
    <w:pPr>
      <w:ind w:left="200" w:hanging="200"/>
    </w:pPr>
  </w:style>
  <w:style w:type="paragraph" w:styleId="TOAHeading">
    <w:name w:val="toa heading"/>
    <w:basedOn w:val="Normal"/>
    <w:next w:val="Normal"/>
    <w:uiPriority w:val="99"/>
    <w:semiHidden/>
    <w:unhideWhenUsed/>
    <w:rsid w:val="00BF57EE"/>
    <w:pPr>
      <w:spacing w:before="120"/>
    </w:pPr>
    <w:rPr>
      <w:rFonts w:eastAsiaTheme="majorEastAsia" w:cstheme="majorBidi"/>
      <w:b/>
      <w:bCs/>
      <w:sz w:val="24"/>
      <w:szCs w:val="24"/>
    </w:rPr>
  </w:style>
  <w:style w:type="paragraph" w:customStyle="1" w:styleId="placehoderfortextboxes">
    <w:name w:val="placehoder for text boxes"/>
    <w:rsid w:val="00BF57EE"/>
    <w:pPr>
      <w:spacing w:before="120" w:after="120"/>
    </w:pPr>
    <w:rPr>
      <w:rFonts w:ascii="EC Square Sans Pro" w:hAnsi="EC Square Sans Pro" w:cs="Times New Roman"/>
      <w:sz w:val="20"/>
      <w:lang w:val="en-GB"/>
    </w:rPr>
  </w:style>
  <w:style w:type="character" w:customStyle="1" w:styleId="BOLDBLUECorporate">
    <w:name w:val="BOLD BLUE / Corporate"/>
    <w:rsid w:val="00BF57EE"/>
    <w:rPr>
      <w:rFonts w:ascii="EC Square Sans Pro" w:hAnsi="EC Square Sans Pro"/>
      <w:b/>
      <w:color w:val="1F4EA2"/>
      <w:lang w:val="en-GB" w:eastAsia="fr-BE"/>
    </w:rPr>
  </w:style>
  <w:style w:type="character" w:customStyle="1" w:styleId="BOLDGREENExecutiveSummary">
    <w:name w:val="BOLD GREEN / Executive Summary"/>
    <w:rsid w:val="007368ED"/>
    <w:rPr>
      <w:rFonts w:ascii="EC Square Sans Pro" w:hAnsi="EC Square Sans Pro"/>
      <w:b/>
      <w:color w:val="08AA74"/>
      <w:lang w:val="en-GB" w:eastAsia="fr-BE"/>
    </w:rPr>
  </w:style>
  <w:style w:type="paragraph" w:customStyle="1" w:styleId="BodyText1spaceafter">
    <w:name w:val="Body Text 1 (space after)"/>
    <w:basedOn w:val="BodyText1"/>
    <w:next w:val="BodyText1"/>
    <w:rsid w:val="00BF57EE"/>
    <w:pPr>
      <w:spacing w:after="240"/>
    </w:pPr>
    <w:rPr>
      <w:rFonts w:eastAsia="Calibri"/>
      <w:lang w:val="en-GB"/>
    </w:rPr>
  </w:style>
  <w:style w:type="paragraph" w:customStyle="1" w:styleId="BodyText1spacebefore">
    <w:name w:val="Body Text 1 (space before)"/>
    <w:basedOn w:val="BodyText1"/>
    <w:rsid w:val="00BF57EE"/>
    <w:pPr>
      <w:spacing w:before="240"/>
    </w:pPr>
    <w:rPr>
      <w:rFonts w:eastAsia="Calibri"/>
      <w:lang w:val="en-GB"/>
    </w:rPr>
  </w:style>
  <w:style w:type="paragraph" w:customStyle="1" w:styleId="BodyText1spacebeforeandafter">
    <w:name w:val="Body Text 1 (space before and after)"/>
    <w:basedOn w:val="BodyText1"/>
    <w:rsid w:val="00BF57EE"/>
    <w:pPr>
      <w:spacing w:before="240" w:after="240"/>
    </w:pPr>
    <w:rPr>
      <w:rFonts w:eastAsia="Calibri"/>
      <w:lang w:val="en-GB"/>
    </w:rPr>
  </w:style>
  <w:style w:type="paragraph" w:customStyle="1" w:styleId="Box2BulletsBlueReport">
    <w:name w:val="Box 2 Bullets Blue / Report"/>
    <w:basedOn w:val="BOX2Blue"/>
    <w:rsid w:val="00BF57EE"/>
    <w:pPr>
      <w:ind w:left="501" w:hanging="360"/>
    </w:pPr>
  </w:style>
  <w:style w:type="paragraph" w:customStyle="1" w:styleId="Title1Corporate-NoTOC">
    <w:name w:val="Title 1 / Corporate - No TOC"/>
    <w:basedOn w:val="Title1Corporate"/>
    <w:next w:val="BodyText1spaceafter"/>
    <w:rsid w:val="00BF57EE"/>
  </w:style>
  <w:style w:type="paragraph" w:customStyle="1" w:styleId="Title3Report-Numbered">
    <w:name w:val="Title 3 / Report - Numbered"/>
    <w:basedOn w:val="Title3Report"/>
    <w:next w:val="BodyText1spaceafter"/>
    <w:rsid w:val="00B140AF"/>
    <w:pPr>
      <w:ind w:left="786" w:hanging="360"/>
    </w:pPr>
  </w:style>
  <w:style w:type="paragraph" w:customStyle="1" w:styleId="BOX2BlueBullet">
    <w:name w:val="BOX 2 / Blue Bullet"/>
    <w:basedOn w:val="BOX2Blue"/>
    <w:rsid w:val="008F70D2"/>
    <w:pPr>
      <w:framePr w:hSpace="170" w:wrap="around" w:vAnchor="text" w:hAnchor="text" w:y="1"/>
      <w:numPr>
        <w:numId w:val="11"/>
      </w:numPr>
      <w:pBdr>
        <w:top w:val="single" w:sz="8" w:space="1" w:color="E5F6FA" w:themeColor="accent2" w:themeTint="33"/>
        <w:left w:val="single" w:sz="8" w:space="4" w:color="E5F6FA" w:themeColor="accent2" w:themeTint="33"/>
        <w:bottom w:val="single" w:sz="8" w:space="1" w:color="E5F6FA" w:themeColor="accent2" w:themeTint="33"/>
        <w:right w:val="single" w:sz="8" w:space="4" w:color="E5F6FA" w:themeColor="accent2" w:themeTint="33"/>
      </w:pBdr>
      <w:spacing w:after="120"/>
      <w:contextualSpacing/>
    </w:pPr>
    <w:rPr>
      <w:rFonts w:eastAsia="EC Square Sans Pro"/>
      <w:noProof w:val="0"/>
      <w:szCs w:val="20"/>
    </w:rPr>
  </w:style>
  <w:style w:type="paragraph" w:customStyle="1" w:styleId="BodyText10">
    <w:name w:val="Body Text1"/>
    <w:basedOn w:val="Normal"/>
    <w:autoRedefine/>
    <w:qFormat/>
    <w:rsid w:val="008F4173"/>
    <w:pPr>
      <w:jc w:val="both"/>
    </w:pPr>
    <w:rPr>
      <w:rFonts w:eastAsia="Calibri"/>
      <w:noProof/>
      <w:lang w:val="en-IE" w:eastAsia="fr-BE"/>
    </w:rPr>
  </w:style>
  <w:style w:type="character" w:customStyle="1" w:styleId="BodytextChar0">
    <w:name w:val="Body text Char"/>
    <w:basedOn w:val="DefaultParagraphFont"/>
    <w:rsid w:val="00E739D9"/>
    <w:rPr>
      <w:rFonts w:ascii="EC Square Sans Pro" w:eastAsia="Calibri" w:hAnsi="EC Square Sans Pro" w:cs="Times New Roman"/>
      <w:noProof/>
      <w:sz w:val="20"/>
      <w:lang w:val="en-IE" w:eastAsia="fr-BE"/>
    </w:rPr>
  </w:style>
  <w:style w:type="character" w:customStyle="1" w:styleId="fnRef">
    <w:name w:val="fnRef"/>
    <w:uiPriority w:val="1"/>
    <w:rsid w:val="0063545B"/>
    <w:rPr>
      <w:rFonts w:ascii="EC Square Sans Pro" w:hAnsi="EC Square Sans Pro"/>
      <w:b w:val="0"/>
      <w:i w:val="0"/>
      <w:bdr w:val="none" w:sz="0" w:space="0" w:color="auto"/>
      <w:shd w:val="clear" w:color="auto" w:fill="auto"/>
      <w:vertAlign w:val="baseline"/>
    </w:rPr>
  </w:style>
  <w:style w:type="character" w:customStyle="1" w:styleId="fnRefNo">
    <w:name w:val="fnRefNo"/>
    <w:uiPriority w:val="1"/>
    <w:qFormat/>
    <w:rsid w:val="0063545B"/>
    <w:rPr>
      <w:rFonts w:ascii="EC Square Sans Pro" w:hAnsi="EC Square Sans Pro"/>
      <w:b w:val="0"/>
      <w:i w:val="0"/>
      <w:bdr w:val="none" w:sz="0" w:space="0" w:color="auto"/>
      <w:shd w:val="clear" w:color="auto" w:fill="auto"/>
      <w:vertAlign w:val="superscript"/>
    </w:rPr>
  </w:style>
  <w:style w:type="paragraph" w:customStyle="1" w:styleId="SubtitleGreenExecutiveSummary">
    <w:name w:val="Subtitle Green / Executive Summary"/>
    <w:next w:val="BodyText1spaceafter"/>
    <w:rsid w:val="003B50B8"/>
    <w:pPr>
      <w:keepNext/>
      <w:keepLines/>
      <w:spacing w:before="720" w:after="240"/>
      <w:ind w:left="357"/>
    </w:pPr>
    <w:rPr>
      <w:rFonts w:ascii="EC Square Sans Pro" w:hAnsi="EC Square Sans Pro" w:cs="Times New Roman"/>
      <w:b/>
      <w:color w:val="08AA74"/>
      <w:sz w:val="24"/>
      <w:lang w:val="en-GB" w:eastAsia="zh-CN"/>
    </w:rPr>
  </w:style>
  <w:style w:type="paragraph" w:customStyle="1" w:styleId="SubtitleLightBlueReport">
    <w:name w:val="Subtitle Light Blue /  Report"/>
    <w:rsid w:val="006E685E"/>
    <w:pPr>
      <w:spacing w:before="240"/>
    </w:pPr>
    <w:rPr>
      <w:rFonts w:ascii="EC Square Sans Pro" w:hAnsi="EC Square Sans Pro" w:cs="Times New Roman"/>
      <w:b/>
      <w:color w:val="65BBC8"/>
      <w:sz w:val="20"/>
      <w:lang w:val="en-GB" w:eastAsia="zh-CN"/>
    </w:rPr>
  </w:style>
  <w:style w:type="paragraph" w:customStyle="1" w:styleId="SubtitleOrangeAnnex">
    <w:name w:val="Subtitle Orange / Annex"/>
    <w:basedOn w:val="SubtitleLightBlueReport"/>
    <w:rsid w:val="00325BB1"/>
    <w:rPr>
      <w:color w:val="E48C32"/>
    </w:rPr>
  </w:style>
  <w:style w:type="character" w:customStyle="1" w:styleId="BOLDLIGHTBLUEReport">
    <w:name w:val="BOLD LIGHT BLUE / Report"/>
    <w:basedOn w:val="DefaultParagraphFont"/>
    <w:rsid w:val="00343566"/>
    <w:rPr>
      <w:rFonts w:ascii="EC Square Sans Pro" w:eastAsia="Times New Roman" w:hAnsi="EC Square Sans Pro"/>
      <w:b/>
      <w:noProof/>
      <w:color w:val="65BBC8"/>
      <w:szCs w:val="20"/>
      <w:lang w:val="en-GB" w:eastAsia="en-GB"/>
    </w:rPr>
  </w:style>
  <w:style w:type="paragraph" w:customStyle="1" w:styleId="BOXE2GREENtabletext">
    <w:name w:val="BOXE 2 / GREEN table text"/>
    <w:rsid w:val="00FE3BB0"/>
    <w:pPr>
      <w:spacing w:line="288" w:lineRule="auto"/>
      <w:ind w:left="113" w:right="113"/>
    </w:pPr>
    <w:rPr>
      <w:rFonts w:ascii="EC Square Sans Pro" w:hAnsi="EC Square Sans Pro" w:cs="Times New Roman"/>
      <w:noProof/>
      <w:sz w:val="20"/>
      <w:lang w:val="en-IE" w:eastAsia="fr-BE"/>
    </w:rPr>
  </w:style>
  <w:style w:type="paragraph" w:customStyle="1" w:styleId="QuoteReportRef">
    <w:name w:val="Quote Report Ref"/>
    <w:basedOn w:val="QuoteReport"/>
    <w:rsid w:val="005B08A8"/>
    <w:pPr>
      <w:jc w:val="right"/>
    </w:pPr>
    <w:rPr>
      <w:i w:val="0"/>
      <w:sz w:val="16"/>
      <w:szCs w:val="16"/>
    </w:rPr>
  </w:style>
  <w:style w:type="paragraph" w:customStyle="1" w:styleId="Title3NumberedReport">
    <w:name w:val="Title 3 Numbered / Report"/>
    <w:basedOn w:val="Title3NumberedExecutivesummary"/>
    <w:link w:val="Title3NumberedReportChar"/>
    <w:qFormat/>
    <w:rsid w:val="007C3099"/>
    <w:pPr>
      <w:keepNext/>
      <w:keepLines/>
      <w:spacing w:before="360"/>
      <w:ind w:left="357" w:firstLine="0"/>
    </w:pPr>
    <w:rPr>
      <w:color w:val="65BBC8"/>
    </w:rPr>
  </w:style>
  <w:style w:type="character" w:customStyle="1" w:styleId="Title3NumberedReportChar">
    <w:name w:val="Title 3 Numbered / Report Char"/>
    <w:basedOn w:val="Title3NumberedExecutivesummaryChar"/>
    <w:link w:val="Title3NumberedReport"/>
    <w:rsid w:val="007C3099"/>
    <w:rPr>
      <w:rFonts w:ascii="EC Square Sans Pro" w:hAnsi="EC Square Sans Pro" w:cs="Times New Roman"/>
      <w:b/>
      <w:color w:val="65BBC8"/>
      <w:sz w:val="24"/>
      <w:lang w:val="en-GB" w:eastAsia="zh-CN"/>
    </w:rPr>
  </w:style>
  <w:style w:type="paragraph" w:customStyle="1" w:styleId="Title3NumberedAnnexes">
    <w:name w:val="Title 3 Numbered / Annexes"/>
    <w:basedOn w:val="ListParagraph"/>
    <w:link w:val="Title3NumberedAnnexesChar"/>
    <w:qFormat/>
    <w:rsid w:val="00A009DC"/>
    <w:pPr>
      <w:numPr>
        <w:numId w:val="20"/>
      </w:numPr>
      <w:spacing w:line="360" w:lineRule="auto"/>
    </w:pPr>
    <w:rPr>
      <w:b/>
      <w:color w:val="E48C32"/>
      <w:sz w:val="24"/>
    </w:rPr>
  </w:style>
  <w:style w:type="character" w:customStyle="1" w:styleId="Title3NumberedAnnexesChar">
    <w:name w:val="Title 3 Numbered / Annexes Char"/>
    <w:basedOn w:val="DefaultParagraphFont"/>
    <w:link w:val="Title3NumberedAnnexes"/>
    <w:rsid w:val="00A009DC"/>
    <w:rPr>
      <w:rFonts w:ascii="EC Square Sans Pro" w:eastAsia="Calibri" w:hAnsi="EC Square Sans Pro" w:cs="Times New Roman"/>
      <w:b/>
      <w:color w:val="E48C32"/>
      <w:sz w:val="24"/>
      <w:szCs w:val="20"/>
      <w:lang w:val="en-GB" w:eastAsia="zh-CN"/>
    </w:rPr>
  </w:style>
  <w:style w:type="paragraph" w:customStyle="1" w:styleId="Title3NumberedExecutivesummary">
    <w:name w:val="Title 3 Numbered / Executive summary"/>
    <w:basedOn w:val="Normal"/>
    <w:link w:val="Title3NumberedExecutivesummaryChar"/>
    <w:qFormat/>
    <w:rsid w:val="00A009DC"/>
    <w:pPr>
      <w:spacing w:before="240" w:after="240"/>
      <w:ind w:left="720" w:hanging="360"/>
      <w:outlineLvl w:val="2"/>
    </w:pPr>
    <w:rPr>
      <w:b/>
      <w:color w:val="08AA74" w:themeColor="accent3"/>
      <w:sz w:val="24"/>
      <w:lang w:eastAsia="zh-CN"/>
    </w:rPr>
  </w:style>
  <w:style w:type="character" w:customStyle="1" w:styleId="Title3NumberedExecutivesummaryChar">
    <w:name w:val="Title 3 Numbered / Executive summary Char"/>
    <w:basedOn w:val="DefaultParagraphFont"/>
    <w:link w:val="Title3NumberedExecutivesummary"/>
    <w:rsid w:val="00A009DC"/>
    <w:rPr>
      <w:rFonts w:ascii="EC Square Sans Pro" w:hAnsi="EC Square Sans Pro" w:cs="Times New Roman"/>
      <w:b/>
      <w:color w:val="08AA74" w:themeColor="accent3"/>
      <w:sz w:val="24"/>
      <w:lang w:val="en-GB" w:eastAsia="zh-CN"/>
    </w:rPr>
  </w:style>
  <w:style w:type="paragraph" w:customStyle="1" w:styleId="LegalNumPar">
    <w:name w:val="LegalNumPar"/>
    <w:basedOn w:val="Normal"/>
    <w:rsid w:val="008331F6"/>
    <w:pPr>
      <w:spacing w:line="360" w:lineRule="auto"/>
      <w:ind w:left="476" w:hanging="476"/>
    </w:pPr>
    <w:rPr>
      <w:sz w:val="24"/>
    </w:rPr>
  </w:style>
  <w:style w:type="paragraph" w:customStyle="1" w:styleId="LegalNumPar2">
    <w:name w:val="LegalNumPar2"/>
    <w:basedOn w:val="Normal"/>
    <w:rsid w:val="008331F6"/>
    <w:pPr>
      <w:spacing w:line="360" w:lineRule="auto"/>
      <w:ind w:left="953" w:hanging="477"/>
    </w:pPr>
    <w:rPr>
      <w:sz w:val="24"/>
    </w:rPr>
  </w:style>
  <w:style w:type="paragraph" w:customStyle="1" w:styleId="LegalNumPar3">
    <w:name w:val="LegalNumPar3"/>
    <w:basedOn w:val="Normal"/>
    <w:rsid w:val="008331F6"/>
    <w:pPr>
      <w:spacing w:line="360" w:lineRule="auto"/>
      <w:ind w:left="1429" w:hanging="476"/>
    </w:pPr>
    <w:rPr>
      <w:sz w:val="24"/>
    </w:rPr>
  </w:style>
  <w:style w:type="paragraph" w:customStyle="1" w:styleId="Pa5">
    <w:name w:val="Pa5"/>
    <w:basedOn w:val="Default"/>
    <w:next w:val="Default"/>
    <w:uiPriority w:val="99"/>
    <w:rsid w:val="008331F6"/>
    <w:pPr>
      <w:spacing w:after="0" w:line="201" w:lineRule="atLeast"/>
    </w:pPr>
    <w:rPr>
      <w:rFonts w:cstheme="minorBidi"/>
      <w:color w:val="auto"/>
    </w:rPr>
  </w:style>
  <w:style w:type="character" w:customStyle="1" w:styleId="A0">
    <w:name w:val="A0"/>
    <w:uiPriority w:val="99"/>
    <w:rsid w:val="008331F6"/>
    <w:rPr>
      <w:rFonts w:ascii="EC Square Sans Pro" w:hAnsi="EC Square Sans Pro" w:cs="EC Square Sans Pro"/>
      <w:color w:val="000000"/>
      <w:sz w:val="38"/>
      <w:szCs w:val="38"/>
      <w:lang w:val="en-GB"/>
    </w:rPr>
  </w:style>
  <w:style w:type="paragraph" w:customStyle="1" w:styleId="BOX1ORANGE">
    <w:name w:val="BOX 1/ ORANGE"/>
    <w:basedOn w:val="BOXE1GREEN"/>
    <w:link w:val="BOX1ORANGEChar"/>
    <w:qFormat/>
    <w:rsid w:val="008331F6"/>
    <w:pPr>
      <w:pBdr>
        <w:top w:val="single" w:sz="12" w:space="1" w:color="E48C32" w:themeColor="accent5"/>
        <w:left w:val="single" w:sz="12" w:space="4" w:color="E48C32" w:themeColor="accent5"/>
        <w:bottom w:val="single" w:sz="12" w:space="1" w:color="E48C32" w:themeColor="accent5"/>
        <w:right w:val="single" w:sz="12" w:space="4" w:color="E48C32" w:themeColor="accent5"/>
      </w:pBdr>
    </w:pPr>
    <w:rPr>
      <w:color w:val="E48C32" w:themeColor="accent5"/>
      <w:lang w:val="en-GB"/>
    </w:rPr>
  </w:style>
  <w:style w:type="paragraph" w:customStyle="1" w:styleId="Title4Numberedannexes">
    <w:name w:val="Title 4 Numbered / annexes"/>
    <w:basedOn w:val="ListParagraph"/>
    <w:rsid w:val="008331F6"/>
    <w:pPr>
      <w:spacing w:line="360" w:lineRule="auto"/>
      <w:ind w:left="1440" w:hanging="360"/>
    </w:pPr>
    <w:rPr>
      <w:color w:val="E48C32"/>
      <w:sz w:val="22"/>
    </w:rPr>
  </w:style>
  <w:style w:type="paragraph" w:customStyle="1" w:styleId="Title4NumberedExecutivesummary">
    <w:name w:val="Title 4 Numbered / Executive summary"/>
    <w:basedOn w:val="BodyText1"/>
    <w:link w:val="Title4NumberedExecutivesummaryChar"/>
    <w:qFormat/>
    <w:rsid w:val="008331F6"/>
    <w:pPr>
      <w:spacing w:line="360" w:lineRule="auto"/>
      <w:ind w:left="1440" w:hanging="360"/>
      <w:jc w:val="left"/>
    </w:pPr>
    <w:rPr>
      <w:color w:val="08AA74" w:themeColor="accent3"/>
      <w:sz w:val="18"/>
      <w:szCs w:val="28"/>
      <w:lang w:val="en-GB" w:eastAsia="zh-CN"/>
    </w:rPr>
  </w:style>
  <w:style w:type="character" w:customStyle="1" w:styleId="Title4NumberedExecutivesummaryChar">
    <w:name w:val="Title 4 Numbered / Executive summary Char"/>
    <w:basedOn w:val="ForewordbodytextChar"/>
    <w:link w:val="Title4NumberedExecutivesummary"/>
    <w:rsid w:val="008331F6"/>
    <w:rPr>
      <w:rFonts w:ascii="EC Square Sans Pro" w:hAnsi="EC Square Sans Pro" w:cs="Times New Roman"/>
      <w:noProof/>
      <w:color w:val="08AA74" w:themeColor="accent3"/>
      <w:sz w:val="18"/>
      <w:szCs w:val="28"/>
      <w:lang w:val="en-GB" w:eastAsia="zh-CN"/>
    </w:rPr>
  </w:style>
  <w:style w:type="paragraph" w:customStyle="1" w:styleId="Title4NumberedBlue">
    <w:name w:val="Title 4 Numbered / Blue"/>
    <w:basedOn w:val="Title4NumberedExecutivesummary"/>
    <w:link w:val="Title4NumberedBlueChar"/>
    <w:qFormat/>
    <w:rsid w:val="008331F6"/>
    <w:rPr>
      <w:color w:val="65BBC8" w:themeColor="accent1"/>
    </w:rPr>
  </w:style>
  <w:style w:type="character" w:customStyle="1" w:styleId="Title4NumberedBlueChar">
    <w:name w:val="Title 4 Numbered / Blue Char"/>
    <w:basedOn w:val="Title4NumberedExecutivesummaryChar"/>
    <w:link w:val="Title4NumberedBlue"/>
    <w:rsid w:val="008331F6"/>
    <w:rPr>
      <w:rFonts w:ascii="EC Square Sans Pro" w:hAnsi="EC Square Sans Pro" w:cs="Times New Roman"/>
      <w:noProof/>
      <w:color w:val="65BBC8" w:themeColor="accent1"/>
      <w:sz w:val="18"/>
      <w:szCs w:val="28"/>
      <w:lang w:val="en-GB" w:eastAsia="zh-CN"/>
    </w:rPr>
  </w:style>
  <w:style w:type="character" w:customStyle="1" w:styleId="BOX1ORANGEChar">
    <w:name w:val="BOX 1/ ORANGE Char"/>
    <w:basedOn w:val="BOXE1GREENChar"/>
    <w:link w:val="BOX1ORANGE"/>
    <w:rsid w:val="008331F6"/>
    <w:rPr>
      <w:rFonts w:ascii="EC Square Sans Pro" w:hAnsi="EC Square Sans Pro" w:cs="Times New Roman"/>
      <w:b/>
      <w:noProof/>
      <w:color w:val="E48C32" w:themeColor="accent5"/>
      <w:sz w:val="20"/>
      <w:lang w:val="en-GB" w:eastAsia="fr-BE"/>
    </w:rPr>
  </w:style>
  <w:style w:type="paragraph" w:customStyle="1" w:styleId="BOX2Blue0">
    <w:name w:val="BOX 2 / Blue"/>
    <w:basedOn w:val="BOXE2GREEN"/>
    <w:link w:val="BOX2BlueChar0"/>
    <w:qFormat/>
    <w:rsid w:val="009610DB"/>
    <w:pPr>
      <w:pBdr>
        <w:top w:val="single" w:sz="4" w:space="4" w:color="E5F6FA"/>
        <w:left w:val="single" w:sz="4" w:space="4" w:color="E5F6FA"/>
        <w:bottom w:val="single" w:sz="4" w:space="4" w:color="E5F6FA"/>
        <w:right w:val="single" w:sz="4" w:space="4" w:color="E5F6FA"/>
      </w:pBdr>
      <w:shd w:val="clear" w:color="auto" w:fill="E5F6FA" w:themeFill="accent2" w:themeFillTint="33"/>
    </w:pPr>
    <w:rPr>
      <w:lang w:val="en-GB"/>
    </w:rPr>
  </w:style>
  <w:style w:type="character" w:customStyle="1" w:styleId="BOX2BlueChar0">
    <w:name w:val="BOX 2 / Blue Char"/>
    <w:basedOn w:val="BOXE2GREENChar"/>
    <w:link w:val="BOX2Blue0"/>
    <w:rsid w:val="009610DB"/>
    <w:rPr>
      <w:rFonts w:ascii="EC Square Sans Pro" w:hAnsi="EC Square Sans Pro" w:cs="Times New Roman"/>
      <w:noProof/>
      <w:color w:val="000000" w:themeColor="text1"/>
      <w:sz w:val="20"/>
      <w:shd w:val="clear" w:color="auto" w:fill="E5F6FA" w:themeFill="accent2" w:themeFillTint="33"/>
      <w:lang w:val="en-GB" w:eastAsia="fr-BE"/>
    </w:rPr>
  </w:style>
  <w:style w:type="paragraph" w:customStyle="1" w:styleId="Box2Orange">
    <w:name w:val="Box 2 / Orange"/>
    <w:basedOn w:val="BOX2Blue0"/>
    <w:rsid w:val="008331F6"/>
    <w:pPr>
      <w:pBdr>
        <w:top w:val="single" w:sz="4" w:space="4" w:color="FBF3E0" w:themeColor="accent6" w:themeTint="33"/>
        <w:left w:val="single" w:sz="4" w:space="4" w:color="FBF3E0" w:themeColor="accent6" w:themeTint="33"/>
        <w:bottom w:val="single" w:sz="4" w:space="0" w:color="FBF3E0" w:themeColor="accent6" w:themeTint="33"/>
        <w:right w:val="single" w:sz="4" w:space="4" w:color="FBF3E0" w:themeColor="accent6" w:themeTint="33"/>
      </w:pBdr>
      <w:shd w:val="clear" w:color="auto" w:fill="FCEDD2"/>
    </w:pPr>
  </w:style>
  <w:style w:type="paragraph" w:customStyle="1" w:styleId="Box2Orangex">
    <w:name w:val="Box 2 / Orange x"/>
    <w:basedOn w:val="Normal"/>
    <w:link w:val="Box2OrangexChar"/>
    <w:qFormat/>
    <w:rsid w:val="008331F6"/>
    <w:rPr>
      <w:rFonts w:eastAsia="Calibri"/>
      <w:noProof/>
      <w:color w:val="000000" w:themeColor="text1"/>
      <w:shd w:val="clear" w:color="auto" w:fill="F4D0AC" w:themeFill="accent5" w:themeFillTint="66"/>
      <w:lang w:eastAsia="fr-BE"/>
    </w:rPr>
  </w:style>
  <w:style w:type="character" w:customStyle="1" w:styleId="Box2OrangexChar">
    <w:name w:val="Box 2 / Orange x Char"/>
    <w:basedOn w:val="BodyTextChar"/>
    <w:link w:val="Box2Orangex"/>
    <w:rsid w:val="008331F6"/>
    <w:rPr>
      <w:rFonts w:ascii="EC Square Sans Pro" w:eastAsia="Calibri" w:hAnsi="EC Square Sans Pro" w:cs="Times New Roman"/>
      <w:noProof/>
      <w:color w:val="000000" w:themeColor="text1"/>
      <w:sz w:val="20"/>
      <w:lang w:val="en-GB" w:eastAsia="fr-BE"/>
    </w:rPr>
  </w:style>
  <w:style w:type="paragraph" w:customStyle="1" w:styleId="BOX3Blue-Tabletext">
    <w:name w:val="BOX 3 / Blue - Table text"/>
    <w:basedOn w:val="BodyText1"/>
    <w:rsid w:val="008331F6"/>
    <w:rPr>
      <w:rFonts w:eastAsia="Calibri"/>
      <w:color w:val="65BBC8"/>
    </w:rPr>
  </w:style>
  <w:style w:type="paragraph" w:customStyle="1" w:styleId="BOX3Orange">
    <w:name w:val="BOX 3 / Orange"/>
    <w:basedOn w:val="BOX3Blue"/>
    <w:link w:val="BOX3OrangeChar"/>
    <w:qFormat/>
    <w:rsid w:val="008331F6"/>
    <w:pPr>
      <w:pBdr>
        <w:top w:val="dashSmallGap" w:sz="12" w:space="1" w:color="E48C32" w:themeColor="accent5"/>
        <w:left w:val="dashSmallGap" w:sz="12" w:space="4" w:color="E48C32" w:themeColor="accent5"/>
        <w:bottom w:val="dashSmallGap" w:sz="12" w:space="1" w:color="E48C32" w:themeColor="accent5"/>
        <w:right w:val="dashSmallGap" w:sz="12" w:space="4" w:color="E48C32" w:themeColor="accent5"/>
      </w:pBdr>
      <w:spacing w:after="0"/>
    </w:pPr>
    <w:rPr>
      <w:color w:val="000000" w:themeColor="text1"/>
    </w:rPr>
  </w:style>
  <w:style w:type="character" w:customStyle="1" w:styleId="BOX3OrangeChar">
    <w:name w:val="BOX 3 / Orange Char"/>
    <w:basedOn w:val="BOX3BlueChar"/>
    <w:link w:val="BOX3Orange"/>
    <w:rsid w:val="008331F6"/>
    <w:rPr>
      <w:rFonts w:ascii="EC Square Sans Pro" w:hAnsi="EC Square Sans Pro" w:cs="Times New Roman"/>
      <w:b/>
      <w:noProof/>
      <w:color w:val="000000" w:themeColor="text1"/>
      <w:sz w:val="20"/>
      <w:lang w:val="en-GB" w:eastAsia="fr-BE"/>
    </w:rPr>
  </w:style>
  <w:style w:type="paragraph" w:customStyle="1" w:styleId="BOX3Orange-Tabletext">
    <w:name w:val="BOX 3 / Orange - Table text"/>
    <w:basedOn w:val="BodyText1"/>
    <w:rsid w:val="008331F6"/>
    <w:rPr>
      <w:rFonts w:eastAsia="Calibri"/>
      <w:color w:val="E48C32"/>
    </w:rPr>
  </w:style>
  <w:style w:type="paragraph" w:customStyle="1" w:styleId="BulletsblueNew">
    <w:name w:val="Bullets blue New"/>
    <w:basedOn w:val="Bulletsgreen"/>
    <w:rsid w:val="00465184"/>
    <w:pPr>
      <w:numPr>
        <w:numId w:val="89"/>
      </w:numPr>
      <w:spacing w:after="60"/>
      <w:ind w:left="714" w:hanging="357"/>
    </w:pPr>
    <w:rPr>
      <w:rFonts w:eastAsia="Calibri"/>
      <w:lang w:val="en-GB"/>
    </w:rPr>
  </w:style>
  <w:style w:type="character" w:customStyle="1" w:styleId="ilfuvd">
    <w:name w:val="ilfuvd"/>
    <w:basedOn w:val="DefaultParagraphFont"/>
    <w:rsid w:val="008331F6"/>
  </w:style>
  <w:style w:type="character" w:customStyle="1" w:styleId="s1">
    <w:name w:val="s1"/>
    <w:basedOn w:val="DefaultParagraphFont"/>
    <w:rsid w:val="008331F6"/>
    <w:rPr>
      <w:rFonts w:ascii=".SFUIText" w:hAnsi=".SFUIText" w:hint="default"/>
      <w:b w:val="0"/>
      <w:bCs w:val="0"/>
      <w:i w:val="0"/>
      <w:iCs w:val="0"/>
      <w:sz w:val="34"/>
      <w:szCs w:val="34"/>
    </w:rPr>
  </w:style>
  <w:style w:type="paragraph" w:customStyle="1" w:styleId="bulletsblue-consecutive">
    <w:name w:val="bullets blue - consecutive"/>
    <w:basedOn w:val="bulletsblue"/>
    <w:rsid w:val="004916FF"/>
    <w:pPr>
      <w:numPr>
        <w:numId w:val="0"/>
      </w:numPr>
      <w:ind w:left="1077"/>
    </w:pPr>
  </w:style>
  <w:style w:type="character" w:customStyle="1" w:styleId="BOLDUnderlinedLIGHTBLUEReport">
    <w:name w:val="BOLD Underlined  LIGHT BLUE / Report"/>
    <w:basedOn w:val="BOLDLIGHTBLUEReport"/>
    <w:uiPriority w:val="1"/>
    <w:rsid w:val="00FC5564"/>
    <w:rPr>
      <w:rFonts w:ascii="EC Square Sans Pro" w:eastAsia="Times New Roman" w:hAnsi="EC Square Sans Pro"/>
      <w:b/>
      <w:noProof/>
      <w:color w:val="65BBC8"/>
      <w:szCs w:val="20"/>
      <w:u w:val="single"/>
      <w:lang w:val="en-GB" w:eastAsia="en-GB"/>
    </w:rPr>
  </w:style>
  <w:style w:type="paragraph" w:customStyle="1" w:styleId="bulletsblue-consecutivespaceafter">
    <w:name w:val="bullets blue - consecutive (space after)"/>
    <w:basedOn w:val="bulletsblue-consecutive"/>
    <w:rsid w:val="00FC5564"/>
    <w:pPr>
      <w:spacing w:after="120"/>
    </w:pPr>
  </w:style>
  <w:style w:type="paragraph" w:customStyle="1" w:styleId="bulletsblue-spaceafter">
    <w:name w:val="bullets blue - (space after)"/>
    <w:basedOn w:val="bulletsblue"/>
    <w:rsid w:val="00FC5564"/>
    <w:pPr>
      <w:tabs>
        <w:tab w:val="num" w:pos="1492"/>
      </w:tabs>
      <w:spacing w:after="120"/>
      <w:ind w:left="1492"/>
    </w:pPr>
  </w:style>
  <w:style w:type="character" w:customStyle="1" w:styleId="Corpsdutexte4">
    <w:name w:val="Corps du texte (4)_"/>
    <w:link w:val="Corpsdutexte40"/>
    <w:uiPriority w:val="99"/>
    <w:locked/>
    <w:rsid w:val="00FC5564"/>
    <w:rPr>
      <w:sz w:val="19"/>
      <w:szCs w:val="19"/>
      <w:shd w:val="clear" w:color="auto" w:fill="FFFFFF"/>
    </w:rPr>
  </w:style>
  <w:style w:type="paragraph" w:customStyle="1" w:styleId="Corpsdutexte40">
    <w:name w:val="Corps du texte (4)"/>
    <w:basedOn w:val="Normal"/>
    <w:link w:val="Corpsdutexte4"/>
    <w:uiPriority w:val="99"/>
    <w:rsid w:val="00FC5564"/>
    <w:pPr>
      <w:widowControl w:val="0"/>
      <w:shd w:val="clear" w:color="auto" w:fill="FFFFFF"/>
      <w:spacing w:before="480" w:line="226" w:lineRule="exact"/>
      <w:jc w:val="both"/>
    </w:pPr>
    <w:rPr>
      <w:rFonts w:asciiTheme="minorHAnsi" w:hAnsiTheme="minorHAnsi" w:cstheme="minorBidi"/>
      <w:sz w:val="19"/>
      <w:szCs w:val="19"/>
      <w:lang w:val="fr-BE"/>
    </w:rPr>
  </w:style>
  <w:style w:type="paragraph" w:customStyle="1" w:styleId="BasicParagraph">
    <w:name w:val="[Basic Paragraph]"/>
    <w:basedOn w:val="Normal"/>
    <w:uiPriority w:val="99"/>
    <w:rsid w:val="00FC5564"/>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NoParagraphStyle">
    <w:name w:val="[No Paragraph Style]"/>
    <w:rsid w:val="00FC5564"/>
    <w:pPr>
      <w:autoSpaceDE w:val="0"/>
      <w:autoSpaceDN w:val="0"/>
      <w:adjustRightInd w:val="0"/>
      <w:spacing w:line="288" w:lineRule="auto"/>
      <w:textAlignment w:val="center"/>
    </w:pPr>
    <w:rPr>
      <w:rFonts w:ascii="EC Square Sans Pro" w:hAnsi="EC Square Sans Pro"/>
      <w:color w:val="000000"/>
      <w:sz w:val="24"/>
      <w:szCs w:val="24"/>
      <w:lang w:val="en-US"/>
    </w:rPr>
  </w:style>
  <w:style w:type="table" w:customStyle="1" w:styleId="Simpletable1">
    <w:name w:val="Simple table1"/>
    <w:basedOn w:val="TableNormal"/>
    <w:next w:val="TableGrid"/>
    <w:uiPriority w:val="59"/>
    <w:rsid w:val="008D79FB"/>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rsid w:val="0069271A"/>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C24A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922E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52EF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rsid w:val="00D4159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rsid w:val="008130C6"/>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rsid w:val="007602D8"/>
    <w:pPr>
      <w:pBdr>
        <w:top w:val="dashSmallGap" w:sz="12" w:space="1" w:color="65BBC8"/>
        <w:left w:val="dashSmallGap" w:sz="12" w:space="4" w:color="65BBC8"/>
        <w:bottom w:val="dashSmallGap" w:sz="12" w:space="1" w:color="65BBC8"/>
        <w:right w:val="dashSmallGap" w:sz="12" w:space="4" w:color="65BBC8"/>
      </w:pBdr>
      <w:spacing w:after="120"/>
      <w:jc w:val="both"/>
    </w:pPr>
    <w:rPr>
      <w:rFonts w:ascii="EC Square Sans Pro" w:hAnsi="EC Square Sans Pro" w:cs="Times New Roman"/>
      <w:noProof/>
      <w:sz w:val="20"/>
      <w:lang w:val="en-GB" w:eastAsia="fr-BE"/>
    </w:rPr>
  </w:style>
  <w:style w:type="paragraph" w:customStyle="1" w:styleId="BOX3BluedashedborderBluetext">
    <w:name w:val="BOX 3 / Blue dashed border / Blue text"/>
    <w:basedOn w:val="BOX3BluedashedborderBlacktext"/>
    <w:rsid w:val="00D071FA"/>
    <w:pPr>
      <w:keepLines/>
    </w:pPr>
    <w:rPr>
      <w:color w:val="65BBC8"/>
    </w:rPr>
  </w:style>
  <w:style w:type="paragraph" w:customStyle="1" w:styleId="BOX3BluedashedborderBluetext-Bold">
    <w:name w:val="BOX 3 / Blue dashed border / Blue text - Bold"/>
    <w:basedOn w:val="BOX3BluedashedborderBluetext"/>
    <w:rsid w:val="007602D8"/>
    <w:rPr>
      <w:b/>
    </w:rPr>
  </w:style>
  <w:style w:type="paragraph" w:customStyle="1" w:styleId="BOX3builtastableBluedashedborderBlacktext">
    <w:name w:val="BOX 3 (built as table) / Blue dashed border / Black text"/>
    <w:rsid w:val="005A7BF9"/>
    <w:pPr>
      <w:spacing w:after="120"/>
      <w:jc w:val="both"/>
    </w:pPr>
    <w:rPr>
      <w:rFonts w:ascii="EC Square Sans Pro" w:eastAsia="Calibri" w:hAnsi="EC Square Sans Pro" w:cs="Times New Roman"/>
      <w:color w:val="000000" w:themeColor="text1"/>
      <w:sz w:val="20"/>
      <w:lang w:val="en-GB" w:eastAsia="fr-BE"/>
    </w:rPr>
  </w:style>
  <w:style w:type="paragraph" w:customStyle="1" w:styleId="BOX3builtastableBluedashedborderBluetext">
    <w:name w:val="BOX 3 (built as table) / Blue dashed border / Blue text"/>
    <w:basedOn w:val="BOX3builtastableBluedashedborderBlacktext"/>
    <w:rsid w:val="005A7BF9"/>
    <w:rPr>
      <w:color w:val="65BBC8"/>
    </w:rPr>
  </w:style>
  <w:style w:type="paragraph" w:customStyle="1" w:styleId="BOX3builtastableBluedashedborderBluetext-Bold">
    <w:name w:val="BOX 3 (built as table) / Blue dashed border / Blue text - Bold"/>
    <w:basedOn w:val="BOX3builtastableBluedashedborderBluetext"/>
    <w:rsid w:val="005A7BF9"/>
    <w:rPr>
      <w:b/>
    </w:rPr>
  </w:style>
  <w:style w:type="paragraph" w:customStyle="1" w:styleId="BOX3BluedashedborderBluebullets">
    <w:name w:val="BOX 3 / Blue dashed border / Blue bullets"/>
    <w:basedOn w:val="BOX3BluedashedborderBluetext"/>
    <w:rsid w:val="00434355"/>
    <w:pPr>
      <w:numPr>
        <w:numId w:val="74"/>
      </w:numPr>
    </w:pPr>
  </w:style>
  <w:style w:type="character" w:customStyle="1" w:styleId="italics">
    <w:name w:val="italics"/>
    <w:uiPriority w:val="1"/>
    <w:rsid w:val="00F3439C"/>
    <w:rPr>
      <w:i/>
    </w:rPr>
  </w:style>
  <w:style w:type="paragraph" w:customStyle="1" w:styleId="BOX3builtastableBluedashedborderBluebullet">
    <w:name w:val="BOX 3 (built as table) / Blue dashed border / Blue bullet"/>
    <w:basedOn w:val="BOX3builtastableBluedashedborderBluetext"/>
    <w:rsid w:val="0076291B"/>
    <w:pPr>
      <w:numPr>
        <w:numId w:val="95"/>
      </w:numPr>
      <w:ind w:left="714" w:hanging="357"/>
    </w:pPr>
    <w:rPr>
      <w:noProof/>
    </w:rPr>
  </w:style>
  <w:style w:type="table" w:customStyle="1" w:styleId="DocumentTable2">
    <w:name w:val="Document Table2"/>
    <w:basedOn w:val="TableNormal"/>
    <w:next w:val="TableGrid"/>
    <w:uiPriority w:val="59"/>
    <w:rsid w:val="00744285"/>
    <w:rPr>
      <w:rFonts w:ascii="Verdana" w:eastAsiaTheme="minorEastAsia"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update1">
    <w:name w:val="update1"/>
    <w:basedOn w:val="DefaultParagraphFont"/>
    <w:rsid w:val="00C6157D"/>
    <w:rPr>
      <w:color w:val="006666"/>
    </w:rPr>
  </w:style>
  <w:style w:type="table" w:customStyle="1" w:styleId="Simpletable5">
    <w:name w:val="Simple table5"/>
    <w:basedOn w:val="TableNormal"/>
    <w:next w:val="TableGrid"/>
    <w:uiPriority w:val="59"/>
    <w:rsid w:val="009E416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rsid w:val="009E4165"/>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rsid w:val="00E47F4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rsid w:val="00E47F4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9">
    <w:name w:val="Simple table9"/>
    <w:basedOn w:val="TableNormal"/>
    <w:next w:val="TableGrid"/>
    <w:uiPriority w:val="59"/>
    <w:rsid w:val="00E47F40"/>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rsid w:val="009610DB"/>
    <w:pPr>
      <w:spacing w:before="40"/>
    </w:pPr>
    <w:rPr>
      <w:rFonts w:ascii="EC Square Sans Pro" w:eastAsia="Calibri" w:hAnsi="EC Square Sans Pro" w:cs="Times New Roman"/>
      <w:iCs/>
      <w:sz w:val="16"/>
      <w:szCs w:val="16"/>
      <w:lang w:val="en-GB" w:eastAsia="fr-BE"/>
    </w:rPr>
  </w:style>
  <w:style w:type="paragraph" w:customStyle="1" w:styleId="StyleTitle3NumberedReportBefore24pt">
    <w:name w:val="Style Title 3 Numbered / Report + Before:  24 pt"/>
    <w:basedOn w:val="Title3NumberedReport"/>
    <w:rsid w:val="006E504A"/>
    <w:pPr>
      <w:spacing w:before="480"/>
    </w:pPr>
    <w:rPr>
      <w:rFonts w:eastAsia="Times New Roman"/>
      <w:bCs/>
      <w:szCs w:val="20"/>
    </w:rPr>
  </w:style>
  <w:style w:type="paragraph" w:customStyle="1" w:styleId="BulletsblueNew-Spaceafter">
    <w:name w:val="Bullets blue New - Space after"/>
    <w:basedOn w:val="BulletsblueNew"/>
    <w:rsid w:val="00FA0D4C"/>
    <w:pPr>
      <w:numPr>
        <w:numId w:val="90"/>
      </w:numPr>
      <w:spacing w:after="240"/>
      <w:ind w:left="714" w:hanging="357"/>
    </w:pPr>
  </w:style>
  <w:style w:type="paragraph" w:customStyle="1" w:styleId="BulletsblueNew-Spacebefore">
    <w:name w:val="Bullets blue New - Space before"/>
    <w:basedOn w:val="BulletsblueNew"/>
    <w:rsid w:val="001F6F49"/>
    <w:pPr>
      <w:spacing w:before="240"/>
    </w:pPr>
  </w:style>
  <w:style w:type="paragraph" w:customStyle="1" w:styleId="BulletsblueNew-consecutive">
    <w:name w:val="Bullets blue New - consecutive"/>
    <w:basedOn w:val="BulletsblueNew"/>
    <w:rsid w:val="00177498"/>
    <w:pPr>
      <w:numPr>
        <w:numId w:val="0"/>
      </w:numPr>
      <w:spacing w:before="60"/>
      <w:ind w:left="709"/>
    </w:pPr>
  </w:style>
  <w:style w:type="paragraph" w:customStyle="1" w:styleId="StyleSubtitleblueJustified">
    <w:name w:val="Style Subtitle blue + Justified"/>
    <w:basedOn w:val="Subtitleblue"/>
    <w:rsid w:val="00492CE0"/>
    <w:pPr>
      <w:jc w:val="both"/>
    </w:pPr>
    <w:rPr>
      <w:rFonts w:eastAsia="Times New Roman"/>
      <w:bCs/>
      <w:iCs/>
      <w:szCs w:val="20"/>
    </w:rPr>
  </w:style>
  <w:style w:type="paragraph" w:customStyle="1" w:styleId="SubtitleLightBlueReport11pt">
    <w:name w:val="Subtitle Light Blue / Report 11pt"/>
    <w:basedOn w:val="SubtitleLightBlueReport"/>
    <w:rsid w:val="00C944E3"/>
    <w:pPr>
      <w:keepNext/>
      <w:keepLines/>
      <w:spacing w:before="360" w:after="240"/>
    </w:pPr>
    <w:rPr>
      <w:sz w:val="22"/>
      <w:szCs w:val="24"/>
    </w:rPr>
  </w:style>
  <w:style w:type="character" w:customStyle="1" w:styleId="HyperlinkSummary">
    <w:name w:val="Hyperlink / Summary"/>
    <w:uiPriority w:val="1"/>
    <w:rsid w:val="005A6BA8"/>
    <w:rPr>
      <w:color w:val="08AA75"/>
      <w:u w:val="single" w:color="08AA75"/>
    </w:rPr>
  </w:style>
  <w:style w:type="character" w:customStyle="1" w:styleId="HyperlinkReport">
    <w:name w:val="Hyperlink / Report"/>
    <w:uiPriority w:val="1"/>
    <w:rsid w:val="005A6BA8"/>
    <w:rPr>
      <w:color w:val="65BBC8"/>
      <w:u w:val="single" w:color="65BBC8"/>
    </w:rPr>
  </w:style>
  <w:style w:type="character" w:customStyle="1" w:styleId="HyperlinkAnnexes">
    <w:name w:val="Hyperlink / Annexes"/>
    <w:uiPriority w:val="1"/>
    <w:rsid w:val="005A6BA8"/>
    <w:rPr>
      <w:color w:val="E48C32"/>
      <w:u w:val="single" w:color="E48C32"/>
    </w:rPr>
  </w:style>
  <w:style w:type="table" w:customStyle="1" w:styleId="TableGrid41">
    <w:name w:val="Table Grid41"/>
    <w:basedOn w:val="TableNormal"/>
    <w:next w:val="TableGrid"/>
    <w:uiPriority w:val="59"/>
    <w:rsid w:val="00293404"/>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nsitivityRight">
    <w:name w:val="Header Sensitivity Right"/>
    <w:basedOn w:val="Normal"/>
    <w:link w:val="HeaderSensitivityRightChar"/>
    <w:rsid w:val="00D32FE3"/>
    <w:pPr>
      <w:spacing w:after="120"/>
      <w:jc w:val="right"/>
    </w:pPr>
    <w:rPr>
      <w:rFonts w:ascii="Times New Roman" w:hAnsi="Times New Roman"/>
      <w:sz w:val="28"/>
    </w:rPr>
  </w:style>
  <w:style w:type="character" w:customStyle="1" w:styleId="HeaderSensitivityRightChar">
    <w:name w:val="Header Sensitivity Right Char"/>
    <w:basedOn w:val="DefaultParagraphFont"/>
    <w:link w:val="HeaderSensitivityRight"/>
    <w:rsid w:val="00D32FE3"/>
    <w:rPr>
      <w:rFonts w:ascii="Times New Roman" w:hAnsi="Times New Roman" w:cs="Times New Roman"/>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8377">
      <w:bodyDiv w:val="1"/>
      <w:marLeft w:val="0"/>
      <w:marRight w:val="0"/>
      <w:marTop w:val="0"/>
      <w:marBottom w:val="0"/>
      <w:divBdr>
        <w:top w:val="none" w:sz="0" w:space="0" w:color="auto"/>
        <w:left w:val="none" w:sz="0" w:space="0" w:color="auto"/>
        <w:bottom w:val="none" w:sz="0" w:space="0" w:color="auto"/>
        <w:right w:val="none" w:sz="0" w:space="0" w:color="auto"/>
      </w:divBdr>
    </w:div>
    <w:div w:id="24672186">
      <w:bodyDiv w:val="1"/>
      <w:marLeft w:val="0"/>
      <w:marRight w:val="0"/>
      <w:marTop w:val="0"/>
      <w:marBottom w:val="0"/>
      <w:divBdr>
        <w:top w:val="none" w:sz="0" w:space="0" w:color="auto"/>
        <w:left w:val="none" w:sz="0" w:space="0" w:color="auto"/>
        <w:bottom w:val="none" w:sz="0" w:space="0" w:color="auto"/>
        <w:right w:val="none" w:sz="0" w:space="0" w:color="auto"/>
      </w:divBdr>
    </w:div>
    <w:div w:id="56518824">
      <w:bodyDiv w:val="1"/>
      <w:marLeft w:val="0"/>
      <w:marRight w:val="0"/>
      <w:marTop w:val="0"/>
      <w:marBottom w:val="0"/>
      <w:divBdr>
        <w:top w:val="none" w:sz="0" w:space="0" w:color="auto"/>
        <w:left w:val="none" w:sz="0" w:space="0" w:color="auto"/>
        <w:bottom w:val="none" w:sz="0" w:space="0" w:color="auto"/>
        <w:right w:val="none" w:sz="0" w:space="0" w:color="auto"/>
      </w:divBdr>
    </w:div>
    <w:div w:id="124474031">
      <w:bodyDiv w:val="1"/>
      <w:marLeft w:val="0"/>
      <w:marRight w:val="0"/>
      <w:marTop w:val="0"/>
      <w:marBottom w:val="0"/>
      <w:divBdr>
        <w:top w:val="none" w:sz="0" w:space="0" w:color="auto"/>
        <w:left w:val="none" w:sz="0" w:space="0" w:color="auto"/>
        <w:bottom w:val="none" w:sz="0" w:space="0" w:color="auto"/>
        <w:right w:val="none" w:sz="0" w:space="0" w:color="auto"/>
      </w:divBdr>
    </w:div>
    <w:div w:id="154498362">
      <w:bodyDiv w:val="1"/>
      <w:marLeft w:val="0"/>
      <w:marRight w:val="0"/>
      <w:marTop w:val="0"/>
      <w:marBottom w:val="0"/>
      <w:divBdr>
        <w:top w:val="none" w:sz="0" w:space="0" w:color="auto"/>
        <w:left w:val="none" w:sz="0" w:space="0" w:color="auto"/>
        <w:bottom w:val="none" w:sz="0" w:space="0" w:color="auto"/>
        <w:right w:val="none" w:sz="0" w:space="0" w:color="auto"/>
      </w:divBdr>
    </w:div>
    <w:div w:id="163471648">
      <w:bodyDiv w:val="1"/>
      <w:marLeft w:val="0"/>
      <w:marRight w:val="0"/>
      <w:marTop w:val="0"/>
      <w:marBottom w:val="0"/>
      <w:divBdr>
        <w:top w:val="none" w:sz="0" w:space="0" w:color="auto"/>
        <w:left w:val="none" w:sz="0" w:space="0" w:color="auto"/>
        <w:bottom w:val="none" w:sz="0" w:space="0" w:color="auto"/>
        <w:right w:val="none" w:sz="0" w:space="0" w:color="auto"/>
      </w:divBdr>
      <w:divsChild>
        <w:div w:id="1545603797">
          <w:marLeft w:val="0"/>
          <w:marRight w:val="0"/>
          <w:marTop w:val="0"/>
          <w:marBottom w:val="0"/>
          <w:divBdr>
            <w:top w:val="none" w:sz="0" w:space="0" w:color="auto"/>
            <w:left w:val="none" w:sz="0" w:space="0" w:color="auto"/>
            <w:bottom w:val="none" w:sz="0" w:space="0" w:color="auto"/>
            <w:right w:val="none" w:sz="0" w:space="0" w:color="auto"/>
          </w:divBdr>
          <w:divsChild>
            <w:div w:id="2087412605">
              <w:marLeft w:val="0"/>
              <w:marRight w:val="0"/>
              <w:marTop w:val="0"/>
              <w:marBottom w:val="0"/>
              <w:divBdr>
                <w:top w:val="none" w:sz="0" w:space="0" w:color="auto"/>
                <w:left w:val="none" w:sz="0" w:space="0" w:color="auto"/>
                <w:bottom w:val="none" w:sz="0" w:space="0" w:color="auto"/>
                <w:right w:val="none" w:sz="0" w:space="0" w:color="auto"/>
              </w:divBdr>
              <w:divsChild>
                <w:div w:id="414977839">
                  <w:marLeft w:val="0"/>
                  <w:marRight w:val="0"/>
                  <w:marTop w:val="0"/>
                  <w:marBottom w:val="0"/>
                  <w:divBdr>
                    <w:top w:val="none" w:sz="0" w:space="0" w:color="auto"/>
                    <w:left w:val="none" w:sz="0" w:space="0" w:color="auto"/>
                    <w:bottom w:val="none" w:sz="0" w:space="0" w:color="auto"/>
                    <w:right w:val="none" w:sz="0" w:space="0" w:color="auto"/>
                  </w:divBdr>
                  <w:divsChild>
                    <w:div w:id="1951547590">
                      <w:marLeft w:val="0"/>
                      <w:marRight w:val="0"/>
                      <w:marTop w:val="0"/>
                      <w:marBottom w:val="0"/>
                      <w:divBdr>
                        <w:top w:val="none" w:sz="0" w:space="0" w:color="auto"/>
                        <w:left w:val="none" w:sz="0" w:space="0" w:color="auto"/>
                        <w:bottom w:val="none" w:sz="0" w:space="0" w:color="auto"/>
                        <w:right w:val="none" w:sz="0" w:space="0" w:color="auto"/>
                      </w:divBdr>
                      <w:divsChild>
                        <w:div w:id="1997223519">
                          <w:marLeft w:val="0"/>
                          <w:marRight w:val="0"/>
                          <w:marTop w:val="0"/>
                          <w:marBottom w:val="0"/>
                          <w:divBdr>
                            <w:top w:val="none" w:sz="0" w:space="0" w:color="auto"/>
                            <w:left w:val="none" w:sz="0" w:space="0" w:color="auto"/>
                            <w:bottom w:val="none" w:sz="0" w:space="0" w:color="auto"/>
                            <w:right w:val="none" w:sz="0" w:space="0" w:color="auto"/>
                          </w:divBdr>
                          <w:divsChild>
                            <w:div w:id="665859235">
                              <w:marLeft w:val="-225"/>
                              <w:marRight w:val="-225"/>
                              <w:marTop w:val="0"/>
                              <w:marBottom w:val="0"/>
                              <w:divBdr>
                                <w:top w:val="none" w:sz="0" w:space="0" w:color="auto"/>
                                <w:left w:val="none" w:sz="0" w:space="0" w:color="auto"/>
                                <w:bottom w:val="none" w:sz="0" w:space="0" w:color="auto"/>
                                <w:right w:val="none" w:sz="0" w:space="0" w:color="auto"/>
                              </w:divBdr>
                              <w:divsChild>
                                <w:div w:id="1634603584">
                                  <w:marLeft w:val="0"/>
                                  <w:marRight w:val="0"/>
                                  <w:marTop w:val="0"/>
                                  <w:marBottom w:val="133"/>
                                  <w:divBdr>
                                    <w:top w:val="none" w:sz="0" w:space="0" w:color="auto"/>
                                    <w:left w:val="none" w:sz="0" w:space="0" w:color="auto"/>
                                    <w:bottom w:val="none" w:sz="0" w:space="0" w:color="auto"/>
                                    <w:right w:val="none" w:sz="0" w:space="0" w:color="auto"/>
                                  </w:divBdr>
                                  <w:divsChild>
                                    <w:div w:id="8583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984693">
      <w:bodyDiv w:val="1"/>
      <w:marLeft w:val="0"/>
      <w:marRight w:val="0"/>
      <w:marTop w:val="0"/>
      <w:marBottom w:val="0"/>
      <w:divBdr>
        <w:top w:val="none" w:sz="0" w:space="0" w:color="auto"/>
        <w:left w:val="none" w:sz="0" w:space="0" w:color="auto"/>
        <w:bottom w:val="none" w:sz="0" w:space="0" w:color="auto"/>
        <w:right w:val="none" w:sz="0" w:space="0" w:color="auto"/>
      </w:divBdr>
    </w:div>
    <w:div w:id="207642439">
      <w:bodyDiv w:val="1"/>
      <w:marLeft w:val="0"/>
      <w:marRight w:val="0"/>
      <w:marTop w:val="0"/>
      <w:marBottom w:val="0"/>
      <w:divBdr>
        <w:top w:val="none" w:sz="0" w:space="0" w:color="auto"/>
        <w:left w:val="none" w:sz="0" w:space="0" w:color="auto"/>
        <w:bottom w:val="none" w:sz="0" w:space="0" w:color="auto"/>
        <w:right w:val="none" w:sz="0" w:space="0" w:color="auto"/>
      </w:divBdr>
    </w:div>
    <w:div w:id="229850510">
      <w:bodyDiv w:val="1"/>
      <w:marLeft w:val="0"/>
      <w:marRight w:val="0"/>
      <w:marTop w:val="0"/>
      <w:marBottom w:val="0"/>
      <w:divBdr>
        <w:top w:val="none" w:sz="0" w:space="0" w:color="auto"/>
        <w:left w:val="none" w:sz="0" w:space="0" w:color="auto"/>
        <w:bottom w:val="none" w:sz="0" w:space="0" w:color="auto"/>
        <w:right w:val="none" w:sz="0" w:space="0" w:color="auto"/>
      </w:divBdr>
    </w:div>
    <w:div w:id="233854571">
      <w:bodyDiv w:val="1"/>
      <w:marLeft w:val="0"/>
      <w:marRight w:val="0"/>
      <w:marTop w:val="0"/>
      <w:marBottom w:val="0"/>
      <w:divBdr>
        <w:top w:val="none" w:sz="0" w:space="0" w:color="auto"/>
        <w:left w:val="none" w:sz="0" w:space="0" w:color="auto"/>
        <w:bottom w:val="none" w:sz="0" w:space="0" w:color="auto"/>
        <w:right w:val="none" w:sz="0" w:space="0" w:color="auto"/>
      </w:divBdr>
    </w:div>
    <w:div w:id="251816919">
      <w:bodyDiv w:val="1"/>
      <w:marLeft w:val="0"/>
      <w:marRight w:val="0"/>
      <w:marTop w:val="0"/>
      <w:marBottom w:val="0"/>
      <w:divBdr>
        <w:top w:val="none" w:sz="0" w:space="0" w:color="auto"/>
        <w:left w:val="none" w:sz="0" w:space="0" w:color="auto"/>
        <w:bottom w:val="none" w:sz="0" w:space="0" w:color="auto"/>
        <w:right w:val="none" w:sz="0" w:space="0" w:color="auto"/>
      </w:divBdr>
    </w:div>
    <w:div w:id="256796035">
      <w:bodyDiv w:val="1"/>
      <w:marLeft w:val="0"/>
      <w:marRight w:val="0"/>
      <w:marTop w:val="0"/>
      <w:marBottom w:val="0"/>
      <w:divBdr>
        <w:top w:val="none" w:sz="0" w:space="0" w:color="auto"/>
        <w:left w:val="none" w:sz="0" w:space="0" w:color="auto"/>
        <w:bottom w:val="none" w:sz="0" w:space="0" w:color="auto"/>
        <w:right w:val="none" w:sz="0" w:space="0" w:color="auto"/>
      </w:divBdr>
    </w:div>
    <w:div w:id="306596134">
      <w:bodyDiv w:val="1"/>
      <w:marLeft w:val="0"/>
      <w:marRight w:val="0"/>
      <w:marTop w:val="0"/>
      <w:marBottom w:val="0"/>
      <w:divBdr>
        <w:top w:val="none" w:sz="0" w:space="0" w:color="auto"/>
        <w:left w:val="none" w:sz="0" w:space="0" w:color="auto"/>
        <w:bottom w:val="none" w:sz="0" w:space="0" w:color="auto"/>
        <w:right w:val="none" w:sz="0" w:space="0" w:color="auto"/>
      </w:divBdr>
    </w:div>
    <w:div w:id="308438651">
      <w:bodyDiv w:val="1"/>
      <w:marLeft w:val="0"/>
      <w:marRight w:val="0"/>
      <w:marTop w:val="0"/>
      <w:marBottom w:val="0"/>
      <w:divBdr>
        <w:top w:val="none" w:sz="0" w:space="0" w:color="auto"/>
        <w:left w:val="none" w:sz="0" w:space="0" w:color="auto"/>
        <w:bottom w:val="none" w:sz="0" w:space="0" w:color="auto"/>
        <w:right w:val="none" w:sz="0" w:space="0" w:color="auto"/>
      </w:divBdr>
    </w:div>
    <w:div w:id="354618136">
      <w:bodyDiv w:val="1"/>
      <w:marLeft w:val="0"/>
      <w:marRight w:val="0"/>
      <w:marTop w:val="0"/>
      <w:marBottom w:val="0"/>
      <w:divBdr>
        <w:top w:val="none" w:sz="0" w:space="0" w:color="auto"/>
        <w:left w:val="none" w:sz="0" w:space="0" w:color="auto"/>
        <w:bottom w:val="none" w:sz="0" w:space="0" w:color="auto"/>
        <w:right w:val="none" w:sz="0" w:space="0" w:color="auto"/>
      </w:divBdr>
    </w:div>
    <w:div w:id="362098488">
      <w:bodyDiv w:val="1"/>
      <w:marLeft w:val="0"/>
      <w:marRight w:val="0"/>
      <w:marTop w:val="0"/>
      <w:marBottom w:val="0"/>
      <w:divBdr>
        <w:top w:val="none" w:sz="0" w:space="0" w:color="auto"/>
        <w:left w:val="none" w:sz="0" w:space="0" w:color="auto"/>
        <w:bottom w:val="none" w:sz="0" w:space="0" w:color="auto"/>
        <w:right w:val="none" w:sz="0" w:space="0" w:color="auto"/>
      </w:divBdr>
    </w:div>
    <w:div w:id="378669119">
      <w:bodyDiv w:val="1"/>
      <w:marLeft w:val="0"/>
      <w:marRight w:val="0"/>
      <w:marTop w:val="0"/>
      <w:marBottom w:val="0"/>
      <w:divBdr>
        <w:top w:val="none" w:sz="0" w:space="0" w:color="auto"/>
        <w:left w:val="none" w:sz="0" w:space="0" w:color="auto"/>
        <w:bottom w:val="none" w:sz="0" w:space="0" w:color="auto"/>
        <w:right w:val="none" w:sz="0" w:space="0" w:color="auto"/>
      </w:divBdr>
    </w:div>
    <w:div w:id="382218318">
      <w:bodyDiv w:val="1"/>
      <w:marLeft w:val="0"/>
      <w:marRight w:val="0"/>
      <w:marTop w:val="0"/>
      <w:marBottom w:val="0"/>
      <w:divBdr>
        <w:top w:val="none" w:sz="0" w:space="0" w:color="auto"/>
        <w:left w:val="none" w:sz="0" w:space="0" w:color="auto"/>
        <w:bottom w:val="none" w:sz="0" w:space="0" w:color="auto"/>
        <w:right w:val="none" w:sz="0" w:space="0" w:color="auto"/>
      </w:divBdr>
      <w:divsChild>
        <w:div w:id="13771394">
          <w:marLeft w:val="0"/>
          <w:marRight w:val="0"/>
          <w:marTop w:val="0"/>
          <w:marBottom w:val="0"/>
          <w:divBdr>
            <w:top w:val="none" w:sz="0" w:space="0" w:color="auto"/>
            <w:left w:val="none" w:sz="0" w:space="0" w:color="auto"/>
            <w:bottom w:val="none" w:sz="0" w:space="0" w:color="auto"/>
            <w:right w:val="none" w:sz="0" w:space="0" w:color="auto"/>
          </w:divBdr>
        </w:div>
        <w:div w:id="351037791">
          <w:marLeft w:val="0"/>
          <w:marRight w:val="0"/>
          <w:marTop w:val="0"/>
          <w:marBottom w:val="0"/>
          <w:divBdr>
            <w:top w:val="none" w:sz="0" w:space="0" w:color="auto"/>
            <w:left w:val="none" w:sz="0" w:space="0" w:color="auto"/>
            <w:bottom w:val="none" w:sz="0" w:space="0" w:color="auto"/>
            <w:right w:val="none" w:sz="0" w:space="0" w:color="auto"/>
          </w:divBdr>
        </w:div>
        <w:div w:id="1160927742">
          <w:marLeft w:val="0"/>
          <w:marRight w:val="0"/>
          <w:marTop w:val="0"/>
          <w:marBottom w:val="0"/>
          <w:divBdr>
            <w:top w:val="none" w:sz="0" w:space="0" w:color="auto"/>
            <w:left w:val="none" w:sz="0" w:space="0" w:color="auto"/>
            <w:bottom w:val="none" w:sz="0" w:space="0" w:color="auto"/>
            <w:right w:val="none" w:sz="0" w:space="0" w:color="auto"/>
          </w:divBdr>
        </w:div>
        <w:div w:id="1696610093">
          <w:marLeft w:val="0"/>
          <w:marRight w:val="0"/>
          <w:marTop w:val="0"/>
          <w:marBottom w:val="0"/>
          <w:divBdr>
            <w:top w:val="none" w:sz="0" w:space="0" w:color="auto"/>
            <w:left w:val="none" w:sz="0" w:space="0" w:color="auto"/>
            <w:bottom w:val="none" w:sz="0" w:space="0" w:color="auto"/>
            <w:right w:val="none" w:sz="0" w:space="0" w:color="auto"/>
          </w:divBdr>
        </w:div>
        <w:div w:id="1951353634">
          <w:marLeft w:val="0"/>
          <w:marRight w:val="0"/>
          <w:marTop w:val="0"/>
          <w:marBottom w:val="0"/>
          <w:divBdr>
            <w:top w:val="none" w:sz="0" w:space="0" w:color="auto"/>
            <w:left w:val="none" w:sz="0" w:space="0" w:color="auto"/>
            <w:bottom w:val="none" w:sz="0" w:space="0" w:color="auto"/>
            <w:right w:val="none" w:sz="0" w:space="0" w:color="auto"/>
          </w:divBdr>
        </w:div>
      </w:divsChild>
    </w:div>
    <w:div w:id="441609357">
      <w:bodyDiv w:val="1"/>
      <w:marLeft w:val="0"/>
      <w:marRight w:val="0"/>
      <w:marTop w:val="0"/>
      <w:marBottom w:val="0"/>
      <w:divBdr>
        <w:top w:val="none" w:sz="0" w:space="0" w:color="auto"/>
        <w:left w:val="none" w:sz="0" w:space="0" w:color="auto"/>
        <w:bottom w:val="none" w:sz="0" w:space="0" w:color="auto"/>
        <w:right w:val="none" w:sz="0" w:space="0" w:color="auto"/>
      </w:divBdr>
      <w:divsChild>
        <w:div w:id="583799303">
          <w:marLeft w:val="0"/>
          <w:marRight w:val="0"/>
          <w:marTop w:val="0"/>
          <w:marBottom w:val="0"/>
          <w:divBdr>
            <w:top w:val="none" w:sz="0" w:space="0" w:color="auto"/>
            <w:left w:val="none" w:sz="0" w:space="0" w:color="auto"/>
            <w:bottom w:val="none" w:sz="0" w:space="0" w:color="auto"/>
            <w:right w:val="none" w:sz="0" w:space="0" w:color="auto"/>
          </w:divBdr>
          <w:divsChild>
            <w:div w:id="208156326">
              <w:marLeft w:val="0"/>
              <w:marRight w:val="0"/>
              <w:marTop w:val="0"/>
              <w:marBottom w:val="0"/>
              <w:divBdr>
                <w:top w:val="none" w:sz="0" w:space="0" w:color="auto"/>
                <w:left w:val="none" w:sz="0" w:space="0" w:color="auto"/>
                <w:bottom w:val="none" w:sz="0" w:space="0" w:color="auto"/>
                <w:right w:val="none" w:sz="0" w:space="0" w:color="auto"/>
              </w:divBdr>
              <w:divsChild>
                <w:div w:id="702243767">
                  <w:marLeft w:val="0"/>
                  <w:marRight w:val="0"/>
                  <w:marTop w:val="0"/>
                  <w:marBottom w:val="0"/>
                  <w:divBdr>
                    <w:top w:val="none" w:sz="0" w:space="0" w:color="auto"/>
                    <w:left w:val="none" w:sz="0" w:space="0" w:color="auto"/>
                    <w:bottom w:val="none" w:sz="0" w:space="0" w:color="auto"/>
                    <w:right w:val="none" w:sz="0" w:space="0" w:color="auto"/>
                  </w:divBdr>
                  <w:divsChild>
                    <w:div w:id="64422346">
                      <w:marLeft w:val="0"/>
                      <w:marRight w:val="0"/>
                      <w:marTop w:val="0"/>
                      <w:marBottom w:val="0"/>
                      <w:divBdr>
                        <w:top w:val="none" w:sz="0" w:space="0" w:color="auto"/>
                        <w:left w:val="none" w:sz="0" w:space="0" w:color="auto"/>
                        <w:bottom w:val="none" w:sz="0" w:space="0" w:color="auto"/>
                        <w:right w:val="none" w:sz="0" w:space="0" w:color="auto"/>
                      </w:divBdr>
                      <w:divsChild>
                        <w:div w:id="1014117586">
                          <w:marLeft w:val="0"/>
                          <w:marRight w:val="0"/>
                          <w:marTop w:val="0"/>
                          <w:marBottom w:val="0"/>
                          <w:divBdr>
                            <w:top w:val="none" w:sz="0" w:space="0" w:color="auto"/>
                            <w:left w:val="none" w:sz="0" w:space="0" w:color="auto"/>
                            <w:bottom w:val="none" w:sz="0" w:space="0" w:color="auto"/>
                            <w:right w:val="none" w:sz="0" w:space="0" w:color="auto"/>
                          </w:divBdr>
                          <w:divsChild>
                            <w:div w:id="1535147112">
                              <w:marLeft w:val="-225"/>
                              <w:marRight w:val="-225"/>
                              <w:marTop w:val="0"/>
                              <w:marBottom w:val="0"/>
                              <w:divBdr>
                                <w:top w:val="none" w:sz="0" w:space="0" w:color="auto"/>
                                <w:left w:val="none" w:sz="0" w:space="0" w:color="auto"/>
                                <w:bottom w:val="none" w:sz="0" w:space="0" w:color="auto"/>
                                <w:right w:val="none" w:sz="0" w:space="0" w:color="auto"/>
                              </w:divBdr>
                              <w:divsChild>
                                <w:div w:id="759565836">
                                  <w:marLeft w:val="0"/>
                                  <w:marRight w:val="0"/>
                                  <w:marTop w:val="0"/>
                                  <w:marBottom w:val="133"/>
                                  <w:divBdr>
                                    <w:top w:val="none" w:sz="0" w:space="0" w:color="auto"/>
                                    <w:left w:val="none" w:sz="0" w:space="0" w:color="auto"/>
                                    <w:bottom w:val="none" w:sz="0" w:space="0" w:color="auto"/>
                                    <w:right w:val="none" w:sz="0" w:space="0" w:color="auto"/>
                                  </w:divBdr>
                                  <w:divsChild>
                                    <w:div w:id="20977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6045589">
      <w:bodyDiv w:val="1"/>
      <w:marLeft w:val="0"/>
      <w:marRight w:val="0"/>
      <w:marTop w:val="0"/>
      <w:marBottom w:val="0"/>
      <w:divBdr>
        <w:top w:val="none" w:sz="0" w:space="0" w:color="auto"/>
        <w:left w:val="none" w:sz="0" w:space="0" w:color="auto"/>
        <w:bottom w:val="none" w:sz="0" w:space="0" w:color="auto"/>
        <w:right w:val="none" w:sz="0" w:space="0" w:color="auto"/>
      </w:divBdr>
    </w:div>
    <w:div w:id="485367911">
      <w:bodyDiv w:val="1"/>
      <w:marLeft w:val="0"/>
      <w:marRight w:val="0"/>
      <w:marTop w:val="0"/>
      <w:marBottom w:val="0"/>
      <w:divBdr>
        <w:top w:val="none" w:sz="0" w:space="0" w:color="auto"/>
        <w:left w:val="none" w:sz="0" w:space="0" w:color="auto"/>
        <w:bottom w:val="none" w:sz="0" w:space="0" w:color="auto"/>
        <w:right w:val="none" w:sz="0" w:space="0" w:color="auto"/>
      </w:divBdr>
    </w:div>
    <w:div w:id="500703562">
      <w:bodyDiv w:val="1"/>
      <w:marLeft w:val="0"/>
      <w:marRight w:val="0"/>
      <w:marTop w:val="0"/>
      <w:marBottom w:val="0"/>
      <w:divBdr>
        <w:top w:val="none" w:sz="0" w:space="0" w:color="auto"/>
        <w:left w:val="none" w:sz="0" w:space="0" w:color="auto"/>
        <w:bottom w:val="none" w:sz="0" w:space="0" w:color="auto"/>
        <w:right w:val="none" w:sz="0" w:space="0" w:color="auto"/>
      </w:divBdr>
    </w:div>
    <w:div w:id="502821650">
      <w:bodyDiv w:val="1"/>
      <w:marLeft w:val="0"/>
      <w:marRight w:val="0"/>
      <w:marTop w:val="0"/>
      <w:marBottom w:val="0"/>
      <w:divBdr>
        <w:top w:val="none" w:sz="0" w:space="0" w:color="auto"/>
        <w:left w:val="none" w:sz="0" w:space="0" w:color="auto"/>
        <w:bottom w:val="none" w:sz="0" w:space="0" w:color="auto"/>
        <w:right w:val="none" w:sz="0" w:space="0" w:color="auto"/>
      </w:divBdr>
    </w:div>
    <w:div w:id="511606774">
      <w:bodyDiv w:val="1"/>
      <w:marLeft w:val="0"/>
      <w:marRight w:val="0"/>
      <w:marTop w:val="0"/>
      <w:marBottom w:val="0"/>
      <w:divBdr>
        <w:top w:val="none" w:sz="0" w:space="0" w:color="auto"/>
        <w:left w:val="none" w:sz="0" w:space="0" w:color="auto"/>
        <w:bottom w:val="none" w:sz="0" w:space="0" w:color="auto"/>
        <w:right w:val="none" w:sz="0" w:space="0" w:color="auto"/>
      </w:divBdr>
    </w:div>
    <w:div w:id="520163498">
      <w:bodyDiv w:val="1"/>
      <w:marLeft w:val="0"/>
      <w:marRight w:val="0"/>
      <w:marTop w:val="0"/>
      <w:marBottom w:val="0"/>
      <w:divBdr>
        <w:top w:val="none" w:sz="0" w:space="0" w:color="auto"/>
        <w:left w:val="none" w:sz="0" w:space="0" w:color="auto"/>
        <w:bottom w:val="none" w:sz="0" w:space="0" w:color="auto"/>
        <w:right w:val="none" w:sz="0" w:space="0" w:color="auto"/>
      </w:divBdr>
    </w:div>
    <w:div w:id="525022587">
      <w:bodyDiv w:val="1"/>
      <w:marLeft w:val="0"/>
      <w:marRight w:val="0"/>
      <w:marTop w:val="0"/>
      <w:marBottom w:val="0"/>
      <w:divBdr>
        <w:top w:val="none" w:sz="0" w:space="0" w:color="auto"/>
        <w:left w:val="none" w:sz="0" w:space="0" w:color="auto"/>
        <w:bottom w:val="none" w:sz="0" w:space="0" w:color="auto"/>
        <w:right w:val="none" w:sz="0" w:space="0" w:color="auto"/>
      </w:divBdr>
    </w:div>
    <w:div w:id="536430408">
      <w:bodyDiv w:val="1"/>
      <w:marLeft w:val="0"/>
      <w:marRight w:val="0"/>
      <w:marTop w:val="0"/>
      <w:marBottom w:val="0"/>
      <w:divBdr>
        <w:top w:val="none" w:sz="0" w:space="0" w:color="auto"/>
        <w:left w:val="none" w:sz="0" w:space="0" w:color="auto"/>
        <w:bottom w:val="none" w:sz="0" w:space="0" w:color="auto"/>
        <w:right w:val="none" w:sz="0" w:space="0" w:color="auto"/>
      </w:divBdr>
    </w:div>
    <w:div w:id="607810853">
      <w:bodyDiv w:val="1"/>
      <w:marLeft w:val="0"/>
      <w:marRight w:val="0"/>
      <w:marTop w:val="0"/>
      <w:marBottom w:val="0"/>
      <w:divBdr>
        <w:top w:val="none" w:sz="0" w:space="0" w:color="auto"/>
        <w:left w:val="none" w:sz="0" w:space="0" w:color="auto"/>
        <w:bottom w:val="none" w:sz="0" w:space="0" w:color="auto"/>
        <w:right w:val="none" w:sz="0" w:space="0" w:color="auto"/>
      </w:divBdr>
    </w:div>
    <w:div w:id="673456627">
      <w:bodyDiv w:val="1"/>
      <w:marLeft w:val="0"/>
      <w:marRight w:val="0"/>
      <w:marTop w:val="0"/>
      <w:marBottom w:val="0"/>
      <w:divBdr>
        <w:top w:val="none" w:sz="0" w:space="0" w:color="auto"/>
        <w:left w:val="none" w:sz="0" w:space="0" w:color="auto"/>
        <w:bottom w:val="none" w:sz="0" w:space="0" w:color="auto"/>
        <w:right w:val="none" w:sz="0" w:space="0" w:color="auto"/>
      </w:divBdr>
    </w:div>
    <w:div w:id="707343200">
      <w:bodyDiv w:val="1"/>
      <w:marLeft w:val="0"/>
      <w:marRight w:val="0"/>
      <w:marTop w:val="0"/>
      <w:marBottom w:val="0"/>
      <w:divBdr>
        <w:top w:val="none" w:sz="0" w:space="0" w:color="auto"/>
        <w:left w:val="none" w:sz="0" w:space="0" w:color="auto"/>
        <w:bottom w:val="none" w:sz="0" w:space="0" w:color="auto"/>
        <w:right w:val="none" w:sz="0" w:space="0" w:color="auto"/>
      </w:divBdr>
    </w:div>
    <w:div w:id="732387652">
      <w:bodyDiv w:val="1"/>
      <w:marLeft w:val="0"/>
      <w:marRight w:val="0"/>
      <w:marTop w:val="0"/>
      <w:marBottom w:val="0"/>
      <w:divBdr>
        <w:top w:val="none" w:sz="0" w:space="0" w:color="auto"/>
        <w:left w:val="none" w:sz="0" w:space="0" w:color="auto"/>
        <w:bottom w:val="none" w:sz="0" w:space="0" w:color="auto"/>
        <w:right w:val="none" w:sz="0" w:space="0" w:color="auto"/>
      </w:divBdr>
    </w:div>
    <w:div w:id="773287929">
      <w:bodyDiv w:val="1"/>
      <w:marLeft w:val="0"/>
      <w:marRight w:val="0"/>
      <w:marTop w:val="0"/>
      <w:marBottom w:val="0"/>
      <w:divBdr>
        <w:top w:val="none" w:sz="0" w:space="0" w:color="auto"/>
        <w:left w:val="none" w:sz="0" w:space="0" w:color="auto"/>
        <w:bottom w:val="none" w:sz="0" w:space="0" w:color="auto"/>
        <w:right w:val="none" w:sz="0" w:space="0" w:color="auto"/>
      </w:divBdr>
    </w:div>
    <w:div w:id="805004994">
      <w:bodyDiv w:val="1"/>
      <w:marLeft w:val="0"/>
      <w:marRight w:val="0"/>
      <w:marTop w:val="0"/>
      <w:marBottom w:val="0"/>
      <w:divBdr>
        <w:top w:val="none" w:sz="0" w:space="0" w:color="auto"/>
        <w:left w:val="none" w:sz="0" w:space="0" w:color="auto"/>
        <w:bottom w:val="none" w:sz="0" w:space="0" w:color="auto"/>
        <w:right w:val="none" w:sz="0" w:space="0" w:color="auto"/>
      </w:divBdr>
    </w:div>
    <w:div w:id="836118116">
      <w:bodyDiv w:val="1"/>
      <w:marLeft w:val="0"/>
      <w:marRight w:val="0"/>
      <w:marTop w:val="0"/>
      <w:marBottom w:val="0"/>
      <w:divBdr>
        <w:top w:val="none" w:sz="0" w:space="0" w:color="auto"/>
        <w:left w:val="none" w:sz="0" w:space="0" w:color="auto"/>
        <w:bottom w:val="none" w:sz="0" w:space="0" w:color="auto"/>
        <w:right w:val="none" w:sz="0" w:space="0" w:color="auto"/>
      </w:divBdr>
      <w:divsChild>
        <w:div w:id="1816333134">
          <w:marLeft w:val="0"/>
          <w:marRight w:val="0"/>
          <w:marTop w:val="0"/>
          <w:marBottom w:val="0"/>
          <w:divBdr>
            <w:top w:val="single" w:sz="2" w:space="0" w:color="CCCCCC"/>
            <w:left w:val="single" w:sz="6" w:space="0" w:color="CCCCCC"/>
            <w:bottom w:val="single" w:sz="6" w:space="0" w:color="CCCCCC"/>
            <w:right w:val="single" w:sz="6" w:space="0" w:color="CCCCCC"/>
          </w:divBdr>
          <w:divsChild>
            <w:div w:id="243033381">
              <w:marLeft w:val="0"/>
              <w:marRight w:val="0"/>
              <w:marTop w:val="0"/>
              <w:marBottom w:val="0"/>
              <w:divBdr>
                <w:top w:val="none" w:sz="0" w:space="0" w:color="auto"/>
                <w:left w:val="none" w:sz="0" w:space="0" w:color="auto"/>
                <w:bottom w:val="none" w:sz="0" w:space="0" w:color="auto"/>
                <w:right w:val="none" w:sz="0" w:space="0" w:color="auto"/>
              </w:divBdr>
              <w:divsChild>
                <w:div w:id="693309435">
                  <w:marLeft w:val="-180"/>
                  <w:marRight w:val="-180"/>
                  <w:marTop w:val="0"/>
                  <w:marBottom w:val="0"/>
                  <w:divBdr>
                    <w:top w:val="none" w:sz="0" w:space="0" w:color="auto"/>
                    <w:left w:val="none" w:sz="0" w:space="0" w:color="auto"/>
                    <w:bottom w:val="none" w:sz="0" w:space="0" w:color="auto"/>
                    <w:right w:val="none" w:sz="0" w:space="0" w:color="auto"/>
                  </w:divBdr>
                  <w:divsChild>
                    <w:div w:id="826286987">
                      <w:marLeft w:val="0"/>
                      <w:marRight w:val="0"/>
                      <w:marTop w:val="0"/>
                      <w:marBottom w:val="0"/>
                      <w:divBdr>
                        <w:top w:val="none" w:sz="0" w:space="0" w:color="auto"/>
                        <w:left w:val="none" w:sz="0" w:space="0" w:color="auto"/>
                        <w:bottom w:val="none" w:sz="0" w:space="0" w:color="auto"/>
                        <w:right w:val="none" w:sz="0" w:space="0" w:color="auto"/>
                      </w:divBdr>
                      <w:divsChild>
                        <w:div w:id="699743034">
                          <w:marLeft w:val="-180"/>
                          <w:marRight w:val="-180"/>
                          <w:marTop w:val="0"/>
                          <w:marBottom w:val="0"/>
                          <w:divBdr>
                            <w:top w:val="none" w:sz="0" w:space="0" w:color="auto"/>
                            <w:left w:val="none" w:sz="0" w:space="0" w:color="auto"/>
                            <w:bottom w:val="none" w:sz="0" w:space="0" w:color="auto"/>
                            <w:right w:val="none" w:sz="0" w:space="0" w:color="auto"/>
                          </w:divBdr>
                          <w:divsChild>
                            <w:div w:id="230701301">
                              <w:marLeft w:val="0"/>
                              <w:marRight w:val="0"/>
                              <w:marTop w:val="0"/>
                              <w:marBottom w:val="0"/>
                              <w:divBdr>
                                <w:top w:val="none" w:sz="0" w:space="0" w:color="auto"/>
                                <w:left w:val="none" w:sz="0" w:space="0" w:color="auto"/>
                                <w:bottom w:val="none" w:sz="0" w:space="0" w:color="auto"/>
                                <w:right w:val="none" w:sz="0" w:space="0" w:color="auto"/>
                              </w:divBdr>
                              <w:divsChild>
                                <w:div w:id="921640175">
                                  <w:marLeft w:val="0"/>
                                  <w:marRight w:val="0"/>
                                  <w:marTop w:val="0"/>
                                  <w:marBottom w:val="0"/>
                                  <w:divBdr>
                                    <w:top w:val="none" w:sz="0" w:space="0" w:color="auto"/>
                                    <w:left w:val="none" w:sz="0" w:space="0" w:color="auto"/>
                                    <w:bottom w:val="none" w:sz="0" w:space="0" w:color="auto"/>
                                    <w:right w:val="none" w:sz="0" w:space="0" w:color="auto"/>
                                  </w:divBdr>
                                  <w:divsChild>
                                    <w:div w:id="382753246">
                                      <w:marLeft w:val="0"/>
                                      <w:marRight w:val="0"/>
                                      <w:marTop w:val="0"/>
                                      <w:marBottom w:val="0"/>
                                      <w:divBdr>
                                        <w:top w:val="none" w:sz="0" w:space="0" w:color="auto"/>
                                        <w:left w:val="none" w:sz="0" w:space="0" w:color="auto"/>
                                        <w:bottom w:val="none" w:sz="0" w:space="0" w:color="auto"/>
                                        <w:right w:val="none" w:sz="0" w:space="0" w:color="auto"/>
                                      </w:divBdr>
                                      <w:divsChild>
                                        <w:div w:id="383716176">
                                          <w:marLeft w:val="0"/>
                                          <w:marRight w:val="0"/>
                                          <w:marTop w:val="0"/>
                                          <w:marBottom w:val="0"/>
                                          <w:divBdr>
                                            <w:top w:val="none" w:sz="0" w:space="0" w:color="auto"/>
                                            <w:left w:val="none" w:sz="0" w:space="0" w:color="auto"/>
                                            <w:bottom w:val="none" w:sz="0" w:space="0" w:color="auto"/>
                                            <w:right w:val="none" w:sz="0" w:space="0" w:color="auto"/>
                                          </w:divBdr>
                                          <w:divsChild>
                                            <w:div w:id="1240797192">
                                              <w:marLeft w:val="0"/>
                                              <w:marRight w:val="0"/>
                                              <w:marTop w:val="0"/>
                                              <w:marBottom w:val="0"/>
                                              <w:divBdr>
                                                <w:top w:val="none" w:sz="0" w:space="0" w:color="auto"/>
                                                <w:left w:val="none" w:sz="0" w:space="0" w:color="auto"/>
                                                <w:bottom w:val="none" w:sz="0" w:space="0" w:color="auto"/>
                                                <w:right w:val="none" w:sz="0" w:space="0" w:color="auto"/>
                                              </w:divBdr>
                                              <w:divsChild>
                                                <w:div w:id="1932661072">
                                                  <w:marLeft w:val="0"/>
                                                  <w:marRight w:val="0"/>
                                                  <w:marTop w:val="0"/>
                                                  <w:marBottom w:val="0"/>
                                                  <w:divBdr>
                                                    <w:top w:val="none" w:sz="0" w:space="0" w:color="auto"/>
                                                    <w:left w:val="none" w:sz="0" w:space="0" w:color="auto"/>
                                                    <w:bottom w:val="none" w:sz="0" w:space="0" w:color="auto"/>
                                                    <w:right w:val="none" w:sz="0" w:space="0" w:color="auto"/>
                                                  </w:divBdr>
                                                  <w:divsChild>
                                                    <w:div w:id="1928880898">
                                                      <w:marLeft w:val="0"/>
                                                      <w:marRight w:val="0"/>
                                                      <w:marTop w:val="0"/>
                                                      <w:marBottom w:val="0"/>
                                                      <w:divBdr>
                                                        <w:top w:val="none" w:sz="0" w:space="0" w:color="auto"/>
                                                        <w:left w:val="none" w:sz="0" w:space="0" w:color="auto"/>
                                                        <w:bottom w:val="none" w:sz="0" w:space="0" w:color="auto"/>
                                                        <w:right w:val="none" w:sz="0" w:space="0" w:color="auto"/>
                                                      </w:divBdr>
                                                      <w:divsChild>
                                                        <w:div w:id="623077403">
                                                          <w:marLeft w:val="-180"/>
                                                          <w:marRight w:val="-180"/>
                                                          <w:marTop w:val="0"/>
                                                          <w:marBottom w:val="0"/>
                                                          <w:divBdr>
                                                            <w:top w:val="none" w:sz="0" w:space="0" w:color="auto"/>
                                                            <w:left w:val="none" w:sz="0" w:space="0" w:color="auto"/>
                                                            <w:bottom w:val="none" w:sz="0" w:space="0" w:color="auto"/>
                                                            <w:right w:val="none" w:sz="0" w:space="0" w:color="auto"/>
                                                          </w:divBdr>
                                                          <w:divsChild>
                                                            <w:div w:id="442504384">
                                                              <w:marLeft w:val="0"/>
                                                              <w:marRight w:val="0"/>
                                                              <w:marTop w:val="0"/>
                                                              <w:marBottom w:val="0"/>
                                                              <w:divBdr>
                                                                <w:top w:val="none" w:sz="0" w:space="0" w:color="auto"/>
                                                                <w:left w:val="none" w:sz="0" w:space="0" w:color="auto"/>
                                                                <w:bottom w:val="none" w:sz="0" w:space="0" w:color="auto"/>
                                                                <w:right w:val="none" w:sz="0" w:space="0" w:color="auto"/>
                                                              </w:divBdr>
                                                              <w:divsChild>
                                                                <w:div w:id="14696957">
                                                                  <w:marLeft w:val="0"/>
                                                                  <w:marRight w:val="0"/>
                                                                  <w:marTop w:val="0"/>
                                                                  <w:marBottom w:val="0"/>
                                                                  <w:divBdr>
                                                                    <w:top w:val="none" w:sz="0" w:space="0" w:color="auto"/>
                                                                    <w:left w:val="none" w:sz="0" w:space="0" w:color="auto"/>
                                                                    <w:bottom w:val="none" w:sz="0" w:space="0" w:color="auto"/>
                                                                    <w:right w:val="none" w:sz="0" w:space="0" w:color="auto"/>
                                                                  </w:divBdr>
                                                                  <w:divsChild>
                                                                    <w:div w:id="1590653096">
                                                                      <w:marLeft w:val="0"/>
                                                                      <w:marRight w:val="0"/>
                                                                      <w:marTop w:val="0"/>
                                                                      <w:marBottom w:val="0"/>
                                                                      <w:divBdr>
                                                                        <w:top w:val="none" w:sz="0" w:space="0" w:color="auto"/>
                                                                        <w:left w:val="none" w:sz="0" w:space="0" w:color="auto"/>
                                                                        <w:bottom w:val="none" w:sz="0" w:space="0" w:color="auto"/>
                                                                        <w:right w:val="none" w:sz="0" w:space="0" w:color="auto"/>
                                                                      </w:divBdr>
                                                                      <w:divsChild>
                                                                        <w:div w:id="106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576547">
      <w:bodyDiv w:val="1"/>
      <w:marLeft w:val="0"/>
      <w:marRight w:val="0"/>
      <w:marTop w:val="0"/>
      <w:marBottom w:val="0"/>
      <w:divBdr>
        <w:top w:val="none" w:sz="0" w:space="0" w:color="auto"/>
        <w:left w:val="none" w:sz="0" w:space="0" w:color="auto"/>
        <w:bottom w:val="none" w:sz="0" w:space="0" w:color="auto"/>
        <w:right w:val="none" w:sz="0" w:space="0" w:color="auto"/>
      </w:divBdr>
    </w:div>
    <w:div w:id="857163708">
      <w:bodyDiv w:val="1"/>
      <w:marLeft w:val="0"/>
      <w:marRight w:val="0"/>
      <w:marTop w:val="0"/>
      <w:marBottom w:val="0"/>
      <w:divBdr>
        <w:top w:val="none" w:sz="0" w:space="0" w:color="auto"/>
        <w:left w:val="none" w:sz="0" w:space="0" w:color="auto"/>
        <w:bottom w:val="none" w:sz="0" w:space="0" w:color="auto"/>
        <w:right w:val="none" w:sz="0" w:space="0" w:color="auto"/>
      </w:divBdr>
      <w:divsChild>
        <w:div w:id="384569576">
          <w:marLeft w:val="0"/>
          <w:marRight w:val="0"/>
          <w:marTop w:val="0"/>
          <w:marBottom w:val="0"/>
          <w:divBdr>
            <w:top w:val="none" w:sz="0" w:space="0" w:color="auto"/>
            <w:left w:val="none" w:sz="0" w:space="0" w:color="auto"/>
            <w:bottom w:val="none" w:sz="0" w:space="0" w:color="auto"/>
            <w:right w:val="none" w:sz="0" w:space="0" w:color="auto"/>
          </w:divBdr>
          <w:divsChild>
            <w:div w:id="1145314700">
              <w:marLeft w:val="0"/>
              <w:marRight w:val="0"/>
              <w:marTop w:val="0"/>
              <w:marBottom w:val="0"/>
              <w:divBdr>
                <w:top w:val="none" w:sz="0" w:space="0" w:color="auto"/>
                <w:left w:val="none" w:sz="0" w:space="0" w:color="auto"/>
                <w:bottom w:val="none" w:sz="0" w:space="0" w:color="auto"/>
                <w:right w:val="none" w:sz="0" w:space="0" w:color="auto"/>
              </w:divBdr>
              <w:divsChild>
                <w:div w:id="603004632">
                  <w:marLeft w:val="0"/>
                  <w:marRight w:val="0"/>
                  <w:marTop w:val="0"/>
                  <w:marBottom w:val="0"/>
                  <w:divBdr>
                    <w:top w:val="none" w:sz="0" w:space="0" w:color="auto"/>
                    <w:left w:val="none" w:sz="0" w:space="0" w:color="auto"/>
                    <w:bottom w:val="none" w:sz="0" w:space="0" w:color="auto"/>
                    <w:right w:val="none" w:sz="0" w:space="0" w:color="auto"/>
                  </w:divBdr>
                  <w:divsChild>
                    <w:div w:id="1084837614">
                      <w:marLeft w:val="0"/>
                      <w:marRight w:val="0"/>
                      <w:marTop w:val="0"/>
                      <w:marBottom w:val="0"/>
                      <w:divBdr>
                        <w:top w:val="none" w:sz="0" w:space="0" w:color="auto"/>
                        <w:left w:val="none" w:sz="0" w:space="0" w:color="auto"/>
                        <w:bottom w:val="none" w:sz="0" w:space="0" w:color="auto"/>
                        <w:right w:val="none" w:sz="0" w:space="0" w:color="auto"/>
                      </w:divBdr>
                      <w:divsChild>
                        <w:div w:id="1277252659">
                          <w:marLeft w:val="0"/>
                          <w:marRight w:val="0"/>
                          <w:marTop w:val="0"/>
                          <w:marBottom w:val="0"/>
                          <w:divBdr>
                            <w:top w:val="none" w:sz="0" w:space="0" w:color="auto"/>
                            <w:left w:val="none" w:sz="0" w:space="0" w:color="auto"/>
                            <w:bottom w:val="none" w:sz="0" w:space="0" w:color="auto"/>
                            <w:right w:val="none" w:sz="0" w:space="0" w:color="auto"/>
                          </w:divBdr>
                          <w:divsChild>
                            <w:div w:id="1596985510">
                              <w:marLeft w:val="-225"/>
                              <w:marRight w:val="-225"/>
                              <w:marTop w:val="0"/>
                              <w:marBottom w:val="0"/>
                              <w:divBdr>
                                <w:top w:val="none" w:sz="0" w:space="0" w:color="auto"/>
                                <w:left w:val="none" w:sz="0" w:space="0" w:color="auto"/>
                                <w:bottom w:val="none" w:sz="0" w:space="0" w:color="auto"/>
                                <w:right w:val="none" w:sz="0" w:space="0" w:color="auto"/>
                              </w:divBdr>
                              <w:divsChild>
                                <w:div w:id="267006942">
                                  <w:marLeft w:val="0"/>
                                  <w:marRight w:val="0"/>
                                  <w:marTop w:val="0"/>
                                  <w:marBottom w:val="133"/>
                                  <w:divBdr>
                                    <w:top w:val="none" w:sz="0" w:space="0" w:color="auto"/>
                                    <w:left w:val="none" w:sz="0" w:space="0" w:color="auto"/>
                                    <w:bottom w:val="none" w:sz="0" w:space="0" w:color="auto"/>
                                    <w:right w:val="none" w:sz="0" w:space="0" w:color="auto"/>
                                  </w:divBdr>
                                  <w:divsChild>
                                    <w:div w:id="3023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175261">
      <w:bodyDiv w:val="1"/>
      <w:marLeft w:val="0"/>
      <w:marRight w:val="0"/>
      <w:marTop w:val="0"/>
      <w:marBottom w:val="0"/>
      <w:divBdr>
        <w:top w:val="none" w:sz="0" w:space="0" w:color="auto"/>
        <w:left w:val="none" w:sz="0" w:space="0" w:color="auto"/>
        <w:bottom w:val="none" w:sz="0" w:space="0" w:color="auto"/>
        <w:right w:val="none" w:sz="0" w:space="0" w:color="auto"/>
      </w:divBdr>
      <w:divsChild>
        <w:div w:id="303899439">
          <w:marLeft w:val="0"/>
          <w:marRight w:val="0"/>
          <w:marTop w:val="0"/>
          <w:marBottom w:val="0"/>
          <w:divBdr>
            <w:top w:val="none" w:sz="0" w:space="0" w:color="auto"/>
            <w:left w:val="none" w:sz="0" w:space="0" w:color="auto"/>
            <w:bottom w:val="none" w:sz="0" w:space="0" w:color="auto"/>
            <w:right w:val="none" w:sz="0" w:space="0" w:color="auto"/>
          </w:divBdr>
        </w:div>
        <w:div w:id="701439095">
          <w:marLeft w:val="0"/>
          <w:marRight w:val="0"/>
          <w:marTop w:val="0"/>
          <w:marBottom w:val="0"/>
          <w:divBdr>
            <w:top w:val="none" w:sz="0" w:space="0" w:color="auto"/>
            <w:left w:val="none" w:sz="0" w:space="0" w:color="auto"/>
            <w:bottom w:val="none" w:sz="0" w:space="0" w:color="auto"/>
            <w:right w:val="none" w:sz="0" w:space="0" w:color="auto"/>
          </w:divBdr>
        </w:div>
        <w:div w:id="1441416683">
          <w:marLeft w:val="0"/>
          <w:marRight w:val="0"/>
          <w:marTop w:val="0"/>
          <w:marBottom w:val="0"/>
          <w:divBdr>
            <w:top w:val="none" w:sz="0" w:space="0" w:color="auto"/>
            <w:left w:val="none" w:sz="0" w:space="0" w:color="auto"/>
            <w:bottom w:val="none" w:sz="0" w:space="0" w:color="auto"/>
            <w:right w:val="none" w:sz="0" w:space="0" w:color="auto"/>
          </w:divBdr>
        </w:div>
        <w:div w:id="1603300060">
          <w:marLeft w:val="0"/>
          <w:marRight w:val="0"/>
          <w:marTop w:val="0"/>
          <w:marBottom w:val="0"/>
          <w:divBdr>
            <w:top w:val="none" w:sz="0" w:space="0" w:color="auto"/>
            <w:left w:val="none" w:sz="0" w:space="0" w:color="auto"/>
            <w:bottom w:val="none" w:sz="0" w:space="0" w:color="auto"/>
            <w:right w:val="none" w:sz="0" w:space="0" w:color="auto"/>
          </w:divBdr>
        </w:div>
        <w:div w:id="1743327301">
          <w:marLeft w:val="0"/>
          <w:marRight w:val="0"/>
          <w:marTop w:val="0"/>
          <w:marBottom w:val="0"/>
          <w:divBdr>
            <w:top w:val="none" w:sz="0" w:space="0" w:color="auto"/>
            <w:left w:val="none" w:sz="0" w:space="0" w:color="auto"/>
            <w:bottom w:val="none" w:sz="0" w:space="0" w:color="auto"/>
            <w:right w:val="none" w:sz="0" w:space="0" w:color="auto"/>
          </w:divBdr>
        </w:div>
      </w:divsChild>
    </w:div>
    <w:div w:id="922907523">
      <w:bodyDiv w:val="1"/>
      <w:marLeft w:val="0"/>
      <w:marRight w:val="0"/>
      <w:marTop w:val="0"/>
      <w:marBottom w:val="0"/>
      <w:divBdr>
        <w:top w:val="none" w:sz="0" w:space="0" w:color="auto"/>
        <w:left w:val="none" w:sz="0" w:space="0" w:color="auto"/>
        <w:bottom w:val="none" w:sz="0" w:space="0" w:color="auto"/>
        <w:right w:val="none" w:sz="0" w:space="0" w:color="auto"/>
      </w:divBdr>
    </w:div>
    <w:div w:id="928268341">
      <w:bodyDiv w:val="1"/>
      <w:marLeft w:val="0"/>
      <w:marRight w:val="0"/>
      <w:marTop w:val="0"/>
      <w:marBottom w:val="0"/>
      <w:divBdr>
        <w:top w:val="none" w:sz="0" w:space="0" w:color="auto"/>
        <w:left w:val="none" w:sz="0" w:space="0" w:color="auto"/>
        <w:bottom w:val="none" w:sz="0" w:space="0" w:color="auto"/>
        <w:right w:val="none" w:sz="0" w:space="0" w:color="auto"/>
      </w:divBdr>
    </w:div>
    <w:div w:id="946235517">
      <w:bodyDiv w:val="1"/>
      <w:marLeft w:val="0"/>
      <w:marRight w:val="0"/>
      <w:marTop w:val="0"/>
      <w:marBottom w:val="0"/>
      <w:divBdr>
        <w:top w:val="none" w:sz="0" w:space="0" w:color="auto"/>
        <w:left w:val="none" w:sz="0" w:space="0" w:color="auto"/>
        <w:bottom w:val="none" w:sz="0" w:space="0" w:color="auto"/>
        <w:right w:val="none" w:sz="0" w:space="0" w:color="auto"/>
      </w:divBdr>
    </w:div>
    <w:div w:id="956374190">
      <w:bodyDiv w:val="1"/>
      <w:marLeft w:val="0"/>
      <w:marRight w:val="0"/>
      <w:marTop w:val="0"/>
      <w:marBottom w:val="0"/>
      <w:divBdr>
        <w:top w:val="none" w:sz="0" w:space="0" w:color="auto"/>
        <w:left w:val="none" w:sz="0" w:space="0" w:color="auto"/>
        <w:bottom w:val="none" w:sz="0" w:space="0" w:color="auto"/>
        <w:right w:val="none" w:sz="0" w:space="0" w:color="auto"/>
      </w:divBdr>
    </w:div>
    <w:div w:id="956910310">
      <w:bodyDiv w:val="1"/>
      <w:marLeft w:val="0"/>
      <w:marRight w:val="0"/>
      <w:marTop w:val="0"/>
      <w:marBottom w:val="0"/>
      <w:divBdr>
        <w:top w:val="none" w:sz="0" w:space="0" w:color="auto"/>
        <w:left w:val="none" w:sz="0" w:space="0" w:color="auto"/>
        <w:bottom w:val="none" w:sz="0" w:space="0" w:color="auto"/>
        <w:right w:val="none" w:sz="0" w:space="0" w:color="auto"/>
      </w:divBdr>
    </w:div>
    <w:div w:id="963928851">
      <w:bodyDiv w:val="1"/>
      <w:marLeft w:val="0"/>
      <w:marRight w:val="0"/>
      <w:marTop w:val="0"/>
      <w:marBottom w:val="0"/>
      <w:divBdr>
        <w:top w:val="none" w:sz="0" w:space="0" w:color="auto"/>
        <w:left w:val="none" w:sz="0" w:space="0" w:color="auto"/>
        <w:bottom w:val="none" w:sz="0" w:space="0" w:color="auto"/>
        <w:right w:val="none" w:sz="0" w:space="0" w:color="auto"/>
      </w:divBdr>
    </w:div>
    <w:div w:id="968630805">
      <w:bodyDiv w:val="1"/>
      <w:marLeft w:val="0"/>
      <w:marRight w:val="0"/>
      <w:marTop w:val="0"/>
      <w:marBottom w:val="0"/>
      <w:divBdr>
        <w:top w:val="none" w:sz="0" w:space="0" w:color="auto"/>
        <w:left w:val="none" w:sz="0" w:space="0" w:color="auto"/>
        <w:bottom w:val="none" w:sz="0" w:space="0" w:color="auto"/>
        <w:right w:val="none" w:sz="0" w:space="0" w:color="auto"/>
      </w:divBdr>
    </w:div>
    <w:div w:id="986012970">
      <w:bodyDiv w:val="1"/>
      <w:marLeft w:val="0"/>
      <w:marRight w:val="0"/>
      <w:marTop w:val="0"/>
      <w:marBottom w:val="0"/>
      <w:divBdr>
        <w:top w:val="none" w:sz="0" w:space="0" w:color="auto"/>
        <w:left w:val="none" w:sz="0" w:space="0" w:color="auto"/>
        <w:bottom w:val="none" w:sz="0" w:space="0" w:color="auto"/>
        <w:right w:val="none" w:sz="0" w:space="0" w:color="auto"/>
      </w:divBdr>
    </w:div>
    <w:div w:id="1034117773">
      <w:bodyDiv w:val="1"/>
      <w:marLeft w:val="0"/>
      <w:marRight w:val="0"/>
      <w:marTop w:val="0"/>
      <w:marBottom w:val="0"/>
      <w:divBdr>
        <w:top w:val="none" w:sz="0" w:space="0" w:color="auto"/>
        <w:left w:val="none" w:sz="0" w:space="0" w:color="auto"/>
        <w:bottom w:val="none" w:sz="0" w:space="0" w:color="auto"/>
        <w:right w:val="none" w:sz="0" w:space="0" w:color="auto"/>
      </w:divBdr>
    </w:div>
    <w:div w:id="1035354747">
      <w:bodyDiv w:val="1"/>
      <w:marLeft w:val="0"/>
      <w:marRight w:val="0"/>
      <w:marTop w:val="0"/>
      <w:marBottom w:val="0"/>
      <w:divBdr>
        <w:top w:val="none" w:sz="0" w:space="0" w:color="auto"/>
        <w:left w:val="none" w:sz="0" w:space="0" w:color="auto"/>
        <w:bottom w:val="none" w:sz="0" w:space="0" w:color="auto"/>
        <w:right w:val="none" w:sz="0" w:space="0" w:color="auto"/>
      </w:divBdr>
    </w:div>
    <w:div w:id="1037707069">
      <w:bodyDiv w:val="1"/>
      <w:marLeft w:val="0"/>
      <w:marRight w:val="0"/>
      <w:marTop w:val="0"/>
      <w:marBottom w:val="0"/>
      <w:divBdr>
        <w:top w:val="none" w:sz="0" w:space="0" w:color="auto"/>
        <w:left w:val="none" w:sz="0" w:space="0" w:color="auto"/>
        <w:bottom w:val="none" w:sz="0" w:space="0" w:color="auto"/>
        <w:right w:val="none" w:sz="0" w:space="0" w:color="auto"/>
      </w:divBdr>
    </w:div>
    <w:div w:id="1053848113">
      <w:bodyDiv w:val="1"/>
      <w:marLeft w:val="0"/>
      <w:marRight w:val="0"/>
      <w:marTop w:val="0"/>
      <w:marBottom w:val="0"/>
      <w:divBdr>
        <w:top w:val="none" w:sz="0" w:space="0" w:color="auto"/>
        <w:left w:val="none" w:sz="0" w:space="0" w:color="auto"/>
        <w:bottom w:val="none" w:sz="0" w:space="0" w:color="auto"/>
        <w:right w:val="none" w:sz="0" w:space="0" w:color="auto"/>
      </w:divBdr>
    </w:div>
    <w:div w:id="1062874348">
      <w:bodyDiv w:val="1"/>
      <w:marLeft w:val="0"/>
      <w:marRight w:val="0"/>
      <w:marTop w:val="0"/>
      <w:marBottom w:val="0"/>
      <w:divBdr>
        <w:top w:val="none" w:sz="0" w:space="0" w:color="auto"/>
        <w:left w:val="none" w:sz="0" w:space="0" w:color="auto"/>
        <w:bottom w:val="none" w:sz="0" w:space="0" w:color="auto"/>
        <w:right w:val="none" w:sz="0" w:space="0" w:color="auto"/>
      </w:divBdr>
    </w:div>
    <w:div w:id="1089471907">
      <w:bodyDiv w:val="1"/>
      <w:marLeft w:val="0"/>
      <w:marRight w:val="0"/>
      <w:marTop w:val="0"/>
      <w:marBottom w:val="0"/>
      <w:divBdr>
        <w:top w:val="none" w:sz="0" w:space="0" w:color="auto"/>
        <w:left w:val="none" w:sz="0" w:space="0" w:color="auto"/>
        <w:bottom w:val="none" w:sz="0" w:space="0" w:color="auto"/>
        <w:right w:val="none" w:sz="0" w:space="0" w:color="auto"/>
      </w:divBdr>
    </w:div>
    <w:div w:id="1115906899">
      <w:bodyDiv w:val="1"/>
      <w:marLeft w:val="0"/>
      <w:marRight w:val="0"/>
      <w:marTop w:val="0"/>
      <w:marBottom w:val="0"/>
      <w:divBdr>
        <w:top w:val="none" w:sz="0" w:space="0" w:color="auto"/>
        <w:left w:val="none" w:sz="0" w:space="0" w:color="auto"/>
        <w:bottom w:val="none" w:sz="0" w:space="0" w:color="auto"/>
        <w:right w:val="none" w:sz="0" w:space="0" w:color="auto"/>
      </w:divBdr>
    </w:div>
    <w:div w:id="1143228947">
      <w:bodyDiv w:val="1"/>
      <w:marLeft w:val="0"/>
      <w:marRight w:val="0"/>
      <w:marTop w:val="0"/>
      <w:marBottom w:val="0"/>
      <w:divBdr>
        <w:top w:val="none" w:sz="0" w:space="0" w:color="auto"/>
        <w:left w:val="none" w:sz="0" w:space="0" w:color="auto"/>
        <w:bottom w:val="none" w:sz="0" w:space="0" w:color="auto"/>
        <w:right w:val="none" w:sz="0" w:space="0" w:color="auto"/>
      </w:divBdr>
    </w:div>
    <w:div w:id="1152714501">
      <w:bodyDiv w:val="1"/>
      <w:marLeft w:val="0"/>
      <w:marRight w:val="0"/>
      <w:marTop w:val="0"/>
      <w:marBottom w:val="0"/>
      <w:divBdr>
        <w:top w:val="none" w:sz="0" w:space="0" w:color="auto"/>
        <w:left w:val="none" w:sz="0" w:space="0" w:color="auto"/>
        <w:bottom w:val="none" w:sz="0" w:space="0" w:color="auto"/>
        <w:right w:val="none" w:sz="0" w:space="0" w:color="auto"/>
      </w:divBdr>
    </w:div>
    <w:div w:id="1170027898">
      <w:bodyDiv w:val="1"/>
      <w:marLeft w:val="0"/>
      <w:marRight w:val="0"/>
      <w:marTop w:val="0"/>
      <w:marBottom w:val="0"/>
      <w:divBdr>
        <w:top w:val="none" w:sz="0" w:space="0" w:color="auto"/>
        <w:left w:val="none" w:sz="0" w:space="0" w:color="auto"/>
        <w:bottom w:val="none" w:sz="0" w:space="0" w:color="auto"/>
        <w:right w:val="none" w:sz="0" w:space="0" w:color="auto"/>
      </w:divBdr>
    </w:div>
    <w:div w:id="1174496443">
      <w:bodyDiv w:val="1"/>
      <w:marLeft w:val="0"/>
      <w:marRight w:val="0"/>
      <w:marTop w:val="0"/>
      <w:marBottom w:val="0"/>
      <w:divBdr>
        <w:top w:val="none" w:sz="0" w:space="0" w:color="auto"/>
        <w:left w:val="none" w:sz="0" w:space="0" w:color="auto"/>
        <w:bottom w:val="none" w:sz="0" w:space="0" w:color="auto"/>
        <w:right w:val="none" w:sz="0" w:space="0" w:color="auto"/>
      </w:divBdr>
    </w:div>
    <w:div w:id="1175148365">
      <w:bodyDiv w:val="1"/>
      <w:marLeft w:val="0"/>
      <w:marRight w:val="0"/>
      <w:marTop w:val="0"/>
      <w:marBottom w:val="0"/>
      <w:divBdr>
        <w:top w:val="none" w:sz="0" w:space="0" w:color="auto"/>
        <w:left w:val="none" w:sz="0" w:space="0" w:color="auto"/>
        <w:bottom w:val="none" w:sz="0" w:space="0" w:color="auto"/>
        <w:right w:val="none" w:sz="0" w:space="0" w:color="auto"/>
      </w:divBdr>
    </w:div>
    <w:div w:id="1202474947">
      <w:bodyDiv w:val="1"/>
      <w:marLeft w:val="0"/>
      <w:marRight w:val="0"/>
      <w:marTop w:val="0"/>
      <w:marBottom w:val="0"/>
      <w:divBdr>
        <w:top w:val="none" w:sz="0" w:space="0" w:color="auto"/>
        <w:left w:val="none" w:sz="0" w:space="0" w:color="auto"/>
        <w:bottom w:val="none" w:sz="0" w:space="0" w:color="auto"/>
        <w:right w:val="none" w:sz="0" w:space="0" w:color="auto"/>
      </w:divBdr>
    </w:div>
    <w:div w:id="1288123358">
      <w:bodyDiv w:val="1"/>
      <w:marLeft w:val="0"/>
      <w:marRight w:val="0"/>
      <w:marTop w:val="0"/>
      <w:marBottom w:val="0"/>
      <w:divBdr>
        <w:top w:val="none" w:sz="0" w:space="0" w:color="auto"/>
        <w:left w:val="none" w:sz="0" w:space="0" w:color="auto"/>
        <w:bottom w:val="none" w:sz="0" w:space="0" w:color="auto"/>
        <w:right w:val="none" w:sz="0" w:space="0" w:color="auto"/>
      </w:divBdr>
    </w:div>
    <w:div w:id="1297103018">
      <w:bodyDiv w:val="1"/>
      <w:marLeft w:val="0"/>
      <w:marRight w:val="0"/>
      <w:marTop w:val="0"/>
      <w:marBottom w:val="0"/>
      <w:divBdr>
        <w:top w:val="none" w:sz="0" w:space="0" w:color="auto"/>
        <w:left w:val="none" w:sz="0" w:space="0" w:color="auto"/>
        <w:bottom w:val="none" w:sz="0" w:space="0" w:color="auto"/>
        <w:right w:val="none" w:sz="0" w:space="0" w:color="auto"/>
      </w:divBdr>
    </w:div>
    <w:div w:id="1304235338">
      <w:bodyDiv w:val="1"/>
      <w:marLeft w:val="0"/>
      <w:marRight w:val="0"/>
      <w:marTop w:val="0"/>
      <w:marBottom w:val="0"/>
      <w:divBdr>
        <w:top w:val="none" w:sz="0" w:space="0" w:color="auto"/>
        <w:left w:val="none" w:sz="0" w:space="0" w:color="auto"/>
        <w:bottom w:val="none" w:sz="0" w:space="0" w:color="auto"/>
        <w:right w:val="none" w:sz="0" w:space="0" w:color="auto"/>
      </w:divBdr>
    </w:div>
    <w:div w:id="1339819049">
      <w:bodyDiv w:val="1"/>
      <w:marLeft w:val="0"/>
      <w:marRight w:val="0"/>
      <w:marTop w:val="0"/>
      <w:marBottom w:val="0"/>
      <w:divBdr>
        <w:top w:val="none" w:sz="0" w:space="0" w:color="auto"/>
        <w:left w:val="none" w:sz="0" w:space="0" w:color="auto"/>
        <w:bottom w:val="none" w:sz="0" w:space="0" w:color="auto"/>
        <w:right w:val="none" w:sz="0" w:space="0" w:color="auto"/>
      </w:divBdr>
    </w:div>
    <w:div w:id="1357733554">
      <w:bodyDiv w:val="1"/>
      <w:marLeft w:val="0"/>
      <w:marRight w:val="0"/>
      <w:marTop w:val="0"/>
      <w:marBottom w:val="0"/>
      <w:divBdr>
        <w:top w:val="none" w:sz="0" w:space="0" w:color="auto"/>
        <w:left w:val="none" w:sz="0" w:space="0" w:color="auto"/>
        <w:bottom w:val="none" w:sz="0" w:space="0" w:color="auto"/>
        <w:right w:val="none" w:sz="0" w:space="0" w:color="auto"/>
      </w:divBdr>
    </w:div>
    <w:div w:id="1362894796">
      <w:bodyDiv w:val="1"/>
      <w:marLeft w:val="0"/>
      <w:marRight w:val="0"/>
      <w:marTop w:val="0"/>
      <w:marBottom w:val="0"/>
      <w:divBdr>
        <w:top w:val="none" w:sz="0" w:space="0" w:color="auto"/>
        <w:left w:val="none" w:sz="0" w:space="0" w:color="auto"/>
        <w:bottom w:val="none" w:sz="0" w:space="0" w:color="auto"/>
        <w:right w:val="none" w:sz="0" w:space="0" w:color="auto"/>
      </w:divBdr>
    </w:div>
    <w:div w:id="1368946028">
      <w:bodyDiv w:val="1"/>
      <w:marLeft w:val="0"/>
      <w:marRight w:val="0"/>
      <w:marTop w:val="0"/>
      <w:marBottom w:val="0"/>
      <w:divBdr>
        <w:top w:val="none" w:sz="0" w:space="0" w:color="auto"/>
        <w:left w:val="none" w:sz="0" w:space="0" w:color="auto"/>
        <w:bottom w:val="none" w:sz="0" w:space="0" w:color="auto"/>
        <w:right w:val="none" w:sz="0" w:space="0" w:color="auto"/>
      </w:divBdr>
    </w:div>
    <w:div w:id="1422096702">
      <w:bodyDiv w:val="1"/>
      <w:marLeft w:val="0"/>
      <w:marRight w:val="0"/>
      <w:marTop w:val="0"/>
      <w:marBottom w:val="0"/>
      <w:divBdr>
        <w:top w:val="none" w:sz="0" w:space="0" w:color="auto"/>
        <w:left w:val="none" w:sz="0" w:space="0" w:color="auto"/>
        <w:bottom w:val="none" w:sz="0" w:space="0" w:color="auto"/>
        <w:right w:val="none" w:sz="0" w:space="0" w:color="auto"/>
      </w:divBdr>
    </w:div>
    <w:div w:id="1490950157">
      <w:bodyDiv w:val="1"/>
      <w:marLeft w:val="0"/>
      <w:marRight w:val="0"/>
      <w:marTop w:val="0"/>
      <w:marBottom w:val="0"/>
      <w:divBdr>
        <w:top w:val="none" w:sz="0" w:space="0" w:color="auto"/>
        <w:left w:val="none" w:sz="0" w:space="0" w:color="auto"/>
        <w:bottom w:val="none" w:sz="0" w:space="0" w:color="auto"/>
        <w:right w:val="none" w:sz="0" w:space="0" w:color="auto"/>
      </w:divBdr>
    </w:div>
    <w:div w:id="1539122319">
      <w:bodyDiv w:val="1"/>
      <w:marLeft w:val="0"/>
      <w:marRight w:val="0"/>
      <w:marTop w:val="0"/>
      <w:marBottom w:val="0"/>
      <w:divBdr>
        <w:top w:val="none" w:sz="0" w:space="0" w:color="auto"/>
        <w:left w:val="none" w:sz="0" w:space="0" w:color="auto"/>
        <w:bottom w:val="none" w:sz="0" w:space="0" w:color="auto"/>
        <w:right w:val="none" w:sz="0" w:space="0" w:color="auto"/>
      </w:divBdr>
    </w:div>
    <w:div w:id="1554191890">
      <w:bodyDiv w:val="1"/>
      <w:marLeft w:val="0"/>
      <w:marRight w:val="0"/>
      <w:marTop w:val="0"/>
      <w:marBottom w:val="0"/>
      <w:divBdr>
        <w:top w:val="none" w:sz="0" w:space="0" w:color="auto"/>
        <w:left w:val="none" w:sz="0" w:space="0" w:color="auto"/>
        <w:bottom w:val="none" w:sz="0" w:space="0" w:color="auto"/>
        <w:right w:val="none" w:sz="0" w:space="0" w:color="auto"/>
      </w:divBdr>
    </w:div>
    <w:div w:id="1558858962">
      <w:bodyDiv w:val="1"/>
      <w:marLeft w:val="0"/>
      <w:marRight w:val="0"/>
      <w:marTop w:val="0"/>
      <w:marBottom w:val="0"/>
      <w:divBdr>
        <w:top w:val="none" w:sz="0" w:space="0" w:color="auto"/>
        <w:left w:val="none" w:sz="0" w:space="0" w:color="auto"/>
        <w:bottom w:val="none" w:sz="0" w:space="0" w:color="auto"/>
        <w:right w:val="none" w:sz="0" w:space="0" w:color="auto"/>
      </w:divBdr>
    </w:div>
    <w:div w:id="1562906534">
      <w:bodyDiv w:val="1"/>
      <w:marLeft w:val="0"/>
      <w:marRight w:val="0"/>
      <w:marTop w:val="0"/>
      <w:marBottom w:val="0"/>
      <w:divBdr>
        <w:top w:val="none" w:sz="0" w:space="0" w:color="auto"/>
        <w:left w:val="none" w:sz="0" w:space="0" w:color="auto"/>
        <w:bottom w:val="none" w:sz="0" w:space="0" w:color="auto"/>
        <w:right w:val="none" w:sz="0" w:space="0" w:color="auto"/>
      </w:divBdr>
    </w:div>
    <w:div w:id="1579050749">
      <w:bodyDiv w:val="1"/>
      <w:marLeft w:val="0"/>
      <w:marRight w:val="0"/>
      <w:marTop w:val="0"/>
      <w:marBottom w:val="0"/>
      <w:divBdr>
        <w:top w:val="none" w:sz="0" w:space="0" w:color="auto"/>
        <w:left w:val="none" w:sz="0" w:space="0" w:color="auto"/>
        <w:bottom w:val="none" w:sz="0" w:space="0" w:color="auto"/>
        <w:right w:val="none" w:sz="0" w:space="0" w:color="auto"/>
      </w:divBdr>
    </w:div>
    <w:div w:id="1620839400">
      <w:bodyDiv w:val="1"/>
      <w:marLeft w:val="0"/>
      <w:marRight w:val="0"/>
      <w:marTop w:val="0"/>
      <w:marBottom w:val="0"/>
      <w:divBdr>
        <w:top w:val="none" w:sz="0" w:space="0" w:color="auto"/>
        <w:left w:val="none" w:sz="0" w:space="0" w:color="auto"/>
        <w:bottom w:val="none" w:sz="0" w:space="0" w:color="auto"/>
        <w:right w:val="none" w:sz="0" w:space="0" w:color="auto"/>
      </w:divBdr>
    </w:div>
    <w:div w:id="1666124783">
      <w:bodyDiv w:val="1"/>
      <w:marLeft w:val="0"/>
      <w:marRight w:val="0"/>
      <w:marTop w:val="0"/>
      <w:marBottom w:val="0"/>
      <w:divBdr>
        <w:top w:val="none" w:sz="0" w:space="0" w:color="auto"/>
        <w:left w:val="none" w:sz="0" w:space="0" w:color="auto"/>
        <w:bottom w:val="none" w:sz="0" w:space="0" w:color="auto"/>
        <w:right w:val="none" w:sz="0" w:space="0" w:color="auto"/>
      </w:divBdr>
    </w:div>
    <w:div w:id="1674410561">
      <w:bodyDiv w:val="1"/>
      <w:marLeft w:val="0"/>
      <w:marRight w:val="0"/>
      <w:marTop w:val="0"/>
      <w:marBottom w:val="0"/>
      <w:divBdr>
        <w:top w:val="none" w:sz="0" w:space="0" w:color="auto"/>
        <w:left w:val="none" w:sz="0" w:space="0" w:color="auto"/>
        <w:bottom w:val="none" w:sz="0" w:space="0" w:color="auto"/>
        <w:right w:val="none" w:sz="0" w:space="0" w:color="auto"/>
      </w:divBdr>
    </w:div>
    <w:div w:id="1710452589">
      <w:bodyDiv w:val="1"/>
      <w:marLeft w:val="0"/>
      <w:marRight w:val="0"/>
      <w:marTop w:val="0"/>
      <w:marBottom w:val="0"/>
      <w:divBdr>
        <w:top w:val="none" w:sz="0" w:space="0" w:color="auto"/>
        <w:left w:val="none" w:sz="0" w:space="0" w:color="auto"/>
        <w:bottom w:val="none" w:sz="0" w:space="0" w:color="auto"/>
        <w:right w:val="none" w:sz="0" w:space="0" w:color="auto"/>
      </w:divBdr>
    </w:div>
    <w:div w:id="1724908724">
      <w:bodyDiv w:val="1"/>
      <w:marLeft w:val="0"/>
      <w:marRight w:val="0"/>
      <w:marTop w:val="0"/>
      <w:marBottom w:val="0"/>
      <w:divBdr>
        <w:top w:val="none" w:sz="0" w:space="0" w:color="auto"/>
        <w:left w:val="none" w:sz="0" w:space="0" w:color="auto"/>
        <w:bottom w:val="none" w:sz="0" w:space="0" w:color="auto"/>
        <w:right w:val="none" w:sz="0" w:space="0" w:color="auto"/>
      </w:divBdr>
    </w:div>
    <w:div w:id="1762994582">
      <w:bodyDiv w:val="1"/>
      <w:marLeft w:val="0"/>
      <w:marRight w:val="0"/>
      <w:marTop w:val="0"/>
      <w:marBottom w:val="0"/>
      <w:divBdr>
        <w:top w:val="none" w:sz="0" w:space="0" w:color="auto"/>
        <w:left w:val="none" w:sz="0" w:space="0" w:color="auto"/>
        <w:bottom w:val="none" w:sz="0" w:space="0" w:color="auto"/>
        <w:right w:val="none" w:sz="0" w:space="0" w:color="auto"/>
      </w:divBdr>
    </w:div>
    <w:div w:id="1817066552">
      <w:bodyDiv w:val="1"/>
      <w:marLeft w:val="0"/>
      <w:marRight w:val="0"/>
      <w:marTop w:val="0"/>
      <w:marBottom w:val="0"/>
      <w:divBdr>
        <w:top w:val="none" w:sz="0" w:space="0" w:color="auto"/>
        <w:left w:val="none" w:sz="0" w:space="0" w:color="auto"/>
        <w:bottom w:val="none" w:sz="0" w:space="0" w:color="auto"/>
        <w:right w:val="none" w:sz="0" w:space="0" w:color="auto"/>
      </w:divBdr>
    </w:div>
    <w:div w:id="1820879658">
      <w:bodyDiv w:val="1"/>
      <w:marLeft w:val="0"/>
      <w:marRight w:val="0"/>
      <w:marTop w:val="0"/>
      <w:marBottom w:val="0"/>
      <w:divBdr>
        <w:top w:val="none" w:sz="0" w:space="0" w:color="auto"/>
        <w:left w:val="none" w:sz="0" w:space="0" w:color="auto"/>
        <w:bottom w:val="none" w:sz="0" w:space="0" w:color="auto"/>
        <w:right w:val="none" w:sz="0" w:space="0" w:color="auto"/>
      </w:divBdr>
    </w:div>
    <w:div w:id="1829976105">
      <w:bodyDiv w:val="1"/>
      <w:marLeft w:val="0"/>
      <w:marRight w:val="0"/>
      <w:marTop w:val="0"/>
      <w:marBottom w:val="0"/>
      <w:divBdr>
        <w:top w:val="none" w:sz="0" w:space="0" w:color="auto"/>
        <w:left w:val="none" w:sz="0" w:space="0" w:color="auto"/>
        <w:bottom w:val="none" w:sz="0" w:space="0" w:color="auto"/>
        <w:right w:val="none" w:sz="0" w:space="0" w:color="auto"/>
      </w:divBdr>
    </w:div>
    <w:div w:id="1846168020">
      <w:bodyDiv w:val="1"/>
      <w:marLeft w:val="0"/>
      <w:marRight w:val="0"/>
      <w:marTop w:val="0"/>
      <w:marBottom w:val="0"/>
      <w:divBdr>
        <w:top w:val="none" w:sz="0" w:space="0" w:color="auto"/>
        <w:left w:val="none" w:sz="0" w:space="0" w:color="auto"/>
        <w:bottom w:val="none" w:sz="0" w:space="0" w:color="auto"/>
        <w:right w:val="none" w:sz="0" w:space="0" w:color="auto"/>
      </w:divBdr>
    </w:div>
    <w:div w:id="1848014453">
      <w:bodyDiv w:val="1"/>
      <w:marLeft w:val="0"/>
      <w:marRight w:val="0"/>
      <w:marTop w:val="0"/>
      <w:marBottom w:val="0"/>
      <w:divBdr>
        <w:top w:val="none" w:sz="0" w:space="0" w:color="auto"/>
        <w:left w:val="none" w:sz="0" w:space="0" w:color="auto"/>
        <w:bottom w:val="none" w:sz="0" w:space="0" w:color="auto"/>
        <w:right w:val="none" w:sz="0" w:space="0" w:color="auto"/>
      </w:divBdr>
    </w:div>
    <w:div w:id="1857621644">
      <w:bodyDiv w:val="1"/>
      <w:marLeft w:val="0"/>
      <w:marRight w:val="0"/>
      <w:marTop w:val="0"/>
      <w:marBottom w:val="0"/>
      <w:divBdr>
        <w:top w:val="none" w:sz="0" w:space="0" w:color="auto"/>
        <w:left w:val="none" w:sz="0" w:space="0" w:color="auto"/>
        <w:bottom w:val="none" w:sz="0" w:space="0" w:color="auto"/>
        <w:right w:val="none" w:sz="0" w:space="0" w:color="auto"/>
      </w:divBdr>
    </w:div>
    <w:div w:id="1870487796">
      <w:bodyDiv w:val="1"/>
      <w:marLeft w:val="0"/>
      <w:marRight w:val="0"/>
      <w:marTop w:val="0"/>
      <w:marBottom w:val="0"/>
      <w:divBdr>
        <w:top w:val="none" w:sz="0" w:space="0" w:color="auto"/>
        <w:left w:val="none" w:sz="0" w:space="0" w:color="auto"/>
        <w:bottom w:val="none" w:sz="0" w:space="0" w:color="auto"/>
        <w:right w:val="none" w:sz="0" w:space="0" w:color="auto"/>
      </w:divBdr>
    </w:div>
    <w:div w:id="1874463715">
      <w:bodyDiv w:val="1"/>
      <w:marLeft w:val="0"/>
      <w:marRight w:val="0"/>
      <w:marTop w:val="0"/>
      <w:marBottom w:val="0"/>
      <w:divBdr>
        <w:top w:val="none" w:sz="0" w:space="0" w:color="auto"/>
        <w:left w:val="none" w:sz="0" w:space="0" w:color="auto"/>
        <w:bottom w:val="none" w:sz="0" w:space="0" w:color="auto"/>
        <w:right w:val="none" w:sz="0" w:space="0" w:color="auto"/>
      </w:divBdr>
    </w:div>
    <w:div w:id="1938515457">
      <w:bodyDiv w:val="1"/>
      <w:marLeft w:val="0"/>
      <w:marRight w:val="0"/>
      <w:marTop w:val="0"/>
      <w:marBottom w:val="0"/>
      <w:divBdr>
        <w:top w:val="none" w:sz="0" w:space="0" w:color="auto"/>
        <w:left w:val="none" w:sz="0" w:space="0" w:color="auto"/>
        <w:bottom w:val="none" w:sz="0" w:space="0" w:color="auto"/>
        <w:right w:val="none" w:sz="0" w:space="0" w:color="auto"/>
      </w:divBdr>
    </w:div>
    <w:div w:id="1975064939">
      <w:bodyDiv w:val="1"/>
      <w:marLeft w:val="0"/>
      <w:marRight w:val="0"/>
      <w:marTop w:val="0"/>
      <w:marBottom w:val="0"/>
      <w:divBdr>
        <w:top w:val="none" w:sz="0" w:space="0" w:color="auto"/>
        <w:left w:val="none" w:sz="0" w:space="0" w:color="auto"/>
        <w:bottom w:val="none" w:sz="0" w:space="0" w:color="auto"/>
        <w:right w:val="none" w:sz="0" w:space="0" w:color="auto"/>
      </w:divBdr>
    </w:div>
    <w:div w:id="2036493993">
      <w:bodyDiv w:val="1"/>
      <w:marLeft w:val="0"/>
      <w:marRight w:val="0"/>
      <w:marTop w:val="0"/>
      <w:marBottom w:val="0"/>
      <w:divBdr>
        <w:top w:val="none" w:sz="0" w:space="0" w:color="auto"/>
        <w:left w:val="none" w:sz="0" w:space="0" w:color="auto"/>
        <w:bottom w:val="none" w:sz="0" w:space="0" w:color="auto"/>
        <w:right w:val="none" w:sz="0" w:space="0" w:color="auto"/>
      </w:divBdr>
    </w:div>
    <w:div w:id="2047292501">
      <w:bodyDiv w:val="1"/>
      <w:marLeft w:val="0"/>
      <w:marRight w:val="0"/>
      <w:marTop w:val="0"/>
      <w:marBottom w:val="0"/>
      <w:divBdr>
        <w:top w:val="none" w:sz="0" w:space="0" w:color="auto"/>
        <w:left w:val="none" w:sz="0" w:space="0" w:color="auto"/>
        <w:bottom w:val="none" w:sz="0" w:space="0" w:color="auto"/>
        <w:right w:val="none" w:sz="0" w:space="0" w:color="auto"/>
      </w:divBdr>
    </w:div>
    <w:div w:id="20877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27.emf"/><Relationship Id="rId21" Type="http://schemas.openxmlformats.org/officeDocument/2006/relationships/footer" Target="footer4.xml"/><Relationship Id="rId42" Type="http://schemas.openxmlformats.org/officeDocument/2006/relationships/footer" Target="footer15.xml"/><Relationship Id="rId63" Type="http://schemas.openxmlformats.org/officeDocument/2006/relationships/header" Target="header26.xml"/><Relationship Id="rId84" Type="http://schemas.openxmlformats.org/officeDocument/2006/relationships/footer" Target="footer35.xml"/><Relationship Id="rId138" Type="http://schemas.openxmlformats.org/officeDocument/2006/relationships/image" Target="media/image37.emf"/><Relationship Id="rId159" Type="http://schemas.openxmlformats.org/officeDocument/2006/relationships/image" Target="media/image57.emf"/><Relationship Id="rId170" Type="http://schemas.openxmlformats.org/officeDocument/2006/relationships/image" Target="media/image68.emf"/><Relationship Id="rId191" Type="http://schemas.openxmlformats.org/officeDocument/2006/relationships/hyperlink" Target="https://www.facingfacts.eu/" TargetMode="External"/><Relationship Id="rId205" Type="http://schemas.openxmlformats.org/officeDocument/2006/relationships/image" Target="media/image100.emf"/><Relationship Id="rId226" Type="http://schemas.openxmlformats.org/officeDocument/2006/relationships/footer" Target="footer41.xml"/><Relationship Id="rId247" Type="http://schemas.openxmlformats.org/officeDocument/2006/relationships/header" Target="header43.xml"/><Relationship Id="rId107" Type="http://schemas.openxmlformats.org/officeDocument/2006/relationships/hyperlink" Target="http://ec.europa.eu/docsroom/documents/19442" TargetMode="Externa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footer" Target="footer20.xml"/><Relationship Id="rId74" Type="http://schemas.openxmlformats.org/officeDocument/2006/relationships/footer" Target="footer30.xml"/><Relationship Id="rId128" Type="http://schemas.openxmlformats.org/officeDocument/2006/relationships/diagramQuickStyle" Target="diagrams/quickStyle1.xml"/><Relationship Id="rId149" Type="http://schemas.openxmlformats.org/officeDocument/2006/relationships/image" Target="media/image47.emf"/><Relationship Id="rId5" Type="http://schemas.openxmlformats.org/officeDocument/2006/relationships/customXml" Target="../customXml/item4.xml"/><Relationship Id="rId95" Type="http://schemas.openxmlformats.org/officeDocument/2006/relationships/image" Target="media/image8.emf"/><Relationship Id="rId160" Type="http://schemas.openxmlformats.org/officeDocument/2006/relationships/image" Target="media/image58.emf"/><Relationship Id="rId181" Type="http://schemas.openxmlformats.org/officeDocument/2006/relationships/image" Target="media/image78.emf"/><Relationship Id="rId216" Type="http://schemas.openxmlformats.org/officeDocument/2006/relationships/image" Target="media/image111.emf"/><Relationship Id="rId237" Type="http://schemas.openxmlformats.org/officeDocument/2006/relationships/diagramLayout" Target="diagrams/layout3.xml"/><Relationship Id="rId258" Type="http://schemas.openxmlformats.org/officeDocument/2006/relationships/footer" Target="footer48.xml"/><Relationship Id="rId22" Type="http://schemas.openxmlformats.org/officeDocument/2006/relationships/footer" Target="footer5.xml"/><Relationship Id="rId43" Type="http://schemas.openxmlformats.org/officeDocument/2006/relationships/image" Target="media/image2.jpeg"/><Relationship Id="rId64" Type="http://schemas.openxmlformats.org/officeDocument/2006/relationships/footer" Target="footer25.xml"/><Relationship Id="rId118" Type="http://schemas.openxmlformats.org/officeDocument/2006/relationships/image" Target="media/image28.emf"/><Relationship Id="rId139" Type="http://schemas.openxmlformats.org/officeDocument/2006/relationships/image" Target="media/image38.emf"/><Relationship Id="rId85" Type="http://schemas.openxmlformats.org/officeDocument/2006/relationships/header" Target="header36.xml"/><Relationship Id="rId150" Type="http://schemas.openxmlformats.org/officeDocument/2006/relationships/image" Target="media/image48.emf"/><Relationship Id="rId171" Type="http://schemas.openxmlformats.org/officeDocument/2006/relationships/image" Target="media/image69.emf"/><Relationship Id="rId192" Type="http://schemas.openxmlformats.org/officeDocument/2006/relationships/image" Target="media/image87.jpeg"/><Relationship Id="rId206" Type="http://schemas.openxmlformats.org/officeDocument/2006/relationships/image" Target="media/image101.emf"/><Relationship Id="rId227" Type="http://schemas.openxmlformats.org/officeDocument/2006/relationships/header" Target="header42.xml"/><Relationship Id="rId248" Type="http://schemas.openxmlformats.org/officeDocument/2006/relationships/header" Target="header44.xml"/><Relationship Id="rId12" Type="http://schemas.openxmlformats.org/officeDocument/2006/relationships/image" Target="media/image1.emf"/><Relationship Id="rId33" Type="http://schemas.openxmlformats.org/officeDocument/2006/relationships/footer" Target="footer10.xml"/><Relationship Id="rId108" Type="http://schemas.openxmlformats.org/officeDocument/2006/relationships/image" Target="media/image20.jpeg"/><Relationship Id="rId129" Type="http://schemas.openxmlformats.org/officeDocument/2006/relationships/diagramColors" Target="diagrams/colors1.xml"/><Relationship Id="rId54" Type="http://schemas.openxmlformats.org/officeDocument/2006/relationships/header" Target="header21.xml"/><Relationship Id="rId75" Type="http://schemas.openxmlformats.org/officeDocument/2006/relationships/header" Target="header31.xml"/><Relationship Id="rId96" Type="http://schemas.openxmlformats.org/officeDocument/2006/relationships/image" Target="media/image9.emf"/><Relationship Id="rId140" Type="http://schemas.openxmlformats.org/officeDocument/2006/relationships/hyperlink" Target="https://cohesiondata.ec.europa.eu/" TargetMode="External"/><Relationship Id="rId161" Type="http://schemas.openxmlformats.org/officeDocument/2006/relationships/image" Target="media/image59.emf"/><Relationship Id="rId182" Type="http://schemas.openxmlformats.org/officeDocument/2006/relationships/image" Target="media/image79.emf"/><Relationship Id="rId217" Type="http://schemas.openxmlformats.org/officeDocument/2006/relationships/image" Target="media/image112.emf"/><Relationship Id="rId1" Type="http://schemas.microsoft.com/office/2006/relationships/keyMapCustomizations" Target="customizations.xml"/><Relationship Id="rId6" Type="http://schemas.openxmlformats.org/officeDocument/2006/relationships/numbering" Target="numbering.xml"/><Relationship Id="rId212" Type="http://schemas.openxmlformats.org/officeDocument/2006/relationships/image" Target="media/image107.emf"/><Relationship Id="rId233" Type="http://schemas.openxmlformats.org/officeDocument/2006/relationships/image" Target="media/image122.emf"/><Relationship Id="rId238" Type="http://schemas.openxmlformats.org/officeDocument/2006/relationships/diagramQuickStyle" Target="diagrams/quickStyle3.xml"/><Relationship Id="rId254" Type="http://schemas.openxmlformats.org/officeDocument/2006/relationships/header" Target="header47.xml"/><Relationship Id="rId259" Type="http://schemas.openxmlformats.org/officeDocument/2006/relationships/fontTable" Target="fontTable.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footer" Target="footer18.xml"/><Relationship Id="rId114" Type="http://schemas.openxmlformats.org/officeDocument/2006/relationships/image" Target="media/image25.emf"/><Relationship Id="rId119" Type="http://schemas.openxmlformats.org/officeDocument/2006/relationships/image" Target="media/image29.emf"/><Relationship Id="rId44" Type="http://schemas.openxmlformats.org/officeDocument/2006/relationships/header" Target="header16.xml"/><Relationship Id="rId60" Type="http://schemas.openxmlformats.org/officeDocument/2006/relationships/header" Target="header24.xml"/><Relationship Id="rId65" Type="http://schemas.openxmlformats.org/officeDocument/2006/relationships/footer" Target="footer26.xml"/><Relationship Id="rId81" Type="http://schemas.openxmlformats.org/officeDocument/2006/relationships/header" Target="header34.xml"/><Relationship Id="rId86" Type="http://schemas.openxmlformats.org/officeDocument/2006/relationships/footer" Target="footer36.xml"/><Relationship Id="rId130" Type="http://schemas.microsoft.com/office/2007/relationships/diagramDrawing" Target="diagrams/drawing1.xml"/><Relationship Id="rId135" Type="http://schemas.microsoft.com/office/2007/relationships/diagramDrawing" Target="diagrams/drawing2.xml"/><Relationship Id="rId151" Type="http://schemas.openxmlformats.org/officeDocument/2006/relationships/image" Target="media/image49.emf"/><Relationship Id="rId156" Type="http://schemas.openxmlformats.org/officeDocument/2006/relationships/image" Target="media/image54.emf"/><Relationship Id="rId177" Type="http://schemas.openxmlformats.org/officeDocument/2006/relationships/hyperlink" Target="https://ec.europa.eu/home-affairs/what-we-do/policies/european-agenda-migration/proposal-implementation-package_en" TargetMode="External"/><Relationship Id="rId198" Type="http://schemas.openxmlformats.org/officeDocument/2006/relationships/image" Target="media/image93.emf"/><Relationship Id="rId172" Type="http://schemas.openxmlformats.org/officeDocument/2006/relationships/image" Target="media/image70.emf"/><Relationship Id="rId193" Type="http://schemas.openxmlformats.org/officeDocument/2006/relationships/image" Target="media/image88.jpeg"/><Relationship Id="rId202" Type="http://schemas.openxmlformats.org/officeDocument/2006/relationships/image" Target="media/image97.emf"/><Relationship Id="rId207" Type="http://schemas.openxmlformats.org/officeDocument/2006/relationships/image" Target="media/image102.emf"/><Relationship Id="rId223" Type="http://schemas.openxmlformats.org/officeDocument/2006/relationships/header" Target="header40.xml"/><Relationship Id="rId228" Type="http://schemas.openxmlformats.org/officeDocument/2006/relationships/footer" Target="footer42.xml"/><Relationship Id="rId244" Type="http://schemas.openxmlformats.org/officeDocument/2006/relationships/chart" Target="charts/chart4.xml"/><Relationship Id="rId249" Type="http://schemas.openxmlformats.org/officeDocument/2006/relationships/footer" Target="footer43.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3.xml"/><Relationship Id="rId109" Type="http://schemas.openxmlformats.org/officeDocument/2006/relationships/image" Target="media/image21.jpeg"/><Relationship Id="rId260" Type="http://schemas.openxmlformats.org/officeDocument/2006/relationships/theme" Target="theme/theme1.xml"/><Relationship Id="rId34" Type="http://schemas.openxmlformats.org/officeDocument/2006/relationships/footer" Target="footer11.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header" Target="header32.xml"/><Relationship Id="rId97" Type="http://schemas.openxmlformats.org/officeDocument/2006/relationships/image" Target="media/image10.emf"/><Relationship Id="rId104" Type="http://schemas.openxmlformats.org/officeDocument/2006/relationships/image" Target="media/image17.emf"/><Relationship Id="rId120" Type="http://schemas.openxmlformats.org/officeDocument/2006/relationships/image" Target="media/image30.png"/><Relationship Id="rId125" Type="http://schemas.openxmlformats.org/officeDocument/2006/relationships/image" Target="media/image34.jpeg"/><Relationship Id="rId141" Type="http://schemas.openxmlformats.org/officeDocument/2006/relationships/image" Target="media/image39.emf"/><Relationship Id="rId146" Type="http://schemas.openxmlformats.org/officeDocument/2006/relationships/image" Target="media/image44.emf"/><Relationship Id="rId167" Type="http://schemas.openxmlformats.org/officeDocument/2006/relationships/image" Target="media/image65.emf"/><Relationship Id="rId188" Type="http://schemas.openxmlformats.org/officeDocument/2006/relationships/image" Target="media/image85.emf"/><Relationship Id="rId7" Type="http://schemas.openxmlformats.org/officeDocument/2006/relationships/styles" Target="styles.xml"/><Relationship Id="rId71" Type="http://schemas.openxmlformats.org/officeDocument/2006/relationships/footer" Target="footer28.xml"/><Relationship Id="rId92" Type="http://schemas.openxmlformats.org/officeDocument/2006/relationships/footer" Target="footer39.xml"/><Relationship Id="rId162" Type="http://schemas.openxmlformats.org/officeDocument/2006/relationships/image" Target="media/image60.emf"/><Relationship Id="rId183" Type="http://schemas.openxmlformats.org/officeDocument/2006/relationships/image" Target="media/image80.emf"/><Relationship Id="rId213" Type="http://schemas.openxmlformats.org/officeDocument/2006/relationships/image" Target="media/image108.emf"/><Relationship Id="rId218" Type="http://schemas.openxmlformats.org/officeDocument/2006/relationships/image" Target="media/image113.emf"/><Relationship Id="rId234" Type="http://schemas.openxmlformats.org/officeDocument/2006/relationships/image" Target="media/image123.emf"/><Relationship Id="rId239" Type="http://schemas.openxmlformats.org/officeDocument/2006/relationships/diagramColors" Target="diagrams/colors3.xml"/><Relationship Id="rId2" Type="http://schemas.openxmlformats.org/officeDocument/2006/relationships/customXml" Target="../customXml/item1.xml"/><Relationship Id="rId29" Type="http://schemas.openxmlformats.org/officeDocument/2006/relationships/header" Target="header9.xml"/><Relationship Id="rId250" Type="http://schemas.openxmlformats.org/officeDocument/2006/relationships/footer" Target="footer44.xml"/><Relationship Id="rId255" Type="http://schemas.openxmlformats.org/officeDocument/2006/relationships/footer" Target="footer46.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header" Target="header17.xml"/><Relationship Id="rId66" Type="http://schemas.openxmlformats.org/officeDocument/2006/relationships/header" Target="header27.xml"/><Relationship Id="rId87" Type="http://schemas.openxmlformats.org/officeDocument/2006/relationships/header" Target="header37.xml"/><Relationship Id="rId110" Type="http://schemas.openxmlformats.org/officeDocument/2006/relationships/image" Target="media/image22.emf"/><Relationship Id="rId115" Type="http://schemas.openxmlformats.org/officeDocument/2006/relationships/hyperlink" Target="http://ec.europa.eu/growth/smes/cosme/index_en.htm" TargetMode="External"/><Relationship Id="rId131" Type="http://schemas.openxmlformats.org/officeDocument/2006/relationships/diagramData" Target="diagrams/data2.xml"/><Relationship Id="rId136" Type="http://schemas.openxmlformats.org/officeDocument/2006/relationships/image" Target="media/image35.emf"/><Relationship Id="rId157" Type="http://schemas.openxmlformats.org/officeDocument/2006/relationships/image" Target="media/image55.emf"/><Relationship Id="rId178" Type="http://schemas.openxmlformats.org/officeDocument/2006/relationships/image" Target="media/image75.emf"/><Relationship Id="rId61" Type="http://schemas.openxmlformats.org/officeDocument/2006/relationships/footer" Target="footer24.xml"/><Relationship Id="rId82" Type="http://schemas.openxmlformats.org/officeDocument/2006/relationships/header" Target="header35.xml"/><Relationship Id="rId152" Type="http://schemas.openxmlformats.org/officeDocument/2006/relationships/image" Target="media/image50.emf"/><Relationship Id="rId173" Type="http://schemas.openxmlformats.org/officeDocument/2006/relationships/image" Target="media/image71.emf"/><Relationship Id="rId194" Type="http://schemas.openxmlformats.org/officeDocument/2006/relationships/image" Target="media/image89.emf"/><Relationship Id="rId199" Type="http://schemas.openxmlformats.org/officeDocument/2006/relationships/image" Target="media/image94.emf"/><Relationship Id="rId203" Type="http://schemas.openxmlformats.org/officeDocument/2006/relationships/image" Target="media/image98.emf"/><Relationship Id="rId208" Type="http://schemas.openxmlformats.org/officeDocument/2006/relationships/image" Target="media/image103.emf"/><Relationship Id="rId229" Type="http://schemas.openxmlformats.org/officeDocument/2006/relationships/image" Target="media/image118.emf"/><Relationship Id="rId19" Type="http://schemas.openxmlformats.org/officeDocument/2006/relationships/header" Target="header4.xml"/><Relationship Id="rId224" Type="http://schemas.openxmlformats.org/officeDocument/2006/relationships/header" Target="header41.xml"/><Relationship Id="rId240" Type="http://schemas.microsoft.com/office/2007/relationships/diagramDrawing" Target="diagrams/drawing3.xml"/><Relationship Id="rId245" Type="http://schemas.openxmlformats.org/officeDocument/2006/relationships/chart" Target="charts/chart5.xml"/><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header" Target="header12.xml"/><Relationship Id="rId56" Type="http://schemas.openxmlformats.org/officeDocument/2006/relationships/header" Target="header22.xml"/><Relationship Id="rId77" Type="http://schemas.openxmlformats.org/officeDocument/2006/relationships/footer" Target="footer31.xml"/><Relationship Id="rId100" Type="http://schemas.openxmlformats.org/officeDocument/2006/relationships/image" Target="media/image13.emf"/><Relationship Id="rId105" Type="http://schemas.openxmlformats.org/officeDocument/2006/relationships/image" Target="media/image18.emf"/><Relationship Id="rId126" Type="http://schemas.openxmlformats.org/officeDocument/2006/relationships/diagramData" Target="diagrams/data1.xml"/><Relationship Id="rId147" Type="http://schemas.openxmlformats.org/officeDocument/2006/relationships/image" Target="media/image45.emf"/><Relationship Id="rId168" Type="http://schemas.openxmlformats.org/officeDocument/2006/relationships/image" Target="media/image66.emf"/><Relationship Id="rId8" Type="http://schemas.openxmlformats.org/officeDocument/2006/relationships/settings" Target="settings.xml"/><Relationship Id="rId51" Type="http://schemas.openxmlformats.org/officeDocument/2006/relationships/header" Target="header20.xml"/><Relationship Id="rId72" Type="http://schemas.openxmlformats.org/officeDocument/2006/relationships/footer" Target="footer29.xml"/><Relationship Id="rId93" Type="http://schemas.openxmlformats.org/officeDocument/2006/relationships/image" Target="media/image6.emf"/><Relationship Id="rId98" Type="http://schemas.openxmlformats.org/officeDocument/2006/relationships/image" Target="media/image11.emf"/><Relationship Id="rId121" Type="http://schemas.openxmlformats.org/officeDocument/2006/relationships/hyperlink" Target="http://europa.eu/rapid/press-release_IP-17-1574_en.htm" TargetMode="External"/><Relationship Id="rId142" Type="http://schemas.openxmlformats.org/officeDocument/2006/relationships/image" Target="media/image40.emf"/><Relationship Id="rId163" Type="http://schemas.openxmlformats.org/officeDocument/2006/relationships/image" Target="media/image61.emf"/><Relationship Id="rId184" Type="http://schemas.openxmlformats.org/officeDocument/2006/relationships/image" Target="media/image81.emf"/><Relationship Id="rId189" Type="http://schemas.openxmlformats.org/officeDocument/2006/relationships/image" Target="media/image86.emf"/><Relationship Id="rId219" Type="http://schemas.openxmlformats.org/officeDocument/2006/relationships/image" Target="media/image114.emf"/><Relationship Id="rId3" Type="http://schemas.openxmlformats.org/officeDocument/2006/relationships/customXml" Target="../customXml/item2.xml"/><Relationship Id="rId214" Type="http://schemas.openxmlformats.org/officeDocument/2006/relationships/image" Target="media/image109.emf"/><Relationship Id="rId230" Type="http://schemas.openxmlformats.org/officeDocument/2006/relationships/image" Target="media/image119.emf"/><Relationship Id="rId235" Type="http://schemas.openxmlformats.org/officeDocument/2006/relationships/image" Target="media/image124.emf"/><Relationship Id="rId251" Type="http://schemas.openxmlformats.org/officeDocument/2006/relationships/header" Target="header45.xml"/><Relationship Id="rId256" Type="http://schemas.openxmlformats.org/officeDocument/2006/relationships/footer" Target="footer47.xml"/><Relationship Id="rId25" Type="http://schemas.openxmlformats.org/officeDocument/2006/relationships/header" Target="header7.xml"/><Relationship Id="rId46" Type="http://schemas.openxmlformats.org/officeDocument/2006/relationships/footer" Target="footer16.xml"/><Relationship Id="rId67" Type="http://schemas.openxmlformats.org/officeDocument/2006/relationships/footer" Target="footer27.xml"/><Relationship Id="rId116" Type="http://schemas.openxmlformats.org/officeDocument/2006/relationships/image" Target="media/image26.png"/><Relationship Id="rId137" Type="http://schemas.openxmlformats.org/officeDocument/2006/relationships/image" Target="media/image36.emf"/><Relationship Id="rId158" Type="http://schemas.openxmlformats.org/officeDocument/2006/relationships/image" Target="media/image56.emf"/><Relationship Id="rId20" Type="http://schemas.openxmlformats.org/officeDocument/2006/relationships/header" Target="header5.xml"/><Relationship Id="rId41" Type="http://schemas.openxmlformats.org/officeDocument/2006/relationships/header" Target="header15.xml"/><Relationship Id="rId62" Type="http://schemas.openxmlformats.org/officeDocument/2006/relationships/header" Target="header25.xml"/><Relationship Id="rId83" Type="http://schemas.openxmlformats.org/officeDocument/2006/relationships/footer" Target="footer34.xml"/><Relationship Id="rId88" Type="http://schemas.openxmlformats.org/officeDocument/2006/relationships/header" Target="header38.xml"/><Relationship Id="rId111" Type="http://schemas.openxmlformats.org/officeDocument/2006/relationships/hyperlink" Target="http://www.eib.org/efsi/" TargetMode="External"/><Relationship Id="rId132" Type="http://schemas.openxmlformats.org/officeDocument/2006/relationships/diagramLayout" Target="diagrams/layout2.xml"/><Relationship Id="rId153" Type="http://schemas.openxmlformats.org/officeDocument/2006/relationships/image" Target="media/image51.jpeg"/><Relationship Id="rId174" Type="http://schemas.openxmlformats.org/officeDocument/2006/relationships/image" Target="media/image72.emf"/><Relationship Id="rId179" Type="http://schemas.openxmlformats.org/officeDocument/2006/relationships/image" Target="media/image76.emf"/><Relationship Id="rId195" Type="http://schemas.openxmlformats.org/officeDocument/2006/relationships/image" Target="media/image90.emf"/><Relationship Id="rId209" Type="http://schemas.openxmlformats.org/officeDocument/2006/relationships/image" Target="media/image104.emf"/><Relationship Id="rId190" Type="http://schemas.openxmlformats.org/officeDocument/2006/relationships/hyperlink" Target="https://ec.europa.eu/info/sites/info/files/results_of_2017_-_telecommunication_sweep_0.pdf" TargetMode="External"/><Relationship Id="rId204" Type="http://schemas.openxmlformats.org/officeDocument/2006/relationships/image" Target="media/image99.emf"/><Relationship Id="rId220" Type="http://schemas.openxmlformats.org/officeDocument/2006/relationships/image" Target="media/image115.emf"/><Relationship Id="rId225" Type="http://schemas.openxmlformats.org/officeDocument/2006/relationships/footer" Target="footer40.xml"/><Relationship Id="rId241" Type="http://schemas.openxmlformats.org/officeDocument/2006/relationships/chart" Target="charts/chart1.xml"/><Relationship Id="rId246" Type="http://schemas.openxmlformats.org/officeDocument/2006/relationships/image" Target="media/image125.emf"/><Relationship Id="rId15" Type="http://schemas.openxmlformats.org/officeDocument/2006/relationships/footer" Target="footer1.xml"/><Relationship Id="rId36" Type="http://schemas.openxmlformats.org/officeDocument/2006/relationships/footer" Target="footer12.xml"/><Relationship Id="rId57" Type="http://schemas.openxmlformats.org/officeDocument/2006/relationships/header" Target="header23.xml"/><Relationship Id="rId106" Type="http://schemas.openxmlformats.org/officeDocument/2006/relationships/image" Target="media/image19.emf"/><Relationship Id="rId127" Type="http://schemas.openxmlformats.org/officeDocument/2006/relationships/diagramLayout" Target="diagrams/layout1.xml"/><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footer" Target="footer19.xml"/><Relationship Id="rId73" Type="http://schemas.openxmlformats.org/officeDocument/2006/relationships/header" Target="header30.xml"/><Relationship Id="rId78" Type="http://schemas.openxmlformats.org/officeDocument/2006/relationships/footer" Target="footer32.xml"/><Relationship Id="rId94" Type="http://schemas.openxmlformats.org/officeDocument/2006/relationships/image" Target="media/image7.emf"/><Relationship Id="rId99" Type="http://schemas.openxmlformats.org/officeDocument/2006/relationships/image" Target="media/image12.emf"/><Relationship Id="rId101" Type="http://schemas.openxmlformats.org/officeDocument/2006/relationships/image" Target="media/image14.emf"/><Relationship Id="rId122" Type="http://schemas.openxmlformats.org/officeDocument/2006/relationships/image" Target="media/image31.emf"/><Relationship Id="rId143" Type="http://schemas.openxmlformats.org/officeDocument/2006/relationships/image" Target="media/image41.emf"/><Relationship Id="rId148" Type="http://schemas.openxmlformats.org/officeDocument/2006/relationships/image" Target="media/image46.emf"/><Relationship Id="rId164" Type="http://schemas.openxmlformats.org/officeDocument/2006/relationships/image" Target="media/image62.emf"/><Relationship Id="rId169" Type="http://schemas.openxmlformats.org/officeDocument/2006/relationships/image" Target="media/image67.emf"/><Relationship Id="rId185" Type="http://schemas.openxmlformats.org/officeDocument/2006/relationships/image" Target="media/image82.emf"/><Relationship Id="rId4" Type="http://schemas.openxmlformats.org/officeDocument/2006/relationships/customXml" Target="../customXml/item3.xml"/><Relationship Id="rId9" Type="http://schemas.openxmlformats.org/officeDocument/2006/relationships/webSettings" Target="webSettings.xml"/><Relationship Id="rId180" Type="http://schemas.openxmlformats.org/officeDocument/2006/relationships/image" Target="media/image77.emf"/><Relationship Id="rId210" Type="http://schemas.openxmlformats.org/officeDocument/2006/relationships/image" Target="media/image105.emf"/><Relationship Id="rId215" Type="http://schemas.openxmlformats.org/officeDocument/2006/relationships/image" Target="media/image110.emf"/><Relationship Id="rId236" Type="http://schemas.openxmlformats.org/officeDocument/2006/relationships/diagramData" Target="diagrams/data3.xml"/><Relationship Id="rId257" Type="http://schemas.openxmlformats.org/officeDocument/2006/relationships/header" Target="header48.xml"/><Relationship Id="rId26" Type="http://schemas.openxmlformats.org/officeDocument/2006/relationships/header" Target="header8.xml"/><Relationship Id="rId231" Type="http://schemas.openxmlformats.org/officeDocument/2006/relationships/image" Target="media/image120.jpeg"/><Relationship Id="rId252" Type="http://schemas.openxmlformats.org/officeDocument/2006/relationships/footer" Target="footer45.xml"/><Relationship Id="rId47" Type="http://schemas.openxmlformats.org/officeDocument/2006/relationships/footer" Target="footer17.xml"/><Relationship Id="rId68" Type="http://schemas.openxmlformats.org/officeDocument/2006/relationships/hyperlink" Target="http://www.gdacs.org/" TargetMode="External"/><Relationship Id="rId89" Type="http://schemas.openxmlformats.org/officeDocument/2006/relationships/footer" Target="footer37.xml"/><Relationship Id="rId112" Type="http://schemas.openxmlformats.org/officeDocument/2006/relationships/image" Target="media/image23.emf"/><Relationship Id="rId133" Type="http://schemas.openxmlformats.org/officeDocument/2006/relationships/diagramQuickStyle" Target="diagrams/quickStyle2.xml"/><Relationship Id="rId154" Type="http://schemas.openxmlformats.org/officeDocument/2006/relationships/image" Target="media/image52.emf"/><Relationship Id="rId175" Type="http://schemas.openxmlformats.org/officeDocument/2006/relationships/image" Target="media/image73.emf"/><Relationship Id="rId196" Type="http://schemas.openxmlformats.org/officeDocument/2006/relationships/image" Target="media/image91.emf"/><Relationship Id="rId200" Type="http://schemas.openxmlformats.org/officeDocument/2006/relationships/image" Target="media/image95.emf"/><Relationship Id="rId16" Type="http://schemas.openxmlformats.org/officeDocument/2006/relationships/footer" Target="footer2.xml"/><Relationship Id="rId221" Type="http://schemas.openxmlformats.org/officeDocument/2006/relationships/image" Target="media/image116.emf"/><Relationship Id="rId242" Type="http://schemas.openxmlformats.org/officeDocument/2006/relationships/chart" Target="charts/chart2.xml"/><Relationship Id="rId37" Type="http://schemas.openxmlformats.org/officeDocument/2006/relationships/header" Target="header13.xml"/><Relationship Id="rId58" Type="http://schemas.openxmlformats.org/officeDocument/2006/relationships/footer" Target="footer22.xml"/><Relationship Id="rId79" Type="http://schemas.openxmlformats.org/officeDocument/2006/relationships/header" Target="header33.xml"/><Relationship Id="rId102" Type="http://schemas.openxmlformats.org/officeDocument/2006/relationships/image" Target="media/image15.emf"/><Relationship Id="rId123" Type="http://schemas.openxmlformats.org/officeDocument/2006/relationships/image" Target="media/image32.emf"/><Relationship Id="rId144" Type="http://schemas.openxmlformats.org/officeDocument/2006/relationships/image" Target="media/image42.emf"/><Relationship Id="rId90" Type="http://schemas.openxmlformats.org/officeDocument/2006/relationships/footer" Target="footer38.xml"/><Relationship Id="rId165" Type="http://schemas.openxmlformats.org/officeDocument/2006/relationships/image" Target="media/image63.emf"/><Relationship Id="rId186" Type="http://schemas.openxmlformats.org/officeDocument/2006/relationships/image" Target="media/image83.emf"/><Relationship Id="rId211" Type="http://schemas.openxmlformats.org/officeDocument/2006/relationships/image" Target="media/image106.emf"/><Relationship Id="rId232" Type="http://schemas.openxmlformats.org/officeDocument/2006/relationships/image" Target="media/image121.emf"/><Relationship Id="rId253" Type="http://schemas.openxmlformats.org/officeDocument/2006/relationships/header" Target="header46.xml"/><Relationship Id="rId27" Type="http://schemas.openxmlformats.org/officeDocument/2006/relationships/footer" Target="footer7.xml"/><Relationship Id="rId48" Type="http://schemas.openxmlformats.org/officeDocument/2006/relationships/header" Target="header18.xml"/><Relationship Id="rId69" Type="http://schemas.openxmlformats.org/officeDocument/2006/relationships/header" Target="header28.xml"/><Relationship Id="rId113" Type="http://schemas.openxmlformats.org/officeDocument/2006/relationships/image" Target="media/image24.emf"/><Relationship Id="rId134" Type="http://schemas.openxmlformats.org/officeDocument/2006/relationships/diagramColors" Target="diagrams/colors2.xml"/><Relationship Id="rId80" Type="http://schemas.openxmlformats.org/officeDocument/2006/relationships/footer" Target="footer33.xml"/><Relationship Id="rId155" Type="http://schemas.openxmlformats.org/officeDocument/2006/relationships/image" Target="media/image53.emf"/><Relationship Id="rId176" Type="http://schemas.openxmlformats.org/officeDocument/2006/relationships/image" Target="media/image74.emf"/><Relationship Id="rId197" Type="http://schemas.openxmlformats.org/officeDocument/2006/relationships/image" Target="media/image92.emf"/><Relationship Id="rId201" Type="http://schemas.openxmlformats.org/officeDocument/2006/relationships/image" Target="media/image96.emf"/><Relationship Id="rId222" Type="http://schemas.openxmlformats.org/officeDocument/2006/relationships/image" Target="media/image117.emf"/><Relationship Id="rId243" Type="http://schemas.openxmlformats.org/officeDocument/2006/relationships/chart" Target="charts/chart3.xml"/><Relationship Id="rId17" Type="http://schemas.openxmlformats.org/officeDocument/2006/relationships/header" Target="header3.xml"/><Relationship Id="rId38" Type="http://schemas.openxmlformats.org/officeDocument/2006/relationships/header" Target="header14.xml"/><Relationship Id="rId59" Type="http://schemas.openxmlformats.org/officeDocument/2006/relationships/footer" Target="footer23.xml"/><Relationship Id="rId103" Type="http://schemas.openxmlformats.org/officeDocument/2006/relationships/image" Target="media/image16.emf"/><Relationship Id="rId124" Type="http://schemas.openxmlformats.org/officeDocument/2006/relationships/image" Target="media/image33.emf"/><Relationship Id="rId70" Type="http://schemas.openxmlformats.org/officeDocument/2006/relationships/header" Target="header29.xml"/><Relationship Id="rId91" Type="http://schemas.openxmlformats.org/officeDocument/2006/relationships/header" Target="header39.xml"/><Relationship Id="rId145" Type="http://schemas.openxmlformats.org/officeDocument/2006/relationships/image" Target="media/image43.emf"/><Relationship Id="rId166" Type="http://schemas.openxmlformats.org/officeDocument/2006/relationships/image" Target="media/image64.emf"/><Relationship Id="rId187" Type="http://schemas.openxmlformats.org/officeDocument/2006/relationships/image" Target="media/image84.emf"/></Relationships>
</file>

<file path=word/_rels/footnotes.xml.rels><?xml version="1.0" encoding="UTF-8" standalone="yes"?>
<Relationships xmlns="http://schemas.openxmlformats.org/package/2006/relationships"><Relationship Id="rId26" Type="http://schemas.openxmlformats.org/officeDocument/2006/relationships/hyperlink" Target="http://www.eib.org/efsi/" TargetMode="External"/><Relationship Id="rId117" Type="http://schemas.openxmlformats.org/officeDocument/2006/relationships/hyperlink" Target="https://ec.europa.eu/neighbourhood-enlargement/instruments/funding-by-country/montenegro_en" TargetMode="External"/><Relationship Id="rId21" Type="http://schemas.openxmlformats.org/officeDocument/2006/relationships/hyperlink" Target="https://ec.europa.eu/info/publications/horizon-europe-impact-assessment-staff-working-document_en" TargetMode="External"/><Relationship Id="rId42" Type="http://schemas.openxmlformats.org/officeDocument/2006/relationships/hyperlink" Target="https://ec.europa.eu/transparency/regdoc/rep/1/2018/EN/COM-2018-50-F1-EN-MAIN-PART-1.PDF" TargetMode="External"/><Relationship Id="rId47" Type="http://schemas.openxmlformats.org/officeDocument/2006/relationships/hyperlink" Target="http://eur-lex.europa.eu/legal-content/EN/TXT/?uri=CELEX:52017SC0347" TargetMode="External"/><Relationship Id="rId63" Type="http://schemas.openxmlformats.org/officeDocument/2006/relationships/hyperlink" Target="https://ec.europa.eu/commission/sites/beta-political/files/budget-may2018-erdf-cohesion-funds-regulation_en.pdf" TargetMode="External"/><Relationship Id="rId68" Type="http://schemas.openxmlformats.org/officeDocument/2006/relationships/hyperlink" Target="https://cohesiondata.ec.europa.eu" TargetMode="External"/><Relationship Id="rId84" Type="http://schemas.openxmlformats.org/officeDocument/2006/relationships/hyperlink" Target="https://eur-lex.europa.eu/legal-content/EN/TXT/?uri=CELEX:52018SC0339" TargetMode="External"/><Relationship Id="rId89" Type="http://schemas.openxmlformats.org/officeDocument/2006/relationships/hyperlink" Target="https://eur-lex.europa.eu/legal-content/EN/TXT/?qid=1540390917212&amp;uri=CELEX%3A52018PC0473" TargetMode="External"/><Relationship Id="rId112" Type="http://schemas.openxmlformats.org/officeDocument/2006/relationships/hyperlink" Target="https://ec.europa.eu/neighbourhood-enlargement/sites/near/files/pdf/financial_assistance/ipa/2014/231-2014_ipa-2-reg.pdf" TargetMode="External"/><Relationship Id="rId133" Type="http://schemas.openxmlformats.org/officeDocument/2006/relationships/hyperlink" Target="https://ec.europa.eu/europeaid/sites/devco/files/swd-mid-term-review-dci_en_0.pdf" TargetMode="External"/><Relationship Id="rId138" Type="http://schemas.openxmlformats.org/officeDocument/2006/relationships/hyperlink" Target="https://ec.europa.eu/echo/sites/echo-site/files/swd_2019_3_f1_staff_working_paper_en_v2_p1_1005651.pdf" TargetMode="External"/><Relationship Id="rId154" Type="http://schemas.openxmlformats.org/officeDocument/2006/relationships/hyperlink" Target="http://europa.eu/rapid/press-release_MEMO-92-54_en.htm" TargetMode="External"/><Relationship Id="rId159" Type="http://schemas.openxmlformats.org/officeDocument/2006/relationships/hyperlink" Target="https://eur-lex.europa.eu/legal-content/EN/TXT/?uri=CELEX:32019D0420" TargetMode="External"/><Relationship Id="rId16" Type="http://schemas.openxmlformats.org/officeDocument/2006/relationships/hyperlink" Target="https://ec.europa.eu/transparency/regdoc/rep/10102/2017/EN/SWD-2017-220-F1-EN-MAIN-PART-1.PDF" TargetMode="External"/><Relationship Id="rId107" Type="http://schemas.openxmlformats.org/officeDocument/2006/relationships/hyperlink" Target="https://www.polin.pl/en/about-museum" TargetMode="External"/><Relationship Id="rId11" Type="http://schemas.openxmlformats.org/officeDocument/2006/relationships/hyperlink" Target="https://ec.europa.eu/info/about-european-commission/eu-budget/how-it-works/annual-lifecycle/assessment/parliaments-approval_en" TargetMode="External"/><Relationship Id="rId32" Type="http://schemas.openxmlformats.org/officeDocument/2006/relationships/hyperlink" Target="https://eur-lex.europa.eu/resource.html?uri=cellar:da5da09e-6a5a-11e8-9483-01aa75ed71a1.0003.03/DOC_1&amp;format=PDF" TargetMode="External"/><Relationship Id="rId37" Type="http://schemas.openxmlformats.org/officeDocument/2006/relationships/hyperlink" Target="https://eur-lex.europa.eu/legal-content/EN/TXT/?qid=1540389031742&amp;uri=CELEX%3A52018PC0441" TargetMode="External"/><Relationship Id="rId53" Type="http://schemas.openxmlformats.org/officeDocument/2006/relationships/hyperlink" Target="http://ec.europa.eu/environment/enlarg/candidates.htm" TargetMode="External"/><Relationship Id="rId58" Type="http://schemas.openxmlformats.org/officeDocument/2006/relationships/hyperlink" Target="https://eur-lex.europa.eu/resource.html?uri=cellar:bfb11cf9-63eb-11e8-ab9c-01aa75ed71a1.0003.02/DOC_1&amp;format=PDF" TargetMode="External"/><Relationship Id="rId74" Type="http://schemas.openxmlformats.org/officeDocument/2006/relationships/hyperlink" Target="https://ec.europa.eu/agriculture/external-studies/2017-risk-management-eu-agriculture_en" TargetMode="External"/><Relationship Id="rId79" Type="http://schemas.openxmlformats.org/officeDocument/2006/relationships/hyperlink" Target="https://eur-lex.europa.eu/legal-content/EN/TXT/PDF/?uri=CELEX:52017SC0355&amp;from=EN" TargetMode="External"/><Relationship Id="rId102" Type="http://schemas.openxmlformats.org/officeDocument/2006/relationships/hyperlink" Target="https://eur-lex.europa.eu/legal-content/EN/TXT/?uri=CELEX%3A12012P%2FTXT" TargetMode="External"/><Relationship Id="rId123" Type="http://schemas.openxmlformats.org/officeDocument/2006/relationships/hyperlink" Target="https://www.consilium.europa.eu/media/34776/sofia-declaration_en.pdf" TargetMode="External"/><Relationship Id="rId128" Type="http://schemas.openxmlformats.org/officeDocument/2006/relationships/hyperlink" Target="http://ec.europa.eu/transparency/regdoc/rep/10102/2018/EN/SWD-2018-337-F1-EN-MAIN-PART-1.PDF" TargetMode="External"/><Relationship Id="rId144" Type="http://schemas.openxmlformats.org/officeDocument/2006/relationships/hyperlink" Target="https://eur-lex.europa.eu/legal-content/EN/TXT/?uri=CELEX%3A12016M028" TargetMode="External"/><Relationship Id="rId149" Type="http://schemas.openxmlformats.org/officeDocument/2006/relationships/hyperlink" Target="https://ec.europa.eu/europeaid/sites/devco/files/swd-mid-term-review-icsp_en_0.pdf" TargetMode="External"/><Relationship Id="rId5" Type="http://schemas.openxmlformats.org/officeDocument/2006/relationships/hyperlink" Target="https://cohesiondata.ec.europa.eu/stories/s/a8jn-38y8" TargetMode="External"/><Relationship Id="rId90" Type="http://schemas.openxmlformats.org/officeDocument/2006/relationships/hyperlink" Target="https://ec.europa.eu/food/plant/plant_health_biosecurity/legislation/emergency_measures/xylella-fastidiosa_en" TargetMode="External"/><Relationship Id="rId95" Type="http://schemas.openxmlformats.org/officeDocument/2006/relationships/hyperlink" Target="https://ec.europa.eu/culture/sites/culture/files/commission_communication_-_a_new_european_agenda_for_culture_2018.pdf" TargetMode="External"/><Relationship Id="rId160" Type="http://schemas.openxmlformats.org/officeDocument/2006/relationships/hyperlink" Target="https://www.eca.europa.eu/en/Pages/DocItem.aspx?did=48858" TargetMode="External"/><Relationship Id="rId22" Type="http://schemas.openxmlformats.org/officeDocument/2006/relationships/hyperlink" Target="https://eur-lex.europa.eu/legal-content/GA/TXT/?uri=CELEX:22006A1216(03)" TargetMode="External"/><Relationship Id="rId27" Type="http://schemas.openxmlformats.org/officeDocument/2006/relationships/hyperlink" Target="https://ec.europa.eu/commission/sites/beta-political/files/brochure-investment-plan-17x17-mar19_en.pdf" TargetMode="External"/><Relationship Id="rId43" Type="http://schemas.openxmlformats.org/officeDocument/2006/relationships/hyperlink" Target="https://europa.eu/youth/solidarity_en" TargetMode="External"/><Relationship Id="rId48" Type="http://schemas.openxmlformats.org/officeDocument/2006/relationships/hyperlink" Target="http://eur-lex.europa.eu/legal-content/EN/TXT/?uri=CELEX:52017SC0346" TargetMode="External"/><Relationship Id="rId64" Type="http://schemas.openxmlformats.org/officeDocument/2006/relationships/hyperlink" Target="https://ec.europa.eu/commission/sites/beta-political/files/budget-may2018-common-provisions_en.pdf" TargetMode="External"/><Relationship Id="rId69" Type="http://schemas.openxmlformats.org/officeDocument/2006/relationships/hyperlink" Target="https://publications.europa.eu/en/publication-detail/-/publication/0e03aa7b-025f-11e8-b8f5-01aa75ed71a1" TargetMode="External"/><Relationship Id="rId113" Type="http://schemas.openxmlformats.org/officeDocument/2006/relationships/hyperlink" Target="https://ec.europa.eu/neighbourhood-enlargement/instruments/funding-by-country/albania_en" TargetMode="External"/><Relationship Id="rId118" Type="http://schemas.openxmlformats.org/officeDocument/2006/relationships/hyperlink" Target="https://ec.europa.eu/neighbourhood-enlargement/instruments/funding-by-country/serbia_en" TargetMode="External"/><Relationship Id="rId134" Type="http://schemas.openxmlformats.org/officeDocument/2006/relationships/hyperlink" Target="http://www.nasira.info/" TargetMode="External"/><Relationship Id="rId139" Type="http://schemas.openxmlformats.org/officeDocument/2006/relationships/hyperlink" Target="https://ec.europa.eu/echo/sites/echo-site/files/swd_2019_3_f1_staff_working_paper_en_v2_p1_1005651.pdf" TargetMode="External"/><Relationship Id="rId80" Type="http://schemas.openxmlformats.org/officeDocument/2006/relationships/hyperlink" Target="https://eur-lex.europa.eu/resource.html?uri=cellar:ad186f8e-6587-11e8-ab9c-01aa75ed71a1.0001.02/DOC_1&amp;format=PDF" TargetMode="External"/><Relationship Id="rId85" Type="http://schemas.openxmlformats.org/officeDocument/2006/relationships/hyperlink" Target="https://www.eca.europa.eu/Lists/ECADocuments/AP19_MIGRATION/AP_MIGRATION_EN.pdf" TargetMode="External"/><Relationship Id="rId150" Type="http://schemas.openxmlformats.org/officeDocument/2006/relationships/hyperlink" Target="https://eur-lex.europa.eu/legal-content/EN/TXT/?qid=1540392552799&amp;uri=CELEX%3A52018PC0460" TargetMode="External"/><Relationship Id="rId155" Type="http://schemas.openxmlformats.org/officeDocument/2006/relationships/hyperlink" Target="https://ec.europa.eu/neighbourhood-enlargement/sites/near/files/frit_factsheet.pdf" TargetMode="External"/><Relationship Id="rId12" Type="http://schemas.openxmlformats.org/officeDocument/2006/relationships/hyperlink" Target="http://europa.eu/rapid/press-release_SPEECH-15-5696_en.htm" TargetMode="External"/><Relationship Id="rId17" Type="http://schemas.openxmlformats.org/officeDocument/2006/relationships/hyperlink" Target="https://myintracomm-collab.ec.europa.eu/networks/AMPR/Document%20Library/Special%20report%20No&#160;28/2018,%20(http:/ec.europa.eu/research/participants/data/ref/h2020/other/events/2019-01-30/2_eca_en.pdf)." TargetMode="External"/><Relationship Id="rId33" Type="http://schemas.openxmlformats.org/officeDocument/2006/relationships/hyperlink" Target="https://eur-lex.europa.eu/resource.html?uri=cellar:da5da09e-6a5a-11e8-9483-01aa75ed71a1.0003.03/DOC_1&amp;format=PDF" TargetMode="External"/><Relationship Id="rId38" Type="http://schemas.openxmlformats.org/officeDocument/2006/relationships/hyperlink" Target="https://europa.eu/youth/node/50165_en" TargetMode="External"/><Relationship Id="rId59" Type="http://schemas.openxmlformats.org/officeDocument/2006/relationships/hyperlink" Target="https://eur-lex.europa.eu/legal-content/EN/TXT/PDF/?uri=CELEX:52018SC0344&amp;rid=8" TargetMode="External"/><Relationship Id="rId103" Type="http://schemas.openxmlformats.org/officeDocument/2006/relationships/hyperlink" Target="http://www.ejtn.eu/About-us/" TargetMode="External"/><Relationship Id="rId108" Type="http://schemas.openxmlformats.org/officeDocument/2006/relationships/hyperlink" Target="https://www.polin.pl/en/about-museum" TargetMode="External"/><Relationship Id="rId124" Type="http://schemas.openxmlformats.org/officeDocument/2006/relationships/hyperlink" Target="https://eur-lex.europa.eu/legal-content/EN/TXT/HTML/?uri=CELEX:32014R0232&amp;from=EN" TargetMode="External"/><Relationship Id="rId129" Type="http://schemas.openxmlformats.org/officeDocument/2006/relationships/hyperlink" Target="https://ec.europa.eu/commission/sites/beta-political/files/budget-may2018-neighbourhood-development-international-regulation_en.pdf" TargetMode="External"/><Relationship Id="rId20" Type="http://schemas.openxmlformats.org/officeDocument/2006/relationships/hyperlink" Target="https://ec.europa.eu/research/evaluations/pdf/archive/other_reports_studies_and_documents/panel_report_on_indirect_actions_of_euratom_interim_evaluation_2014-2018.pdf" TargetMode="External"/><Relationship Id="rId41" Type="http://schemas.openxmlformats.org/officeDocument/2006/relationships/hyperlink" Target="https://ec.europa.eu/education/resources-and-tools/document-library/role-models-promoting-common-values_en" TargetMode="External"/><Relationship Id="rId54" Type="http://schemas.openxmlformats.org/officeDocument/2006/relationships/hyperlink" Target="https://publications.europa.eu/en/publication-detail/-/publication/c9c68539-33f7-11e9-8d04-01aa75ed71a1/language-en/format-PDF/source-91859413" TargetMode="External"/><Relationship Id="rId62" Type="http://schemas.openxmlformats.org/officeDocument/2006/relationships/hyperlink" Target="https://ec.europa.eu/regional_policy/sources/docgener/evaluation/pdf/expost2013/wp1_swd_report_en.pdf" TargetMode="External"/><Relationship Id="rId70" Type="http://schemas.openxmlformats.org/officeDocument/2006/relationships/hyperlink" Target="https://ec.europa.eu/info/sites/info/files/food-farming-fisheries/animals_and_animal_products/documents/dairy-market-smp-story_en.pdf" TargetMode="External"/><Relationship Id="rId75" Type="http://schemas.openxmlformats.org/officeDocument/2006/relationships/hyperlink" Target="https://ec.europa.eu/fisheries/sites/fisheries/files/2019-fresh-fish-from-vienna_en.pdf" TargetMode="External"/><Relationship Id="rId83" Type="http://schemas.openxmlformats.org/officeDocument/2006/relationships/hyperlink" Target="https://ec.europa.eu/home-affairs/content/relocation_en" TargetMode="External"/><Relationship Id="rId88" Type="http://schemas.openxmlformats.org/officeDocument/2006/relationships/hyperlink" Target="https://eur-lex.europa.eu/legal-content/EN/TXT/?qid=1540391576418&amp;uri=CELEX%3A52018PC0472%20" TargetMode="External"/><Relationship Id="rId91" Type="http://schemas.openxmlformats.org/officeDocument/2006/relationships/hyperlink" Target="https://eur-lex.europa.eu/legal-content/EN/TXT/?uri=CELEX%3A52018PC0441" TargetMode="External"/><Relationship Id="rId96" Type="http://schemas.openxmlformats.org/officeDocument/2006/relationships/hyperlink" Target="https://eur-lex.europa.eu/legal-content/EN/TXT/PDF/?uri=SWD:2018:159:FIN" TargetMode="External"/><Relationship Id="rId111" Type="http://schemas.openxmlformats.org/officeDocument/2006/relationships/hyperlink" Target="https://eur-lex.europa.eu/legal-content/EN/TXT/PDF/?uri=CELEX:52017SC0287&amp;from=EN" TargetMode="External"/><Relationship Id="rId132" Type="http://schemas.openxmlformats.org/officeDocument/2006/relationships/hyperlink" Target="https://europa.eu/capacity4dev/public-environment-climate/documents/scp-evaluation-full-package-publications" TargetMode="External"/><Relationship Id="rId140" Type="http://schemas.openxmlformats.org/officeDocument/2006/relationships/hyperlink" Target="https://webgate.ec.europa.eu/echo/eu-aid-volunteers_en" TargetMode="External"/><Relationship Id="rId145" Type="http://schemas.openxmlformats.org/officeDocument/2006/relationships/hyperlink" Target="https://eeas.europa.eu/headquarters/headquarters-homepage/4369/european-security-and-defence-college-esdc_en" TargetMode="External"/><Relationship Id="rId153" Type="http://schemas.openxmlformats.org/officeDocument/2006/relationships/hyperlink" Target="https://eur-lex.europa.eu/legal-content/EN/TXT/?qid=1540392552799&amp;uri=CELEX%3A52018PC0460" TargetMode="External"/><Relationship Id="rId161" Type="http://schemas.openxmlformats.org/officeDocument/2006/relationships/hyperlink" Target="https://ec.europa.eu/info/publications/annual-activity-reports_en" TargetMode="External"/><Relationship Id="rId1" Type="http://schemas.openxmlformats.org/officeDocument/2006/relationships/hyperlink" Target="https://eur-lex.europa.eu/legal-content/EN/TXT/PDF/?uri=CELEX:52018SC0171&amp;from=EN" TargetMode="External"/><Relationship Id="rId6" Type="http://schemas.openxmlformats.org/officeDocument/2006/relationships/hyperlink" Target="https://eeas.europa.eu/headquarters/headquarters-homepage_en/32286/Nuclear%20Agreement" TargetMode="External"/><Relationship Id="rId15" Type="http://schemas.openxmlformats.org/officeDocument/2006/relationships/hyperlink" Target="https://ec.europa.eu/info/research-and-innovation/strategy/support-policy-making/support-eu-research-and-innovation-policy-making/evaluation-impact-assessment-and-monitoring/horizon-2020_en" TargetMode="External"/><Relationship Id="rId23" Type="http://schemas.openxmlformats.org/officeDocument/2006/relationships/hyperlink" Target="https://eur-lex.europa.eu/legal-content/en/TXT/?uri=CELEX:52019DC0147" TargetMode="External"/><Relationship Id="rId28" Type="http://schemas.openxmlformats.org/officeDocument/2006/relationships/hyperlink" Target="https://ec.europa.eu/commission/sites/beta-political/files/brochure-investment-plan-17x17-mar19_en.pdf" TargetMode="External"/><Relationship Id="rId36" Type="http://schemas.openxmlformats.org/officeDocument/2006/relationships/hyperlink" Target="https://www.clustercollaboration.eu/eu-initiative/cluster-excellence-calls" TargetMode="External"/><Relationship Id="rId49" Type="http://schemas.openxmlformats.org/officeDocument/2006/relationships/hyperlink" Target="https://eur-lex.europa.eu/legal-content/EN/TXT/?uri=celex:52017SC0228" TargetMode="External"/><Relationship Id="rId57" Type="http://schemas.openxmlformats.org/officeDocument/2006/relationships/hyperlink" Target="https://ec.europa.eu/anti-fraud/sites/antifraud/files/commission_report_mid_term_evaluation_hercule_iii_en.pdf" TargetMode="External"/><Relationship Id="rId106" Type="http://schemas.openxmlformats.org/officeDocument/2006/relationships/hyperlink" Target="https://eur-lex.europa.eu/legal-content/EN/TXT/?uri=OJ%3AJOL_2014_115_R_0002" TargetMode="External"/><Relationship Id="rId114" Type="http://schemas.openxmlformats.org/officeDocument/2006/relationships/hyperlink" Target="https://ec.europa.eu/neighbourhood-enlargement/instruments/funding-by-country/bosnia-herzegovina_en" TargetMode="External"/><Relationship Id="rId119" Type="http://schemas.openxmlformats.org/officeDocument/2006/relationships/hyperlink" Target="https://ec.europa.eu/neighbourhood-enlargement/instruments/funding-by-country/turkey_en" TargetMode="External"/><Relationship Id="rId127" Type="http://schemas.openxmlformats.org/officeDocument/2006/relationships/hyperlink" Target="https://ec.europa.eu/europeaid/sites/devco/files/swd-mid-term-review-eni_en_0.pdf" TargetMode="External"/><Relationship Id="rId10" Type="http://schemas.openxmlformats.org/officeDocument/2006/relationships/hyperlink" Target="https://au.int/en/agenda2063/overview" TargetMode="External"/><Relationship Id="rId31" Type="http://schemas.openxmlformats.org/officeDocument/2006/relationships/hyperlink" Target="https://ec.europa.eu/transport/sites/transport/files/legislation/com-2018-00-66-report-mid-term-evaluation-cef.pdf" TargetMode="External"/><Relationship Id="rId44" Type="http://schemas.openxmlformats.org/officeDocument/2006/relationships/hyperlink" Target="https://eur-lex.europa.eu/legal-content/EN/TXT/PDF/?uri=CELEX:52018SC0317&amp;from=EN" TargetMode="External"/><Relationship Id="rId52" Type="http://schemas.openxmlformats.org/officeDocument/2006/relationships/hyperlink" Target="https://eur-lex.europa.eu/legal-content/EN/TXT/PDF/?uri=CELEX:52019SC0014&amp;rid=2" TargetMode="External"/><Relationship Id="rId60" Type="http://schemas.openxmlformats.org/officeDocument/2006/relationships/hyperlink" Target="https://ec.europa.eu/regional_policy/sources/docoffic/official/reports/cohesion7/7cr.pdf" TargetMode="External"/><Relationship Id="rId65" Type="http://schemas.openxmlformats.org/officeDocument/2006/relationships/hyperlink" Target="https://ec.europa.eu/regional_policy/en/information/publications/studies/2018/new-assessment-of-esif-administrative-costs-and-burden" TargetMode="External"/><Relationship Id="rId73" Type="http://schemas.openxmlformats.org/officeDocument/2006/relationships/hyperlink" Target="https://ec.europa.eu/eip/agriculture/en/publications/eip-agri-operational-groups-assessment-2018" TargetMode="External"/><Relationship Id="rId78" Type="http://schemas.openxmlformats.org/officeDocument/2006/relationships/hyperlink" Target="https://eur-lex.europa.eu/legal-content/EN/TXT/PDF/?uri=CELEX:52017SC0355&amp;from=EN" TargetMode="External"/><Relationship Id="rId81" Type="http://schemas.openxmlformats.org/officeDocument/2006/relationships/hyperlink" Target="https://www.consilium.europa.eu/en/press/press-releases/2016/03/18/eu-turkey-statement" TargetMode="External"/><Relationship Id="rId86" Type="http://schemas.openxmlformats.org/officeDocument/2006/relationships/hyperlink" Target="https://ec.europa.eu/home-affairs/what-we-do/policies/borders-and-visas/border-crossing/eurosur_en" TargetMode="External"/><Relationship Id="rId94" Type="http://schemas.openxmlformats.org/officeDocument/2006/relationships/hyperlink" Target="http://europa.eu/rapid/press-release_IP-18-3041_en.htm" TargetMode="External"/><Relationship Id="rId99" Type="http://schemas.openxmlformats.org/officeDocument/2006/relationships/hyperlink" Target="https://eur-lex.europa.eu/legal-content/EN/TXT/PDF/?uri=COM:2018:508:FIN&amp;qid=1530547438228&amp;from=EN" TargetMode="External"/><Relationship Id="rId101" Type="http://schemas.openxmlformats.org/officeDocument/2006/relationships/hyperlink" Target="https://eur-lex.europa.eu/legal-content/EN/TXT/?uri=CELEX%3A32013R1382" TargetMode="External"/><Relationship Id="rId122" Type="http://schemas.openxmlformats.org/officeDocument/2006/relationships/hyperlink" Target="https://ec.europa.eu/commission/news/strategy-western-balkans-2018-feb-06_en" TargetMode="External"/><Relationship Id="rId130" Type="http://schemas.openxmlformats.org/officeDocument/2006/relationships/hyperlink" Target="http://ec.europa.eu/transparency/regdoc/rep/1/2018/FR/COM-2018-643-F1-FR-MAIN-PART-1.PDF" TargetMode="External"/><Relationship Id="rId135" Type="http://schemas.openxmlformats.org/officeDocument/2006/relationships/hyperlink" Target="https://ec.europa.eu/europeaid/sites/devco/files/181213-eip-28-guarantees-brochure-final.pdf" TargetMode="External"/><Relationship Id="rId143" Type="http://schemas.openxmlformats.org/officeDocument/2006/relationships/hyperlink" Target="https://ec.europa.eu/europeaid/sites/devco/files/swd-mid-term-review-eidhr_en_0.pdf" TargetMode="External"/><Relationship Id="rId148" Type="http://schemas.openxmlformats.org/officeDocument/2006/relationships/hyperlink" Target="https://ec.europa.eu/europeaid/sites/devco/files/swd-mid-term-review-icsp_en_0.pdf" TargetMode="External"/><Relationship Id="rId151" Type="http://schemas.openxmlformats.org/officeDocument/2006/relationships/hyperlink" Target="https://ec.europa.eu/europeaid/mid-term-evaluation-partnership-instrument-pi-draft-report_en" TargetMode="External"/><Relationship Id="rId156" Type="http://schemas.openxmlformats.org/officeDocument/2006/relationships/hyperlink" Target="https://www.eca.europa.eu/Lists/ECADocuments/SR18_27/SR_TRF_EN.pdf" TargetMode="External"/><Relationship Id="rId4" Type="http://schemas.openxmlformats.org/officeDocument/2006/relationships/hyperlink" Target="https://europa.eu/youth/solidarity_en" TargetMode="External"/><Relationship Id="rId9" Type="http://schemas.openxmlformats.org/officeDocument/2006/relationships/hyperlink" Target="https://ec.europa.eu/europeaid/policies/european-development-policy/european-consensus-development_en" TargetMode="External"/><Relationship Id="rId13" Type="http://schemas.openxmlformats.org/officeDocument/2006/relationships/hyperlink" Target="https://ec.europa.eu/commission/publications/factsheets-long-term-budget-proposals_en" TargetMode="External"/><Relationship Id="rId18" Type="http://schemas.openxmlformats.org/officeDocument/2006/relationships/hyperlink" Target="https://eur-lex.europa.eu/legal-content/EN/TXT/PDF/?uri=CELEX:52018PC0435&amp;from=EN" TargetMode="External"/><Relationship Id="rId39" Type="http://schemas.openxmlformats.org/officeDocument/2006/relationships/hyperlink" Target="https://ec.europa.eu/neighbourhood-enlargement/neighbourhood/eastern-partnership_en" TargetMode="External"/><Relationship Id="rId109" Type="http://schemas.openxmlformats.org/officeDocument/2006/relationships/hyperlink" Target="https://ec.europa.eu/home-affairs/sites/homeaffairs/files/what-we-do/policies/citizenship-programme/docs/com-2018-170-f1-report-from-commission-en-v4-p1-967238.pdf" TargetMode="External"/><Relationship Id="rId34" Type="http://schemas.openxmlformats.org/officeDocument/2006/relationships/hyperlink" Target="http://www.eif.europa.eu/what_we_do/equity/single_eu_equity_instrument/innovfin-equity/index.htm" TargetMode="External"/><Relationship Id="rId50" Type="http://schemas.openxmlformats.org/officeDocument/2006/relationships/hyperlink" Target="https://eur-lex.europa.eu/legal-content/EN/TXT/PDF/?uri=CELEX:02013R0952-20161224&amp;from=EN" TargetMode="External"/><Relationship Id="rId55" Type="http://schemas.openxmlformats.org/officeDocument/2006/relationships/hyperlink" Target="https://eur-lex.europa.eu/legal-content/EN/TXT/PDF/?uri=CELEX:52019SC0015&amp;qid=1553680135617&amp;from=EN" TargetMode="External"/><Relationship Id="rId76" Type="http://schemas.openxmlformats.org/officeDocument/2006/relationships/hyperlink" Target="https://ec.europa.eu/jrc/en/publication/eur-scientific-and-technical-research-reports/2018-annual-economic-report-eu-fishing-fleet-stecf-18-07" TargetMode="External"/><Relationship Id="rId97" Type="http://schemas.openxmlformats.org/officeDocument/2006/relationships/hyperlink" Target="https://eur-lex.europa.eu/resource.html?uri=cellar:509e1bcb-63f0-11e8-ab9c-01aa75ed71a1.0003.02/DOC_1&amp;format=PDF" TargetMode="External"/><Relationship Id="rId104" Type="http://schemas.openxmlformats.org/officeDocument/2006/relationships/hyperlink" Target="https://e-justice.europa.eu/home.do?plang=en&amp;action=home" TargetMode="External"/><Relationship Id="rId120" Type="http://schemas.openxmlformats.org/officeDocument/2006/relationships/hyperlink" Target="https://ec.europa.eu/neighbourhood-enlargement/sites/near/files/connectivity-agenda-2018-sofia-summit.pdf" TargetMode="External"/><Relationship Id="rId125" Type="http://schemas.openxmlformats.org/officeDocument/2006/relationships/hyperlink" Target="https://ec.europa.eu/trustfundforafrica/region/north-africa_en" TargetMode="External"/><Relationship Id="rId141" Type="http://schemas.openxmlformats.org/officeDocument/2006/relationships/hyperlink" Target="https://ec.europa.eu/echo/what/humanitarian-aid/eu-aid-volunteers_en" TargetMode="External"/><Relationship Id="rId146" Type="http://schemas.openxmlformats.org/officeDocument/2006/relationships/hyperlink" Target="http://data.consilium.europa.eu/doc/document/ST-9736-2018-INIT/en/pdf" TargetMode="External"/><Relationship Id="rId7" Type="http://schemas.openxmlformats.org/officeDocument/2006/relationships/hyperlink" Target="https://au.int/" TargetMode="External"/><Relationship Id="rId71" Type="http://schemas.openxmlformats.org/officeDocument/2006/relationships/hyperlink" Target="https://ec.europa.eu/agriculture/evaluation/market-and-income-reports/greening-of-direct-payments_en" TargetMode="External"/><Relationship Id="rId92" Type="http://schemas.openxmlformats.org/officeDocument/2006/relationships/hyperlink" Target="https://ec.europa.eu/transparency/regdoc/rep/1/2017/EN/COM-2017-546-F1-EN-MAIN-PART-1.PDF" TargetMode="External"/><Relationship Id="rId162" Type="http://schemas.openxmlformats.org/officeDocument/2006/relationships/hyperlink" Target="https://ec.europa.eu/info/publications/governance-in-the-commission_en" TargetMode="External"/><Relationship Id="rId2" Type="http://schemas.openxmlformats.org/officeDocument/2006/relationships/hyperlink" Target="https://ec.europa.eu/clima/policies/international/negotiations/paris_en" TargetMode="External"/><Relationship Id="rId29" Type="http://schemas.openxmlformats.org/officeDocument/2006/relationships/hyperlink" Target="https://ec.europa.eu/digital-single-market/en/news/connecting-europe-broadband-fund" TargetMode="External"/><Relationship Id="rId24" Type="http://schemas.openxmlformats.org/officeDocument/2006/relationships/hyperlink" Target="https://eur-lex.europa.eu/legal-content/EN/TXT/?qid=1540388624883&amp;uri=CELEX%3A52018PC0445" TargetMode="External"/><Relationship Id="rId40" Type="http://schemas.openxmlformats.org/officeDocument/2006/relationships/hyperlink" Target="https://ec.europa.eu/education/education-in-the-eu/digital-education-action-plan_en" TargetMode="External"/><Relationship Id="rId45" Type="http://schemas.openxmlformats.org/officeDocument/2006/relationships/hyperlink" Target="https://eur-lex.europa.eu/resource.html?uri=cellar:f3d4ea2b-6e31-11e8-9483-01aa75ed71a1.0002.03/DOC_1&amp;format=PDF" TargetMode="External"/><Relationship Id="rId66" Type="http://schemas.openxmlformats.org/officeDocument/2006/relationships/hyperlink" Target="https://www.eca.europa.eu/lists/ecadocuments/sr18_21/sr_project_performance_en.pdf" TargetMode="External"/><Relationship Id="rId87" Type="http://schemas.openxmlformats.org/officeDocument/2006/relationships/hyperlink" Target="https://ec.europa.eu/home-affairs/sites/homeaffairs/files/what-we-do/policies/european-agenda-migration/20180612_com-2018-464-report_en.pdf" TargetMode="External"/><Relationship Id="rId110" Type="http://schemas.openxmlformats.org/officeDocument/2006/relationships/hyperlink" Target="https://eur-lex.europa.eu/legal-content/EN/TXT/?uri=COM%3A2018%3A383%3AREV1" TargetMode="External"/><Relationship Id="rId115" Type="http://schemas.openxmlformats.org/officeDocument/2006/relationships/hyperlink" Target="https://ec.europa.eu/neighbourhood-enlargement/instruments/funding-by-country/former-yugoslav-republic-of-macedonia_en" TargetMode="External"/><Relationship Id="rId131" Type="http://schemas.openxmlformats.org/officeDocument/2006/relationships/hyperlink" Target="http://www.gcca.eu" TargetMode="External"/><Relationship Id="rId136" Type="http://schemas.openxmlformats.org/officeDocument/2006/relationships/hyperlink" Target="https://eur-lex.europa.eu/resource.html?uri=cellar:d2c24540-6fb9-11e8-9483-01aa75ed71a1.0002.02/DOC_1&amp;format=PDF" TargetMode="External"/><Relationship Id="rId157" Type="http://schemas.openxmlformats.org/officeDocument/2006/relationships/hyperlink" Target="https://ec.europa.eu/info/business-economy-euro/economic-and-fiscal-policy-coordination/international-economic-relations/macro-financial-assistance-mfa-non-eu-partner-countries_en" TargetMode="External"/><Relationship Id="rId61" Type="http://schemas.openxmlformats.org/officeDocument/2006/relationships/hyperlink" Target="https://enrd.ec.europa.eu/action-plan-rural-broadband_en" TargetMode="External"/><Relationship Id="rId82" Type="http://schemas.openxmlformats.org/officeDocument/2006/relationships/hyperlink" Target="https://ec.europa.eu/home-affairs/content/resettlement_en" TargetMode="External"/><Relationship Id="rId152" Type="http://schemas.openxmlformats.org/officeDocument/2006/relationships/hyperlink" Target="https://ec.europa.eu/europeaid/sites/devco/files/swd-mid-term-review-pi_en_0.pdf" TargetMode="External"/><Relationship Id="rId19" Type="http://schemas.openxmlformats.org/officeDocument/2006/relationships/hyperlink" Target="https://erc.europa.eu/content/investing-european-future-we-want-report-independent-high-level-group-maximising-impact-eu" TargetMode="External"/><Relationship Id="rId14" Type="http://schemas.openxmlformats.org/officeDocument/2006/relationships/hyperlink" Target="https://ec.europa.eu/eurostat/web/europe-2020-indicators" TargetMode="External"/><Relationship Id="rId30" Type="http://schemas.openxmlformats.org/officeDocument/2006/relationships/hyperlink" Target="https://ec.europa.eu/commission/sites/beta-political/files/brochure-investment-plan-17x17-mar19_en.pdf" TargetMode="External"/><Relationship Id="rId35" Type="http://schemas.openxmlformats.org/officeDocument/2006/relationships/hyperlink" Target="https://eur-lex.europa.eu/legal-content/EN/TXT/?uri=COM%3A2016%3A733%3AFIN" TargetMode="External"/><Relationship Id="rId56" Type="http://schemas.openxmlformats.org/officeDocument/2006/relationships/hyperlink" Target="https://eur-lex.europa.eu/legal-content/EN/TXT/?uri=celex:32014R0250" TargetMode="External"/><Relationship Id="rId77" Type="http://schemas.openxmlformats.org/officeDocument/2006/relationships/hyperlink" Target="https://www.eca.europa.eu/lists/ecadocuments/sr15_11/sr_fisheries_en.pdf" TargetMode="External"/><Relationship Id="rId100" Type="http://schemas.openxmlformats.org/officeDocument/2006/relationships/hyperlink" Target="https://eur-lex.europa.eu/legal-content/EN/TXT/?uri=COM%3A2018%3A383%3AREV1" TargetMode="External"/><Relationship Id="rId105" Type="http://schemas.openxmlformats.org/officeDocument/2006/relationships/hyperlink" Target="https://eur-lex.europa.eu/legal-content/EN/TXT/?uri=COM%3A2018%3A384%3AFIN" TargetMode="External"/><Relationship Id="rId126" Type="http://schemas.openxmlformats.org/officeDocument/2006/relationships/hyperlink" Target="https://ec.europa.eu/neighbourhood-enlargement/news_corner/news/eu-identifies-20-key-deliverables-2020-eastern-partnership_en" TargetMode="External"/><Relationship Id="rId147" Type="http://schemas.openxmlformats.org/officeDocument/2006/relationships/hyperlink" Target="https://eeas.europa.eu/headquarters/headquarters-homepage/46331/new-european-peace-facility-worth-%E2%82%AC105-billion-bolster-international-security_en" TargetMode="External"/><Relationship Id="rId8" Type="http://schemas.openxmlformats.org/officeDocument/2006/relationships/hyperlink" Target="http://europa.eu/rapid/press-release_IP-18-6653_en.htm" TargetMode="External"/><Relationship Id="rId51" Type="http://schemas.openxmlformats.org/officeDocument/2006/relationships/hyperlink" Target="https://publications.europa.eu/en/publication-detail/-/publication/6862eee3-2db7-11e9-8d04-01aa75ed71a1/language-en/format-PDF/source-91859413" TargetMode="External"/><Relationship Id="rId72" Type="http://schemas.openxmlformats.org/officeDocument/2006/relationships/hyperlink" Target="https://ec.europa.eu/eip/agriculture/en/publications/eip-agri-operational-groups-assessment-2018" TargetMode="External"/><Relationship Id="rId93" Type="http://schemas.openxmlformats.org/officeDocument/2006/relationships/hyperlink" Target="https://eur-lex.europa.eu/legal-content/EN/TXT/?uri=CELEX:32014R0254" TargetMode="External"/><Relationship Id="rId98" Type="http://schemas.openxmlformats.org/officeDocument/2006/relationships/hyperlink" Target="https://ec.europa.eu/newsroom/just/item-detail.cfm?item_id=634080" TargetMode="External"/><Relationship Id="rId121" Type="http://schemas.openxmlformats.org/officeDocument/2006/relationships/hyperlink" Target="http://regionalhousingprogramme.org/" TargetMode="External"/><Relationship Id="rId142" Type="http://schemas.openxmlformats.org/officeDocument/2006/relationships/hyperlink" Target="https://www.eiuc.org" TargetMode="External"/><Relationship Id="rId3" Type="http://schemas.openxmlformats.org/officeDocument/2006/relationships/hyperlink" Target="https://europa.eu/youth/discovereu_en" TargetMode="External"/><Relationship Id="rId25" Type="http://schemas.openxmlformats.org/officeDocument/2006/relationships/hyperlink" Target="https://eur-lex.europa.eu/legal-content/en/TXT/?uri=CELEX:52019DC0147" TargetMode="External"/><Relationship Id="rId46" Type="http://schemas.openxmlformats.org/officeDocument/2006/relationships/hyperlink" Target="https://insitu.copernicus.eu/about" TargetMode="External"/><Relationship Id="rId67" Type="http://schemas.openxmlformats.org/officeDocument/2006/relationships/hyperlink" Target="https://eur-lex.europa.eu/legal-content/EN/TXT/?uri=SWD%3A2018%3A283%3AFIN" TargetMode="External"/><Relationship Id="rId116" Type="http://schemas.openxmlformats.org/officeDocument/2006/relationships/hyperlink" Target="https://ec.europa.eu/neighbourhood-enlargement/instruments/funding-by-country/kosovo_en" TargetMode="External"/><Relationship Id="rId137" Type="http://schemas.openxmlformats.org/officeDocument/2006/relationships/hyperlink" Target="https://eur-lex.europa.eu/legal-content/EN/TXT/PDF/?uri=CELEX:52018SC0337&amp;from=EN" TargetMode="External"/><Relationship Id="rId158" Type="http://schemas.openxmlformats.org/officeDocument/2006/relationships/hyperlink" Target="https://ec.europa.eu/info/evaluation-reports-economic-and-financial-affairs-policies-and-spending-activities_en" TargetMode="External"/></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g"/></Relationships>
</file>

<file path=word/_rels/header32.xml.rels><?xml version="1.0" encoding="UTF-8" standalone="yes"?>
<Relationships xmlns="http://schemas.openxmlformats.org/package/2006/relationships"><Relationship Id="rId1" Type="http://schemas.openxmlformats.org/officeDocument/2006/relationships/image" Target="media/image5.jpg"/></Relationships>
</file>

<file path=word/_rels/header35.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2" Type="http://schemas.openxmlformats.org/officeDocument/2006/relationships/oleObject" Target="file:///\\net1.cec.eu.int\BUDG\C\C02\Financial%20corrections%20and%20recoveries\Communication%20on%20Recoveries\2018_AMPR\2018_AMPR_Section_2.3__22-5-1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BUDG\03\U03\2019%20-%20Docs\14-GRAPHIC%20DESIGN%20NETWORK\AMPR_GRAPHS\Client%20Docs\2018_AMPR_Section_3_Tables_visual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BUDG\03\U03\2019%20-%20Docs\14-GRAPHIC%20DESIGN%20NETWORK\AMPR_GRAPHS\Client%20Docs\AMPR2018%20-%20RESERVATION%20SECTION.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89782878573475"/>
          <c:y val="4.7224669013353336E-2"/>
          <c:w val="0.78793407580809161"/>
          <c:h val="0.60751544143624658"/>
        </c:manualLayout>
      </c:layout>
      <c:barChart>
        <c:barDir val="col"/>
        <c:grouping val="stacked"/>
        <c:varyColors val="0"/>
        <c:ser>
          <c:idx val="0"/>
          <c:order val="0"/>
          <c:tx>
            <c:strRef>
              <c:f>'2.3.2_Net_Atsource_withdr_c (2'!$C$5</c:f>
              <c:strCache>
                <c:ptCount val="1"/>
                <c:pt idx="0">
                  <c:v>At source/Ex ante corrections 
EUR 551 million</c:v>
                </c:pt>
              </c:strCache>
            </c:strRef>
          </c:tx>
          <c:spPr>
            <a:solidFill>
              <a:srgbClr val="3B98A7"/>
            </a:solidFill>
            <a:ln>
              <a:noFill/>
            </a:ln>
            <a:effectLst/>
          </c:spPr>
          <c:invertIfNegative val="0"/>
          <c:cat>
            <c:strRef>
              <c:f>'2.3.2_Net_Atsource_withdr_c (2'!$D$4:$G$4</c:f>
              <c:strCache>
                <c:ptCount val="4"/>
                <c:pt idx="0">
                  <c:v>Cohesion policy </c:v>
                </c:pt>
                <c:pt idx="1">
                  <c:v>Agricultural policy</c:v>
                </c:pt>
                <c:pt idx="2">
                  <c:v>Internal policies</c:v>
                </c:pt>
                <c:pt idx="3">
                  <c:v>External policies</c:v>
                </c:pt>
              </c:strCache>
            </c:strRef>
          </c:cat>
          <c:val>
            <c:numRef>
              <c:f>'2.3.2_Net_Atsource_withdr_c (2'!$D$5:$G$5</c:f>
              <c:numCache>
                <c:formatCode>#,##0</c:formatCode>
                <c:ptCount val="4"/>
                <c:pt idx="0">
                  <c:v>104.99208667500001</c:v>
                </c:pt>
                <c:pt idx="1">
                  <c:v>87.282621280000001</c:v>
                </c:pt>
                <c:pt idx="2">
                  <c:v>198.18567668999995</c:v>
                </c:pt>
                <c:pt idx="3">
                  <c:v>160.81557557224514</c:v>
                </c:pt>
              </c:numCache>
            </c:numRef>
          </c:val>
          <c:extLst>
            <c:ext xmlns:c16="http://schemas.microsoft.com/office/drawing/2014/chart" uri="{C3380CC4-5D6E-409C-BE32-E72D297353CC}">
              <c16:uniqueId val="{00000000-A857-4549-BB27-B4BB6708CE00}"/>
            </c:ext>
          </c:extLst>
        </c:ser>
        <c:ser>
          <c:idx val="1"/>
          <c:order val="1"/>
          <c:tx>
            <c:strRef>
              <c:f>'2.3.2_Net_Atsource_withdr_c (2'!$C$6</c:f>
              <c:strCache>
                <c:ptCount val="1"/>
                <c:pt idx="0">
                  <c:v>Replacement of expenditure 
EUR 932 million</c:v>
                </c:pt>
              </c:strCache>
            </c:strRef>
          </c:tx>
          <c:spPr>
            <a:solidFill>
              <a:srgbClr val="65BBC8"/>
            </a:solidFill>
            <a:ln>
              <a:noFill/>
            </a:ln>
            <a:effectLst/>
          </c:spPr>
          <c:invertIfNegative val="0"/>
          <c:cat>
            <c:strRef>
              <c:f>'2.3.2_Net_Atsource_withdr_c (2'!$D$4:$G$4</c:f>
              <c:strCache>
                <c:ptCount val="4"/>
                <c:pt idx="0">
                  <c:v>Cohesion policy </c:v>
                </c:pt>
                <c:pt idx="1">
                  <c:v>Agricultural policy</c:v>
                </c:pt>
                <c:pt idx="2">
                  <c:v>Internal policies</c:v>
                </c:pt>
                <c:pt idx="3">
                  <c:v>External policies</c:v>
                </c:pt>
              </c:strCache>
            </c:strRef>
          </c:cat>
          <c:val>
            <c:numRef>
              <c:f>'2.3.2_Net_Atsource_withdr_c (2'!$D$6:$G$6</c:f>
              <c:numCache>
                <c:formatCode>#,##0</c:formatCode>
                <c:ptCount val="4"/>
                <c:pt idx="0">
                  <c:v>865.63680041543364</c:v>
                </c:pt>
                <c:pt idx="1">
                  <c:v>64.473440969999999</c:v>
                </c:pt>
                <c:pt idx="2">
                  <c:v>1.49279169</c:v>
                </c:pt>
                <c:pt idx="3">
                  <c:v>0</c:v>
                </c:pt>
              </c:numCache>
            </c:numRef>
          </c:val>
          <c:extLst>
            <c:ext xmlns:c16="http://schemas.microsoft.com/office/drawing/2014/chart" uri="{C3380CC4-5D6E-409C-BE32-E72D297353CC}">
              <c16:uniqueId val="{00000001-A857-4549-BB27-B4BB6708CE00}"/>
            </c:ext>
          </c:extLst>
        </c:ser>
        <c:ser>
          <c:idx val="2"/>
          <c:order val="2"/>
          <c:tx>
            <c:strRef>
              <c:f>'2.3.2_Net_Atsource_withdr_c (2'!$C$7</c:f>
              <c:strCache>
                <c:ptCount val="1"/>
                <c:pt idx="0">
                  <c:v>Net corrections and recoveries
EUR 1 678 million</c:v>
                </c:pt>
              </c:strCache>
            </c:strRef>
          </c:tx>
          <c:spPr>
            <a:solidFill>
              <a:srgbClr val="08AA74"/>
            </a:solidFill>
            <a:ln>
              <a:noFill/>
            </a:ln>
            <a:effectLst/>
          </c:spPr>
          <c:invertIfNegative val="0"/>
          <c:cat>
            <c:strRef>
              <c:f>'2.3.2_Net_Atsource_withdr_c (2'!$D$4:$G$4</c:f>
              <c:strCache>
                <c:ptCount val="4"/>
                <c:pt idx="0">
                  <c:v>Cohesion policy </c:v>
                </c:pt>
                <c:pt idx="1">
                  <c:v>Agricultural policy</c:v>
                </c:pt>
                <c:pt idx="2">
                  <c:v>Internal policies</c:v>
                </c:pt>
                <c:pt idx="3">
                  <c:v>External policies</c:v>
                </c:pt>
              </c:strCache>
            </c:strRef>
          </c:cat>
          <c:val>
            <c:numRef>
              <c:f>'2.3.2_Net_Atsource_withdr_c (2'!$D$7:$G$7</c:f>
              <c:numCache>
                <c:formatCode>#,##0</c:formatCode>
                <c:ptCount val="4"/>
                <c:pt idx="0">
                  <c:v>99.615459794999992</c:v>
                </c:pt>
                <c:pt idx="1">
                  <c:v>1514.0639261999997</c:v>
                </c:pt>
                <c:pt idx="2">
                  <c:v>45.900881130000045</c:v>
                </c:pt>
                <c:pt idx="3">
                  <c:v>18.248944189999996</c:v>
                </c:pt>
              </c:numCache>
            </c:numRef>
          </c:val>
          <c:extLst>
            <c:ext xmlns:c16="http://schemas.microsoft.com/office/drawing/2014/chart" uri="{C3380CC4-5D6E-409C-BE32-E72D297353CC}">
              <c16:uniqueId val="{00000002-A857-4549-BB27-B4BB6708CE00}"/>
            </c:ext>
          </c:extLst>
        </c:ser>
        <c:dLbls>
          <c:showLegendKey val="0"/>
          <c:showVal val="0"/>
          <c:showCatName val="0"/>
          <c:showSerName val="0"/>
          <c:showPercent val="0"/>
          <c:showBubbleSize val="0"/>
        </c:dLbls>
        <c:gapWidth val="109"/>
        <c:overlap val="100"/>
        <c:axId val="389724032"/>
        <c:axId val="389725568"/>
      </c:barChart>
      <c:catAx>
        <c:axId val="389724032"/>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crossAx val="389725568"/>
        <c:crosses val="autoZero"/>
        <c:auto val="1"/>
        <c:lblAlgn val="ctr"/>
        <c:lblOffset val="100"/>
        <c:noMultiLvlLbl val="0"/>
      </c:catAx>
      <c:valAx>
        <c:axId val="389725568"/>
        <c:scaling>
          <c:orientation val="minMax"/>
          <c:max val="1800"/>
          <c:min val="0"/>
        </c:scaling>
        <c:delete val="0"/>
        <c:axPos val="l"/>
        <c:majorGridlines>
          <c:spPr>
            <a:ln w="9525" cap="flat" cmpd="sng" algn="ctr">
              <a:solidFill>
                <a:schemeClr val="tx1">
                  <a:tint val="75000"/>
                  <a:shade val="95000"/>
                  <a:satMod val="105000"/>
                </a:schemeClr>
              </a:solidFill>
              <a:prstDash val="solid"/>
              <a:round/>
            </a:ln>
            <a:effectLst/>
          </c:spPr>
        </c:majorGridlines>
        <c:numFmt formatCode="#\ ##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crossAx val="389724032"/>
        <c:crosses val="autoZero"/>
        <c:crossBetween val="between"/>
        <c:majorUnit val="500"/>
      </c:valAx>
      <c:spPr>
        <a:solidFill>
          <a:schemeClr val="bg1"/>
        </a:solidFill>
        <a:ln>
          <a:noFill/>
        </a:ln>
        <a:effectLst/>
      </c:spPr>
    </c:plotArea>
    <c:legend>
      <c:legendPos val="r"/>
      <c:layout>
        <c:manualLayout>
          <c:xMode val="edge"/>
          <c:yMode val="edge"/>
          <c:x val="0.10175821182729518"/>
          <c:y val="0.7812754576564005"/>
          <c:w val="0.84844389658960362"/>
          <c:h val="0.1961048190275854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fr-FR"/>
        </a:p>
      </c:txPr>
    </c:legend>
    <c:plotVisOnly val="1"/>
    <c:dispBlanksAs val="gap"/>
    <c:showDLblsOverMax val="0"/>
  </c:chart>
  <c:spPr>
    <a:solidFill>
      <a:schemeClr val="bg1"/>
    </a:solidFill>
    <a:ln w="9525" cap="flat" cmpd="sng" algn="ctr">
      <a:solidFill>
        <a:srgbClr val="D9D9D9"/>
      </a:solidFill>
      <a:prstDash val="solid"/>
      <a:round/>
    </a:ln>
    <a:effectLst/>
  </c:spPr>
  <c:txPr>
    <a:bodyPr/>
    <a:lstStyle/>
    <a:p>
      <a:pPr>
        <a:defRPr/>
      </a:pPr>
      <a:endParaRPr lang="fr-F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77486768054703"/>
          <c:y val="3.4109131707520036E-2"/>
          <c:w val="0.8256396319254421"/>
          <c:h val="0.71791083805915501"/>
        </c:manualLayout>
      </c:layout>
      <c:barChart>
        <c:barDir val="col"/>
        <c:grouping val="stacked"/>
        <c:varyColors val="0"/>
        <c:ser>
          <c:idx val="0"/>
          <c:order val="0"/>
          <c:tx>
            <c:strRef>
              <c:f>'3.3_Chart_multi-annual_7yrs'!$A$5</c:f>
              <c:strCache>
                <c:ptCount val="1"/>
                <c:pt idx="0">
                  <c:v>Agricultural policy</c:v>
                </c:pt>
              </c:strCache>
            </c:strRef>
          </c:tx>
          <c:spPr>
            <a:solidFill>
              <a:srgbClr val="65BBC8"/>
            </a:solidFill>
          </c:spPr>
          <c:invertIfNegative val="0"/>
          <c:cat>
            <c:numRef>
              <c:f>'3.3_Chart_multi-annual_7yrs'!$B$4:$H$4</c:f>
              <c:numCache>
                <c:formatCode>General</c:formatCode>
                <c:ptCount val="7"/>
                <c:pt idx="0">
                  <c:v>2012</c:v>
                </c:pt>
                <c:pt idx="1">
                  <c:v>2013</c:v>
                </c:pt>
                <c:pt idx="2">
                  <c:v>2014</c:v>
                </c:pt>
                <c:pt idx="3">
                  <c:v>2015</c:v>
                </c:pt>
                <c:pt idx="4">
                  <c:v>2016</c:v>
                </c:pt>
                <c:pt idx="5">
                  <c:v>2017</c:v>
                </c:pt>
                <c:pt idx="6">
                  <c:v>2018</c:v>
                </c:pt>
              </c:numCache>
            </c:numRef>
          </c:cat>
          <c:val>
            <c:numRef>
              <c:f>'3.3_Chart_multi-annual_7yrs'!$B$5:$H$5</c:f>
              <c:numCache>
                <c:formatCode>#\ ##0</c:formatCode>
                <c:ptCount val="7"/>
                <c:pt idx="0">
                  <c:v>859</c:v>
                </c:pt>
                <c:pt idx="1">
                  <c:v>1456</c:v>
                </c:pt>
                <c:pt idx="2">
                  <c:v>2247</c:v>
                </c:pt>
                <c:pt idx="3">
                  <c:v>1292</c:v>
                </c:pt>
                <c:pt idx="4">
                  <c:v>2086.7716267799997</c:v>
                </c:pt>
                <c:pt idx="5">
                  <c:v>1518.1992055000001</c:v>
                </c:pt>
                <c:pt idx="6">
                  <c:v>817.29995748999977</c:v>
                </c:pt>
              </c:numCache>
            </c:numRef>
          </c:val>
          <c:extLst>
            <c:ext xmlns:c16="http://schemas.microsoft.com/office/drawing/2014/chart" uri="{C3380CC4-5D6E-409C-BE32-E72D297353CC}">
              <c16:uniqueId val="{00000000-2D4E-4D58-A228-BB8BBFF4BBE1}"/>
            </c:ext>
          </c:extLst>
        </c:ser>
        <c:ser>
          <c:idx val="3"/>
          <c:order val="1"/>
          <c:tx>
            <c:strRef>
              <c:f>'3.3_Chart_multi-annual_7yrs'!$A$8</c:f>
              <c:strCache>
                <c:ptCount val="1"/>
                <c:pt idx="0">
                  <c:v>Cohesion policy</c:v>
                </c:pt>
              </c:strCache>
            </c:strRef>
          </c:tx>
          <c:spPr>
            <a:solidFill>
              <a:srgbClr val="A9CEDC"/>
            </a:solidFill>
          </c:spPr>
          <c:invertIfNegative val="0"/>
          <c:cat>
            <c:numRef>
              <c:f>'3.3_Chart_multi-annual_7yrs'!$B$4:$H$4</c:f>
              <c:numCache>
                <c:formatCode>General</c:formatCode>
                <c:ptCount val="7"/>
                <c:pt idx="0">
                  <c:v>2012</c:v>
                </c:pt>
                <c:pt idx="1">
                  <c:v>2013</c:v>
                </c:pt>
                <c:pt idx="2">
                  <c:v>2014</c:v>
                </c:pt>
                <c:pt idx="3">
                  <c:v>2015</c:v>
                </c:pt>
                <c:pt idx="4">
                  <c:v>2016</c:v>
                </c:pt>
                <c:pt idx="5">
                  <c:v>2017</c:v>
                </c:pt>
                <c:pt idx="6">
                  <c:v>2018</c:v>
                </c:pt>
              </c:numCache>
            </c:numRef>
          </c:cat>
          <c:val>
            <c:numRef>
              <c:f>'3.3_Chart_multi-annual_7yrs'!$B$8:$H$8</c:f>
              <c:numCache>
                <c:formatCode>#\ ##0</c:formatCode>
                <c:ptCount val="7"/>
                <c:pt idx="0">
                  <c:v>1641</c:v>
                </c:pt>
                <c:pt idx="1">
                  <c:v>1485</c:v>
                </c:pt>
                <c:pt idx="2">
                  <c:v>2050</c:v>
                </c:pt>
                <c:pt idx="3">
                  <c:v>1744</c:v>
                </c:pt>
                <c:pt idx="4">
                  <c:v>1204.2138677064181</c:v>
                </c:pt>
                <c:pt idx="5">
                  <c:v>514.75930422783722</c:v>
                </c:pt>
                <c:pt idx="6">
                  <c:v>413.84588010889843</c:v>
                </c:pt>
              </c:numCache>
            </c:numRef>
          </c:val>
          <c:extLst>
            <c:ext xmlns:c16="http://schemas.microsoft.com/office/drawing/2014/chart" uri="{C3380CC4-5D6E-409C-BE32-E72D297353CC}">
              <c16:uniqueId val="{00000001-2D4E-4D58-A228-BB8BBFF4BBE1}"/>
            </c:ext>
          </c:extLst>
        </c:ser>
        <c:ser>
          <c:idx val="10"/>
          <c:order val="2"/>
          <c:tx>
            <c:strRef>
              <c:f>'3.3_Chart_multi-annual_7yrs'!$A$15</c:f>
              <c:strCache>
                <c:ptCount val="1"/>
                <c:pt idx="0">
                  <c:v>Internal policies</c:v>
                </c:pt>
              </c:strCache>
            </c:strRef>
          </c:tx>
          <c:spPr>
            <a:solidFill>
              <a:srgbClr val="E79B4F"/>
            </a:solidFill>
          </c:spPr>
          <c:invertIfNegative val="0"/>
          <c:cat>
            <c:numRef>
              <c:f>'3.3_Chart_multi-annual_7yrs'!$B$4:$H$4</c:f>
              <c:numCache>
                <c:formatCode>General</c:formatCode>
                <c:ptCount val="7"/>
                <c:pt idx="0">
                  <c:v>2012</c:v>
                </c:pt>
                <c:pt idx="1">
                  <c:v>2013</c:v>
                </c:pt>
                <c:pt idx="2">
                  <c:v>2014</c:v>
                </c:pt>
                <c:pt idx="3">
                  <c:v>2015</c:v>
                </c:pt>
                <c:pt idx="4">
                  <c:v>2016</c:v>
                </c:pt>
                <c:pt idx="5">
                  <c:v>2017</c:v>
                </c:pt>
                <c:pt idx="6">
                  <c:v>2018</c:v>
                </c:pt>
              </c:numCache>
            </c:numRef>
          </c:cat>
          <c:val>
            <c:numRef>
              <c:f>'3.3_Chart_multi-annual_7yrs'!$B$15:$H$15</c:f>
              <c:numCache>
                <c:formatCode>#\ ##0</c:formatCode>
                <c:ptCount val="7"/>
                <c:pt idx="0">
                  <c:v>253</c:v>
                </c:pt>
                <c:pt idx="1">
                  <c:v>396</c:v>
                </c:pt>
                <c:pt idx="2">
                  <c:v>297</c:v>
                </c:pt>
                <c:pt idx="3">
                  <c:v>326</c:v>
                </c:pt>
                <c:pt idx="4">
                  <c:v>308.79057473999893</c:v>
                </c:pt>
                <c:pt idx="5">
                  <c:v>391.43453935999952</c:v>
                </c:pt>
                <c:pt idx="6">
                  <c:v>249.02305510999986</c:v>
                </c:pt>
              </c:numCache>
            </c:numRef>
          </c:val>
          <c:extLst>
            <c:ext xmlns:c16="http://schemas.microsoft.com/office/drawing/2014/chart" uri="{C3380CC4-5D6E-409C-BE32-E72D297353CC}">
              <c16:uniqueId val="{00000002-2D4E-4D58-A228-BB8BBFF4BBE1}"/>
            </c:ext>
          </c:extLst>
        </c:ser>
        <c:ser>
          <c:idx val="11"/>
          <c:order val="3"/>
          <c:tx>
            <c:strRef>
              <c:f>'3.3_Chart_multi-annual_7yrs'!$A$16</c:f>
              <c:strCache>
                <c:ptCount val="1"/>
                <c:pt idx="0">
                  <c:v>External policies</c:v>
                </c:pt>
              </c:strCache>
            </c:strRef>
          </c:tx>
          <c:spPr>
            <a:solidFill>
              <a:srgbClr val="EFC465"/>
            </a:solidFill>
          </c:spPr>
          <c:invertIfNegative val="0"/>
          <c:cat>
            <c:numRef>
              <c:f>'3.3_Chart_multi-annual_7yrs'!$B$4:$H$4</c:f>
              <c:numCache>
                <c:formatCode>General</c:formatCode>
                <c:ptCount val="7"/>
                <c:pt idx="0">
                  <c:v>2012</c:v>
                </c:pt>
                <c:pt idx="1">
                  <c:v>2013</c:v>
                </c:pt>
                <c:pt idx="2">
                  <c:v>2014</c:v>
                </c:pt>
                <c:pt idx="3">
                  <c:v>2015</c:v>
                </c:pt>
                <c:pt idx="4">
                  <c:v>2016</c:v>
                </c:pt>
                <c:pt idx="5">
                  <c:v>2017</c:v>
                </c:pt>
                <c:pt idx="6">
                  <c:v>2018</c:v>
                </c:pt>
              </c:numCache>
            </c:numRef>
          </c:cat>
          <c:val>
            <c:numRef>
              <c:f>'3.3_Chart_multi-annual_7yrs'!$B$16:$H$16</c:f>
              <c:numCache>
                <c:formatCode>#\ ##0</c:formatCode>
                <c:ptCount val="7"/>
                <c:pt idx="0">
                  <c:v>107</c:v>
                </c:pt>
                <c:pt idx="1">
                  <c:v>93</c:v>
                </c:pt>
                <c:pt idx="2">
                  <c:v>127</c:v>
                </c:pt>
                <c:pt idx="3">
                  <c:v>132</c:v>
                </c:pt>
                <c:pt idx="4">
                  <c:v>173.04647003032818</c:v>
                </c:pt>
                <c:pt idx="5">
                  <c:v>234.24808372910383</c:v>
                </c:pt>
                <c:pt idx="6">
                  <c:v>187.67749305224515</c:v>
                </c:pt>
              </c:numCache>
            </c:numRef>
          </c:val>
          <c:extLst>
            <c:ext xmlns:c16="http://schemas.microsoft.com/office/drawing/2014/chart" uri="{C3380CC4-5D6E-409C-BE32-E72D297353CC}">
              <c16:uniqueId val="{00000003-2D4E-4D58-A228-BB8BBFF4BBE1}"/>
            </c:ext>
          </c:extLst>
        </c:ser>
        <c:ser>
          <c:idx val="12"/>
          <c:order val="4"/>
          <c:tx>
            <c:strRef>
              <c:f>'3.3_Chart_multi-annual_7yrs'!$A$17</c:f>
              <c:strCache>
                <c:ptCount val="1"/>
                <c:pt idx="0">
                  <c:v>Administration</c:v>
                </c:pt>
              </c:strCache>
            </c:strRef>
          </c:tx>
          <c:spPr>
            <a:solidFill>
              <a:srgbClr val="08AA74"/>
            </a:solidFill>
          </c:spPr>
          <c:invertIfNegative val="0"/>
          <c:cat>
            <c:numRef>
              <c:f>'3.3_Chart_multi-annual_7yrs'!$B$4:$H$4</c:f>
              <c:numCache>
                <c:formatCode>General</c:formatCode>
                <c:ptCount val="7"/>
                <c:pt idx="0">
                  <c:v>2012</c:v>
                </c:pt>
                <c:pt idx="1">
                  <c:v>2013</c:v>
                </c:pt>
                <c:pt idx="2">
                  <c:v>2014</c:v>
                </c:pt>
                <c:pt idx="3">
                  <c:v>2015</c:v>
                </c:pt>
                <c:pt idx="4">
                  <c:v>2016</c:v>
                </c:pt>
                <c:pt idx="5">
                  <c:v>2017</c:v>
                </c:pt>
                <c:pt idx="6">
                  <c:v>2018</c:v>
                </c:pt>
              </c:numCache>
            </c:numRef>
          </c:cat>
          <c:val>
            <c:numRef>
              <c:f>'3.3_Chart_multi-annual_7yrs'!$B$17:$H$17</c:f>
              <c:numCache>
                <c:formatCode>#\ ##0</c:formatCode>
                <c:ptCount val="7"/>
                <c:pt idx="0">
                  <c:v>7</c:v>
                </c:pt>
                <c:pt idx="1">
                  <c:v>6</c:v>
                </c:pt>
                <c:pt idx="2">
                  <c:v>5</c:v>
                </c:pt>
                <c:pt idx="3">
                  <c:v>5</c:v>
                </c:pt>
                <c:pt idx="4">
                  <c:v>4.0053480899999974</c:v>
                </c:pt>
                <c:pt idx="5">
                  <c:v>3.2276561800000021</c:v>
                </c:pt>
                <c:pt idx="6">
                  <c:v>2.9854361700000003</c:v>
                </c:pt>
              </c:numCache>
            </c:numRef>
          </c:val>
          <c:extLst>
            <c:ext xmlns:c16="http://schemas.microsoft.com/office/drawing/2014/chart" uri="{C3380CC4-5D6E-409C-BE32-E72D297353CC}">
              <c16:uniqueId val="{00000004-2D4E-4D58-A228-BB8BBFF4BBE1}"/>
            </c:ext>
          </c:extLst>
        </c:ser>
        <c:dLbls>
          <c:showLegendKey val="0"/>
          <c:showVal val="0"/>
          <c:showCatName val="0"/>
          <c:showSerName val="0"/>
          <c:showPercent val="0"/>
          <c:showBubbleSize val="0"/>
        </c:dLbls>
        <c:gapWidth val="90"/>
        <c:overlap val="100"/>
        <c:axId val="392622464"/>
        <c:axId val="392624000"/>
      </c:barChart>
      <c:catAx>
        <c:axId val="392622464"/>
        <c:scaling>
          <c:orientation val="minMax"/>
        </c:scaling>
        <c:delete val="0"/>
        <c:axPos val="b"/>
        <c:numFmt formatCode="General" sourceLinked="1"/>
        <c:majorTickMark val="out"/>
        <c:minorTickMark val="none"/>
        <c:tickLblPos val="nextTo"/>
        <c:crossAx val="392624000"/>
        <c:crosses val="autoZero"/>
        <c:auto val="1"/>
        <c:lblAlgn val="ctr"/>
        <c:lblOffset val="100"/>
        <c:tickLblSkip val="1"/>
        <c:noMultiLvlLbl val="0"/>
      </c:catAx>
      <c:valAx>
        <c:axId val="392624000"/>
        <c:scaling>
          <c:orientation val="minMax"/>
          <c:min val="0"/>
        </c:scaling>
        <c:delete val="0"/>
        <c:axPos val="l"/>
        <c:majorGridlines/>
        <c:numFmt formatCode="#\ ##0" sourceLinked="0"/>
        <c:majorTickMark val="out"/>
        <c:minorTickMark val="none"/>
        <c:tickLblPos val="nextTo"/>
        <c:crossAx val="392622464"/>
        <c:crosses val="autoZero"/>
        <c:crossBetween val="between"/>
        <c:majorUnit val="1000"/>
      </c:valAx>
    </c:plotArea>
    <c:legend>
      <c:legendPos val="b"/>
      <c:layout>
        <c:manualLayout>
          <c:xMode val="edge"/>
          <c:yMode val="edge"/>
          <c:x val="0.11947884611549424"/>
          <c:y val="0.85910677281486691"/>
          <c:w val="0.66183924729924115"/>
          <c:h val="0.12590513680028742"/>
        </c:manualLayout>
      </c:layout>
      <c:overlay val="0"/>
    </c:legend>
    <c:plotVisOnly val="1"/>
    <c:dispBlanksAs val="gap"/>
    <c:showDLblsOverMax val="0"/>
  </c:chart>
  <c:spPr>
    <a:ln>
      <a:solidFill>
        <a:srgbClr val="D9D9D9"/>
      </a:solidFill>
    </a:ln>
  </c:spPr>
  <c:txPr>
    <a:bodyPr/>
    <a:lstStyle/>
    <a:p>
      <a:pPr>
        <a:defRPr>
          <a:ln>
            <a:noFill/>
          </a:ln>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72925606521407"/>
          <c:y val="0.1852884530315301"/>
          <c:w val="0.44966531961282608"/>
          <c:h val="0.67932785670733697"/>
        </c:manualLayout>
      </c:layout>
      <c:doughnutChart>
        <c:varyColors val="1"/>
        <c:ser>
          <c:idx val="0"/>
          <c:order val="0"/>
          <c:dPt>
            <c:idx val="0"/>
            <c:bubble3D val="0"/>
            <c:spPr>
              <a:solidFill>
                <a:schemeClr val="accent5">
                  <a:tint val="48000"/>
                  <a:alpha val="70000"/>
                </a:schemeClr>
              </a:solidFill>
              <a:ln>
                <a:noFill/>
              </a:ln>
              <a:effectLst/>
            </c:spPr>
            <c:extLst>
              <c:ext xmlns:c16="http://schemas.microsoft.com/office/drawing/2014/chart" uri="{C3380CC4-5D6E-409C-BE32-E72D297353CC}">
                <c16:uniqueId val="{00000001-1853-4C64-B35B-E42EA12C6A5A}"/>
              </c:ext>
            </c:extLst>
          </c:dPt>
          <c:dPt>
            <c:idx val="1"/>
            <c:bubble3D val="0"/>
            <c:spPr>
              <a:solidFill>
                <a:schemeClr val="accent5">
                  <a:tint val="65000"/>
                  <a:alpha val="70000"/>
                </a:schemeClr>
              </a:solidFill>
              <a:ln>
                <a:noFill/>
              </a:ln>
              <a:effectLst/>
            </c:spPr>
            <c:extLst>
              <c:ext xmlns:c16="http://schemas.microsoft.com/office/drawing/2014/chart" uri="{C3380CC4-5D6E-409C-BE32-E72D297353CC}">
                <c16:uniqueId val="{00000003-1853-4C64-B35B-E42EA12C6A5A}"/>
              </c:ext>
            </c:extLst>
          </c:dPt>
          <c:dPt>
            <c:idx val="2"/>
            <c:bubble3D val="0"/>
            <c:spPr>
              <a:solidFill>
                <a:schemeClr val="accent5">
                  <a:tint val="83000"/>
                  <a:alpha val="70000"/>
                </a:schemeClr>
              </a:solidFill>
              <a:ln>
                <a:noFill/>
              </a:ln>
              <a:effectLst/>
            </c:spPr>
            <c:extLst>
              <c:ext xmlns:c16="http://schemas.microsoft.com/office/drawing/2014/chart" uri="{C3380CC4-5D6E-409C-BE32-E72D297353CC}">
                <c16:uniqueId val="{00000005-1853-4C64-B35B-E42EA12C6A5A}"/>
              </c:ext>
            </c:extLst>
          </c:dPt>
          <c:dPt>
            <c:idx val="3"/>
            <c:bubble3D val="0"/>
            <c:explosion val="7"/>
            <c:spPr>
              <a:solidFill>
                <a:srgbClr val="65BBC8"/>
              </a:solidFill>
              <a:ln>
                <a:noFill/>
              </a:ln>
              <a:effectLst/>
            </c:spPr>
            <c:extLst>
              <c:ext xmlns:c16="http://schemas.microsoft.com/office/drawing/2014/chart" uri="{C3380CC4-5D6E-409C-BE32-E72D297353CC}">
                <c16:uniqueId val="{00000007-1853-4C64-B35B-E42EA12C6A5A}"/>
              </c:ext>
            </c:extLst>
          </c:dPt>
          <c:dPt>
            <c:idx val="4"/>
            <c:bubble3D val="0"/>
            <c:spPr>
              <a:solidFill>
                <a:srgbClr val="65BBC8"/>
              </a:solidFill>
              <a:ln>
                <a:noFill/>
              </a:ln>
              <a:effectLst/>
            </c:spPr>
            <c:extLst>
              <c:ext xmlns:c16="http://schemas.microsoft.com/office/drawing/2014/chart" uri="{C3380CC4-5D6E-409C-BE32-E72D297353CC}">
                <c16:uniqueId val="{00000009-1853-4C64-B35B-E42EA12C6A5A}"/>
              </c:ext>
            </c:extLst>
          </c:dPt>
          <c:dPt>
            <c:idx val="5"/>
            <c:bubble3D val="0"/>
            <c:spPr>
              <a:solidFill>
                <a:srgbClr val="9FD4DD"/>
              </a:solidFill>
              <a:ln>
                <a:noFill/>
              </a:ln>
              <a:effectLst/>
            </c:spPr>
            <c:extLst>
              <c:ext xmlns:c16="http://schemas.microsoft.com/office/drawing/2014/chart" uri="{C3380CC4-5D6E-409C-BE32-E72D297353CC}">
                <c16:uniqueId val="{0000000B-1853-4C64-B35B-E42EA12C6A5A}"/>
              </c:ext>
            </c:extLst>
          </c:dPt>
          <c:dPt>
            <c:idx val="6"/>
            <c:bubble3D val="0"/>
            <c:spPr>
              <a:solidFill>
                <a:srgbClr val="3B98A7"/>
              </a:solidFill>
              <a:ln>
                <a:noFill/>
              </a:ln>
              <a:effectLst/>
            </c:spPr>
            <c:extLst>
              <c:ext xmlns:c16="http://schemas.microsoft.com/office/drawing/2014/chart" uri="{C3380CC4-5D6E-409C-BE32-E72D297353CC}">
                <c16:uniqueId val="{0000000D-1853-4C64-B35B-E42EA12C6A5A}"/>
              </c:ext>
            </c:extLst>
          </c:dPt>
          <c:dPt>
            <c:idx val="7"/>
            <c:bubble3D val="0"/>
            <c:explosion val="8"/>
            <c:spPr>
              <a:solidFill>
                <a:srgbClr val="3B98A7"/>
              </a:solidFill>
              <a:ln>
                <a:noFill/>
              </a:ln>
              <a:effectLst/>
            </c:spPr>
            <c:extLst>
              <c:ext xmlns:c16="http://schemas.microsoft.com/office/drawing/2014/chart" uri="{C3380CC4-5D6E-409C-BE32-E72D297353CC}">
                <c16:uniqueId val="{0000000F-1853-4C64-B35B-E42EA12C6A5A}"/>
              </c:ext>
            </c:extLst>
          </c:dPt>
          <c:dLbls>
            <c:dLbl>
              <c:idx val="0"/>
              <c:layout>
                <c:manualLayout>
                  <c:x val="0.2740320654362649"/>
                  <c:y val="-0.1425821826290728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fld id="{8DEBA4F0-B296-4B93-8808-B854C019869C}" type="CATEGORYNAME">
                      <a:rPr lang="en-US"/>
                      <a:pPr>
                        <a:defRPr>
                          <a:solidFill>
                            <a:schemeClr val="bg1">
                              <a:lumMod val="50000"/>
                            </a:schemeClr>
                          </a:solidFill>
                        </a:defRPr>
                      </a:pPr>
                      <a:t>[CATEGORY NAME]</a:t>
                    </a:fld>
                    <a:r>
                      <a:rPr lang="en-US" baseline="0"/>
                      <a:t>
</a:t>
                    </a:r>
                    <a:fld id="{C41D7273-83FB-4BC4-9A66-8180ACD1ED76}" type="VALUE">
                      <a:rPr lang="en-US" sz="1100" b="1" baseline="0"/>
                      <a:pPr>
                        <a:defRPr>
                          <a:solidFill>
                            <a:schemeClr val="bg1">
                              <a:lumMod val="50000"/>
                            </a:schemeClr>
                          </a:solidFill>
                        </a:defRPr>
                      </a:pPr>
                      <a:t>[VALUE]</a:t>
                    </a:fld>
                    <a:endParaRPr lang="en-US" baseline="0"/>
                  </a:p>
                </c:rich>
              </c:tx>
              <c:spPr>
                <a:noFill/>
                <a:ln w="12700" cap="flat" cmpd="sng" algn="ctr">
                  <a:noFill/>
                  <a:roun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17119509366884694"/>
                      <c:h val="0.11353976672982487"/>
                    </c:manualLayout>
                  </c15:layout>
                  <c15:dlblFieldTable/>
                  <c15:showDataLabelsRange val="0"/>
                </c:ext>
                <c:ext xmlns:c16="http://schemas.microsoft.com/office/drawing/2014/chart" uri="{C3380CC4-5D6E-409C-BE32-E72D297353CC}">
                  <c16:uniqueId val="{00000001-1853-4C64-B35B-E42EA12C6A5A}"/>
                </c:ext>
              </c:extLst>
            </c:dLbl>
            <c:dLbl>
              <c:idx val="1"/>
              <c:layout>
                <c:manualLayout>
                  <c:x val="0.20318675443347359"/>
                  <c:y val="4.618106833447888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fld id="{E7AA3574-710E-447A-AC9E-BF6CB46BABA6}" type="CATEGORYNAME">
                      <a:rPr lang="en-US"/>
                      <a:pPr>
                        <a:defRPr>
                          <a:solidFill>
                            <a:schemeClr val="bg1">
                              <a:lumMod val="50000"/>
                            </a:schemeClr>
                          </a:solidFill>
                        </a:defRPr>
                      </a:pPr>
                      <a:t>[CATEGORY NAME]</a:t>
                    </a:fld>
                    <a:r>
                      <a:rPr lang="en-US" baseline="0"/>
                      <a:t>
</a:t>
                    </a:r>
                    <a:fld id="{B6B0FE25-A9B3-47B9-BD9A-95E1DF82F045}" type="VALUE">
                      <a:rPr lang="en-US" sz="1100" b="1" baseline="0"/>
                      <a:pPr>
                        <a:defRPr>
                          <a:solidFill>
                            <a:schemeClr val="bg1">
                              <a:lumMod val="50000"/>
                            </a:schemeClr>
                          </a:solidFill>
                        </a:defRPr>
                      </a:pPr>
                      <a:t>[VALUE]</a:t>
                    </a:fld>
                    <a:endParaRPr lang="en-US" baseline="0"/>
                  </a:p>
                </c:rich>
              </c:tx>
              <c:spPr>
                <a:noFill/>
                <a:ln w="12700" cap="flat" cmpd="sng" algn="ctr">
                  <a:noFill/>
                  <a:roun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21717927620158592"/>
                      <c:h val="0.15207038753794411"/>
                    </c:manualLayout>
                  </c15:layout>
                  <c15:dlblFieldTable/>
                  <c15:showDataLabelsRange val="0"/>
                </c:ext>
                <c:ext xmlns:c16="http://schemas.microsoft.com/office/drawing/2014/chart" uri="{C3380CC4-5D6E-409C-BE32-E72D297353CC}">
                  <c16:uniqueId val="{00000003-1853-4C64-B35B-E42EA12C6A5A}"/>
                </c:ext>
              </c:extLst>
            </c:dLbl>
            <c:dLbl>
              <c:idx val="2"/>
              <c:layout>
                <c:manualLayout>
                  <c:x val="0.28027130289269381"/>
                  <c:y val="7.5147963894314315E-2"/>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fld id="{F9EF5BD6-96CE-4426-9E26-E9143B43407C}" type="CATEGORYNAME">
                      <a:rPr lang="en-US">
                        <a:solidFill>
                          <a:schemeClr val="bg1">
                            <a:lumMod val="50000"/>
                          </a:schemeClr>
                        </a:solidFill>
                      </a:rPr>
                      <a:pPr>
                        <a:defRPr>
                          <a:solidFill>
                            <a:schemeClr val="bg1">
                              <a:lumMod val="50000"/>
                            </a:schemeClr>
                          </a:solidFill>
                        </a:defRPr>
                      </a:pPr>
                      <a:t>[CATEGORY NAME]</a:t>
                    </a:fld>
                    <a:r>
                      <a:rPr lang="en-US" baseline="0">
                        <a:solidFill>
                          <a:schemeClr val="bg1">
                            <a:lumMod val="50000"/>
                          </a:schemeClr>
                        </a:solidFill>
                      </a:rPr>
                      <a:t>
</a:t>
                    </a:r>
                    <a:fld id="{45FC173C-976F-4219-A346-AD3E35343CAD}" type="VALUE">
                      <a:rPr lang="en-US" sz="1100" b="1" baseline="0">
                        <a:solidFill>
                          <a:schemeClr val="bg1">
                            <a:lumMod val="50000"/>
                          </a:schemeClr>
                        </a:solidFill>
                      </a:rPr>
                      <a:pPr>
                        <a:defRPr>
                          <a:solidFill>
                            <a:schemeClr val="bg1">
                              <a:lumMod val="50000"/>
                            </a:schemeClr>
                          </a:solidFill>
                        </a:defRPr>
                      </a:pPr>
                      <a:t>[VALUE]</a:t>
                    </a:fld>
                    <a:endParaRPr lang="en-US" baseline="0">
                      <a:solidFill>
                        <a:schemeClr val="bg1">
                          <a:lumMod val="50000"/>
                        </a:schemeClr>
                      </a:solidFill>
                    </a:endParaRPr>
                  </a:p>
                </c:rich>
              </c:tx>
              <c:spPr>
                <a:solidFill>
                  <a:sysClr val="window" lastClr="FFFFFF">
                    <a:alpha val="90000"/>
                  </a:sysClr>
                </a:solidFill>
                <a:ln w="12700" cap="flat" cmpd="sng" algn="ctr">
                  <a:noFill/>
                  <a:round/>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borderCallout1">
                      <a:avLst/>
                    </a:prstGeom>
                    <a:solidFill>
                      <a:schemeClr val="lt1">
                        <a:alpha val="90000"/>
                      </a:schemeClr>
                    </a:solidFill>
                    <a:ln w="12700" cap="flat" cmpd="sng" algn="ctr">
                      <a:solidFill>
                        <a:schemeClr val="accent5">
                          <a:tint val="30000"/>
                        </a:schemeClr>
                      </a:solidFill>
                      <a:round/>
                    </a:ln>
                  </c15:spPr>
                  <c15:layout>
                    <c:manualLayout>
                      <c:w val="0.16531752975322528"/>
                      <c:h val="0.15729475042931648"/>
                    </c:manualLayout>
                  </c15:layout>
                  <c15:dlblFieldTable/>
                  <c15:showDataLabelsRange val="0"/>
                </c:ext>
                <c:ext xmlns:c16="http://schemas.microsoft.com/office/drawing/2014/chart" uri="{C3380CC4-5D6E-409C-BE32-E72D297353CC}">
                  <c16:uniqueId val="{00000005-1853-4C64-B35B-E42EA12C6A5A}"/>
                </c:ext>
              </c:extLst>
            </c:dLbl>
            <c:dLbl>
              <c:idx val="3"/>
              <c:layout>
                <c:manualLayout>
                  <c:x val="0.16424170936966215"/>
                  <c:y val="0.1552281090366654"/>
                </c:manualLayout>
              </c:layout>
              <c:tx>
                <c:rich>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 lastClr="FFFFFF">
                            <a:lumMod val="50000"/>
                          </a:sysClr>
                        </a:solidFill>
                        <a:effectLst/>
                        <a:latin typeface="EC Square Sans Pro" panose="020B0506040000020004" pitchFamily="34" charset="0"/>
                        <a:ea typeface="+mn-ea"/>
                        <a:cs typeface="+mn-cs"/>
                      </a:defRPr>
                    </a:pPr>
                    <a:r>
                      <a:rPr lang="en-US" sz="1000" b="1">
                        <a:solidFill>
                          <a:schemeClr val="bg1">
                            <a:lumMod val="50000"/>
                          </a:schemeClr>
                        </a:solidFill>
                      </a:rPr>
                      <a:t>HOME (NEW)</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fld id="{F2D56D8B-28DF-401D-978A-14DEFC648192}" type="CATEGORYNAM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t>[CATEGORY NAME]</a:t>
                    </a:fld>
                    <a:endParaRPr lang="en-US" baseline="0"/>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fld id="{97DD1A79-8656-4CED-8C5D-08A0EF798893}" type="VALUE">
                      <a:rPr lang="en-US" b="1"/>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t>[VALUE]</a:t>
                    </a:fld>
                    <a:endParaRPr lang="fr-BE"/>
                  </a:p>
                </c:rich>
              </c:tx>
              <c:spPr>
                <a:noFill/>
                <a:ln w="12700" cap="flat" cmpd="sng" algn="ctr">
                  <a:noFill/>
                  <a:round/>
                </a:ln>
                <a:effectLst/>
              </c:spPr>
              <c:txPr>
                <a:bodyPr rot="0" spcFirstLastPara="1" vertOverflow="clip" horzOverflow="clip" vert="horz" wrap="square" lIns="38100" tIns="19050" rIns="38100" bIns="19050" anchor="ctr" anchorCtr="0">
                  <a:no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 lastClr="FFFFFF">
                          <a:lumMod val="50000"/>
                        </a:sys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30015432098765432"/>
                      <c:h val="0.13513725650326552"/>
                    </c:manualLayout>
                  </c15:layout>
                  <c15:dlblFieldTable/>
                  <c15:showDataLabelsRange val="0"/>
                </c:ext>
                <c:ext xmlns:c16="http://schemas.microsoft.com/office/drawing/2014/chart" uri="{C3380CC4-5D6E-409C-BE32-E72D297353CC}">
                  <c16:uniqueId val="{00000007-1853-4C64-B35B-E42EA12C6A5A}"/>
                </c:ext>
              </c:extLst>
            </c:dLbl>
            <c:dLbl>
              <c:idx val="4"/>
              <c:layout>
                <c:manualLayout>
                  <c:x val="-0.271239445763724"/>
                  <c:y val="0.14590521690406677"/>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fld id="{B2431849-909B-48E7-9F82-CCC5DE1802F6}" type="CATEGORYNAME">
                      <a:rPr lang="en-US"/>
                      <a:pPr>
                        <a:defRPr>
                          <a:solidFill>
                            <a:schemeClr val="bg1">
                              <a:lumMod val="50000"/>
                            </a:schemeClr>
                          </a:solidFill>
                        </a:defRPr>
                      </a:pPr>
                      <a:t>[CATEGORY NAME]</a:t>
                    </a:fld>
                    <a:r>
                      <a:rPr lang="en-US" baseline="0"/>
                      <a:t>
</a:t>
                    </a:r>
                    <a:fld id="{A20615C6-92B3-4432-AE33-FA77FF7BD0B1}" type="VALUE">
                      <a:rPr lang="en-US" sz="1100" b="1" baseline="0"/>
                      <a:pPr>
                        <a:defRPr>
                          <a:solidFill>
                            <a:schemeClr val="bg1">
                              <a:lumMod val="50000"/>
                            </a:schemeClr>
                          </a:solidFill>
                        </a:defRPr>
                      </a:pPr>
                      <a:t>[VALUE]</a:t>
                    </a:fld>
                    <a:endParaRPr lang="en-US" baseline="0"/>
                  </a:p>
                </c:rich>
              </c:tx>
              <c:spPr>
                <a:noFill/>
                <a:ln w="12700" cap="flat" cmpd="sng" algn="ctr">
                  <a:noFill/>
                  <a:roun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24331541890597005"/>
                      <c:h val="0.10775114004604174"/>
                    </c:manualLayout>
                  </c15:layout>
                  <c15:dlblFieldTable/>
                  <c15:showDataLabelsRange val="0"/>
                </c:ext>
                <c:ext xmlns:c16="http://schemas.microsoft.com/office/drawing/2014/chart" uri="{C3380CC4-5D6E-409C-BE32-E72D297353CC}">
                  <c16:uniqueId val="{00000009-1853-4C64-B35B-E42EA12C6A5A}"/>
                </c:ext>
              </c:extLst>
            </c:dLbl>
            <c:dLbl>
              <c:idx val="5"/>
              <c:layout>
                <c:manualLayout>
                  <c:x val="-0.22083003513449709"/>
                  <c:y val="6.8217196705208732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fld id="{D45A71A9-C305-4856-B5C0-FEA9BD65C19C}" type="CATEGORYNAME">
                      <a:rPr lang="en-US"/>
                      <a:pPr>
                        <a:defRPr>
                          <a:solidFill>
                            <a:schemeClr val="bg1">
                              <a:lumMod val="50000"/>
                            </a:schemeClr>
                          </a:solidFill>
                        </a:defRPr>
                      </a:pPr>
                      <a:t>[CATEGORY NAME]</a:t>
                    </a:fld>
                    <a:r>
                      <a:rPr lang="en-US" baseline="0"/>
                      <a:t>
</a:t>
                    </a:r>
                    <a:fld id="{E1D6751C-CAE3-4ADF-817B-F2430942C9F4}" type="VALUE">
                      <a:rPr lang="en-US" sz="1100" b="1" baseline="0"/>
                      <a:pPr>
                        <a:defRPr>
                          <a:solidFill>
                            <a:schemeClr val="bg1">
                              <a:lumMod val="50000"/>
                            </a:schemeClr>
                          </a:solidFill>
                        </a:defRPr>
                      </a:pPr>
                      <a:t>[VALUE]</a:t>
                    </a:fld>
                    <a:endParaRPr lang="en-US" baseline="0"/>
                  </a:p>
                </c:rich>
              </c:tx>
              <c:spPr>
                <a:noFill/>
                <a:ln w="12700" cap="flat" cmpd="sng" algn="ctr">
                  <a:noFill/>
                  <a:roun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20471868099820856"/>
                      <c:h val="0.15047200105573397"/>
                    </c:manualLayout>
                  </c15:layout>
                  <c15:dlblFieldTable/>
                  <c15:showDataLabelsRange val="0"/>
                </c:ext>
                <c:ext xmlns:c16="http://schemas.microsoft.com/office/drawing/2014/chart" uri="{C3380CC4-5D6E-409C-BE32-E72D297353CC}">
                  <c16:uniqueId val="{0000000B-1853-4C64-B35B-E42EA12C6A5A}"/>
                </c:ext>
              </c:extLst>
            </c:dLbl>
            <c:dLbl>
              <c:idx val="6"/>
              <c:layout>
                <c:manualLayout>
                  <c:x val="-0.23044827729867101"/>
                  <c:y val="1.8250801497439798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fld id="{749B4E98-0DEB-45C7-9182-0BC6575A9107}" type="CATEGORYNAME">
                      <a:rPr lang="en-US"/>
                      <a:pPr>
                        <a:defRPr>
                          <a:solidFill>
                            <a:schemeClr val="bg1">
                              <a:lumMod val="50000"/>
                            </a:schemeClr>
                          </a:solidFill>
                        </a:defRPr>
                      </a:pPr>
                      <a:t>[CATEGORY NAME]</a:t>
                    </a:fld>
                    <a:r>
                      <a:rPr lang="en-US" baseline="0"/>
                      <a:t>
</a:t>
                    </a:r>
                    <a:fld id="{96C7935E-0884-4DD2-9012-0C5B1CD85E48}" type="VALUE">
                      <a:rPr lang="en-US" sz="1100" b="1" baseline="0"/>
                      <a:pPr>
                        <a:defRPr>
                          <a:solidFill>
                            <a:schemeClr val="bg1">
                              <a:lumMod val="50000"/>
                            </a:schemeClr>
                          </a:solidFill>
                        </a:defRPr>
                      </a:pPr>
                      <a:t>[VALUE]</a:t>
                    </a:fld>
                    <a:endParaRPr lang="en-US" baseline="0"/>
                  </a:p>
                </c:rich>
              </c:tx>
              <c:spPr>
                <a:noFill/>
                <a:ln w="12700" cap="flat" cmpd="sng" algn="ctr">
                  <a:noFill/>
                  <a:round/>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22444208362843535"/>
                      <c:h val="0.2097948650273464"/>
                    </c:manualLayout>
                  </c15:layout>
                  <c15:dlblFieldTable/>
                  <c15:showDataLabelsRange val="0"/>
                </c:ext>
                <c:ext xmlns:c16="http://schemas.microsoft.com/office/drawing/2014/chart" uri="{C3380CC4-5D6E-409C-BE32-E72D297353CC}">
                  <c16:uniqueId val="{0000000D-1853-4C64-B35B-E42EA12C6A5A}"/>
                </c:ext>
              </c:extLst>
            </c:dLbl>
            <c:dLbl>
              <c:idx val="7"/>
              <c:layout>
                <c:manualLayout>
                  <c:x val="-0.2753931800191643"/>
                  <c:y val="-0.10415047514047779"/>
                </c:manualLayout>
              </c:layout>
              <c:tx>
                <c:rich>
                  <a:bodyPr rot="0" spcFirstLastPara="1" vertOverflow="clip" horzOverflow="clip"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 lastClr="FFFFFF">
                            <a:lumMod val="50000"/>
                          </a:sysClr>
                        </a:solidFill>
                        <a:effectLst/>
                        <a:latin typeface="EC Square Sans Pro" panose="020B0506040000020004" pitchFamily="34" charset="0"/>
                        <a:ea typeface="+mn-ea"/>
                        <a:cs typeface="+mn-cs"/>
                      </a:defRPr>
                    </a:pPr>
                    <a:r>
                      <a:rPr lang="en-US" sz="1000" b="1">
                        <a:solidFill>
                          <a:schemeClr val="bg1">
                            <a:lumMod val="50000"/>
                          </a:schemeClr>
                        </a:solidFill>
                      </a:rPr>
                      <a:t>EASME (NEW)</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fld id="{20AB287A-5F86-4350-9E9A-3A902370865F}" type="CATEGORYNAME">
                      <a:rPr lang="en-US"/>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t>[CATEGORY NAME]</a:t>
                    </a:fld>
                    <a:r>
                      <a:rPr lang="en-US" baseline="0"/>
                      <a:t>
</a:t>
                    </a:r>
                    <a:fld id="{08BBAB18-4434-4C63-BB3B-BA94FFBEB49A}" type="VALUE">
                      <a:rPr lang="en-US" sz="1100" b="1" baseline="0"/>
                      <a:pPr marL="0" marR="0" lvl="0" indent="0" algn="ctr" defTabSz="914400" rtl="0" eaLnBrk="1" fontAlgn="auto" latinLnBrk="0" hangingPunct="1">
                        <a:lnSpc>
                          <a:spcPct val="100000"/>
                        </a:lnSpc>
                        <a:spcBef>
                          <a:spcPts val="0"/>
                        </a:spcBef>
                        <a:spcAft>
                          <a:spcPts val="0"/>
                        </a:spcAft>
                        <a:buClrTx/>
                        <a:buSzTx/>
                        <a:buFontTx/>
                        <a:buNone/>
                        <a:tabLst/>
                        <a:defRPr>
                          <a:solidFill>
                            <a:sysClr val="window" lastClr="FFFFFF">
                              <a:lumMod val="50000"/>
                            </a:sysClr>
                          </a:solidFill>
                        </a:defRPr>
                      </a:pPr>
                      <a:t>[VALUE]</a:t>
                    </a:fld>
                    <a:endParaRPr lang="en-US" baseline="0"/>
                  </a:p>
                </c:rich>
              </c:tx>
              <c:spPr>
                <a:noFill/>
                <a:ln w="12700" cap="flat" cmpd="sng" algn="ctr">
                  <a:noFill/>
                  <a:round/>
                </a:ln>
                <a:effectLst/>
              </c:spPr>
              <c:txPr>
                <a:bodyPr rot="0" spcFirstLastPara="1" vertOverflow="clip" horzOverflow="clip" vert="horz" wrap="square" lIns="38100" tIns="19050" rIns="38100" bIns="19050" anchor="ctr" anchorCtr="0">
                  <a:spAutoFit/>
                </a:bodyPr>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 lastClr="FFFFFF">
                          <a:lumMod val="50000"/>
                        </a:sysClr>
                      </a:solidFill>
                      <a:effectLst/>
                      <a:latin typeface="EC Square Sans Pro" panose="020B0506040000020004" pitchFamily="34" charset="0"/>
                      <a:ea typeface="+mn-ea"/>
                      <a:cs typeface="+mn-cs"/>
                    </a:defRPr>
                  </a:pPr>
                  <a:endParaRPr lang="fr-FR"/>
                </a:p>
              </c:txPr>
              <c:showLegendKey val="0"/>
              <c:showVal val="1"/>
              <c:showCatName val="1"/>
              <c:showSerName val="0"/>
              <c:showPercent val="0"/>
              <c:showBubbleSize val="0"/>
              <c:separator>
</c:separator>
              <c:extLst>
                <c:ext xmlns:c15="http://schemas.microsoft.com/office/drawing/2012/chart" uri="{CE6537A1-D6FC-4f65-9D91-7224C49458BB}">
                  <c15:layout>
                    <c:manualLayout>
                      <c:w val="0.29967156883167384"/>
                      <c:h val="0.1738177066673926"/>
                    </c:manualLayout>
                  </c15:layout>
                  <c15:dlblFieldTable/>
                  <c15:showDataLabelsRange val="0"/>
                </c:ext>
                <c:ext xmlns:c16="http://schemas.microsoft.com/office/drawing/2014/chart" uri="{C3380CC4-5D6E-409C-BE32-E72D297353CC}">
                  <c16:uniqueId val="{0000000F-1853-4C64-B35B-E42EA12C6A5A}"/>
                </c:ext>
              </c:extLst>
            </c:dLbl>
            <c:spPr>
              <a:noFill/>
              <a:ln>
                <a:no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bg1">
                        <a:lumMod val="50000"/>
                      </a:schemeClr>
                    </a:solidFill>
                    <a:effectLst/>
                    <a:latin typeface="EC Square Sans Pro" panose="020B0506040000020004" pitchFamily="34" charset="0"/>
                    <a:ea typeface="+mn-ea"/>
                    <a:cs typeface="+mn-cs"/>
                  </a:defRPr>
                </a:pPr>
                <a:endParaRPr lang="fr-FR"/>
              </a:p>
            </c:txPr>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RES_ENTITY_FULL_LIST_Crosstab!$A$5:$A$12</c:f>
              <c:strCache>
                <c:ptCount val="8"/>
                <c:pt idx="0">
                  <c:v>Agriculture</c:v>
                </c:pt>
                <c:pt idx="1">
                  <c:v>Cohesion, Migration &amp; Fisheries</c:v>
                </c:pt>
                <c:pt idx="2">
                  <c:v>External Relations</c:v>
                </c:pt>
                <c:pt idx="3">
                  <c:v>Other Internal Policies </c:v>
                </c:pt>
                <c:pt idx="4">
                  <c:v>Other Internal Policies</c:v>
                </c:pt>
                <c:pt idx="5">
                  <c:v>Other Services &amp; Administration</c:v>
                </c:pt>
                <c:pt idx="6">
                  <c:v>Research, Industry, Space, Energy &amp; Transport</c:v>
                </c:pt>
                <c:pt idx="7">
                  <c:v>Research, Industry, Space, Energy &amp; Transport </c:v>
                </c:pt>
              </c:strCache>
            </c:strRef>
          </c:cat>
          <c:val>
            <c:numRef>
              <c:f>RES_ENTITY_FULL_LIST_Crosstab!$B$5:$B$12</c:f>
              <c:numCache>
                <c:formatCode>General</c:formatCode>
                <c:ptCount val="8"/>
                <c:pt idx="0">
                  <c:v>3</c:v>
                </c:pt>
                <c:pt idx="1">
                  <c:v>10</c:v>
                </c:pt>
                <c:pt idx="2">
                  <c:v>5</c:v>
                </c:pt>
                <c:pt idx="3">
                  <c:v>1</c:v>
                </c:pt>
                <c:pt idx="4">
                  <c:v>6</c:v>
                </c:pt>
                <c:pt idx="5">
                  <c:v>2</c:v>
                </c:pt>
                <c:pt idx="6">
                  <c:v>12</c:v>
                </c:pt>
                <c:pt idx="7">
                  <c:v>1</c:v>
                </c:pt>
              </c:numCache>
            </c:numRef>
          </c:val>
          <c:extLst>
            <c:ext xmlns:c16="http://schemas.microsoft.com/office/drawing/2014/chart" uri="{C3380CC4-5D6E-409C-BE32-E72D297353CC}">
              <c16:uniqueId val="{00000010-1853-4C64-B35B-E42EA12C6A5A}"/>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showDLblsOverMax val="0"/>
  </c:chart>
  <c:spPr>
    <a:noFill/>
    <a:ln w="9525" cap="flat" cmpd="sng" algn="ctr">
      <a:solidFill>
        <a:srgbClr val="D9D9D9"/>
      </a:solidFill>
      <a:round/>
    </a:ln>
    <a:effectLst/>
  </c:spPr>
  <c:txPr>
    <a:bodyPr/>
    <a:lstStyle/>
    <a:p>
      <a:pPr>
        <a:defRPr>
          <a:effectLst/>
          <a:latin typeface="EC Square Sans Pro" panose="020B0506040000020004" pitchFamily="34" charset="0"/>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'RESERVATIONS POLICY STATS 2'!$Q$2</c:f>
              <c:strCache>
                <c:ptCount val="1"/>
              </c:strCache>
            </c:strRef>
          </c:tx>
          <c:spPr>
            <a:solidFill>
              <a:srgbClr val="65BBC8"/>
            </a:solidFill>
            <a:ln>
              <a:noFill/>
            </a:ln>
            <a:effectLst/>
            <a:scene3d>
              <a:camera prst="orthographicFront"/>
              <a:lightRig rig="threePt" dir="t">
                <a:rot lat="0" lon="0" rev="1200000"/>
              </a:lightRig>
            </a:scene3d>
            <a:sp3d/>
          </c:spPr>
          <c:invertIfNegative val="0"/>
          <c:dLbls>
            <c:dLbl>
              <c:idx val="0"/>
              <c:tx>
                <c:rich>
                  <a:bodyPr/>
                  <a:lstStyle/>
                  <a:p>
                    <a:r>
                      <a:rPr lang="en-US"/>
                      <a:t>1 621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42-451D-A4D5-71D9D254E238}"/>
                </c:ext>
              </c:extLst>
            </c:dLbl>
            <c:dLbl>
              <c:idx val="1"/>
              <c:tx>
                <c:rich>
                  <a:bodyPr/>
                  <a:lstStyle/>
                  <a:p>
                    <a:r>
                      <a:rPr lang="en-US"/>
                      <a:t>1 053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42-451D-A4D5-71D9D254E238}"/>
                </c:ext>
              </c:extLst>
            </c:dLbl>
            <c:dLbl>
              <c:idx val="2"/>
              <c:tx>
                <c:rich>
                  <a:bodyPr/>
                  <a:lstStyle/>
                  <a:p>
                    <a:r>
                      <a:rPr lang="en-US"/>
                      <a:t>1 078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E42-451D-A4D5-71D9D254E238}"/>
                </c:ext>
              </c:extLst>
            </c:dLbl>
            <c:spPr>
              <a:noFill/>
              <a:ln>
                <a:noFill/>
              </a:ln>
              <a:effectLst/>
            </c:spPr>
            <c:txPr>
              <a:bodyPr rot="0" spcFirstLastPara="1" vertOverflow="ellipsis" vert="horz" wrap="square" anchor="ctr" anchorCtr="0"/>
              <a:lstStyle/>
              <a:p>
                <a:pPr algn="ctr">
                  <a:defRPr sz="900" b="1" i="0" u="none" strike="noStrike" kern="1200" baseline="0">
                    <a:solidFill>
                      <a:schemeClr val="bg1"/>
                    </a:solidFill>
                    <a:latin typeface="EC Square Sans Pro" panose="020B0506040000020004" pitchFamily="34" charset="0"/>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'RESERVATIONS POLICY STATS 2'!$P$3:$P$5</c:f>
              <c:numCache>
                <c:formatCode>General</c:formatCode>
                <c:ptCount val="3"/>
                <c:pt idx="0">
                  <c:v>2016</c:v>
                </c:pt>
                <c:pt idx="1">
                  <c:v>2017</c:v>
                </c:pt>
                <c:pt idx="2">
                  <c:v>2018</c:v>
                </c:pt>
              </c:numCache>
            </c:numRef>
          </c:cat>
          <c:val>
            <c:numRef>
              <c:f>'RESERVATIONS POLICY STATS 2'!$Q$3:$Q$5</c:f>
              <c:numCache>
                <c:formatCode>General</c:formatCode>
                <c:ptCount val="3"/>
                <c:pt idx="0">
                  <c:v>1621</c:v>
                </c:pt>
                <c:pt idx="1">
                  <c:v>1053</c:v>
                </c:pt>
                <c:pt idx="2">
                  <c:v>1078</c:v>
                </c:pt>
              </c:numCache>
            </c:numRef>
          </c:val>
          <c:extLst>
            <c:ext xmlns:c16="http://schemas.microsoft.com/office/drawing/2014/chart" uri="{C3380CC4-5D6E-409C-BE32-E72D297353CC}">
              <c16:uniqueId val="{00000000-9AA4-4996-9EC6-2B7E5ACCDC41}"/>
            </c:ext>
          </c:extLst>
        </c:ser>
        <c:dLbls>
          <c:showLegendKey val="0"/>
          <c:showVal val="0"/>
          <c:showCatName val="0"/>
          <c:showSerName val="0"/>
          <c:showPercent val="0"/>
          <c:showBubbleSize val="0"/>
        </c:dLbls>
        <c:gapWidth val="100"/>
        <c:overlap val="-24"/>
        <c:axId val="400313728"/>
        <c:axId val="400319616"/>
      </c:barChart>
      <c:catAx>
        <c:axId val="400313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fr-FR"/>
          </a:p>
        </c:txPr>
        <c:crossAx val="400319616"/>
        <c:crosses val="autoZero"/>
        <c:auto val="1"/>
        <c:lblAlgn val="ctr"/>
        <c:lblOffset val="100"/>
        <c:noMultiLvlLbl val="0"/>
      </c:catAx>
      <c:valAx>
        <c:axId val="400319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fr-FR"/>
          </a:p>
        </c:txPr>
        <c:crossAx val="400313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EC Square Sans Pro" panose="020B0506040000020004" pitchFamily="34" charset="0"/>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8543646736356147E-2"/>
          <c:y val="6.2277460515935829E-2"/>
          <c:w val="0.92318827119445002"/>
          <c:h val="0.78918888888888894"/>
        </c:manualLayout>
      </c:layout>
      <c:lineChart>
        <c:grouping val="standard"/>
        <c:varyColors val="0"/>
        <c:ser>
          <c:idx val="0"/>
          <c:order val="0"/>
          <c:tx>
            <c:strRef>
              <c:f>Sheet1!$B$1</c:f>
              <c:strCache>
                <c:ptCount val="1"/>
                <c:pt idx="0">
                  <c:v>Total</c:v>
                </c:pt>
              </c:strCache>
            </c:strRef>
          </c:tx>
          <c:spPr>
            <a:ln w="28575" cap="rnd">
              <a:solidFill>
                <a:srgbClr val="1D3E89"/>
              </a:solidFill>
              <a:round/>
            </a:ln>
            <a:effectLst/>
          </c:spPr>
          <c:marker>
            <c:symbol val="circle"/>
            <c:size val="5"/>
            <c:spPr>
              <a:solidFill>
                <a:srgbClr val="1D3E89"/>
              </a:solidFill>
              <a:ln w="9525">
                <a:noFill/>
              </a:ln>
              <a:effectLst/>
            </c:spPr>
          </c:marker>
          <c:dLbls>
            <c:dLbl>
              <c:idx val="3"/>
              <c:layout>
                <c:manualLayout>
                  <c:x val="-1.877409204339453E-2"/>
                  <c:y val="-2.70751645109677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689-40F3-BEE6-284DD6817E23}"/>
                </c:ext>
              </c:extLst>
            </c:dLbl>
            <c:dLbl>
              <c:idx val="4"/>
              <c:layout>
                <c:manualLayout>
                  <c:x val="-3.327999089835354E-2"/>
                  <c:y val="-6.74598765432098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89-40F3-BEE6-284DD6817E23}"/>
                </c:ext>
              </c:extLst>
            </c:dLbl>
            <c:dLbl>
              <c:idx val="6"/>
              <c:layout>
                <c:manualLayout>
                  <c:x val="-1.4268327916755932E-2"/>
                  <c:y val="-3.44261959222031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689-40F3-BEE6-284DD6817E23}"/>
                </c:ext>
              </c:extLst>
            </c:dLbl>
            <c:dLbl>
              <c:idx val="8"/>
              <c:layout>
                <c:manualLayout>
                  <c:x val="-3.2082256130512819E-2"/>
                  <c:y val="-5.11475308641976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89-40F3-BEE6-284DD6817E23}"/>
                </c:ext>
              </c:extLst>
            </c:dLbl>
            <c:dLbl>
              <c:idx val="10"/>
              <c:layout>
                <c:manualLayout>
                  <c:x val="-1.8774143071871776E-2"/>
                  <c:y val="-5.1147530864197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89-40F3-BEE6-284DD6817E2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1D3E89"/>
                    </a:solidFill>
                    <a:latin typeface="EC Square Sans Pro" panose="020B0506040000020004" pitchFamily="34" charset="0"/>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Sheet1!$A$2:$A$17</c:f>
              <c:numCache>
                <c:formatCode>mmmm\ yyyy</c:formatCode>
                <c:ptCount val="16"/>
                <c:pt idx="0">
                  <c:v>42156</c:v>
                </c:pt>
                <c:pt idx="1">
                  <c:v>42278</c:v>
                </c:pt>
                <c:pt idx="2">
                  <c:v>42370</c:v>
                </c:pt>
                <c:pt idx="3">
                  <c:v>42461</c:v>
                </c:pt>
                <c:pt idx="4">
                  <c:v>42522</c:v>
                </c:pt>
                <c:pt idx="5">
                  <c:v>42644</c:v>
                </c:pt>
                <c:pt idx="6">
                  <c:v>42736</c:v>
                </c:pt>
                <c:pt idx="7">
                  <c:v>42826</c:v>
                </c:pt>
                <c:pt idx="8">
                  <c:v>42887</c:v>
                </c:pt>
                <c:pt idx="9">
                  <c:v>43009</c:v>
                </c:pt>
                <c:pt idx="10">
                  <c:v>43101</c:v>
                </c:pt>
                <c:pt idx="11">
                  <c:v>43191</c:v>
                </c:pt>
                <c:pt idx="12">
                  <c:v>43252</c:v>
                </c:pt>
                <c:pt idx="13">
                  <c:v>43374</c:v>
                </c:pt>
                <c:pt idx="14">
                  <c:v>43466</c:v>
                </c:pt>
                <c:pt idx="15">
                  <c:v>43556</c:v>
                </c:pt>
              </c:numCache>
            </c:numRef>
          </c:cat>
          <c:val>
            <c:numRef>
              <c:f>Sheet1!$B$2:$B$17</c:f>
              <c:numCache>
                <c:formatCode>General</c:formatCode>
                <c:ptCount val="16"/>
                <c:pt idx="0">
                  <c:v>28</c:v>
                </c:pt>
                <c:pt idx="1">
                  <c:v>27</c:v>
                </c:pt>
                <c:pt idx="2">
                  <c:v>32</c:v>
                </c:pt>
                <c:pt idx="3">
                  <c:v>25</c:v>
                </c:pt>
                <c:pt idx="4">
                  <c:v>20</c:v>
                </c:pt>
                <c:pt idx="5">
                  <c:v>34</c:v>
                </c:pt>
                <c:pt idx="6">
                  <c:v>18</c:v>
                </c:pt>
                <c:pt idx="7">
                  <c:v>14</c:v>
                </c:pt>
                <c:pt idx="8">
                  <c:v>11</c:v>
                </c:pt>
                <c:pt idx="9">
                  <c:v>19</c:v>
                </c:pt>
                <c:pt idx="10">
                  <c:v>12</c:v>
                </c:pt>
                <c:pt idx="11">
                  <c:v>12</c:v>
                </c:pt>
                <c:pt idx="12">
                  <c:v>12</c:v>
                </c:pt>
                <c:pt idx="13">
                  <c:v>16</c:v>
                </c:pt>
                <c:pt idx="14">
                  <c:v>18</c:v>
                </c:pt>
                <c:pt idx="15">
                  <c:v>14</c:v>
                </c:pt>
              </c:numCache>
            </c:numRef>
          </c:val>
          <c:smooth val="0"/>
          <c:extLst>
            <c:ext xmlns:c16="http://schemas.microsoft.com/office/drawing/2014/chart" uri="{C3380CC4-5D6E-409C-BE32-E72D297353CC}">
              <c16:uniqueId val="{00000005-E689-40F3-BEE6-284DD6817E23}"/>
            </c:ext>
          </c:extLst>
        </c:ser>
        <c:dLbls>
          <c:showLegendKey val="0"/>
          <c:showVal val="0"/>
          <c:showCatName val="0"/>
          <c:showSerName val="0"/>
          <c:showPercent val="0"/>
          <c:showBubbleSize val="0"/>
        </c:dLbls>
        <c:marker val="1"/>
        <c:smooth val="0"/>
        <c:axId val="611117824"/>
        <c:axId val="611114216"/>
      </c:lineChart>
      <c:catAx>
        <c:axId val="611117824"/>
        <c:scaling>
          <c:orientation val="minMax"/>
        </c:scaling>
        <c:delete val="1"/>
        <c:axPos val="b"/>
        <c:numFmt formatCode="mmmm\ yyyy" sourceLinked="1"/>
        <c:majorTickMark val="out"/>
        <c:minorTickMark val="none"/>
        <c:tickLblPos val="nextTo"/>
        <c:crossAx val="611114216"/>
        <c:crosses val="autoZero"/>
        <c:auto val="0"/>
        <c:lblAlgn val="ctr"/>
        <c:lblOffset val="100"/>
        <c:noMultiLvlLbl val="0"/>
      </c:catAx>
      <c:valAx>
        <c:axId val="611114216"/>
        <c:scaling>
          <c:orientation val="minMax"/>
        </c:scaling>
        <c:delete val="0"/>
        <c:axPos val="l"/>
        <c:majorGridlines>
          <c:spPr>
            <a:ln w="9525" cap="flat" cmpd="sng" algn="ctr">
              <a:solidFill>
                <a:srgbClr val="D9D9D9"/>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EC Square Sans Pro" panose="020B0506040000020004" pitchFamily="34" charset="0"/>
                <a:ea typeface="+mn-ea"/>
                <a:cs typeface="+mn-cs"/>
              </a:defRPr>
            </a:pPr>
            <a:endParaRPr lang="fr-FR"/>
          </a:p>
        </c:txPr>
        <c:crossAx val="61111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A7EF5D-76B0-40FF-8633-4184F49CCE2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lt-LT"/>
        </a:p>
      </dgm:t>
    </dgm:pt>
    <dgm:pt modelId="{2DE2D919-0953-4625-BFCB-CF11DE1F04AB}">
      <dgm:prSet phldrT="[Text]" custT="1"/>
      <dgm:spPr>
        <a:xfrm>
          <a:off x="1722" y="8306"/>
          <a:ext cx="1679183" cy="316800"/>
        </a:xfrm>
      </dgm:spPr>
      <dgm:t>
        <a:bodyPr/>
        <a:lstStyle/>
        <a:p>
          <a:pPr algn="ctr">
            <a:buNone/>
          </a:pPr>
          <a:r>
            <a:rPr lang="en-US" sz="900" b="1">
              <a:latin typeface="EC Square Sans Pro" panose="020B0506040000020004" pitchFamily="34" charset="0"/>
              <a:ea typeface="Verdana" panose="020B0604030504040204" pitchFamily="34" charset="0"/>
              <a:cs typeface="+mn-cs"/>
            </a:rPr>
            <a:t>Progress</a:t>
          </a:r>
          <a:endParaRPr lang="lt-LT" sz="900" b="1">
            <a:latin typeface="EC Square Sans Pro" panose="020B0506040000020004" pitchFamily="34" charset="0"/>
            <a:ea typeface="Verdana" panose="020B0604030504040204" pitchFamily="34" charset="0"/>
            <a:cs typeface="+mn-cs"/>
          </a:endParaRPr>
        </a:p>
      </dgm:t>
    </dgm:pt>
    <dgm:pt modelId="{1B89AB21-AE8F-4C61-8435-BDE499EB7450}" type="parTrans" cxnId="{4620F154-0BA5-44D0-A19F-0A4F88F5C027}">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F7137E1B-4FA9-4742-A465-8EC10E19963A}" type="sibTrans" cxnId="{4620F154-0BA5-44D0-A19F-0A4F88F5C027}">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59F3947B-7A34-49C5-9FC9-00C664921AC5}">
      <dgm:prSet phldrT="[Text]" custT="1"/>
      <dgm:spPr>
        <a:xfrm>
          <a:off x="1722" y="325106"/>
          <a:ext cx="1679183" cy="2596769"/>
        </a:xfrm>
      </dgm:spPr>
      <dgm:t>
        <a:bodyPr/>
        <a:lstStyle/>
        <a:p>
          <a:pPr algn="l">
            <a:spcAft>
              <a:spcPts val="600"/>
            </a:spcAft>
            <a:buChar char="•"/>
          </a:pPr>
          <a:r>
            <a:rPr lang="en-GB" sz="900">
              <a:latin typeface="EC Square Sans Pro" panose="020B0506040000020004" pitchFamily="34" charset="0"/>
              <a:ea typeface="Verdana" panose="020B0604030504040204" pitchFamily="34" charset="0"/>
              <a:cs typeface="+mn-cs"/>
            </a:rPr>
            <a:t> </a:t>
          </a:r>
          <a:r>
            <a:rPr lang="en-GB" sz="1000">
              <a:latin typeface="EC Square Sans Pro" panose="020B0506040000020004" pitchFamily="34" charset="0"/>
              <a:ea typeface="Verdana" panose="020B0604030504040204" pitchFamily="34" charset="0"/>
              <a:cs typeface="+mn-cs"/>
            </a:rPr>
            <a:t>Evidence-based EU policies and legislation</a:t>
          </a:r>
          <a:endParaRPr lang="lt-LT" sz="1000">
            <a:latin typeface="EC Square Sans Pro" panose="020B0506040000020004" pitchFamily="34" charset="0"/>
            <a:ea typeface="Verdana" panose="020B0604030504040204" pitchFamily="34" charset="0"/>
            <a:cs typeface="+mn-cs"/>
          </a:endParaRPr>
        </a:p>
      </dgm:t>
    </dgm:pt>
    <dgm:pt modelId="{FF29D3EC-9C14-4557-B410-44ECE4E1F4A3}" type="parTrans" cxnId="{2E354DF8-6659-4230-BFCB-809AA6751B7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0BF85F2-7656-4DDB-B9FA-7F825A8D78C2}" type="sibTrans" cxnId="{2E354DF8-6659-4230-BFCB-809AA6751B7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6D949F96-13A9-4758-9A3F-E97D84A9C72F}">
      <dgm:prSet phldrT="[Text]" custT="1"/>
      <dgm:spPr>
        <a:xfrm>
          <a:off x="1722"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Effective and inclusive information sharing, mutual learning and dialogue</a:t>
          </a:r>
          <a:endParaRPr lang="lt-LT" sz="1000">
            <a:latin typeface="EC Square Sans Pro" panose="020B0506040000020004" pitchFamily="34" charset="0"/>
            <a:ea typeface="Verdana" panose="020B0604030504040204" pitchFamily="34" charset="0"/>
            <a:cs typeface="+mn-cs"/>
          </a:endParaRPr>
        </a:p>
      </dgm:t>
    </dgm:pt>
    <dgm:pt modelId="{7C0FDC2E-C199-478E-AAF0-51C23531B7D2}" type="parTrans" cxnId="{7C37A951-1196-46C5-93E9-125170F570FB}">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F4DC136C-2CA1-4812-A9EB-85E6FC82456F}" type="sibTrans" cxnId="{7C37A951-1196-46C5-93E9-125170F570FB}">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8962C1F-38CD-43D1-A4BA-F36768B0CDA5}">
      <dgm:prSet phldrT="[Text]" custT="1"/>
      <dgm:spPr>
        <a:xfrm>
          <a:off x="1915990" y="8306"/>
          <a:ext cx="1679183" cy="316800"/>
        </a:xfrm>
      </dgm:spPr>
      <dgm:t>
        <a:bodyPr/>
        <a:lstStyle/>
        <a:p>
          <a:pPr algn="ctr">
            <a:buNone/>
          </a:pPr>
          <a:r>
            <a:rPr lang="en-US" sz="900" b="1">
              <a:latin typeface="EC Square Sans Pro" panose="020B0506040000020004" pitchFamily="34" charset="0"/>
              <a:ea typeface="Verdana" panose="020B0604030504040204" pitchFamily="34" charset="0"/>
              <a:cs typeface="+mn-cs"/>
            </a:rPr>
            <a:t>EURES</a:t>
          </a:r>
          <a:endParaRPr lang="lt-LT" sz="900" b="1">
            <a:latin typeface="EC Square Sans Pro" panose="020B0506040000020004" pitchFamily="34" charset="0"/>
            <a:ea typeface="Verdana" panose="020B0604030504040204" pitchFamily="34" charset="0"/>
            <a:cs typeface="+mn-cs"/>
          </a:endParaRPr>
        </a:p>
      </dgm:t>
    </dgm:pt>
    <dgm:pt modelId="{9154CE58-4147-43C3-9FA4-C5B70EA44102}" type="parTrans" cxnId="{ADAF7099-A885-42AB-BA91-F28ED363875A}">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6EE84E4-F2C3-47CF-A218-A16A226A3595}" type="sibTrans" cxnId="{ADAF7099-A885-42AB-BA91-F28ED363875A}">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6E667D72-7CED-4E0E-A8EF-737C68257ECC}">
      <dgm:prSet phldrT="[Text]" custT="1"/>
      <dgm:spPr>
        <a:xfrm>
          <a:off x="1915990"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Transparent labour market information</a:t>
          </a:r>
          <a:endParaRPr lang="lt-LT" sz="1000">
            <a:latin typeface="EC Square Sans Pro" panose="020B0506040000020004" pitchFamily="34" charset="0"/>
            <a:ea typeface="Verdana" panose="020B0604030504040204" pitchFamily="34" charset="0"/>
            <a:cs typeface="+mn-cs"/>
          </a:endParaRPr>
        </a:p>
      </dgm:t>
    </dgm:pt>
    <dgm:pt modelId="{1F0FEED8-35E6-47BD-9374-01E346AA4853}" type="parTrans" cxnId="{FF859CD7-1CA8-45D0-A0D5-80833D7086C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E852DC41-1EB0-48E2-9AF2-3F1DF1BC548F}" type="sibTrans" cxnId="{FF859CD7-1CA8-45D0-A0D5-80833D7086C3}">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A27C52A0-E522-47F2-9B9F-933B45FFA3A7}">
      <dgm:prSet phldrT="[Text]" custT="1"/>
      <dgm:spPr>
        <a:xfrm>
          <a:off x="1915990"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Effective provision of services for recruitment and placing of workers</a:t>
          </a:r>
          <a:endParaRPr lang="lt-LT" sz="1000">
            <a:latin typeface="EC Square Sans Pro" panose="020B0506040000020004" pitchFamily="34" charset="0"/>
            <a:ea typeface="Verdana" panose="020B0604030504040204" pitchFamily="34" charset="0"/>
            <a:cs typeface="+mn-cs"/>
          </a:endParaRPr>
        </a:p>
      </dgm:t>
    </dgm:pt>
    <dgm:pt modelId="{02FB82A4-E5C0-4778-9DBD-11716F1B057F}" type="parTrans" cxnId="{7AFD5926-3E3D-4352-81E8-847832A8810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943835CB-98C1-46C1-90CE-92CF6FAA39E4}" type="sibTrans" cxnId="{7AFD5926-3E3D-4352-81E8-847832A8810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7C62658-4144-483C-89B2-D7A916764808}">
      <dgm:prSet phldrT="[Text]" custT="1"/>
      <dgm:spPr>
        <a:xfrm>
          <a:off x="3830259" y="8306"/>
          <a:ext cx="1679183" cy="316800"/>
        </a:xfrm>
      </dgm:spPr>
      <dgm:t>
        <a:bodyPr/>
        <a:lstStyle/>
        <a:p>
          <a:pPr algn="ctr">
            <a:buNone/>
          </a:pPr>
          <a:r>
            <a:rPr lang="fr-BE" sz="900" b="1"/>
            <a:t>microfinance and social entrepreneurship</a:t>
          </a:r>
          <a:endParaRPr lang="lt-LT" sz="900" b="1">
            <a:latin typeface="EC Square Sans Pro" panose="020B0506040000020004" pitchFamily="34" charset="0"/>
            <a:ea typeface="Verdana" panose="020B0604030504040204" pitchFamily="34" charset="0"/>
            <a:cs typeface="+mn-cs"/>
          </a:endParaRPr>
        </a:p>
      </dgm:t>
    </dgm:pt>
    <dgm:pt modelId="{608641F4-1D52-4B55-943E-0CC034B33B0C}" type="parTrans" cxnId="{D2FEE135-0001-4054-9EA9-4AD2F11DC124}">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B8ADC60-282D-4689-9822-61414228E358}" type="sibTrans" cxnId="{D2FEE135-0001-4054-9EA9-4AD2F11DC124}">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F427FBF-0063-42BA-AFFC-A27AEA393BAD}">
      <dgm:prSet phldrT="[Text]" custT="1"/>
      <dgm:spPr>
        <a:xfrm>
          <a:off x="3830259"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Better access to, and availability of, microfinance</a:t>
          </a:r>
          <a:endParaRPr lang="lt-LT" sz="1000">
            <a:latin typeface="EC Square Sans Pro" panose="020B0506040000020004" pitchFamily="34" charset="0"/>
            <a:ea typeface="Verdana" panose="020B0604030504040204" pitchFamily="34" charset="0"/>
            <a:cs typeface="+mn-cs"/>
          </a:endParaRPr>
        </a:p>
      </dgm:t>
    </dgm:pt>
    <dgm:pt modelId="{42E13A5D-3EEF-4253-A601-F41127DB6EAA}" type="parTrans" cxnId="{95EDC186-4ED5-4981-B02B-8A0FE75C3DD6}">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D003F77-AE86-4E39-8A44-9E6EDB19F1A4}" type="sibTrans" cxnId="{95EDC186-4ED5-4981-B02B-8A0FE75C3DD6}">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4A649C6E-7489-48D8-B297-E596510A87D2}">
      <dgm:prSet phldrT="[Text]" custT="1"/>
      <dgm:spPr>
        <a:xfrm>
          <a:off x="3830259"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Better access to finance for social enterprises</a:t>
          </a:r>
          <a:endParaRPr lang="lt-LT" sz="1000">
            <a:latin typeface="EC Square Sans Pro" panose="020B0506040000020004" pitchFamily="34" charset="0"/>
            <a:ea typeface="Verdana" panose="020B0604030504040204" pitchFamily="34" charset="0"/>
            <a:cs typeface="+mn-cs"/>
          </a:endParaRPr>
        </a:p>
      </dgm:t>
    </dgm:pt>
    <dgm:pt modelId="{0224241C-19B0-4D7F-9804-657790E17369}" type="parTrans" cxnId="{5898369D-1450-4FF4-8E4C-4046F260A89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38F92E14-56C2-495C-B8F8-96427D7E9DBC}" type="sibTrans" cxnId="{5898369D-1450-4FF4-8E4C-4046F260A89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813D9F6E-B911-4F1A-8E71-C973B0428562}">
      <dgm:prSet phldrT="[Text]" custT="1"/>
      <dgm:spPr>
        <a:xfrm>
          <a:off x="1722"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Testing of social and labour market policy innovations</a:t>
          </a:r>
          <a:endParaRPr lang="lt-LT" sz="1000">
            <a:latin typeface="EC Square Sans Pro" panose="020B0506040000020004" pitchFamily="34" charset="0"/>
            <a:ea typeface="Verdana" panose="020B0604030504040204" pitchFamily="34" charset="0"/>
            <a:cs typeface="+mn-cs"/>
          </a:endParaRPr>
        </a:p>
      </dgm:t>
    </dgm:pt>
    <dgm:pt modelId="{665FC955-E8FD-48AF-9890-28F58FCA4677}" type="parTrans" cxnId="{1292B491-08DE-4831-881F-766F6E8233D1}">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431DE285-7102-46CF-AD48-ED2263F1F699}" type="sibTrans" cxnId="{1292B491-08DE-4831-881F-766F6E8233D1}">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27256093-7BCC-47F7-90DF-C79AA9B1A861}">
      <dgm:prSet phldrT="[Text]" custT="1"/>
      <dgm:spPr>
        <a:xfrm>
          <a:off x="1722"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Greater capacities of national and EU organisations to develop, promote and support the implementation of EU policies</a:t>
          </a:r>
          <a:endParaRPr lang="lt-LT" sz="1000">
            <a:latin typeface="EC Square Sans Pro" panose="020B0506040000020004" pitchFamily="34" charset="0"/>
            <a:ea typeface="Verdana" panose="020B0604030504040204" pitchFamily="34" charset="0"/>
            <a:cs typeface="+mn-cs"/>
          </a:endParaRPr>
        </a:p>
      </dgm:t>
    </dgm:pt>
    <dgm:pt modelId="{B87DE598-2E32-4BB6-9425-A9D998D7EAF1}" type="parTrans" cxnId="{7AB68E3F-DA2A-4444-9712-53DD9DF98A2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2159EE2E-4839-490D-86EE-00B84A619DA9}" type="sibTrans" cxnId="{7AB68E3F-DA2A-4444-9712-53DD9DF98A29}">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B2BB9F4B-1B63-4C40-9737-D5461BFA5A05}">
      <dgm:prSet phldrT="[Text]" custT="1"/>
      <dgm:spPr>
        <a:xfrm>
          <a:off x="3830259" y="325106"/>
          <a:ext cx="1679183" cy="2596769"/>
        </a:xfrm>
      </dgm:spPr>
      <dgm:t>
        <a:bodyPr/>
        <a:lstStyle/>
        <a:p>
          <a:pPr algn="l">
            <a:spcAft>
              <a:spcPts val="600"/>
            </a:spcAft>
            <a:buChar char="•"/>
          </a:pPr>
          <a:r>
            <a:rPr lang="en-GB" sz="1000">
              <a:latin typeface="EC Square Sans Pro" panose="020B0506040000020004" pitchFamily="34" charset="0"/>
              <a:ea typeface="Verdana" panose="020B0604030504040204" pitchFamily="34" charset="0"/>
              <a:cs typeface="+mn-cs"/>
            </a:rPr>
            <a:t> Stronger institutional capacity of microcredit providers</a:t>
          </a:r>
          <a:endParaRPr lang="lt-LT" sz="1000">
            <a:latin typeface="EC Square Sans Pro" panose="020B0506040000020004" pitchFamily="34" charset="0"/>
            <a:ea typeface="Verdana" panose="020B0604030504040204" pitchFamily="34" charset="0"/>
            <a:cs typeface="+mn-cs"/>
          </a:endParaRPr>
        </a:p>
      </dgm:t>
    </dgm:pt>
    <dgm:pt modelId="{3BA7DFFF-D010-4C35-AC87-9144A4674D2D}" type="parTrans" cxnId="{42C2F560-2F8A-40ED-BB42-B259A0816EC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82A4412-EE9A-4040-B6C1-C33ED424FC67}" type="sibTrans" cxnId="{42C2F560-2F8A-40ED-BB42-B259A0816ECD}">
      <dgm:prSet/>
      <dgm:spPr/>
      <dgm:t>
        <a:bodyPr/>
        <a:lstStyle/>
        <a:p>
          <a:pPr algn="ctr"/>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71DAF653-9179-497C-80B2-8AB73B2FF043}" type="pres">
      <dgm:prSet presAssocID="{E8A7EF5D-76B0-40FF-8633-4184F49CCE24}" presName="Name0" presStyleCnt="0">
        <dgm:presLayoutVars>
          <dgm:dir/>
          <dgm:animLvl val="lvl"/>
          <dgm:resizeHandles val="exact"/>
        </dgm:presLayoutVars>
      </dgm:prSet>
      <dgm:spPr/>
      <dgm:t>
        <a:bodyPr/>
        <a:lstStyle/>
        <a:p>
          <a:endParaRPr lang="en-US"/>
        </a:p>
      </dgm:t>
    </dgm:pt>
    <dgm:pt modelId="{5791AEFC-E4BE-4E5F-BC88-C20793ABF5D7}" type="pres">
      <dgm:prSet presAssocID="{2DE2D919-0953-4625-BFCB-CF11DE1F04AB}" presName="composite" presStyleCnt="0"/>
      <dgm:spPr/>
    </dgm:pt>
    <dgm:pt modelId="{372919E8-1416-487C-9967-CC65CCAA9491}" type="pres">
      <dgm:prSet presAssocID="{2DE2D919-0953-4625-BFCB-CF11DE1F04AB}" presName="parTx" presStyleLbl="alignNode1" presStyleIdx="0" presStyleCnt="3">
        <dgm:presLayoutVars>
          <dgm:chMax val="0"/>
          <dgm:chPref val="0"/>
          <dgm:bulletEnabled val="1"/>
        </dgm:presLayoutVars>
      </dgm:prSet>
      <dgm:spPr>
        <a:prstGeom prst="rect">
          <a:avLst/>
        </a:prstGeom>
      </dgm:spPr>
      <dgm:t>
        <a:bodyPr/>
        <a:lstStyle/>
        <a:p>
          <a:endParaRPr lang="en-US"/>
        </a:p>
      </dgm:t>
    </dgm:pt>
    <dgm:pt modelId="{4AD6E637-2B53-4E71-B47E-1A171962ACE2}" type="pres">
      <dgm:prSet presAssocID="{2DE2D919-0953-4625-BFCB-CF11DE1F04AB}" presName="desTx" presStyleLbl="alignAccFollowNode1" presStyleIdx="0" presStyleCnt="3">
        <dgm:presLayoutVars>
          <dgm:bulletEnabled val="1"/>
        </dgm:presLayoutVars>
      </dgm:prSet>
      <dgm:spPr>
        <a:prstGeom prst="rect">
          <a:avLst/>
        </a:prstGeom>
      </dgm:spPr>
      <dgm:t>
        <a:bodyPr/>
        <a:lstStyle/>
        <a:p>
          <a:endParaRPr lang="en-US"/>
        </a:p>
      </dgm:t>
    </dgm:pt>
    <dgm:pt modelId="{B42CCD53-B3F4-4A38-984C-3690CCEEC0BF}" type="pres">
      <dgm:prSet presAssocID="{F7137E1B-4FA9-4742-A465-8EC10E19963A}" presName="space" presStyleCnt="0"/>
      <dgm:spPr/>
    </dgm:pt>
    <dgm:pt modelId="{D3EF157E-A484-4F80-A49C-8DDE3FDDED98}" type="pres">
      <dgm:prSet presAssocID="{D8962C1F-38CD-43D1-A4BA-F36768B0CDA5}" presName="composite" presStyleCnt="0"/>
      <dgm:spPr/>
    </dgm:pt>
    <dgm:pt modelId="{F886559E-7561-47A5-BC48-88B7EF90E55C}" type="pres">
      <dgm:prSet presAssocID="{D8962C1F-38CD-43D1-A4BA-F36768B0CDA5}" presName="parTx" presStyleLbl="alignNode1" presStyleIdx="1" presStyleCnt="3">
        <dgm:presLayoutVars>
          <dgm:chMax val="0"/>
          <dgm:chPref val="0"/>
          <dgm:bulletEnabled val="1"/>
        </dgm:presLayoutVars>
      </dgm:prSet>
      <dgm:spPr>
        <a:prstGeom prst="rect">
          <a:avLst/>
        </a:prstGeom>
      </dgm:spPr>
      <dgm:t>
        <a:bodyPr/>
        <a:lstStyle/>
        <a:p>
          <a:endParaRPr lang="en-US"/>
        </a:p>
      </dgm:t>
    </dgm:pt>
    <dgm:pt modelId="{86C96E81-B2D0-43F8-BBD6-701F1AAA3C89}" type="pres">
      <dgm:prSet presAssocID="{D8962C1F-38CD-43D1-A4BA-F36768B0CDA5}" presName="desTx" presStyleLbl="alignAccFollowNode1" presStyleIdx="1" presStyleCnt="3">
        <dgm:presLayoutVars>
          <dgm:bulletEnabled val="1"/>
        </dgm:presLayoutVars>
      </dgm:prSet>
      <dgm:spPr>
        <a:prstGeom prst="rect">
          <a:avLst/>
        </a:prstGeom>
      </dgm:spPr>
      <dgm:t>
        <a:bodyPr/>
        <a:lstStyle/>
        <a:p>
          <a:endParaRPr lang="en-US"/>
        </a:p>
      </dgm:t>
    </dgm:pt>
    <dgm:pt modelId="{0821CCDA-03F3-451C-8D53-067C921602E0}" type="pres">
      <dgm:prSet presAssocID="{D6EE84E4-F2C3-47CF-A218-A16A226A3595}" presName="space" presStyleCnt="0"/>
      <dgm:spPr/>
    </dgm:pt>
    <dgm:pt modelId="{1AB1BE70-0940-49C8-9D3D-82549CB980A1}" type="pres">
      <dgm:prSet presAssocID="{D7C62658-4144-483C-89B2-D7A916764808}" presName="composite" presStyleCnt="0"/>
      <dgm:spPr/>
    </dgm:pt>
    <dgm:pt modelId="{DA49FDEE-5461-448D-8023-EE12F83B918E}" type="pres">
      <dgm:prSet presAssocID="{D7C62658-4144-483C-89B2-D7A916764808}" presName="parTx" presStyleLbl="alignNode1" presStyleIdx="2" presStyleCnt="3">
        <dgm:presLayoutVars>
          <dgm:chMax val="0"/>
          <dgm:chPref val="0"/>
          <dgm:bulletEnabled val="1"/>
        </dgm:presLayoutVars>
      </dgm:prSet>
      <dgm:spPr>
        <a:prstGeom prst="rect">
          <a:avLst/>
        </a:prstGeom>
      </dgm:spPr>
      <dgm:t>
        <a:bodyPr/>
        <a:lstStyle/>
        <a:p>
          <a:endParaRPr lang="en-US"/>
        </a:p>
      </dgm:t>
    </dgm:pt>
    <dgm:pt modelId="{3741363C-0372-446C-B401-9DAE083691F6}" type="pres">
      <dgm:prSet presAssocID="{D7C62658-4144-483C-89B2-D7A916764808}" presName="desTx" presStyleLbl="alignAccFollowNode1" presStyleIdx="2" presStyleCnt="3">
        <dgm:presLayoutVars>
          <dgm:bulletEnabled val="1"/>
        </dgm:presLayoutVars>
      </dgm:prSet>
      <dgm:spPr>
        <a:prstGeom prst="rect">
          <a:avLst/>
        </a:prstGeom>
      </dgm:spPr>
      <dgm:t>
        <a:bodyPr/>
        <a:lstStyle/>
        <a:p>
          <a:endParaRPr lang="en-US"/>
        </a:p>
      </dgm:t>
    </dgm:pt>
  </dgm:ptLst>
  <dgm:cxnLst>
    <dgm:cxn modelId="{7ED7D0DE-6EEA-4695-847F-BC142AAD81CD}" type="presOf" srcId="{1F427FBF-0063-42BA-AFFC-A27AEA393BAD}" destId="{3741363C-0372-446C-B401-9DAE083691F6}" srcOrd="0" destOrd="0" presId="urn:microsoft.com/office/officeart/2005/8/layout/hList1"/>
    <dgm:cxn modelId="{7C37A951-1196-46C5-93E9-125170F570FB}" srcId="{2DE2D919-0953-4625-BFCB-CF11DE1F04AB}" destId="{6D949F96-13A9-4758-9A3F-E97D84A9C72F}" srcOrd="1" destOrd="0" parTransId="{7C0FDC2E-C199-478E-AAF0-51C23531B7D2}" sibTransId="{F4DC136C-2CA1-4812-A9EB-85E6FC82456F}"/>
    <dgm:cxn modelId="{7AB68E3F-DA2A-4444-9712-53DD9DF98A29}" srcId="{2DE2D919-0953-4625-BFCB-CF11DE1F04AB}" destId="{27256093-7BCC-47F7-90DF-C79AA9B1A861}" srcOrd="3" destOrd="0" parTransId="{B87DE598-2E32-4BB6-9425-A9D998D7EAF1}" sibTransId="{2159EE2E-4839-490D-86EE-00B84A619DA9}"/>
    <dgm:cxn modelId="{64562742-2279-43CD-8927-4737D842826C}" type="presOf" srcId="{B2BB9F4B-1B63-4C40-9737-D5461BFA5A05}" destId="{3741363C-0372-446C-B401-9DAE083691F6}" srcOrd="0" destOrd="2" presId="urn:microsoft.com/office/officeart/2005/8/layout/hList1"/>
    <dgm:cxn modelId="{C64EA945-53CA-446D-B37B-5005D245CA71}" type="presOf" srcId="{A27C52A0-E522-47F2-9B9F-933B45FFA3A7}" destId="{86C96E81-B2D0-43F8-BBD6-701F1AAA3C89}" srcOrd="0" destOrd="1" presId="urn:microsoft.com/office/officeart/2005/8/layout/hList1"/>
    <dgm:cxn modelId="{1292B491-08DE-4831-881F-766F6E8233D1}" srcId="{2DE2D919-0953-4625-BFCB-CF11DE1F04AB}" destId="{813D9F6E-B911-4F1A-8E71-C973B0428562}" srcOrd="2" destOrd="0" parTransId="{665FC955-E8FD-48AF-9890-28F58FCA4677}" sibTransId="{431DE285-7102-46CF-AD48-ED2263F1F699}"/>
    <dgm:cxn modelId="{D2FEE135-0001-4054-9EA9-4AD2F11DC124}" srcId="{E8A7EF5D-76B0-40FF-8633-4184F49CCE24}" destId="{D7C62658-4144-483C-89B2-D7A916764808}" srcOrd="2" destOrd="0" parTransId="{608641F4-1D52-4B55-943E-0CC034B33B0C}" sibTransId="{1B8ADC60-282D-4689-9822-61414228E358}"/>
    <dgm:cxn modelId="{E6CBC135-280A-44E7-B06B-1746983A0591}" type="presOf" srcId="{4A649C6E-7489-48D8-B297-E596510A87D2}" destId="{3741363C-0372-446C-B401-9DAE083691F6}" srcOrd="0" destOrd="1" presId="urn:microsoft.com/office/officeart/2005/8/layout/hList1"/>
    <dgm:cxn modelId="{7DB849FD-DAC3-4076-BBFB-EBDE4EAA26E3}" type="presOf" srcId="{59F3947B-7A34-49C5-9FC9-00C664921AC5}" destId="{4AD6E637-2B53-4E71-B47E-1A171962ACE2}" srcOrd="0" destOrd="0" presId="urn:microsoft.com/office/officeart/2005/8/layout/hList1"/>
    <dgm:cxn modelId="{EEB0C6EB-FB9E-4F76-B985-9502024A44A9}" type="presOf" srcId="{E8A7EF5D-76B0-40FF-8633-4184F49CCE24}" destId="{71DAF653-9179-497C-80B2-8AB73B2FF043}" srcOrd="0" destOrd="0" presId="urn:microsoft.com/office/officeart/2005/8/layout/hList1"/>
    <dgm:cxn modelId="{ADAF7099-A885-42AB-BA91-F28ED363875A}" srcId="{E8A7EF5D-76B0-40FF-8633-4184F49CCE24}" destId="{D8962C1F-38CD-43D1-A4BA-F36768B0CDA5}" srcOrd="1" destOrd="0" parTransId="{9154CE58-4147-43C3-9FA4-C5B70EA44102}" sibTransId="{D6EE84E4-F2C3-47CF-A218-A16A226A3595}"/>
    <dgm:cxn modelId="{95EDC186-4ED5-4981-B02B-8A0FE75C3DD6}" srcId="{D7C62658-4144-483C-89B2-D7A916764808}" destId="{1F427FBF-0063-42BA-AFFC-A27AEA393BAD}" srcOrd="0" destOrd="0" parTransId="{42E13A5D-3EEF-4253-A601-F41127DB6EAA}" sibTransId="{1D003F77-AE86-4E39-8A44-9E6EDB19F1A4}"/>
    <dgm:cxn modelId="{420F81E7-446F-418E-9ECC-3AB4F1E3F09B}" type="presOf" srcId="{2DE2D919-0953-4625-BFCB-CF11DE1F04AB}" destId="{372919E8-1416-487C-9967-CC65CCAA9491}" srcOrd="0" destOrd="0" presId="urn:microsoft.com/office/officeart/2005/8/layout/hList1"/>
    <dgm:cxn modelId="{E4AD0B0F-B773-4BF4-A942-CC49F6322D22}" type="presOf" srcId="{D7C62658-4144-483C-89B2-D7A916764808}" destId="{DA49FDEE-5461-448D-8023-EE12F83B918E}" srcOrd="0" destOrd="0" presId="urn:microsoft.com/office/officeart/2005/8/layout/hList1"/>
    <dgm:cxn modelId="{2E354DF8-6659-4230-BFCB-809AA6751B73}" srcId="{2DE2D919-0953-4625-BFCB-CF11DE1F04AB}" destId="{59F3947B-7A34-49C5-9FC9-00C664921AC5}" srcOrd="0" destOrd="0" parTransId="{FF29D3EC-9C14-4557-B410-44ECE4E1F4A3}" sibTransId="{D0BF85F2-7656-4DDB-B9FA-7F825A8D78C2}"/>
    <dgm:cxn modelId="{7AFD5926-3E3D-4352-81E8-847832A8810D}" srcId="{D8962C1F-38CD-43D1-A4BA-F36768B0CDA5}" destId="{A27C52A0-E522-47F2-9B9F-933B45FFA3A7}" srcOrd="1" destOrd="0" parTransId="{02FB82A4-E5C0-4778-9DBD-11716F1B057F}" sibTransId="{943835CB-98C1-46C1-90CE-92CF6FAA39E4}"/>
    <dgm:cxn modelId="{C8F9A73C-84BE-48A3-8CF9-E98322830A07}" type="presOf" srcId="{813D9F6E-B911-4F1A-8E71-C973B0428562}" destId="{4AD6E637-2B53-4E71-B47E-1A171962ACE2}" srcOrd="0" destOrd="2" presId="urn:microsoft.com/office/officeart/2005/8/layout/hList1"/>
    <dgm:cxn modelId="{42C2F560-2F8A-40ED-BB42-B259A0816ECD}" srcId="{D7C62658-4144-483C-89B2-D7A916764808}" destId="{B2BB9F4B-1B63-4C40-9737-D5461BFA5A05}" srcOrd="2" destOrd="0" parTransId="{3BA7DFFF-D010-4C35-AC87-9144A4674D2D}" sibTransId="{182A4412-EE9A-4040-B6C1-C33ED424FC67}"/>
    <dgm:cxn modelId="{5A6C67B0-7551-4D7F-A83C-DEC18574ED51}" type="presOf" srcId="{6E667D72-7CED-4E0E-A8EF-737C68257ECC}" destId="{86C96E81-B2D0-43F8-BBD6-701F1AAA3C89}" srcOrd="0" destOrd="0" presId="urn:microsoft.com/office/officeart/2005/8/layout/hList1"/>
    <dgm:cxn modelId="{FF859CD7-1CA8-45D0-A0D5-80833D7086C3}" srcId="{D8962C1F-38CD-43D1-A4BA-F36768B0CDA5}" destId="{6E667D72-7CED-4E0E-A8EF-737C68257ECC}" srcOrd="0" destOrd="0" parTransId="{1F0FEED8-35E6-47BD-9374-01E346AA4853}" sibTransId="{E852DC41-1EB0-48E2-9AF2-3F1DF1BC548F}"/>
    <dgm:cxn modelId="{3ADAAFE5-71A1-4395-9A81-B38B82A6EE0F}" type="presOf" srcId="{D8962C1F-38CD-43D1-A4BA-F36768B0CDA5}" destId="{F886559E-7561-47A5-BC48-88B7EF90E55C}" srcOrd="0" destOrd="0" presId="urn:microsoft.com/office/officeart/2005/8/layout/hList1"/>
    <dgm:cxn modelId="{4620F154-0BA5-44D0-A19F-0A4F88F5C027}" srcId="{E8A7EF5D-76B0-40FF-8633-4184F49CCE24}" destId="{2DE2D919-0953-4625-BFCB-CF11DE1F04AB}" srcOrd="0" destOrd="0" parTransId="{1B89AB21-AE8F-4C61-8435-BDE499EB7450}" sibTransId="{F7137E1B-4FA9-4742-A465-8EC10E19963A}"/>
    <dgm:cxn modelId="{75340177-19A0-4C1E-BF7C-DF5143C57AD1}" type="presOf" srcId="{27256093-7BCC-47F7-90DF-C79AA9B1A861}" destId="{4AD6E637-2B53-4E71-B47E-1A171962ACE2}" srcOrd="0" destOrd="3" presId="urn:microsoft.com/office/officeart/2005/8/layout/hList1"/>
    <dgm:cxn modelId="{5898369D-1450-4FF4-8E4C-4046F260A899}" srcId="{D7C62658-4144-483C-89B2-D7A916764808}" destId="{4A649C6E-7489-48D8-B297-E596510A87D2}" srcOrd="1" destOrd="0" parTransId="{0224241C-19B0-4D7F-9804-657790E17369}" sibTransId="{38F92E14-56C2-495C-B8F8-96427D7E9DBC}"/>
    <dgm:cxn modelId="{CE665CD8-D227-4BC0-9020-A562C650AFFC}" type="presOf" srcId="{6D949F96-13A9-4758-9A3F-E97D84A9C72F}" destId="{4AD6E637-2B53-4E71-B47E-1A171962ACE2}" srcOrd="0" destOrd="1" presId="urn:microsoft.com/office/officeart/2005/8/layout/hList1"/>
    <dgm:cxn modelId="{95234253-1431-419F-9D6A-C49E2BD0D02B}" type="presParOf" srcId="{71DAF653-9179-497C-80B2-8AB73B2FF043}" destId="{5791AEFC-E4BE-4E5F-BC88-C20793ABF5D7}" srcOrd="0" destOrd="0" presId="urn:microsoft.com/office/officeart/2005/8/layout/hList1"/>
    <dgm:cxn modelId="{AA81EA05-804B-4C24-9D02-28F6E0E8667D}" type="presParOf" srcId="{5791AEFC-E4BE-4E5F-BC88-C20793ABF5D7}" destId="{372919E8-1416-487C-9967-CC65CCAA9491}" srcOrd="0" destOrd="0" presId="urn:microsoft.com/office/officeart/2005/8/layout/hList1"/>
    <dgm:cxn modelId="{F70ACC21-CE4C-4A0B-B152-0F13CB300A13}" type="presParOf" srcId="{5791AEFC-E4BE-4E5F-BC88-C20793ABF5D7}" destId="{4AD6E637-2B53-4E71-B47E-1A171962ACE2}" srcOrd="1" destOrd="0" presId="urn:microsoft.com/office/officeart/2005/8/layout/hList1"/>
    <dgm:cxn modelId="{4D0F12B2-0A1B-413B-BD0E-E721DA6C5F0B}" type="presParOf" srcId="{71DAF653-9179-497C-80B2-8AB73B2FF043}" destId="{B42CCD53-B3F4-4A38-984C-3690CCEEC0BF}" srcOrd="1" destOrd="0" presId="urn:microsoft.com/office/officeart/2005/8/layout/hList1"/>
    <dgm:cxn modelId="{D5D6F646-A013-42B7-869E-05FABD7BA1FD}" type="presParOf" srcId="{71DAF653-9179-497C-80B2-8AB73B2FF043}" destId="{D3EF157E-A484-4F80-A49C-8DDE3FDDED98}" srcOrd="2" destOrd="0" presId="urn:microsoft.com/office/officeart/2005/8/layout/hList1"/>
    <dgm:cxn modelId="{F029D1E4-4980-4D4E-BD20-C1474EB34D71}" type="presParOf" srcId="{D3EF157E-A484-4F80-A49C-8DDE3FDDED98}" destId="{F886559E-7561-47A5-BC48-88B7EF90E55C}" srcOrd="0" destOrd="0" presId="urn:microsoft.com/office/officeart/2005/8/layout/hList1"/>
    <dgm:cxn modelId="{7BE8B735-ECBE-4DE9-8514-0CF7096C1F1C}" type="presParOf" srcId="{D3EF157E-A484-4F80-A49C-8DDE3FDDED98}" destId="{86C96E81-B2D0-43F8-BBD6-701F1AAA3C89}" srcOrd="1" destOrd="0" presId="urn:microsoft.com/office/officeart/2005/8/layout/hList1"/>
    <dgm:cxn modelId="{CF70E81F-54C0-4FAB-8273-066CA0B44828}" type="presParOf" srcId="{71DAF653-9179-497C-80B2-8AB73B2FF043}" destId="{0821CCDA-03F3-451C-8D53-067C921602E0}" srcOrd="3" destOrd="0" presId="urn:microsoft.com/office/officeart/2005/8/layout/hList1"/>
    <dgm:cxn modelId="{A0B60D10-0537-4120-A2BC-3C9B13647C95}" type="presParOf" srcId="{71DAF653-9179-497C-80B2-8AB73B2FF043}" destId="{1AB1BE70-0940-49C8-9D3D-82549CB980A1}" srcOrd="4" destOrd="0" presId="urn:microsoft.com/office/officeart/2005/8/layout/hList1"/>
    <dgm:cxn modelId="{43F0D2D8-E145-43F4-BBCE-EBF68C05B15F}" type="presParOf" srcId="{1AB1BE70-0940-49C8-9D3D-82549CB980A1}" destId="{DA49FDEE-5461-448D-8023-EE12F83B918E}" srcOrd="0" destOrd="0" presId="urn:microsoft.com/office/officeart/2005/8/layout/hList1"/>
    <dgm:cxn modelId="{E7AA391B-429E-4BA1-BDB4-E174DA425993}" type="presParOf" srcId="{1AB1BE70-0940-49C8-9D3D-82549CB980A1}" destId="{3741363C-0372-446C-B401-9DAE083691F6}" srcOrd="1" destOrd="0" presId="urn:microsoft.com/office/officeart/2005/8/layout/hList1"/>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571BD2-755C-4A2A-8946-82EB95B8454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lt-LT"/>
        </a:p>
      </dgm:t>
    </dgm:pt>
    <dgm:pt modelId="{440B5612-ACBC-4DA7-B28C-D99B058E616C}">
      <dgm:prSet phldrT="[Text]" custT="1"/>
      <dgm:spPr>
        <a:xfrm>
          <a:off x="0" y="90487"/>
          <a:ext cx="1714499" cy="1028700"/>
        </a:xfrm>
      </dgm:spPr>
      <dgm:t>
        <a:bodyPr/>
        <a:lstStyle/>
        <a:p>
          <a:pPr>
            <a:buNone/>
          </a:pPr>
          <a:r>
            <a:rPr lang="en-GB" sz="1000">
              <a:latin typeface="EC Square Sans Pro" panose="020B0506040000020004" pitchFamily="34" charset="0"/>
              <a:ea typeface="Verdana" panose="020B0604030504040204" pitchFamily="34" charset="0"/>
              <a:cs typeface="+mn-cs"/>
            </a:rPr>
            <a:t>Stronger ownership of EU objectives</a:t>
          </a:r>
          <a:endParaRPr lang="lt-LT" sz="1000">
            <a:latin typeface="EC Square Sans Pro" panose="020B0506040000020004" pitchFamily="34" charset="0"/>
            <a:ea typeface="Verdana" panose="020B0604030504040204" pitchFamily="34" charset="0"/>
            <a:cs typeface="+mn-cs"/>
          </a:endParaRPr>
        </a:p>
      </dgm:t>
    </dgm:pt>
    <dgm:pt modelId="{E48282DD-A44A-48FB-8D82-14A70E3FB6EA}" type="parTrans" cxnId="{72647A10-9059-492D-A7F5-475C4A7D1348}">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90C10C9A-D4A0-48B4-B445-9E265392A72E}" type="sibTrans" cxnId="{72647A10-9059-492D-A7F5-475C4A7D1348}">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86EC8B77-6FF8-4931-A12A-B07CB14E1B91}">
      <dgm:prSet phldrT="[Text]" custT="1"/>
      <dgm:spPr>
        <a:xfrm>
          <a:off x="1885950" y="90487"/>
          <a:ext cx="1714499" cy="1028700"/>
        </a:xfrm>
      </dgm:spPr>
      <dgm:t>
        <a:bodyPr/>
        <a:lstStyle/>
        <a:p>
          <a:pPr>
            <a:buNone/>
          </a:pPr>
          <a:r>
            <a:rPr lang="en-GB" sz="1000">
              <a:latin typeface="EC Square Sans Pro" panose="020B0506040000020004" pitchFamily="34" charset="0"/>
              <a:ea typeface="Verdana" panose="020B0604030504040204" pitchFamily="34" charset="0"/>
              <a:cs typeface="+mn-cs"/>
            </a:rPr>
            <a:t>Facilitation of policy reforms</a:t>
          </a:r>
          <a:endParaRPr lang="lt-LT" sz="1000">
            <a:latin typeface="EC Square Sans Pro" panose="020B0506040000020004" pitchFamily="34" charset="0"/>
            <a:ea typeface="Verdana" panose="020B0604030504040204" pitchFamily="34" charset="0"/>
            <a:cs typeface="+mn-cs"/>
          </a:endParaRPr>
        </a:p>
      </dgm:t>
    </dgm:pt>
    <dgm:pt modelId="{8DB4E460-8A63-4E5F-9434-D63B53C6A8A6}" type="parTrans" cxnId="{EB4D750A-E27E-4017-BB9D-E0CF4E334E27}">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D0C19D0B-197B-4A56-8C77-22329D36AAFC}" type="sibTrans" cxnId="{EB4D750A-E27E-4017-BB9D-E0CF4E334E27}">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4F398AE9-7B74-48F3-9295-CEB41BD92F80}">
      <dgm:prSet phldrT="[Text]" custT="1"/>
      <dgm:spPr>
        <a:xfrm>
          <a:off x="942975" y="1290637"/>
          <a:ext cx="1714499" cy="1028700"/>
        </a:xfrm>
      </dgm:spPr>
      <dgm:t>
        <a:bodyPr/>
        <a:lstStyle/>
        <a:p>
          <a:pPr>
            <a:buNone/>
          </a:pPr>
          <a:r>
            <a:rPr lang="en-GB" sz="1000">
              <a:latin typeface="EC Square Sans Pro" panose="020B0506040000020004" pitchFamily="34" charset="0"/>
              <a:ea typeface="Verdana" panose="020B0604030504040204" pitchFamily="34" charset="0"/>
              <a:cs typeface="+mn-cs"/>
            </a:rPr>
            <a:t>Improved conditions for voluntary geographic mobility whilst enforcing workers' rights</a:t>
          </a:r>
          <a:endParaRPr lang="lt-LT" sz="1000">
            <a:latin typeface="EC Square Sans Pro" panose="020B0506040000020004" pitchFamily="34" charset="0"/>
            <a:ea typeface="Verdana" panose="020B0604030504040204" pitchFamily="34" charset="0"/>
            <a:cs typeface="+mn-cs"/>
          </a:endParaRPr>
        </a:p>
      </dgm:t>
    </dgm:pt>
    <dgm:pt modelId="{8EA9B8F1-7CB0-4859-8B05-B9934E87314F}" type="parTrans" cxnId="{5B8C3CBA-92D8-4F28-B635-FE664D41EBF5}">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1AFA5C2B-676B-4DFD-97A1-A5D6355391D4}" type="sibTrans" cxnId="{5B8C3CBA-92D8-4F28-B635-FE664D41EBF5}">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3E5F3176-1C43-4955-945B-F384FDF078D3}">
      <dgm:prSet phldrT="[Text]" custT="1"/>
      <dgm:spPr>
        <a:xfrm>
          <a:off x="2828925" y="1290637"/>
          <a:ext cx="1714499" cy="1028700"/>
        </a:xfrm>
      </dgm:spPr>
      <dgm:t>
        <a:bodyPr/>
        <a:lstStyle/>
        <a:p>
          <a:pPr>
            <a:buNone/>
          </a:pPr>
          <a:r>
            <a:rPr lang="en-GB" sz="1000">
              <a:latin typeface="EC Square Sans Pro" panose="020B0506040000020004" pitchFamily="34" charset="0"/>
              <a:ea typeface="Verdana" panose="020B0604030504040204" pitchFamily="34" charset="0"/>
              <a:cs typeface="+mn-cs"/>
            </a:rPr>
            <a:t>Increased access to finance for vulnerable persons, micro- and social enterprises</a:t>
          </a:r>
          <a:endParaRPr lang="lt-LT" sz="1000">
            <a:latin typeface="EC Square Sans Pro" panose="020B0506040000020004" pitchFamily="34" charset="0"/>
            <a:ea typeface="Verdana" panose="020B0604030504040204" pitchFamily="34" charset="0"/>
            <a:cs typeface="+mn-cs"/>
          </a:endParaRPr>
        </a:p>
      </dgm:t>
    </dgm:pt>
    <dgm:pt modelId="{B743DAFF-BF5C-49FA-99AB-6221D1D940DE}" type="parTrans" cxnId="{BB9BBA14-FC05-4E70-847F-40B3BCFBFAFC}">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57A0A965-5EF9-435B-93F2-BFF008F002DD}" type="sibTrans" cxnId="{BB9BBA14-FC05-4E70-847F-40B3BCFBFAFC}">
      <dgm:prSet/>
      <dgm:spPr/>
      <dgm:t>
        <a:bodyPr/>
        <a:lstStyle/>
        <a:p>
          <a:endParaRPr lang="lt-LT" sz="1000">
            <a:latin typeface="EC Square Sans Pro" panose="020B0506040000020004" pitchFamily="34" charset="0"/>
            <a:ea typeface="Verdana" panose="020B0604030504040204" pitchFamily="34" charset="0"/>
            <a:cs typeface="Verdana" panose="020B0604030504040204" pitchFamily="34" charset="0"/>
          </a:endParaRPr>
        </a:p>
      </dgm:t>
    </dgm:pt>
    <dgm:pt modelId="{2387D57B-B2F6-4564-AA14-60242EA52EF2}">
      <dgm:prSet phldrT="[Text]" custT="1"/>
      <dgm:spPr>
        <a:xfrm>
          <a:off x="3771900" y="90487"/>
          <a:ext cx="1714499" cy="1028700"/>
        </a:xfrm>
      </dgm:spPr>
      <dgm:t>
        <a:bodyPr/>
        <a:lstStyle/>
        <a:p>
          <a:pPr>
            <a:buNone/>
          </a:pPr>
          <a:r>
            <a:rPr lang="en-GB" sz="1000">
              <a:latin typeface="EC Square Sans Pro" panose="020B0506040000020004" pitchFamily="34" charset="0"/>
              <a:ea typeface="Verdana" panose="020B0604030504040204" pitchFamily="34" charset="0"/>
              <a:cs typeface="+mn-cs"/>
            </a:rPr>
            <a:t>Modernisation and effective application of EU law</a:t>
          </a:r>
          <a:endParaRPr lang="lt-LT" sz="1000">
            <a:latin typeface="EC Square Sans Pro" panose="020B0506040000020004" pitchFamily="34" charset="0"/>
            <a:ea typeface="Verdana" panose="020B0604030504040204" pitchFamily="34" charset="0"/>
            <a:cs typeface="+mn-cs"/>
          </a:endParaRPr>
        </a:p>
      </dgm:t>
    </dgm:pt>
    <dgm:pt modelId="{2C905466-CD55-4942-8D58-E92D73918F90}" type="parTrans" cxnId="{7F38106E-32D8-4C4A-AE07-FF2A71BCD785}">
      <dgm:prSet/>
      <dgm:spPr/>
      <dgm:t>
        <a:bodyPr/>
        <a:lstStyle/>
        <a:p>
          <a:endParaRPr lang="en-GB" sz="1000">
            <a:latin typeface="EC Square Sans Pro" panose="020B0506040000020004" pitchFamily="34" charset="0"/>
          </a:endParaRPr>
        </a:p>
      </dgm:t>
    </dgm:pt>
    <dgm:pt modelId="{BB6B65EF-AB54-4026-B84A-3144E3B95A3D}" type="sibTrans" cxnId="{7F38106E-32D8-4C4A-AE07-FF2A71BCD785}">
      <dgm:prSet/>
      <dgm:spPr/>
      <dgm:t>
        <a:bodyPr/>
        <a:lstStyle/>
        <a:p>
          <a:endParaRPr lang="en-GB" sz="1000">
            <a:latin typeface="EC Square Sans Pro" panose="020B0506040000020004" pitchFamily="34" charset="0"/>
          </a:endParaRPr>
        </a:p>
      </dgm:t>
    </dgm:pt>
    <dgm:pt modelId="{4ED12FA3-0FB4-4C9D-8AAF-A58937411114}" type="pres">
      <dgm:prSet presAssocID="{29571BD2-755C-4A2A-8946-82EB95B8454F}" presName="diagram" presStyleCnt="0">
        <dgm:presLayoutVars>
          <dgm:dir/>
          <dgm:resizeHandles val="exact"/>
        </dgm:presLayoutVars>
      </dgm:prSet>
      <dgm:spPr/>
      <dgm:t>
        <a:bodyPr/>
        <a:lstStyle/>
        <a:p>
          <a:endParaRPr lang="en-US"/>
        </a:p>
      </dgm:t>
    </dgm:pt>
    <dgm:pt modelId="{9F4957E8-A7DD-489C-9DF0-EFEF8DFCBE1F}" type="pres">
      <dgm:prSet presAssocID="{440B5612-ACBC-4DA7-B28C-D99B058E616C}" presName="node" presStyleLbl="node1" presStyleIdx="0" presStyleCnt="5">
        <dgm:presLayoutVars>
          <dgm:bulletEnabled val="1"/>
        </dgm:presLayoutVars>
      </dgm:prSet>
      <dgm:spPr>
        <a:prstGeom prst="rect">
          <a:avLst/>
        </a:prstGeom>
      </dgm:spPr>
      <dgm:t>
        <a:bodyPr/>
        <a:lstStyle/>
        <a:p>
          <a:endParaRPr lang="en-US"/>
        </a:p>
      </dgm:t>
    </dgm:pt>
    <dgm:pt modelId="{D740AA35-EC1E-48E2-82C8-07F423AD9600}" type="pres">
      <dgm:prSet presAssocID="{90C10C9A-D4A0-48B4-B445-9E265392A72E}" presName="sibTrans" presStyleCnt="0"/>
      <dgm:spPr/>
    </dgm:pt>
    <dgm:pt modelId="{AC5C4E62-8F9B-4E0B-BDBD-5A97E1810EE2}" type="pres">
      <dgm:prSet presAssocID="{86EC8B77-6FF8-4931-A12A-B07CB14E1B91}" presName="node" presStyleLbl="node1" presStyleIdx="1" presStyleCnt="5">
        <dgm:presLayoutVars>
          <dgm:bulletEnabled val="1"/>
        </dgm:presLayoutVars>
      </dgm:prSet>
      <dgm:spPr>
        <a:prstGeom prst="rect">
          <a:avLst/>
        </a:prstGeom>
      </dgm:spPr>
      <dgm:t>
        <a:bodyPr/>
        <a:lstStyle/>
        <a:p>
          <a:endParaRPr lang="en-US"/>
        </a:p>
      </dgm:t>
    </dgm:pt>
    <dgm:pt modelId="{9F357E32-A7BE-453C-8D0B-C6015C66C421}" type="pres">
      <dgm:prSet presAssocID="{D0C19D0B-197B-4A56-8C77-22329D36AAFC}" presName="sibTrans" presStyleCnt="0"/>
      <dgm:spPr/>
    </dgm:pt>
    <dgm:pt modelId="{88E3C072-5224-4A40-966E-C2EF6E73833F}" type="pres">
      <dgm:prSet presAssocID="{2387D57B-B2F6-4564-AA14-60242EA52EF2}" presName="node" presStyleLbl="node1" presStyleIdx="2" presStyleCnt="5">
        <dgm:presLayoutVars>
          <dgm:bulletEnabled val="1"/>
        </dgm:presLayoutVars>
      </dgm:prSet>
      <dgm:spPr>
        <a:prstGeom prst="rect">
          <a:avLst/>
        </a:prstGeom>
      </dgm:spPr>
      <dgm:t>
        <a:bodyPr/>
        <a:lstStyle/>
        <a:p>
          <a:endParaRPr lang="en-US"/>
        </a:p>
      </dgm:t>
    </dgm:pt>
    <dgm:pt modelId="{69E4ABE8-3083-4E10-A8FE-AD05C26A4B97}" type="pres">
      <dgm:prSet presAssocID="{BB6B65EF-AB54-4026-B84A-3144E3B95A3D}" presName="sibTrans" presStyleCnt="0"/>
      <dgm:spPr/>
    </dgm:pt>
    <dgm:pt modelId="{D31AA815-06F8-41CF-9929-9648014D0575}" type="pres">
      <dgm:prSet presAssocID="{4F398AE9-7B74-48F3-9295-CEB41BD92F80}" presName="node" presStyleLbl="node1" presStyleIdx="3" presStyleCnt="5">
        <dgm:presLayoutVars>
          <dgm:bulletEnabled val="1"/>
        </dgm:presLayoutVars>
      </dgm:prSet>
      <dgm:spPr>
        <a:prstGeom prst="rect">
          <a:avLst/>
        </a:prstGeom>
      </dgm:spPr>
      <dgm:t>
        <a:bodyPr/>
        <a:lstStyle/>
        <a:p>
          <a:endParaRPr lang="en-US"/>
        </a:p>
      </dgm:t>
    </dgm:pt>
    <dgm:pt modelId="{CCC55B4C-2271-4F37-82B7-78AFF6B1C331}" type="pres">
      <dgm:prSet presAssocID="{1AFA5C2B-676B-4DFD-97A1-A5D6355391D4}" presName="sibTrans" presStyleCnt="0"/>
      <dgm:spPr/>
    </dgm:pt>
    <dgm:pt modelId="{5B4647B7-32EE-43E9-9B5E-ADB719BA6900}" type="pres">
      <dgm:prSet presAssocID="{3E5F3176-1C43-4955-945B-F384FDF078D3}" presName="node" presStyleLbl="node1" presStyleIdx="4" presStyleCnt="5">
        <dgm:presLayoutVars>
          <dgm:bulletEnabled val="1"/>
        </dgm:presLayoutVars>
      </dgm:prSet>
      <dgm:spPr>
        <a:prstGeom prst="rect">
          <a:avLst/>
        </a:prstGeom>
      </dgm:spPr>
      <dgm:t>
        <a:bodyPr/>
        <a:lstStyle/>
        <a:p>
          <a:endParaRPr lang="en-US"/>
        </a:p>
      </dgm:t>
    </dgm:pt>
  </dgm:ptLst>
  <dgm:cxnLst>
    <dgm:cxn modelId="{2CD41D2C-DC98-42F1-B2E5-79E898E8BE0D}" type="presOf" srcId="{440B5612-ACBC-4DA7-B28C-D99B058E616C}" destId="{9F4957E8-A7DD-489C-9DF0-EFEF8DFCBE1F}" srcOrd="0" destOrd="0" presId="urn:microsoft.com/office/officeart/2005/8/layout/default"/>
    <dgm:cxn modelId="{EB4D750A-E27E-4017-BB9D-E0CF4E334E27}" srcId="{29571BD2-755C-4A2A-8946-82EB95B8454F}" destId="{86EC8B77-6FF8-4931-A12A-B07CB14E1B91}" srcOrd="1" destOrd="0" parTransId="{8DB4E460-8A63-4E5F-9434-D63B53C6A8A6}" sibTransId="{D0C19D0B-197B-4A56-8C77-22329D36AAFC}"/>
    <dgm:cxn modelId="{7F38106E-32D8-4C4A-AE07-FF2A71BCD785}" srcId="{29571BD2-755C-4A2A-8946-82EB95B8454F}" destId="{2387D57B-B2F6-4564-AA14-60242EA52EF2}" srcOrd="2" destOrd="0" parTransId="{2C905466-CD55-4942-8D58-E92D73918F90}" sibTransId="{BB6B65EF-AB54-4026-B84A-3144E3B95A3D}"/>
    <dgm:cxn modelId="{BB9BBA14-FC05-4E70-847F-40B3BCFBFAFC}" srcId="{29571BD2-755C-4A2A-8946-82EB95B8454F}" destId="{3E5F3176-1C43-4955-945B-F384FDF078D3}" srcOrd="4" destOrd="0" parTransId="{B743DAFF-BF5C-49FA-99AB-6221D1D940DE}" sibTransId="{57A0A965-5EF9-435B-93F2-BFF008F002DD}"/>
    <dgm:cxn modelId="{A9D49D6A-783B-41BE-A438-2A35C73DE15B}" type="presOf" srcId="{29571BD2-755C-4A2A-8946-82EB95B8454F}" destId="{4ED12FA3-0FB4-4C9D-8AAF-A58937411114}" srcOrd="0" destOrd="0" presId="urn:microsoft.com/office/officeart/2005/8/layout/default"/>
    <dgm:cxn modelId="{2C48460D-1582-40EA-9489-C2391F958720}" type="presOf" srcId="{2387D57B-B2F6-4564-AA14-60242EA52EF2}" destId="{88E3C072-5224-4A40-966E-C2EF6E73833F}" srcOrd="0" destOrd="0" presId="urn:microsoft.com/office/officeart/2005/8/layout/default"/>
    <dgm:cxn modelId="{5B8C3CBA-92D8-4F28-B635-FE664D41EBF5}" srcId="{29571BD2-755C-4A2A-8946-82EB95B8454F}" destId="{4F398AE9-7B74-48F3-9295-CEB41BD92F80}" srcOrd="3" destOrd="0" parTransId="{8EA9B8F1-7CB0-4859-8B05-B9934E87314F}" sibTransId="{1AFA5C2B-676B-4DFD-97A1-A5D6355391D4}"/>
    <dgm:cxn modelId="{2F139BFC-FE6A-4CB5-833F-C63A807DE49E}" type="presOf" srcId="{4F398AE9-7B74-48F3-9295-CEB41BD92F80}" destId="{D31AA815-06F8-41CF-9929-9648014D0575}" srcOrd="0" destOrd="0" presId="urn:microsoft.com/office/officeart/2005/8/layout/default"/>
    <dgm:cxn modelId="{ECF8CC2D-3FCE-4FD1-A8F4-3A1AD0AB41F6}" type="presOf" srcId="{86EC8B77-6FF8-4931-A12A-B07CB14E1B91}" destId="{AC5C4E62-8F9B-4E0B-BDBD-5A97E1810EE2}" srcOrd="0" destOrd="0" presId="urn:microsoft.com/office/officeart/2005/8/layout/default"/>
    <dgm:cxn modelId="{72647A10-9059-492D-A7F5-475C4A7D1348}" srcId="{29571BD2-755C-4A2A-8946-82EB95B8454F}" destId="{440B5612-ACBC-4DA7-B28C-D99B058E616C}" srcOrd="0" destOrd="0" parTransId="{E48282DD-A44A-48FB-8D82-14A70E3FB6EA}" sibTransId="{90C10C9A-D4A0-48B4-B445-9E265392A72E}"/>
    <dgm:cxn modelId="{C3F1C09D-2140-4E6A-A878-F75E14A0CC4A}" type="presOf" srcId="{3E5F3176-1C43-4955-945B-F384FDF078D3}" destId="{5B4647B7-32EE-43E9-9B5E-ADB719BA6900}" srcOrd="0" destOrd="0" presId="urn:microsoft.com/office/officeart/2005/8/layout/default"/>
    <dgm:cxn modelId="{78536197-8862-4112-8613-742D22B68C9C}" type="presParOf" srcId="{4ED12FA3-0FB4-4C9D-8AAF-A58937411114}" destId="{9F4957E8-A7DD-489C-9DF0-EFEF8DFCBE1F}" srcOrd="0" destOrd="0" presId="urn:microsoft.com/office/officeart/2005/8/layout/default"/>
    <dgm:cxn modelId="{2733BF3D-64E5-48B5-BD55-326D00769284}" type="presParOf" srcId="{4ED12FA3-0FB4-4C9D-8AAF-A58937411114}" destId="{D740AA35-EC1E-48E2-82C8-07F423AD9600}" srcOrd="1" destOrd="0" presId="urn:microsoft.com/office/officeart/2005/8/layout/default"/>
    <dgm:cxn modelId="{A603176C-C692-45CD-A5B6-E3F71606F1EE}" type="presParOf" srcId="{4ED12FA3-0FB4-4C9D-8AAF-A58937411114}" destId="{AC5C4E62-8F9B-4E0B-BDBD-5A97E1810EE2}" srcOrd="2" destOrd="0" presId="urn:microsoft.com/office/officeart/2005/8/layout/default"/>
    <dgm:cxn modelId="{C1176B52-D50A-4909-9741-6AC40435052D}" type="presParOf" srcId="{4ED12FA3-0FB4-4C9D-8AAF-A58937411114}" destId="{9F357E32-A7BE-453C-8D0B-C6015C66C421}" srcOrd="3" destOrd="0" presId="urn:microsoft.com/office/officeart/2005/8/layout/default"/>
    <dgm:cxn modelId="{763E8DE4-4083-4C68-A679-0D6BE1D70AA4}" type="presParOf" srcId="{4ED12FA3-0FB4-4C9D-8AAF-A58937411114}" destId="{88E3C072-5224-4A40-966E-C2EF6E73833F}" srcOrd="4" destOrd="0" presId="urn:microsoft.com/office/officeart/2005/8/layout/default"/>
    <dgm:cxn modelId="{F96A4F7B-433B-4A5D-AC3B-D9FD78888328}" type="presParOf" srcId="{4ED12FA3-0FB4-4C9D-8AAF-A58937411114}" destId="{69E4ABE8-3083-4E10-A8FE-AD05C26A4B97}" srcOrd="5" destOrd="0" presId="urn:microsoft.com/office/officeart/2005/8/layout/default"/>
    <dgm:cxn modelId="{448C6044-44A5-4D0B-A9D2-3DA10291B997}" type="presParOf" srcId="{4ED12FA3-0FB4-4C9D-8AAF-A58937411114}" destId="{D31AA815-06F8-41CF-9929-9648014D0575}" srcOrd="6" destOrd="0" presId="urn:microsoft.com/office/officeart/2005/8/layout/default"/>
    <dgm:cxn modelId="{0E83B29A-870B-4C15-B7B0-DC6D25C207EE}" type="presParOf" srcId="{4ED12FA3-0FB4-4C9D-8AAF-A58937411114}" destId="{CCC55B4C-2271-4F37-82B7-78AFF6B1C331}" srcOrd="7" destOrd="0" presId="urn:microsoft.com/office/officeart/2005/8/layout/default"/>
    <dgm:cxn modelId="{557C4B08-E936-422D-9933-FB360213403F}" type="presParOf" srcId="{4ED12FA3-0FB4-4C9D-8AAF-A58937411114}" destId="{5B4647B7-32EE-43E9-9B5E-ADB719BA6900}" srcOrd="8" destOrd="0" presId="urn:microsoft.com/office/officeart/2005/8/layout/defaul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1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1C25BA4-CD94-48AD-AE50-64AE48F13B24}" type="doc">
      <dgm:prSet loTypeId="urn:microsoft.com/office/officeart/2005/8/layout/chevron1" loCatId="process" qsTypeId="urn:microsoft.com/office/officeart/2005/8/quickstyle/simple1" qsCatId="simple" csTypeId="urn:microsoft.com/office/officeart/2005/8/colors/colorful1" csCatId="colorful" phldr="1"/>
      <dgm:spPr/>
    </dgm:pt>
    <dgm:pt modelId="{CE7D345B-4382-40B7-8AE5-3C560131C26B}">
      <dgm:prSet phldrT="[Text]"/>
      <dgm:spPr>
        <a:solidFill>
          <a:srgbClr val="A9CEDC"/>
        </a:solidFill>
      </dgm:spPr>
      <dgm:t>
        <a:bodyPr/>
        <a:lstStyle/>
        <a:p>
          <a:r>
            <a:rPr lang="en-GB"/>
            <a:t>Audit / Control</a:t>
          </a:r>
        </a:p>
      </dgm:t>
    </dgm:pt>
    <dgm:pt modelId="{D9262A82-C4DC-4FBF-8A9C-A5FD3941FB93}" type="parTrans" cxnId="{A3FACC07-0DD9-4677-BF79-9E74A6C8A150}">
      <dgm:prSet/>
      <dgm:spPr/>
      <dgm:t>
        <a:bodyPr/>
        <a:lstStyle/>
        <a:p>
          <a:endParaRPr lang="en-GB"/>
        </a:p>
      </dgm:t>
    </dgm:pt>
    <dgm:pt modelId="{9D510870-6695-4296-A195-8C06AFE2296A}" type="sibTrans" cxnId="{A3FACC07-0DD9-4677-BF79-9E74A6C8A150}">
      <dgm:prSet/>
      <dgm:spPr/>
      <dgm:t>
        <a:bodyPr/>
        <a:lstStyle/>
        <a:p>
          <a:endParaRPr lang="en-GB"/>
        </a:p>
      </dgm:t>
    </dgm:pt>
    <dgm:pt modelId="{20CC9278-1A5F-4B76-B2AA-59FA8426B074}">
      <dgm:prSet phldrT="[Text]"/>
      <dgm:spPr>
        <a:solidFill>
          <a:srgbClr val="08AA74"/>
        </a:solidFill>
      </dgm:spPr>
      <dgm:t>
        <a:bodyPr/>
        <a:lstStyle/>
        <a:p>
          <a:r>
            <a:rPr lang="en-GB"/>
            <a:t>In progress </a:t>
          </a:r>
        </a:p>
      </dgm:t>
    </dgm:pt>
    <dgm:pt modelId="{6126B8CC-65C1-444D-8DD7-9D09058B52F4}" type="parTrans" cxnId="{F0152D46-34E1-4E5C-81AC-9B9DA35494EA}">
      <dgm:prSet/>
      <dgm:spPr/>
      <dgm:t>
        <a:bodyPr/>
        <a:lstStyle/>
        <a:p>
          <a:endParaRPr lang="en-GB"/>
        </a:p>
      </dgm:t>
    </dgm:pt>
    <dgm:pt modelId="{3572702A-987D-4F37-91F9-280B3A848634}" type="sibTrans" cxnId="{F0152D46-34E1-4E5C-81AC-9B9DA35494EA}">
      <dgm:prSet/>
      <dgm:spPr/>
      <dgm:t>
        <a:bodyPr/>
        <a:lstStyle/>
        <a:p>
          <a:endParaRPr lang="en-GB"/>
        </a:p>
      </dgm:t>
    </dgm:pt>
    <dgm:pt modelId="{F6C9324B-55E1-4C53-A6B9-E90359BF7543}">
      <dgm:prSet phldrT="[Text]"/>
      <dgm:spPr>
        <a:solidFill>
          <a:srgbClr val="65BBC8"/>
        </a:solidFill>
      </dgm:spPr>
      <dgm:t>
        <a:bodyPr/>
        <a:lstStyle/>
        <a:p>
          <a:r>
            <a:rPr lang="en-GB"/>
            <a:t>Confirmed</a:t>
          </a:r>
        </a:p>
      </dgm:t>
    </dgm:pt>
    <dgm:pt modelId="{435B7F28-4787-4E4D-BD6E-8A8F0A6B53E7}" type="parTrans" cxnId="{4FE4E3D8-0B85-47C3-ACBB-955EAC60AA41}">
      <dgm:prSet/>
      <dgm:spPr/>
      <dgm:t>
        <a:bodyPr/>
        <a:lstStyle/>
        <a:p>
          <a:endParaRPr lang="en-GB"/>
        </a:p>
      </dgm:t>
    </dgm:pt>
    <dgm:pt modelId="{621C22E0-9DDF-40C5-8B18-F9D9ED68F28A}" type="sibTrans" cxnId="{4FE4E3D8-0B85-47C3-ACBB-955EAC60AA41}">
      <dgm:prSet/>
      <dgm:spPr/>
      <dgm:t>
        <a:bodyPr/>
        <a:lstStyle/>
        <a:p>
          <a:endParaRPr lang="en-GB"/>
        </a:p>
      </dgm:t>
    </dgm:pt>
    <dgm:pt modelId="{5E616404-2CD3-4779-9033-735D650D5CB5}">
      <dgm:prSet phldrT="[Text]"/>
      <dgm:spPr>
        <a:solidFill>
          <a:schemeClr val="accent6"/>
        </a:solidFill>
      </dgm:spPr>
      <dgm:t>
        <a:bodyPr/>
        <a:lstStyle/>
        <a:p>
          <a:r>
            <a:rPr lang="en-GB" b="0" i="0"/>
            <a:t>Implemented</a:t>
          </a:r>
          <a:r>
            <a:rPr lang="en-GB" i="1"/>
            <a:t> </a:t>
          </a:r>
        </a:p>
      </dgm:t>
    </dgm:pt>
    <dgm:pt modelId="{25016313-0164-4BC5-B4CB-CD7A93B6078B}" type="parTrans" cxnId="{9AB5A116-4874-4154-8853-F8FC64D42651}">
      <dgm:prSet/>
      <dgm:spPr/>
      <dgm:t>
        <a:bodyPr/>
        <a:lstStyle/>
        <a:p>
          <a:endParaRPr lang="en-GB"/>
        </a:p>
      </dgm:t>
    </dgm:pt>
    <dgm:pt modelId="{31F391CF-FED6-442B-A09C-83B797FF43F5}" type="sibTrans" cxnId="{9AB5A116-4874-4154-8853-F8FC64D42651}">
      <dgm:prSet/>
      <dgm:spPr/>
      <dgm:t>
        <a:bodyPr/>
        <a:lstStyle/>
        <a:p>
          <a:endParaRPr lang="en-GB"/>
        </a:p>
      </dgm:t>
    </dgm:pt>
    <dgm:pt modelId="{5F919596-BE94-49A2-9090-52ED213B1AA2}">
      <dgm:prSet phldrT="[Text]"/>
      <dgm:spPr>
        <a:solidFill>
          <a:srgbClr val="EFC465"/>
        </a:solidFill>
      </dgm:spPr>
      <dgm:t>
        <a:bodyPr/>
        <a:lstStyle/>
        <a:p>
          <a:r>
            <a:rPr lang="en-GB" i="0"/>
            <a:t>Reported</a:t>
          </a:r>
        </a:p>
      </dgm:t>
    </dgm:pt>
    <dgm:pt modelId="{CBAC4791-9D2B-4658-829B-BBAE4EA4BB58}" type="parTrans" cxnId="{E221F5C0-DA00-41BB-8BCD-DFFD93CC41AC}">
      <dgm:prSet/>
      <dgm:spPr/>
      <dgm:t>
        <a:bodyPr/>
        <a:lstStyle/>
        <a:p>
          <a:endParaRPr lang="en-GB"/>
        </a:p>
      </dgm:t>
    </dgm:pt>
    <dgm:pt modelId="{858D410B-32C6-43A1-9E67-F9C830D845EB}" type="sibTrans" cxnId="{E221F5C0-DA00-41BB-8BCD-DFFD93CC41AC}">
      <dgm:prSet/>
      <dgm:spPr/>
      <dgm:t>
        <a:bodyPr/>
        <a:lstStyle/>
        <a:p>
          <a:endParaRPr lang="en-GB"/>
        </a:p>
      </dgm:t>
    </dgm:pt>
    <dgm:pt modelId="{28EF3502-A5CE-4BF1-80B1-CA7E0202B890}" type="pres">
      <dgm:prSet presAssocID="{E1C25BA4-CD94-48AD-AE50-64AE48F13B24}" presName="Name0" presStyleCnt="0">
        <dgm:presLayoutVars>
          <dgm:dir/>
          <dgm:animLvl val="lvl"/>
          <dgm:resizeHandles val="exact"/>
        </dgm:presLayoutVars>
      </dgm:prSet>
      <dgm:spPr/>
    </dgm:pt>
    <dgm:pt modelId="{191FECF2-A521-4F46-A93A-2BBD80BE276F}" type="pres">
      <dgm:prSet presAssocID="{CE7D345B-4382-40B7-8AE5-3C560131C26B}" presName="parTxOnly" presStyleLbl="node1" presStyleIdx="0" presStyleCnt="5">
        <dgm:presLayoutVars>
          <dgm:chMax val="0"/>
          <dgm:chPref val="0"/>
          <dgm:bulletEnabled val="1"/>
        </dgm:presLayoutVars>
      </dgm:prSet>
      <dgm:spPr/>
      <dgm:t>
        <a:bodyPr/>
        <a:lstStyle/>
        <a:p>
          <a:endParaRPr lang="en-GB"/>
        </a:p>
      </dgm:t>
    </dgm:pt>
    <dgm:pt modelId="{02AD3CC4-9DFF-43CD-981A-7C4AB4B49B41}" type="pres">
      <dgm:prSet presAssocID="{9D510870-6695-4296-A195-8C06AFE2296A}" presName="parTxOnlySpace" presStyleCnt="0"/>
      <dgm:spPr/>
    </dgm:pt>
    <dgm:pt modelId="{6E872551-BC66-474E-9080-DF01D418D413}" type="pres">
      <dgm:prSet presAssocID="{20CC9278-1A5F-4B76-B2AA-59FA8426B074}" presName="parTxOnly" presStyleLbl="node1" presStyleIdx="1" presStyleCnt="5">
        <dgm:presLayoutVars>
          <dgm:chMax val="0"/>
          <dgm:chPref val="0"/>
          <dgm:bulletEnabled val="1"/>
        </dgm:presLayoutVars>
      </dgm:prSet>
      <dgm:spPr/>
      <dgm:t>
        <a:bodyPr/>
        <a:lstStyle/>
        <a:p>
          <a:endParaRPr lang="en-GB"/>
        </a:p>
      </dgm:t>
    </dgm:pt>
    <dgm:pt modelId="{12B97AD2-D582-40D7-B04F-958FF16B139F}" type="pres">
      <dgm:prSet presAssocID="{3572702A-987D-4F37-91F9-280B3A848634}" presName="parTxOnlySpace" presStyleCnt="0"/>
      <dgm:spPr/>
    </dgm:pt>
    <dgm:pt modelId="{2BA60F5D-2D40-4CE6-9D07-3515F01652FD}" type="pres">
      <dgm:prSet presAssocID="{F6C9324B-55E1-4C53-A6B9-E90359BF7543}" presName="parTxOnly" presStyleLbl="node1" presStyleIdx="2" presStyleCnt="5">
        <dgm:presLayoutVars>
          <dgm:chMax val="0"/>
          <dgm:chPref val="0"/>
          <dgm:bulletEnabled val="1"/>
        </dgm:presLayoutVars>
      </dgm:prSet>
      <dgm:spPr/>
      <dgm:t>
        <a:bodyPr/>
        <a:lstStyle/>
        <a:p>
          <a:endParaRPr lang="en-GB"/>
        </a:p>
      </dgm:t>
    </dgm:pt>
    <dgm:pt modelId="{50193686-C14E-4A4D-9A32-A08E74E3283C}" type="pres">
      <dgm:prSet presAssocID="{621C22E0-9DDF-40C5-8B18-F9D9ED68F28A}" presName="parTxOnlySpace" presStyleCnt="0"/>
      <dgm:spPr/>
    </dgm:pt>
    <dgm:pt modelId="{DF1B5E6B-E404-4038-8C22-E9AECF6B8108}" type="pres">
      <dgm:prSet presAssocID="{5E616404-2CD3-4779-9033-735D650D5CB5}" presName="parTxOnly" presStyleLbl="node1" presStyleIdx="3" presStyleCnt="5">
        <dgm:presLayoutVars>
          <dgm:chMax val="0"/>
          <dgm:chPref val="0"/>
          <dgm:bulletEnabled val="1"/>
        </dgm:presLayoutVars>
      </dgm:prSet>
      <dgm:spPr/>
      <dgm:t>
        <a:bodyPr/>
        <a:lstStyle/>
        <a:p>
          <a:endParaRPr lang="en-GB"/>
        </a:p>
      </dgm:t>
    </dgm:pt>
    <dgm:pt modelId="{B1F07681-1A9C-4C47-A304-6C94221189CD}" type="pres">
      <dgm:prSet presAssocID="{31F391CF-FED6-442B-A09C-83B797FF43F5}" presName="parTxOnlySpace" presStyleCnt="0"/>
      <dgm:spPr/>
    </dgm:pt>
    <dgm:pt modelId="{98202000-EE1A-4118-8441-536D3199620B}" type="pres">
      <dgm:prSet presAssocID="{5F919596-BE94-49A2-9090-52ED213B1AA2}" presName="parTxOnly" presStyleLbl="node1" presStyleIdx="4" presStyleCnt="5">
        <dgm:presLayoutVars>
          <dgm:chMax val="0"/>
          <dgm:chPref val="0"/>
          <dgm:bulletEnabled val="1"/>
        </dgm:presLayoutVars>
      </dgm:prSet>
      <dgm:spPr/>
      <dgm:t>
        <a:bodyPr/>
        <a:lstStyle/>
        <a:p>
          <a:endParaRPr lang="en-GB"/>
        </a:p>
      </dgm:t>
    </dgm:pt>
  </dgm:ptLst>
  <dgm:cxnLst>
    <dgm:cxn modelId="{A3FACC07-0DD9-4677-BF79-9E74A6C8A150}" srcId="{E1C25BA4-CD94-48AD-AE50-64AE48F13B24}" destId="{CE7D345B-4382-40B7-8AE5-3C560131C26B}" srcOrd="0" destOrd="0" parTransId="{D9262A82-C4DC-4FBF-8A9C-A5FD3941FB93}" sibTransId="{9D510870-6695-4296-A195-8C06AFE2296A}"/>
    <dgm:cxn modelId="{923AE80B-1311-4AB1-B20C-952680E21433}" type="presOf" srcId="{F6C9324B-55E1-4C53-A6B9-E90359BF7543}" destId="{2BA60F5D-2D40-4CE6-9D07-3515F01652FD}" srcOrd="0" destOrd="0" presId="urn:microsoft.com/office/officeart/2005/8/layout/chevron1"/>
    <dgm:cxn modelId="{E259FEB8-A94D-4337-8EDE-5EE62C3631E7}" type="presOf" srcId="{CE7D345B-4382-40B7-8AE5-3C560131C26B}" destId="{191FECF2-A521-4F46-A93A-2BBD80BE276F}" srcOrd="0" destOrd="0" presId="urn:microsoft.com/office/officeart/2005/8/layout/chevron1"/>
    <dgm:cxn modelId="{9AB5A116-4874-4154-8853-F8FC64D42651}" srcId="{E1C25BA4-CD94-48AD-AE50-64AE48F13B24}" destId="{5E616404-2CD3-4779-9033-735D650D5CB5}" srcOrd="3" destOrd="0" parTransId="{25016313-0164-4BC5-B4CB-CD7A93B6078B}" sibTransId="{31F391CF-FED6-442B-A09C-83B797FF43F5}"/>
    <dgm:cxn modelId="{F0152D46-34E1-4E5C-81AC-9B9DA35494EA}" srcId="{E1C25BA4-CD94-48AD-AE50-64AE48F13B24}" destId="{20CC9278-1A5F-4B76-B2AA-59FA8426B074}" srcOrd="1" destOrd="0" parTransId="{6126B8CC-65C1-444D-8DD7-9D09058B52F4}" sibTransId="{3572702A-987D-4F37-91F9-280B3A848634}"/>
    <dgm:cxn modelId="{4FE4E3D8-0B85-47C3-ACBB-955EAC60AA41}" srcId="{E1C25BA4-CD94-48AD-AE50-64AE48F13B24}" destId="{F6C9324B-55E1-4C53-A6B9-E90359BF7543}" srcOrd="2" destOrd="0" parTransId="{435B7F28-4787-4E4D-BD6E-8A8F0A6B53E7}" sibTransId="{621C22E0-9DDF-40C5-8B18-F9D9ED68F28A}"/>
    <dgm:cxn modelId="{4618C735-8774-4389-A03A-9553745449C2}" type="presOf" srcId="{5F919596-BE94-49A2-9090-52ED213B1AA2}" destId="{98202000-EE1A-4118-8441-536D3199620B}" srcOrd="0" destOrd="0" presId="urn:microsoft.com/office/officeart/2005/8/layout/chevron1"/>
    <dgm:cxn modelId="{C3A2189F-1ECA-4195-A398-611AEBCEFFCA}" type="presOf" srcId="{5E616404-2CD3-4779-9033-735D650D5CB5}" destId="{DF1B5E6B-E404-4038-8C22-E9AECF6B8108}" srcOrd="0" destOrd="0" presId="urn:microsoft.com/office/officeart/2005/8/layout/chevron1"/>
    <dgm:cxn modelId="{E221F5C0-DA00-41BB-8BCD-DFFD93CC41AC}" srcId="{E1C25BA4-CD94-48AD-AE50-64AE48F13B24}" destId="{5F919596-BE94-49A2-9090-52ED213B1AA2}" srcOrd="4" destOrd="0" parTransId="{CBAC4791-9D2B-4658-829B-BBAE4EA4BB58}" sibTransId="{858D410B-32C6-43A1-9E67-F9C830D845EB}"/>
    <dgm:cxn modelId="{D253A603-B171-4184-A094-D03FF16C86D2}" type="presOf" srcId="{20CC9278-1A5F-4B76-B2AA-59FA8426B074}" destId="{6E872551-BC66-474E-9080-DF01D418D413}" srcOrd="0" destOrd="0" presId="urn:microsoft.com/office/officeart/2005/8/layout/chevron1"/>
    <dgm:cxn modelId="{FCC56D3C-776E-4474-BC84-B7A07266914B}" type="presOf" srcId="{E1C25BA4-CD94-48AD-AE50-64AE48F13B24}" destId="{28EF3502-A5CE-4BF1-80B1-CA7E0202B890}" srcOrd="0" destOrd="0" presId="urn:microsoft.com/office/officeart/2005/8/layout/chevron1"/>
    <dgm:cxn modelId="{FDD8A744-FB4A-43BE-9B0C-4AF0BAFBFECE}" type="presParOf" srcId="{28EF3502-A5CE-4BF1-80B1-CA7E0202B890}" destId="{191FECF2-A521-4F46-A93A-2BBD80BE276F}" srcOrd="0" destOrd="0" presId="urn:microsoft.com/office/officeart/2005/8/layout/chevron1"/>
    <dgm:cxn modelId="{D99826FA-8138-4E22-8B3F-7E22904659DD}" type="presParOf" srcId="{28EF3502-A5CE-4BF1-80B1-CA7E0202B890}" destId="{02AD3CC4-9DFF-43CD-981A-7C4AB4B49B41}" srcOrd="1" destOrd="0" presId="urn:microsoft.com/office/officeart/2005/8/layout/chevron1"/>
    <dgm:cxn modelId="{800976EC-E32C-475A-A422-C49524661615}" type="presParOf" srcId="{28EF3502-A5CE-4BF1-80B1-CA7E0202B890}" destId="{6E872551-BC66-474E-9080-DF01D418D413}" srcOrd="2" destOrd="0" presId="urn:microsoft.com/office/officeart/2005/8/layout/chevron1"/>
    <dgm:cxn modelId="{67FBB6FA-4B8B-4E7E-AB66-0FB563BFA6C0}" type="presParOf" srcId="{28EF3502-A5CE-4BF1-80B1-CA7E0202B890}" destId="{12B97AD2-D582-40D7-B04F-958FF16B139F}" srcOrd="3" destOrd="0" presId="urn:microsoft.com/office/officeart/2005/8/layout/chevron1"/>
    <dgm:cxn modelId="{776AD51F-A391-4AC3-A9D8-2C5B55F4DD41}" type="presParOf" srcId="{28EF3502-A5CE-4BF1-80B1-CA7E0202B890}" destId="{2BA60F5D-2D40-4CE6-9D07-3515F01652FD}" srcOrd="4" destOrd="0" presId="urn:microsoft.com/office/officeart/2005/8/layout/chevron1"/>
    <dgm:cxn modelId="{EF050CB9-3522-4814-A0D7-A32C51D568EC}" type="presParOf" srcId="{28EF3502-A5CE-4BF1-80B1-CA7E0202B890}" destId="{50193686-C14E-4A4D-9A32-A08E74E3283C}" srcOrd="5" destOrd="0" presId="urn:microsoft.com/office/officeart/2005/8/layout/chevron1"/>
    <dgm:cxn modelId="{3BE599AA-7423-4A13-8D49-EFE1269737F0}" type="presParOf" srcId="{28EF3502-A5CE-4BF1-80B1-CA7E0202B890}" destId="{DF1B5E6B-E404-4038-8C22-E9AECF6B8108}" srcOrd="6" destOrd="0" presId="urn:microsoft.com/office/officeart/2005/8/layout/chevron1"/>
    <dgm:cxn modelId="{43B082FE-644B-42AD-B3EE-6025453BC90D}" type="presParOf" srcId="{28EF3502-A5CE-4BF1-80B1-CA7E0202B890}" destId="{B1F07681-1A9C-4C47-A304-6C94221189CD}" srcOrd="7" destOrd="0" presId="urn:microsoft.com/office/officeart/2005/8/layout/chevron1"/>
    <dgm:cxn modelId="{AF54FBFD-D8AD-4A2B-877D-4B423364CAD0}" type="presParOf" srcId="{28EF3502-A5CE-4BF1-80B1-CA7E0202B890}" destId="{98202000-EE1A-4118-8441-536D3199620B}" srcOrd="8" destOrd="0" presId="urn:microsoft.com/office/officeart/2005/8/layout/chevron1"/>
  </dgm:cxnLst>
  <dgm:bg/>
  <dgm:whole/>
  <dgm:extLst>
    <a:ext uri="http://schemas.microsoft.com/office/drawing/2008/diagram">
      <dsp:dataModelExt xmlns:dsp="http://schemas.microsoft.com/office/drawing/2008/diagram" relId="rId2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2919E8-1416-487C-9967-CC65CCAA9491}">
      <dsp:nvSpPr>
        <dsp:cNvPr id="0" name=""/>
        <dsp:cNvSpPr/>
      </dsp:nvSpPr>
      <dsp:spPr>
        <a:xfrm>
          <a:off x="1744" y="3637"/>
          <a:ext cx="1700658"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en-US" sz="900" b="1" kern="1200">
              <a:latin typeface="EC Square Sans Pro" panose="020B0506040000020004" pitchFamily="34" charset="0"/>
              <a:ea typeface="Verdana" panose="020B0604030504040204" pitchFamily="34" charset="0"/>
              <a:cs typeface="+mn-cs"/>
            </a:rPr>
            <a:t>Progress</a:t>
          </a:r>
          <a:endParaRPr lang="lt-LT" sz="900" b="1" kern="1200">
            <a:latin typeface="EC Square Sans Pro" panose="020B0506040000020004" pitchFamily="34" charset="0"/>
            <a:ea typeface="Verdana" panose="020B0604030504040204" pitchFamily="34" charset="0"/>
            <a:cs typeface="+mn-cs"/>
          </a:endParaRPr>
        </a:p>
      </dsp:txBody>
      <dsp:txXfrm>
        <a:off x="1744" y="3637"/>
        <a:ext cx="1700658" cy="403200"/>
      </dsp:txXfrm>
    </dsp:sp>
    <dsp:sp modelId="{4AD6E637-2B53-4E71-B47E-1A171962ACE2}">
      <dsp:nvSpPr>
        <dsp:cNvPr id="0" name=""/>
        <dsp:cNvSpPr/>
      </dsp:nvSpPr>
      <dsp:spPr>
        <a:xfrm>
          <a:off x="1744" y="406837"/>
          <a:ext cx="1700658" cy="21136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ts val="600"/>
            </a:spcAft>
            <a:buChar char="••"/>
          </a:pPr>
          <a:r>
            <a:rPr lang="en-GB" sz="900" kern="1200">
              <a:latin typeface="EC Square Sans Pro" panose="020B0506040000020004" pitchFamily="34" charset="0"/>
              <a:ea typeface="Verdana" panose="020B0604030504040204" pitchFamily="34" charset="0"/>
              <a:cs typeface="+mn-cs"/>
            </a:rPr>
            <a:t> </a:t>
          </a:r>
          <a:r>
            <a:rPr lang="en-GB" sz="1000" kern="1200">
              <a:latin typeface="EC Square Sans Pro" panose="020B0506040000020004" pitchFamily="34" charset="0"/>
              <a:ea typeface="Verdana" panose="020B0604030504040204" pitchFamily="34" charset="0"/>
              <a:cs typeface="+mn-cs"/>
            </a:rPr>
            <a:t>Evidence-based EU policies and legislation</a:t>
          </a:r>
          <a:endParaRPr lang="lt-LT" sz="1000" kern="1200">
            <a:latin typeface="EC Square Sans Pro" panose="020B0506040000020004" pitchFamily="34" charset="0"/>
            <a:ea typeface="Verdana" panose="020B0604030504040204" pitchFamily="34" charset="0"/>
            <a:cs typeface="+mn-cs"/>
          </a:endParaRPr>
        </a:p>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Effective and inclusive information sharing, mutual learning and dialogue</a:t>
          </a:r>
          <a:endParaRPr lang="lt-LT" sz="1000" kern="1200">
            <a:latin typeface="EC Square Sans Pro" panose="020B0506040000020004" pitchFamily="34" charset="0"/>
            <a:ea typeface="Verdana" panose="020B0604030504040204" pitchFamily="34" charset="0"/>
            <a:cs typeface="+mn-cs"/>
          </a:endParaRPr>
        </a:p>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Testing of social and labour market policy innovations</a:t>
          </a:r>
          <a:endParaRPr lang="lt-LT" sz="1000" kern="1200">
            <a:latin typeface="EC Square Sans Pro" panose="020B0506040000020004" pitchFamily="34" charset="0"/>
            <a:ea typeface="Verdana" panose="020B0604030504040204" pitchFamily="34" charset="0"/>
            <a:cs typeface="+mn-cs"/>
          </a:endParaRPr>
        </a:p>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Greater capacities of national and EU organisations to develop, promote and support the implementation of EU policies</a:t>
          </a:r>
          <a:endParaRPr lang="lt-LT" sz="1000" kern="1200">
            <a:latin typeface="EC Square Sans Pro" panose="020B0506040000020004" pitchFamily="34" charset="0"/>
            <a:ea typeface="Verdana" panose="020B0604030504040204" pitchFamily="34" charset="0"/>
            <a:cs typeface="+mn-cs"/>
          </a:endParaRPr>
        </a:p>
      </dsp:txBody>
      <dsp:txXfrm>
        <a:off x="1744" y="406837"/>
        <a:ext cx="1700658" cy="2113649"/>
      </dsp:txXfrm>
    </dsp:sp>
    <dsp:sp modelId="{F886559E-7561-47A5-BC48-88B7EF90E55C}">
      <dsp:nvSpPr>
        <dsp:cNvPr id="0" name=""/>
        <dsp:cNvSpPr/>
      </dsp:nvSpPr>
      <dsp:spPr>
        <a:xfrm>
          <a:off x="1940495" y="3637"/>
          <a:ext cx="1700658"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en-US" sz="900" b="1" kern="1200">
              <a:latin typeface="EC Square Sans Pro" panose="020B0506040000020004" pitchFamily="34" charset="0"/>
              <a:ea typeface="Verdana" panose="020B0604030504040204" pitchFamily="34" charset="0"/>
              <a:cs typeface="+mn-cs"/>
            </a:rPr>
            <a:t>EURES</a:t>
          </a:r>
          <a:endParaRPr lang="lt-LT" sz="900" b="1" kern="1200">
            <a:latin typeface="EC Square Sans Pro" panose="020B0506040000020004" pitchFamily="34" charset="0"/>
            <a:ea typeface="Verdana" panose="020B0604030504040204" pitchFamily="34" charset="0"/>
            <a:cs typeface="+mn-cs"/>
          </a:endParaRPr>
        </a:p>
      </dsp:txBody>
      <dsp:txXfrm>
        <a:off x="1940495" y="3637"/>
        <a:ext cx="1700658" cy="403200"/>
      </dsp:txXfrm>
    </dsp:sp>
    <dsp:sp modelId="{86C96E81-B2D0-43F8-BBD6-701F1AAA3C89}">
      <dsp:nvSpPr>
        <dsp:cNvPr id="0" name=""/>
        <dsp:cNvSpPr/>
      </dsp:nvSpPr>
      <dsp:spPr>
        <a:xfrm>
          <a:off x="1940495" y="406837"/>
          <a:ext cx="1700658" cy="21136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Transparent labour market information</a:t>
          </a:r>
          <a:endParaRPr lang="lt-LT" sz="1000" kern="1200">
            <a:latin typeface="EC Square Sans Pro" panose="020B0506040000020004" pitchFamily="34" charset="0"/>
            <a:ea typeface="Verdana" panose="020B0604030504040204" pitchFamily="34" charset="0"/>
            <a:cs typeface="+mn-cs"/>
          </a:endParaRPr>
        </a:p>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Effective provision of services for recruitment and placing of workers</a:t>
          </a:r>
          <a:endParaRPr lang="lt-LT" sz="1000" kern="1200">
            <a:latin typeface="EC Square Sans Pro" panose="020B0506040000020004" pitchFamily="34" charset="0"/>
            <a:ea typeface="Verdana" panose="020B0604030504040204" pitchFamily="34" charset="0"/>
            <a:cs typeface="+mn-cs"/>
          </a:endParaRPr>
        </a:p>
      </dsp:txBody>
      <dsp:txXfrm>
        <a:off x="1940495" y="406837"/>
        <a:ext cx="1700658" cy="2113649"/>
      </dsp:txXfrm>
    </dsp:sp>
    <dsp:sp modelId="{DA49FDEE-5461-448D-8023-EE12F83B918E}">
      <dsp:nvSpPr>
        <dsp:cNvPr id="0" name=""/>
        <dsp:cNvSpPr/>
      </dsp:nvSpPr>
      <dsp:spPr>
        <a:xfrm>
          <a:off x="3879246" y="3637"/>
          <a:ext cx="1700658" cy="4032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buNone/>
          </a:pPr>
          <a:r>
            <a:rPr lang="fr-BE" sz="900" b="1" kern="1200"/>
            <a:t>microfinance and social entrepreneurship</a:t>
          </a:r>
          <a:endParaRPr lang="lt-LT" sz="900" b="1" kern="1200">
            <a:latin typeface="EC Square Sans Pro" panose="020B0506040000020004" pitchFamily="34" charset="0"/>
            <a:ea typeface="Verdana" panose="020B0604030504040204" pitchFamily="34" charset="0"/>
            <a:cs typeface="+mn-cs"/>
          </a:endParaRPr>
        </a:p>
      </dsp:txBody>
      <dsp:txXfrm>
        <a:off x="3879246" y="3637"/>
        <a:ext cx="1700658" cy="403200"/>
      </dsp:txXfrm>
    </dsp:sp>
    <dsp:sp modelId="{3741363C-0372-446C-B401-9DAE083691F6}">
      <dsp:nvSpPr>
        <dsp:cNvPr id="0" name=""/>
        <dsp:cNvSpPr/>
      </dsp:nvSpPr>
      <dsp:spPr>
        <a:xfrm>
          <a:off x="3879246" y="406837"/>
          <a:ext cx="1700658" cy="211364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Better access to, and availability of, microfinance</a:t>
          </a:r>
          <a:endParaRPr lang="lt-LT" sz="1000" kern="1200">
            <a:latin typeface="EC Square Sans Pro" panose="020B0506040000020004" pitchFamily="34" charset="0"/>
            <a:ea typeface="Verdana" panose="020B0604030504040204" pitchFamily="34" charset="0"/>
            <a:cs typeface="+mn-cs"/>
          </a:endParaRPr>
        </a:p>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Better access to finance for social enterprises</a:t>
          </a:r>
          <a:endParaRPr lang="lt-LT" sz="1000" kern="1200">
            <a:latin typeface="EC Square Sans Pro" panose="020B0506040000020004" pitchFamily="34" charset="0"/>
            <a:ea typeface="Verdana" panose="020B0604030504040204" pitchFamily="34" charset="0"/>
            <a:cs typeface="+mn-cs"/>
          </a:endParaRPr>
        </a:p>
        <a:p>
          <a:pPr marL="57150" lvl="1" indent="-57150" algn="l" defTabSz="444500">
            <a:lnSpc>
              <a:spcPct val="90000"/>
            </a:lnSpc>
            <a:spcBef>
              <a:spcPct val="0"/>
            </a:spcBef>
            <a:spcAft>
              <a:spcPts val="600"/>
            </a:spcAft>
            <a:buChar char="••"/>
          </a:pPr>
          <a:r>
            <a:rPr lang="en-GB" sz="1000" kern="1200">
              <a:latin typeface="EC Square Sans Pro" panose="020B0506040000020004" pitchFamily="34" charset="0"/>
              <a:ea typeface="Verdana" panose="020B0604030504040204" pitchFamily="34" charset="0"/>
              <a:cs typeface="+mn-cs"/>
            </a:rPr>
            <a:t> Stronger institutional capacity of microcredit providers</a:t>
          </a:r>
          <a:endParaRPr lang="lt-LT" sz="1000" kern="1200">
            <a:latin typeface="EC Square Sans Pro" panose="020B0506040000020004" pitchFamily="34" charset="0"/>
            <a:ea typeface="Verdana" panose="020B0604030504040204" pitchFamily="34" charset="0"/>
            <a:cs typeface="+mn-cs"/>
          </a:endParaRPr>
        </a:p>
      </dsp:txBody>
      <dsp:txXfrm>
        <a:off x="3879246" y="406837"/>
        <a:ext cx="1700658" cy="21136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4957E8-A7DD-489C-9DF0-EFEF8DFCBE1F}">
      <dsp:nvSpPr>
        <dsp:cNvPr id="0" name=""/>
        <dsp:cNvSpPr/>
      </dsp:nvSpPr>
      <dsp:spPr>
        <a:xfrm>
          <a:off x="341553" y="494"/>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GB" sz="1000" kern="1200">
              <a:latin typeface="EC Square Sans Pro" panose="020B0506040000020004" pitchFamily="34" charset="0"/>
              <a:ea typeface="Verdana" panose="020B0604030504040204" pitchFamily="34" charset="0"/>
              <a:cs typeface="+mn-cs"/>
            </a:rPr>
            <a:t>Stronger ownership of EU objectives</a:t>
          </a:r>
          <a:endParaRPr lang="lt-LT" sz="1000" kern="1200">
            <a:latin typeface="EC Square Sans Pro" panose="020B0506040000020004" pitchFamily="34" charset="0"/>
            <a:ea typeface="Verdana" panose="020B0604030504040204" pitchFamily="34" charset="0"/>
            <a:cs typeface="+mn-cs"/>
          </a:endParaRPr>
        </a:p>
      </dsp:txBody>
      <dsp:txXfrm>
        <a:off x="341553" y="494"/>
        <a:ext cx="1515912" cy="909547"/>
      </dsp:txXfrm>
    </dsp:sp>
    <dsp:sp modelId="{AC5C4E62-8F9B-4E0B-BDBD-5A97E1810EE2}">
      <dsp:nvSpPr>
        <dsp:cNvPr id="0" name=""/>
        <dsp:cNvSpPr/>
      </dsp:nvSpPr>
      <dsp:spPr>
        <a:xfrm>
          <a:off x="2009056" y="494"/>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GB" sz="1000" kern="1200">
              <a:latin typeface="EC Square Sans Pro" panose="020B0506040000020004" pitchFamily="34" charset="0"/>
              <a:ea typeface="Verdana" panose="020B0604030504040204" pitchFamily="34" charset="0"/>
              <a:cs typeface="+mn-cs"/>
            </a:rPr>
            <a:t>Facilitation of policy reforms</a:t>
          </a:r>
          <a:endParaRPr lang="lt-LT" sz="1000" kern="1200">
            <a:latin typeface="EC Square Sans Pro" panose="020B0506040000020004" pitchFamily="34" charset="0"/>
            <a:ea typeface="Verdana" panose="020B0604030504040204" pitchFamily="34" charset="0"/>
            <a:cs typeface="+mn-cs"/>
          </a:endParaRPr>
        </a:p>
      </dsp:txBody>
      <dsp:txXfrm>
        <a:off x="2009056" y="494"/>
        <a:ext cx="1515912" cy="909547"/>
      </dsp:txXfrm>
    </dsp:sp>
    <dsp:sp modelId="{88E3C072-5224-4A40-966E-C2EF6E73833F}">
      <dsp:nvSpPr>
        <dsp:cNvPr id="0" name=""/>
        <dsp:cNvSpPr/>
      </dsp:nvSpPr>
      <dsp:spPr>
        <a:xfrm>
          <a:off x="3676559" y="494"/>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GB" sz="1000" kern="1200">
              <a:latin typeface="EC Square Sans Pro" panose="020B0506040000020004" pitchFamily="34" charset="0"/>
              <a:ea typeface="Verdana" panose="020B0604030504040204" pitchFamily="34" charset="0"/>
              <a:cs typeface="+mn-cs"/>
            </a:rPr>
            <a:t>Modernisation and effective application of EU law</a:t>
          </a:r>
          <a:endParaRPr lang="lt-LT" sz="1000" kern="1200">
            <a:latin typeface="EC Square Sans Pro" panose="020B0506040000020004" pitchFamily="34" charset="0"/>
            <a:ea typeface="Verdana" panose="020B0604030504040204" pitchFamily="34" charset="0"/>
            <a:cs typeface="+mn-cs"/>
          </a:endParaRPr>
        </a:p>
      </dsp:txBody>
      <dsp:txXfrm>
        <a:off x="3676559" y="494"/>
        <a:ext cx="1515912" cy="909547"/>
      </dsp:txXfrm>
    </dsp:sp>
    <dsp:sp modelId="{D31AA815-06F8-41CF-9929-9648014D0575}">
      <dsp:nvSpPr>
        <dsp:cNvPr id="0" name=""/>
        <dsp:cNvSpPr/>
      </dsp:nvSpPr>
      <dsp:spPr>
        <a:xfrm>
          <a:off x="1175304" y="1061633"/>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GB" sz="1000" kern="1200">
              <a:latin typeface="EC Square Sans Pro" panose="020B0506040000020004" pitchFamily="34" charset="0"/>
              <a:ea typeface="Verdana" panose="020B0604030504040204" pitchFamily="34" charset="0"/>
              <a:cs typeface="+mn-cs"/>
            </a:rPr>
            <a:t>Improved conditions for voluntary geographic mobility whilst enforcing workers' rights</a:t>
          </a:r>
          <a:endParaRPr lang="lt-LT" sz="1000" kern="1200">
            <a:latin typeface="EC Square Sans Pro" panose="020B0506040000020004" pitchFamily="34" charset="0"/>
            <a:ea typeface="Verdana" panose="020B0604030504040204" pitchFamily="34" charset="0"/>
            <a:cs typeface="+mn-cs"/>
          </a:endParaRPr>
        </a:p>
      </dsp:txBody>
      <dsp:txXfrm>
        <a:off x="1175304" y="1061633"/>
        <a:ext cx="1515912" cy="909547"/>
      </dsp:txXfrm>
    </dsp:sp>
    <dsp:sp modelId="{5B4647B7-32EE-43E9-9B5E-ADB719BA6900}">
      <dsp:nvSpPr>
        <dsp:cNvPr id="0" name=""/>
        <dsp:cNvSpPr/>
      </dsp:nvSpPr>
      <dsp:spPr>
        <a:xfrm>
          <a:off x="2842808" y="1061633"/>
          <a:ext cx="1515912" cy="9095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en-GB" sz="1000" kern="1200">
              <a:latin typeface="EC Square Sans Pro" panose="020B0506040000020004" pitchFamily="34" charset="0"/>
              <a:ea typeface="Verdana" panose="020B0604030504040204" pitchFamily="34" charset="0"/>
              <a:cs typeface="+mn-cs"/>
            </a:rPr>
            <a:t>Increased access to finance for vulnerable persons, micro- and social enterprises</a:t>
          </a:r>
          <a:endParaRPr lang="lt-LT" sz="1000" kern="1200">
            <a:latin typeface="EC Square Sans Pro" panose="020B0506040000020004" pitchFamily="34" charset="0"/>
            <a:ea typeface="Verdana" panose="020B0604030504040204" pitchFamily="34" charset="0"/>
            <a:cs typeface="+mn-cs"/>
          </a:endParaRPr>
        </a:p>
      </dsp:txBody>
      <dsp:txXfrm>
        <a:off x="2842808" y="1061633"/>
        <a:ext cx="1515912" cy="9095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1FECF2-A521-4F46-A93A-2BBD80BE276F}">
      <dsp:nvSpPr>
        <dsp:cNvPr id="0" name=""/>
        <dsp:cNvSpPr/>
      </dsp:nvSpPr>
      <dsp:spPr>
        <a:xfrm>
          <a:off x="1406" y="58956"/>
          <a:ext cx="1251442" cy="500577"/>
        </a:xfrm>
        <a:prstGeom prst="chevron">
          <a:avLst/>
        </a:prstGeom>
        <a:solidFill>
          <a:srgbClr val="A9CEDC"/>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kern="1200"/>
            <a:t>Audit / Control</a:t>
          </a:r>
        </a:p>
      </dsp:txBody>
      <dsp:txXfrm>
        <a:off x="251695" y="58956"/>
        <a:ext cx="750865" cy="500577"/>
      </dsp:txXfrm>
    </dsp:sp>
    <dsp:sp modelId="{6E872551-BC66-474E-9080-DF01D418D413}">
      <dsp:nvSpPr>
        <dsp:cNvPr id="0" name=""/>
        <dsp:cNvSpPr/>
      </dsp:nvSpPr>
      <dsp:spPr>
        <a:xfrm>
          <a:off x="1127704" y="58956"/>
          <a:ext cx="1251442" cy="500577"/>
        </a:xfrm>
        <a:prstGeom prst="chevron">
          <a:avLst/>
        </a:prstGeom>
        <a:solidFill>
          <a:srgbClr val="08AA7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kern="1200"/>
            <a:t>In progress </a:t>
          </a:r>
        </a:p>
      </dsp:txBody>
      <dsp:txXfrm>
        <a:off x="1377993" y="58956"/>
        <a:ext cx="750865" cy="500577"/>
      </dsp:txXfrm>
    </dsp:sp>
    <dsp:sp modelId="{2BA60F5D-2D40-4CE6-9D07-3515F01652FD}">
      <dsp:nvSpPr>
        <dsp:cNvPr id="0" name=""/>
        <dsp:cNvSpPr/>
      </dsp:nvSpPr>
      <dsp:spPr>
        <a:xfrm>
          <a:off x="2254003" y="58956"/>
          <a:ext cx="1251442" cy="500577"/>
        </a:xfrm>
        <a:prstGeom prst="chevron">
          <a:avLst/>
        </a:prstGeom>
        <a:solidFill>
          <a:srgbClr val="65BBC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kern="1200"/>
            <a:t>Confirmed</a:t>
          </a:r>
        </a:p>
      </dsp:txBody>
      <dsp:txXfrm>
        <a:off x="2504292" y="58956"/>
        <a:ext cx="750865" cy="500577"/>
      </dsp:txXfrm>
    </dsp:sp>
    <dsp:sp modelId="{DF1B5E6B-E404-4038-8C22-E9AECF6B8108}">
      <dsp:nvSpPr>
        <dsp:cNvPr id="0" name=""/>
        <dsp:cNvSpPr/>
      </dsp:nvSpPr>
      <dsp:spPr>
        <a:xfrm>
          <a:off x="3380302" y="58956"/>
          <a:ext cx="1251442" cy="500577"/>
        </a:xfrm>
        <a:prstGeom prst="chevron">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b="0" i="0" kern="1200"/>
            <a:t>Implemented</a:t>
          </a:r>
          <a:r>
            <a:rPr lang="en-GB" sz="1000" i="1" kern="1200"/>
            <a:t> </a:t>
          </a:r>
        </a:p>
      </dsp:txBody>
      <dsp:txXfrm>
        <a:off x="3630591" y="58956"/>
        <a:ext cx="750865" cy="500577"/>
      </dsp:txXfrm>
    </dsp:sp>
    <dsp:sp modelId="{98202000-EE1A-4118-8441-536D3199620B}">
      <dsp:nvSpPr>
        <dsp:cNvPr id="0" name=""/>
        <dsp:cNvSpPr/>
      </dsp:nvSpPr>
      <dsp:spPr>
        <a:xfrm>
          <a:off x="4506600" y="58956"/>
          <a:ext cx="1251442" cy="500577"/>
        </a:xfrm>
        <a:prstGeom prst="chevron">
          <a:avLst/>
        </a:prstGeom>
        <a:solidFill>
          <a:srgbClr val="EFC46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n-GB" sz="1000" i="0" kern="1200"/>
            <a:t>Reported</a:t>
          </a:r>
        </a:p>
      </dsp:txBody>
      <dsp:txXfrm>
        <a:off x="4756889" y="58956"/>
        <a:ext cx="750865" cy="50057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0.06415</cdr:x>
      <cdr:y>0.87151</cdr:y>
    </cdr:from>
    <cdr:to>
      <cdr:x>0.11013</cdr:x>
      <cdr:y>0.95942</cdr:y>
    </cdr:to>
    <cdr:sp macro="" textlink="">
      <cdr:nvSpPr>
        <cdr:cNvPr id="2" name="Text Box 1"/>
        <cdr:cNvSpPr txBox="1"/>
      </cdr:nvSpPr>
      <cdr:spPr>
        <a:xfrm xmlns:a="http://schemas.openxmlformats.org/drawingml/2006/main">
          <a:off x="369576" y="2417289"/>
          <a:ext cx="264872" cy="243840"/>
        </a:xfrm>
        <a:prstGeom xmlns:a="http://schemas.openxmlformats.org/drawingml/2006/main" prst="rect">
          <a:avLst/>
        </a:prstGeom>
        <a:ln xmlns:a="http://schemas.openxmlformats.org/drawingml/2006/main" w="3175">
          <a:noFill/>
        </a:ln>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en-GB" sz="700" b="1">
              <a:solidFill>
                <a:schemeClr val="bg1">
                  <a:lumMod val="65000"/>
                </a:schemeClr>
              </a:solidFill>
              <a:latin typeface="EC Square Sans Pro" panose="020B0506040000020004" pitchFamily="34" charset="0"/>
            </a:rPr>
            <a:t>June</a:t>
          </a:r>
          <a:br>
            <a:rPr lang="en-GB" sz="700" b="1">
              <a:solidFill>
                <a:schemeClr val="bg1">
                  <a:lumMod val="65000"/>
                </a:schemeClr>
              </a:solidFill>
              <a:latin typeface="EC Square Sans Pro" panose="020B0506040000020004" pitchFamily="34" charset="0"/>
            </a:rPr>
          </a:br>
          <a:r>
            <a:rPr lang="en-GB" sz="700" b="1">
              <a:solidFill>
                <a:schemeClr val="bg1">
                  <a:lumMod val="65000"/>
                </a:schemeClr>
              </a:solidFill>
              <a:latin typeface="EC Square Sans Pro" panose="020B0506040000020004" pitchFamily="34" charset="0"/>
            </a:rPr>
            <a:t>2015</a:t>
          </a:r>
        </a:p>
      </cdr:txBody>
    </cdr:sp>
  </cdr:relSizeAnchor>
  <cdr:relSizeAnchor xmlns:cdr="http://schemas.openxmlformats.org/drawingml/2006/chartDrawing">
    <cdr:from>
      <cdr:x>0.11326</cdr:x>
      <cdr:y>0.87151</cdr:y>
    </cdr:from>
    <cdr:to>
      <cdr:x>0.17113</cdr:x>
      <cdr:y>0.95847</cdr:y>
    </cdr:to>
    <cdr:sp macro="" textlink="">
      <cdr:nvSpPr>
        <cdr:cNvPr id="3" name="Text Box 2"/>
        <cdr:cNvSpPr txBox="1"/>
      </cdr:nvSpPr>
      <cdr:spPr>
        <a:xfrm xmlns:a="http://schemas.openxmlformats.org/drawingml/2006/main">
          <a:off x="652462" y="2417289"/>
          <a:ext cx="333375" cy="24120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ctr"/>
          <a:r>
            <a:rPr lang="en-GB" sz="700" b="1">
              <a:solidFill>
                <a:schemeClr val="bg1">
                  <a:lumMod val="65000"/>
                </a:schemeClr>
              </a:solidFill>
              <a:latin typeface="EC Square Sans Pro" panose="020B0506040000020004" pitchFamily="34" charset="0"/>
            </a:rPr>
            <a:t>October</a:t>
          </a:r>
          <a:br>
            <a:rPr lang="en-GB" sz="700" b="1">
              <a:solidFill>
                <a:schemeClr val="bg1">
                  <a:lumMod val="65000"/>
                </a:schemeClr>
              </a:solidFill>
              <a:latin typeface="EC Square Sans Pro" panose="020B0506040000020004" pitchFamily="34" charset="0"/>
            </a:rPr>
          </a:br>
          <a:r>
            <a:rPr lang="en-GB" sz="700" b="1">
              <a:solidFill>
                <a:schemeClr val="bg1">
                  <a:lumMod val="65000"/>
                </a:schemeClr>
              </a:solidFill>
              <a:latin typeface="EC Square Sans Pro" panose="020B0506040000020004" pitchFamily="34" charset="0"/>
            </a:rPr>
            <a:t>2015</a:t>
          </a:r>
        </a:p>
      </cdr:txBody>
    </cdr:sp>
  </cdr:relSizeAnchor>
  <cdr:relSizeAnchor xmlns:cdr="http://schemas.openxmlformats.org/drawingml/2006/chartDrawing">
    <cdr:from>
      <cdr:x>0.17514</cdr:x>
      <cdr:y>0.87151</cdr:y>
    </cdr:from>
    <cdr:to>
      <cdr:x>0.23444</cdr:x>
      <cdr:y>0.95942</cdr:y>
    </cdr:to>
    <cdr:sp macro="" textlink="">
      <cdr:nvSpPr>
        <cdr:cNvPr id="5" name="Text Box 1"/>
        <cdr:cNvSpPr txBox="1"/>
      </cdr:nvSpPr>
      <cdr:spPr>
        <a:xfrm xmlns:a="http://schemas.openxmlformats.org/drawingml/2006/main">
          <a:off x="1008915" y="2417289"/>
          <a:ext cx="341630"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January</a:t>
          </a:r>
          <a:b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b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2016</a:t>
          </a:r>
          <a:endParaRPr lang="en-GB" sz="1000">
            <a:effectLst/>
            <a:latin typeface="EC Square Sans Pro" panose="020B0506040000020004" pitchFamily="34" charset="0"/>
            <a:ea typeface="EC Square Sans Pro" panose="020B0506040000020004" pitchFamily="34" charset="0"/>
            <a:cs typeface="Times New Roman" panose="02020603050405020304" pitchFamily="18" charset="0"/>
          </a:endParaRPr>
        </a:p>
        <a:p xmlns:a="http://schemas.openxmlformats.org/drawingml/2006/main">
          <a:pPr algn="ctr">
            <a:spcAft>
              <a:spcPts val="0"/>
            </a:spcAft>
          </a:pPr>
          <a:r>
            <a:rPr lang="en-GB" sz="1200">
              <a:effectLst/>
              <a:latin typeface="EC Square Sans Pro" panose="020B0506040000020004" pitchFamily="34" charset="0"/>
              <a:ea typeface="Times New Roman" panose="02020603050405020304" pitchFamily="18" charset="0"/>
              <a:cs typeface="Times New Roman" panose="02020603050405020304" pitchFamily="18" charset="0"/>
            </a:rPr>
            <a:t> </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0.2273</cdr:x>
      <cdr:y>0.87151</cdr:y>
    </cdr:from>
    <cdr:to>
      <cdr:x>0.29277</cdr:x>
      <cdr:y>0.95805</cdr:y>
    </cdr:to>
    <cdr:sp macro="" textlink="">
      <cdr:nvSpPr>
        <cdr:cNvPr id="6" name="Text Box 2"/>
        <cdr:cNvSpPr txBox="1"/>
      </cdr:nvSpPr>
      <cdr:spPr>
        <a:xfrm xmlns:a="http://schemas.openxmlformats.org/drawingml/2006/main">
          <a:off x="1309399"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April</a:t>
          </a:r>
          <a:b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b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2016</a:t>
          </a:r>
          <a:endParaRPr lang="en-GB" sz="1000">
            <a:effectLst/>
            <a:latin typeface="EC Square Sans Pro" panose="020B0506040000020004" pitchFamily="34" charset="0"/>
            <a:ea typeface="EC Square Sans Pro" panose="020B0506040000020004" pitchFamily="34" charset="0"/>
            <a:cs typeface="Times New Roman" panose="02020603050405020304" pitchFamily="18" charset="0"/>
          </a:endParaRPr>
        </a:p>
        <a:p xmlns:a="http://schemas.openxmlformats.org/drawingml/2006/main">
          <a:pPr algn="ctr">
            <a:spcAft>
              <a:spcPts val="0"/>
            </a:spcAft>
          </a:pPr>
          <a:r>
            <a:rPr lang="en-GB" sz="1200">
              <a:effectLst/>
              <a:latin typeface="EC Square Sans Pro" panose="020B0506040000020004" pitchFamily="34" charset="0"/>
              <a:ea typeface="Times New Roman" panose="02020603050405020304" pitchFamily="18" charset="0"/>
              <a:cs typeface="Times New Roman" panose="02020603050405020304" pitchFamily="18" charset="0"/>
            </a:rPr>
            <a:t> </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0.29341</cdr:x>
      <cdr:y>0.87151</cdr:y>
    </cdr:from>
    <cdr:to>
      <cdr:x>0.33937</cdr:x>
      <cdr:y>0.95942</cdr:y>
    </cdr:to>
    <cdr:sp macro="" textlink="">
      <cdr:nvSpPr>
        <cdr:cNvPr id="7" name="Text Box 1"/>
        <cdr:cNvSpPr txBox="1"/>
      </cdr:nvSpPr>
      <cdr:spPr>
        <a:xfrm xmlns:a="http://schemas.openxmlformats.org/drawingml/2006/main">
          <a:off x="1690249" y="2417289"/>
          <a:ext cx="264795"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June</a:t>
          </a:r>
          <a:b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b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2016</a:t>
          </a:r>
          <a:endParaRPr lang="en-GB" sz="1000">
            <a:effectLst/>
            <a:latin typeface="EC Square Sans Pro" panose="020B0506040000020004" pitchFamily="34" charset="0"/>
            <a:ea typeface="EC Square Sans Pro" panose="020B0506040000020004" pitchFamily="34" charset="0"/>
            <a:cs typeface="Times New Roman" panose="02020603050405020304" pitchFamily="18" charset="0"/>
          </a:endParaRPr>
        </a:p>
      </cdr:txBody>
    </cdr:sp>
  </cdr:relSizeAnchor>
  <cdr:relSizeAnchor xmlns:cdr="http://schemas.openxmlformats.org/drawingml/2006/chartDrawing">
    <cdr:from>
      <cdr:x>0.3379</cdr:x>
      <cdr:y>0.87151</cdr:y>
    </cdr:from>
    <cdr:to>
      <cdr:x>0.40337</cdr:x>
      <cdr:y>0.95805</cdr:y>
    </cdr:to>
    <cdr:sp macro="" textlink="">
      <cdr:nvSpPr>
        <cdr:cNvPr id="8" name="Text Box 2"/>
        <cdr:cNvSpPr txBox="1"/>
      </cdr:nvSpPr>
      <cdr:spPr>
        <a:xfrm xmlns:a="http://schemas.openxmlformats.org/drawingml/2006/main">
          <a:off x="1946531"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October</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2016</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0.40355</cdr:x>
      <cdr:y>0.87151</cdr:y>
    </cdr:from>
    <cdr:to>
      <cdr:x>0.46583</cdr:x>
      <cdr:y>0.95942</cdr:y>
    </cdr:to>
    <cdr:sp macro="" textlink="">
      <cdr:nvSpPr>
        <cdr:cNvPr id="9" name="Text Box 1"/>
        <cdr:cNvSpPr txBox="1"/>
      </cdr:nvSpPr>
      <cdr:spPr>
        <a:xfrm xmlns:a="http://schemas.openxmlformats.org/drawingml/2006/main">
          <a:off x="2324725" y="2417289"/>
          <a:ext cx="358775"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January</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2017</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0.45901</cdr:x>
      <cdr:y>0.87151</cdr:y>
    </cdr:from>
    <cdr:to>
      <cdr:x>0.52448</cdr:x>
      <cdr:y>0.95805</cdr:y>
    </cdr:to>
    <cdr:sp macro="" textlink="">
      <cdr:nvSpPr>
        <cdr:cNvPr id="10" name="Text Box 2"/>
        <cdr:cNvSpPr txBox="1"/>
      </cdr:nvSpPr>
      <cdr:spPr>
        <a:xfrm xmlns:a="http://schemas.openxmlformats.org/drawingml/2006/main">
          <a:off x="2644208"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April</a:t>
          </a:r>
          <a:b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b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2017</a:t>
          </a:r>
          <a:endParaRPr lang="en-GB" sz="1000">
            <a:effectLst/>
            <a:latin typeface="EC Square Sans Pro" panose="020B0506040000020004" pitchFamily="34" charset="0"/>
            <a:ea typeface="EC Square Sans Pro" panose="020B0506040000020004" pitchFamily="34" charset="0"/>
            <a:cs typeface="Times New Roman" panose="02020603050405020304" pitchFamily="18" charset="0"/>
          </a:endParaRPr>
        </a:p>
      </cdr:txBody>
    </cdr:sp>
  </cdr:relSizeAnchor>
  <cdr:relSizeAnchor xmlns:cdr="http://schemas.openxmlformats.org/drawingml/2006/chartDrawing">
    <cdr:from>
      <cdr:x>0.52687</cdr:x>
      <cdr:y>0.87151</cdr:y>
    </cdr:from>
    <cdr:to>
      <cdr:x>0.57283</cdr:x>
      <cdr:y>0.95942</cdr:y>
    </cdr:to>
    <cdr:sp macro="" textlink="">
      <cdr:nvSpPr>
        <cdr:cNvPr id="11" name="Text Box 1"/>
        <cdr:cNvSpPr txBox="1"/>
      </cdr:nvSpPr>
      <cdr:spPr>
        <a:xfrm xmlns:a="http://schemas.openxmlformats.org/drawingml/2006/main">
          <a:off x="3035131" y="2417289"/>
          <a:ext cx="264795"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June</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2017</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0.5703</cdr:x>
      <cdr:y>0.87151</cdr:y>
    </cdr:from>
    <cdr:to>
      <cdr:x>0.63577</cdr:x>
      <cdr:y>0.95805</cdr:y>
    </cdr:to>
    <cdr:sp macro="" textlink="">
      <cdr:nvSpPr>
        <cdr:cNvPr id="12" name="Text Box 2"/>
        <cdr:cNvSpPr txBox="1"/>
      </cdr:nvSpPr>
      <cdr:spPr>
        <a:xfrm xmlns:a="http://schemas.openxmlformats.org/drawingml/2006/main">
          <a:off x="3285322"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October</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2017</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0.63268</cdr:x>
      <cdr:y>0.87151</cdr:y>
    </cdr:from>
    <cdr:to>
      <cdr:x>0.69496</cdr:x>
      <cdr:y>0.95942</cdr:y>
    </cdr:to>
    <cdr:sp macro="" textlink="">
      <cdr:nvSpPr>
        <cdr:cNvPr id="13" name="Text Box 1"/>
        <cdr:cNvSpPr txBox="1"/>
      </cdr:nvSpPr>
      <cdr:spPr>
        <a:xfrm xmlns:a="http://schemas.openxmlformats.org/drawingml/2006/main">
          <a:off x="3644679" y="2417289"/>
          <a:ext cx="358775"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January</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2018</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0.68731</cdr:x>
      <cdr:y>0.87151</cdr:y>
    </cdr:from>
    <cdr:to>
      <cdr:x>0.75279</cdr:x>
      <cdr:y>0.95805</cdr:y>
    </cdr:to>
    <cdr:sp macro="" textlink="">
      <cdr:nvSpPr>
        <cdr:cNvPr id="14" name="Text Box 2"/>
        <cdr:cNvSpPr txBox="1"/>
      </cdr:nvSpPr>
      <cdr:spPr>
        <a:xfrm xmlns:a="http://schemas.openxmlformats.org/drawingml/2006/main">
          <a:off x="3959406"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April</a:t>
          </a:r>
          <a:b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b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2018</a:t>
          </a:r>
          <a:endParaRPr lang="en-GB" sz="1000">
            <a:effectLst/>
            <a:latin typeface="EC Square Sans Pro" panose="020B0506040000020004" pitchFamily="34" charset="0"/>
            <a:ea typeface="EC Square Sans Pro" panose="020B0506040000020004" pitchFamily="34" charset="0"/>
            <a:cs typeface="Times New Roman" panose="02020603050405020304" pitchFamily="18" charset="0"/>
          </a:endParaRPr>
        </a:p>
      </cdr:txBody>
    </cdr:sp>
  </cdr:relSizeAnchor>
  <cdr:relSizeAnchor xmlns:cdr="http://schemas.openxmlformats.org/drawingml/2006/chartDrawing">
    <cdr:from>
      <cdr:x>0.75687</cdr:x>
      <cdr:y>0.87151</cdr:y>
    </cdr:from>
    <cdr:to>
      <cdr:x>0.80284</cdr:x>
      <cdr:y>0.95942</cdr:y>
    </cdr:to>
    <cdr:sp macro="" textlink="">
      <cdr:nvSpPr>
        <cdr:cNvPr id="15" name="Text Box 1"/>
        <cdr:cNvSpPr txBox="1"/>
      </cdr:nvSpPr>
      <cdr:spPr>
        <a:xfrm xmlns:a="http://schemas.openxmlformats.org/drawingml/2006/main">
          <a:off x="4360134" y="2417289"/>
          <a:ext cx="264795"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June</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2018</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0.80347</cdr:x>
      <cdr:y>0.87151</cdr:y>
    </cdr:from>
    <cdr:to>
      <cdr:x>0.86895</cdr:x>
      <cdr:y>0.95805</cdr:y>
    </cdr:to>
    <cdr:sp macro="" textlink="">
      <cdr:nvSpPr>
        <cdr:cNvPr id="16" name="Text Box 2"/>
        <cdr:cNvSpPr txBox="1"/>
      </cdr:nvSpPr>
      <cdr:spPr>
        <a:xfrm xmlns:a="http://schemas.openxmlformats.org/drawingml/2006/main">
          <a:off x="4628589"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October</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2018</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0.86585</cdr:x>
      <cdr:y>0.87151</cdr:y>
    </cdr:from>
    <cdr:to>
      <cdr:x>0.92813</cdr:x>
      <cdr:y>0.95942</cdr:y>
    </cdr:to>
    <cdr:sp macro="" textlink="">
      <cdr:nvSpPr>
        <cdr:cNvPr id="17" name="Text Box 1"/>
        <cdr:cNvSpPr txBox="1"/>
      </cdr:nvSpPr>
      <cdr:spPr>
        <a:xfrm xmlns:a="http://schemas.openxmlformats.org/drawingml/2006/main">
          <a:off x="4987945" y="2417289"/>
          <a:ext cx="358775" cy="243840"/>
        </a:xfrm>
        <a:prstGeom xmlns:a="http://schemas.openxmlformats.org/drawingml/2006/main" prst="rect">
          <a:avLst/>
        </a:prstGeom>
        <a:ln xmlns:a="http://schemas.openxmlformats.org/drawingml/2006/main" w="3175">
          <a:noFill/>
        </a:ln>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January</a:t>
          </a:r>
          <a:b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br>
          <a:r>
            <a:rPr lang="en-GB" sz="700" b="1">
              <a:solidFill>
                <a:srgbClr val="A6A6A6"/>
              </a:solidFill>
              <a:effectLst/>
              <a:latin typeface="EC Square Sans Pro" panose="020B0506040000020004" pitchFamily="34" charset="0"/>
              <a:ea typeface="Times New Roman" panose="02020603050405020304" pitchFamily="18" charset="0"/>
              <a:cs typeface="Times New Roman" panose="02020603050405020304" pitchFamily="18" charset="0"/>
            </a:rPr>
            <a:t>2019</a:t>
          </a:r>
          <a:endParaRPr lang="en-GB" sz="1000">
            <a:effectLst/>
            <a:latin typeface="EC Square Sans Pro" panose="020B05060400000200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0.92008</cdr:x>
      <cdr:y>0.87151</cdr:y>
    </cdr:from>
    <cdr:to>
      <cdr:x>0.98555</cdr:x>
      <cdr:y>0.95805</cdr:y>
    </cdr:to>
    <cdr:sp macro="" textlink="">
      <cdr:nvSpPr>
        <cdr:cNvPr id="18" name="Text Box 2"/>
        <cdr:cNvSpPr txBox="1"/>
      </cdr:nvSpPr>
      <cdr:spPr>
        <a:xfrm xmlns:a="http://schemas.openxmlformats.org/drawingml/2006/main">
          <a:off x="5300310" y="2417289"/>
          <a:ext cx="377190" cy="24003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p xmlns:a="http://schemas.openxmlformats.org/drawingml/2006/main">
          <a:pPr algn="ctr">
            <a:spcAft>
              <a:spcPts val="0"/>
            </a:spcAft>
          </a:pP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April</a:t>
          </a:r>
          <a:b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br>
          <a:r>
            <a:rPr lang="en-GB" sz="700" b="1">
              <a:solidFill>
                <a:srgbClr val="A6A6A6"/>
              </a:solidFill>
              <a:effectLst/>
              <a:latin typeface="EC Square Sans Pro" panose="020B0506040000020004" pitchFamily="34" charset="0"/>
              <a:ea typeface="EC Square Sans Pro" panose="020B0506040000020004" pitchFamily="34" charset="0"/>
              <a:cs typeface="Times New Roman" panose="02020603050405020304" pitchFamily="18" charset="0"/>
            </a:rPr>
            <a:t>2019</a:t>
          </a:r>
          <a:endParaRPr lang="en-GB" sz="1000">
            <a:effectLst/>
            <a:latin typeface="EC Square Sans Pro" panose="020B0506040000020004" pitchFamily="34" charset="0"/>
            <a:ea typeface="EC Square Sans Pro" panose="020B05060400000200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D8D8D8"/>
      </a:dk2>
      <a:lt2>
        <a:srgbClr val="1F4EA2"/>
      </a:lt2>
      <a:accent1>
        <a:srgbClr val="65BBC8"/>
      </a:accent1>
      <a:accent2>
        <a:srgbClr val="82D2E8"/>
      </a:accent2>
      <a:accent3>
        <a:srgbClr val="08AA74"/>
      </a:accent3>
      <a:accent4>
        <a:srgbClr val="3FB296"/>
      </a:accent4>
      <a:accent5>
        <a:srgbClr val="E48C32"/>
      </a:accent5>
      <a:accent6>
        <a:srgbClr val="EFC465"/>
      </a:accent6>
      <a:hlink>
        <a:srgbClr val="548DD4"/>
      </a:hlink>
      <a:folHlink>
        <a:srgbClr val="F79646"/>
      </a:folHlink>
    </a:clrScheme>
    <a:fontScheme name="FONT EC Square">
      <a:majorFont>
        <a:latin typeface="EC Square Sans Pro"/>
        <a:ea typeface=""/>
        <a:cs typeface=""/>
      </a:majorFont>
      <a:minorFont>
        <a:latin typeface="EC Squar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 Document" ma:contentTypeID="0x010100258AA79CEB83498886A3A0868112325000189CB87B1E53E74D8E56C76F27A51955" ma:contentTypeVersion="0" ma:contentTypeDescription="Create a new document in this library." ma:contentTypeScope="" ma:versionID="568a1567bac000f9b107ffaf8516e243">
  <xsd:schema xmlns:xsd="http://www.w3.org/2001/XMLSchema" xmlns:xs="http://www.w3.org/2001/XMLSchema" xmlns:p="http://schemas.microsoft.com/office/2006/metadata/properties" xmlns:ns2="http://schemas.microsoft.com/sharepoint/v3/fields" xmlns:ns3="a05a3f7d-1e55-44be-a55a-bee60eaef883" targetNamespace="http://schemas.microsoft.com/office/2006/metadata/properties" ma:root="true" ma:fieldsID="fa7be7c49ca9f63535b72dbc21a70780" ns2:_="" ns3:_="">
    <xsd:import namespace="http://schemas.microsoft.com/sharepoint/v3/fields"/>
    <xsd:import namespace="a05a3f7d-1e55-44be-a55a-bee60eaef883"/>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05a3f7d-1e55-44be-a55a-bee60eaef883"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C_Collab_DocumentLanguage xmlns="a05a3f7d-1e55-44be-a55a-bee60eaef883">EN</EC_Collab_DocumentLanguage>
    <EC_Collab_Status xmlns="a05a3f7d-1e55-44be-a55a-bee60eaef883">Not Started</EC_Collab_Status>
    <EC_Collab_Reference xmlns="a05a3f7d-1e55-44be-a55a-bee60eaef883" xsi:nil="true"/>
    <_Status xmlns="http://schemas.microsoft.com/sharepoint/v3/fields">Not Started</_Status>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FF3836A-A78A-4B00-B904-D9C8A0160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05a3f7d-1e55-44be-a55a-bee60eaef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E44A12-B6EA-431B-98C8-8D35772715DB}">
  <ds:schemaRefs>
    <ds:schemaRef ds:uri="http://schemas.microsoft.com/sharepoint/v3/contenttype/forms"/>
  </ds:schemaRefs>
</ds:datastoreItem>
</file>

<file path=customXml/itemProps3.xml><?xml version="1.0" encoding="utf-8"?>
<ds:datastoreItem xmlns:ds="http://schemas.openxmlformats.org/officeDocument/2006/customXml" ds:itemID="{4D32D953-E476-477A-9BB5-CC6C9245F445}">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a05a3f7d-1e55-44be-a55a-bee60eaef883"/>
    <ds:schemaRef ds:uri="http://schemas.microsoft.com/sharepoint/v3/fields"/>
    <ds:schemaRef ds:uri="http://www.w3.org/XML/1998/namespace"/>
  </ds:schemaRefs>
</ds:datastoreItem>
</file>

<file path=customXml/itemProps4.xml><?xml version="1.0" encoding="utf-8"?>
<ds:datastoreItem xmlns:ds="http://schemas.openxmlformats.org/officeDocument/2006/customXml" ds:itemID="{35E79A66-586A-4B7B-9FC2-893237104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75694</Words>
  <Characters>432215</Characters>
  <Application>Microsoft Office Word</Application>
  <DocSecurity>0</DocSecurity>
  <Lines>6971</Lines>
  <Paragraphs>2407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2018 The Annual Management and Performance Report for the EU Budget</vt:lpstr>
      <vt:lpstr/>
    </vt:vector>
  </TitlesOfParts>
  <Company>European Commission</Company>
  <LinksUpToDate>false</LinksUpToDate>
  <CharactersWithSpaces>505502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The Annual Management and Performance Report for the EU Budget</dc:title>
  <dc:subject/>
  <dc:creator>DG BUDG</dc:creator>
  <cp:keywords/>
  <dc:description/>
  <cp:lastModifiedBy>HEILEMANN Stefanie (SG)</cp:lastModifiedBy>
  <cp:revision>2</cp:revision>
  <cp:lastPrinted>2019-06-21T08:34:00Z</cp:lastPrinted>
  <dcterms:created xsi:type="dcterms:W3CDTF">2019-08-08T08:04:00Z</dcterms:created>
  <dcterms:modified xsi:type="dcterms:W3CDTF">2019-08-08T08:04:00Z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Last edited using">
    <vt:lpwstr>LW 7.0, Build 20190717</vt:lpwstr>
  </property>
  <property fmtid="{D5CDD505-2E9C-101B-9397-08002B2CF9AE}" pid="6" name="Created using">
    <vt:lpwstr>LW 6.0.1, Build 20180503</vt:lpwstr>
  </property>
  <property fmtid="{D5CDD505-2E9C-101B-9397-08002B2CF9AE}" pid="7" name="DocStatus">
    <vt:lpwstr>Green</vt:lpwstr>
  </property>
  <property fmtid="{D5CDD505-2E9C-101B-9397-08002B2CF9AE}" pid="8" name="synchronize">
    <vt:lpwstr>on</vt:lpwstr>
  </property>
  <property fmtid="{D5CDD505-2E9C-101B-9397-08002B2CF9AE}" pid="9" name="CPTemplateID">
    <vt:lpwstr>CP-003</vt:lpwstr>
  </property>
  <property fmtid="{D5CDD505-2E9C-101B-9397-08002B2CF9AE}" pid="10" name="_LW_INVALIDATED__LW_INVALIDATED_ContentTypeId">
    <vt:lpwstr>0x010100258AA79CEB83498886A3A0868112325000189CB87B1E53E74D8E56C76F27A51955</vt:lpwstr>
  </property>
</Properties>
</file>