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68FACEE6-3BA0-4659-8D13-7966B7E7E9CD" style="width:450.75pt;height:406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noProof/>
        </w:rPr>
      </w:pPr>
      <w:r>
        <w:rPr>
          <w:noProof/>
        </w:rPr>
        <w:t>Настоящото предложение се отнася до решението за установяване на позицията, която трябва да се заеме от името на Съюза в рамките на Комитета за партньорство, създаден по силата на Споразумението за всеобхватно и засилено партньорство между Европейския съюз и Европейската общност за атомна енергия и техните държави членки, от една страна, и Република Армения, от друга страна (наричано по-нататък „споразумението“), във връзка с предвиденото приемане на решение за съставяне на списъка на лицата, които да изпълняват функциите на арбитри при процедури за уреждане на спорове.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Споразумението</w:t>
      </w:r>
    </w:p>
    <w:p>
      <w:pPr>
        <w:rPr>
          <w:noProof/>
        </w:rPr>
      </w:pPr>
      <w:r>
        <w:rPr>
          <w:noProof/>
        </w:rPr>
        <w:t xml:space="preserve">Целта на споразумението е да се задълбочи вече съществуващото широко двустранно сътрудничество в икономическата, търговската и политическата област, както и в секторните политики, като по този начин се осигури дългосрочна основа за по-нататъшното развитие на отношенията между ЕС и Армения. Чрез активизиране на политическия диалог и подобряване на сътрудничеството в широк кръг от области споразумението поставя основите за постигането на по-ефикасни двустранни отношения с Армения. </w:t>
      </w:r>
    </w:p>
    <w:p>
      <w:pPr>
        <w:rPr>
          <w:rFonts w:eastAsia="Arial Unicode MS"/>
          <w:noProof/>
        </w:rPr>
      </w:pPr>
      <w:r>
        <w:rPr>
          <w:noProof/>
        </w:rPr>
        <w:t>С Решение (ЕС) 2018/104 на Съвета от 20 ноември 2017 г. бе одобрено подписването и временното прилагане на споразумението съгласно член 385 от споразумението. Споразумението се прилага временно от 1 юни 2018 г.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Комитетът за партньорство</w:t>
      </w:r>
    </w:p>
    <w:p>
      <w:pPr>
        <w:rPr>
          <w:rFonts w:eastAsia="Arial Unicode MS"/>
          <w:noProof/>
        </w:rPr>
      </w:pPr>
      <w:r>
        <w:rPr>
          <w:noProof/>
        </w:rPr>
        <w:t>Комитетът за партньорство и специалният състав, в който той заседава за разглеждането на всякакви въпроси, свързани с дял VI („Търговия и свързани с търговията въпроси“) от споразумението, са уредени в член 363, параграф 7 от споразумението. Съгласно член 363, параграфи 1 и 6 от споразумението Комитетът за партньорство подпомага Съвета за партньорство при изпълнението на неговите задължения и функции. Комитетът за партньорство разполага с правомощието да приема решения в областите, в които Съветът за партньорство му е делегирал правомощия, и в случаите, предвидени в споразумението. Тези решения имат задължителна сила за страните по споразумението, които трябва да предприемат необходимите мерки за изпълнението им.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Предвиденият акт на Комитета за партньорство</w:t>
      </w:r>
    </w:p>
    <w:p>
      <w:pPr>
        <w:rPr>
          <w:noProof/>
        </w:rPr>
      </w:pPr>
      <w:r>
        <w:rPr>
          <w:noProof/>
        </w:rPr>
        <w:t xml:space="preserve">Арбитражната процедура, уредена в дял VI, глава 13 от споразумението, предвижда, че ако страните не успеят да решат спора посредством консултации, страната, която е поискала консултации, може да поиска образуването на арбитражен състав. Целта на предвидения акт е да се определи позицията на Съюза във връзка с приемането от Комитета за партньорство на списъка с лица, които желаят и могат да изпълняват функцията на арбитри при процедури за уреждане на спорове. </w:t>
      </w:r>
    </w:p>
    <w:p>
      <w:pPr>
        <w:rPr>
          <w:noProof/>
        </w:rPr>
      </w:pPr>
      <w:r>
        <w:rPr>
          <w:noProof/>
        </w:rPr>
        <w:t xml:space="preserve">В член 339, параграф 1 от споразумението се изисква Комитетът за партньорство да състави, въз основа на предложения от страните, списък с най-малко 15 лица, които желаят и могат да изпълняват функциите на арбитри. Списъкът трябва да включва три подсписъка: по един подсписък за всяка от страните и един подсписък с лица, които не </w:t>
      </w:r>
      <w:r>
        <w:rPr>
          <w:noProof/>
        </w:rPr>
        <w:lastRenderedPageBreak/>
        <w:t xml:space="preserve">са граждани на нито една от страните и които се предвижда да изпълняват функцията на председател на арбитражния състав. Всеки подсписък трябва да съдържа най-малко пет лица. </w:t>
      </w:r>
    </w:p>
    <w:p>
      <w:pPr>
        <w:rPr>
          <w:noProof/>
        </w:rPr>
      </w:pPr>
      <w:r>
        <w:rPr>
          <w:noProof/>
        </w:rPr>
        <w:t>В резултат на това, съвместно с Република Армения бе обсъден проект на списъка, който включва петима кандидат-арбитри от Съюза, петима кандидат-арбитри от Република Армения и петима граждани на трети държави, които могат да изпълняват функциите на председатели на арбитражния състав.</w:t>
      </w:r>
    </w:p>
    <w:p>
      <w:pPr>
        <w:rPr>
          <w:noProof/>
        </w:rPr>
      </w:pPr>
      <w:r>
        <w:rPr>
          <w:noProof/>
        </w:rPr>
        <w:t xml:space="preserve">Кандидатите за арбитри и председатели, предложени от Съюза и от Република Армения, притежават експертни познания в областта на правото, международната търговия и други области, свързани с разпоредбите на дял VI от споразумението, и от тях се очаква да отговарят на изискването за независимост, определено в член 339, параграф 2 от споразумението. 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noProof/>
        </w:rPr>
      </w:pPr>
      <w:r>
        <w:rPr>
          <w:noProof/>
        </w:rPr>
        <w:t xml:space="preserve">Целта на позицията, която трябва да се заеме от името на ЕС, е да бъде съставен списъкът на лицата, които желаят и могат да изпълняват функциите на арбитри при процедури за уреждане на спорове. </w:t>
      </w:r>
    </w:p>
    <w:p>
      <w:pPr>
        <w:rPr>
          <w:noProof/>
        </w:rPr>
      </w:pPr>
      <w:r>
        <w:rPr>
          <w:noProof/>
        </w:rPr>
        <w:t xml:space="preserve">Решението представлява правният инструмент, с който се установява позицията, която трябва да се заеме от името на Съюза в рамките на Комитета за партньорство. </w:t>
      </w:r>
    </w:p>
    <w:p>
      <w:pPr>
        <w:rPr>
          <w:noProof/>
        </w:rPr>
      </w:pPr>
      <w:r>
        <w:rPr>
          <w:noProof/>
        </w:rPr>
        <w:t xml:space="preserve">С настоящото решение се прилага общата търговска политика на Съюза по отношение на конкретна държава от Източното партньорство въз основа на разпоредбите на споразумението. Съставянето на списък с арбитри е законово изискване при създаването на институционални структури, които предоставят на Съюза и на Република Армения възможността за ефективно решаване на двустранните спорове във връзка с прилагането и тълкуването на дела от споразумението, отнасящ се до търговията. То е в съответствие с подхода на Съюза при договарянето или прилагането на механизми за уреждане на спорове в рамките на споразуменията за свободна търговия с други търговски партньори. 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 xml:space="preserve">В член 218, параграф 9 от Договора за функционирането на Европейския съюз (ДФЕС) се предвижда приемането на решения за установяване на 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действие. 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актове, които имат правно действие по силата на нормите на международното право, които уреждат дейността на съответния орган. То включва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lastRenderedPageBreak/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Комитетът за партньорство е орган, създаден по силата на споразумението за партньорство. Решението, което Комитетът за партньорство следва да приеме, представлява акт с правно действие. Предвиденият акт ще бъде обвързващ съгласно международното право в съответствие с член 363, параграф 6 от споразумението. Предвиденият акт не допълва, нито изменя институционалната рамка на споразумението. Поради това процесуалноправното основание за предложеното решение е член 218, параграф 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е член 207, параграф 3 и член 207, параграф 4, първата алинея във връзка с член 218, параграф 9 от ДФЕС.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 на предвидения акт се отнасят до това да се гарантира прилагането на общата търговска политика на Съюза.</w:t>
      </w:r>
    </w:p>
    <w:p>
      <w:pPr>
        <w:rPr>
          <w:i/>
          <w:noProof/>
        </w:rPr>
      </w:pPr>
      <w:r>
        <w:rPr>
          <w:noProof/>
        </w:rPr>
        <w:t>Поради това материалноправното основание за предложеното решение е член 207, параграф 3 и член 207, параграф 4, първата алинея.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 207, параграф 3 и член 207, параграф 4, първата алинея във връзка с член 218, параграф 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noProof/>
        </w:rPr>
      </w:pPr>
      <w:r>
        <w:rPr>
          <w:noProof/>
        </w:rPr>
        <w:t xml:space="preserve">Предвижда се след приемането му от Комитета за партньорство решението да бъде публикувано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2019/0170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Съюза в рамките на Комитета за партньорство, създаден по силата на Споразумението за всеобхватно и засилено партньорство между Европейския съюз и Европейската общност за атомна енергия и техните държави членки, от една страна, и Република Армения, от друга страна, във връзка със списъка на лицата, които да изпълняват функциите на арбитри при процедури за уреждане на спорове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 3 и член 207, параграф 4, първа алинея във връзка с член 218, параграф 9 от него,</w:t>
      </w:r>
    </w:p>
    <w:p>
      <w:pPr>
        <w:rPr>
          <w:noProof/>
        </w:rPr>
      </w:pPr>
      <w:r>
        <w:rPr>
          <w:noProof/>
        </w:rPr>
        <w:t xml:space="preserve">като взе предвид предложението на Европейската комисия, 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съответствие с член 339, параграф 1 от Споразумението за партньорство между Европейския съюз и Европейската общност за атомна енергия и техните държави членки, от една страна, и Република Армения, от друга страна (наричано по-нататък „споразумението“), Комитетът за партньорство следва да състави списък с най-малко 15 лица, които желаят и могат да изпълняват функциите на арбитри.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съответствие с член 385, параграф 5 от споразумението то се прилага временно от 1 юни 2018 г.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съответствие с член 339, параграф 1 от споразумението, ЕС и Република Армения предложиха свои кандидати, които желаят и могат да изпълняват функциите на арбитри, и се договориха за петима представители от държави извън ЕС, които могат да изпълняват функцията на председател на арбитражния състав.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Целесъобразно е Комитетът за партньорство да състави списъка с арбитрите.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След като бъде прието, Решението на Комитета за партньорство следва да бъде публикувано,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в рамките на Комитета за партньорство, създаден по силата на споразумението, по отношение на приемането на списък с лица, които желаят и могат да изпълняват функциите на арбитри, в съответствие с член 339, параграф 1 от споразумението, се основава на проекта на решение на Комитета за партньорство,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rPr>
          <w:noProof/>
        </w:rPr>
      </w:pPr>
      <w:r>
        <w:rPr>
          <w:noProof/>
        </w:rPr>
        <w:t xml:space="preserve">Решението на Комитета за партньорство се публикува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Съда на Европейския съюз от 7 октомври 2014 г., Германия/Съвет, C-399/12, ECLI, ЕU, C 2014, 2258, т. 61—64.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C26EE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37C09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D0229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1D06D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072ED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866AA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C44E0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F2EC7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8-19 11:32:0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68FACEE6-3BA0-4659-8D13-7966B7E7E9CD"/>
    <w:docVar w:name="LW_COVERPAGE_TYPE" w:val="1"/>
    <w:docVar w:name="LW_CROSSREFERENCE" w:val="&lt;UNUSED&gt;"/>
    <w:docVar w:name="LW_DocType" w:val="COM"/>
    <w:docVar w:name="LW_EMISSION" w:val="28.8.2019"/>
    <w:docVar w:name="LW_EMISSION_ISODATE" w:val="2019-08-28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70"/>
    <w:docVar w:name="LW_REF.II.NEW.CP_YEAR" w:val="2019"/>
    <w:docVar w:name="LW_REF.INST.NEW" w:val="COM"/>
    <w:docVar w:name="LW_REF.INST.NEW_ADOPTED" w:val="final"/>
    <w:docVar w:name="LW_REF.INST.NEW_TEXT" w:val="(2019) 3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57?\u1098?\u1102?\u1079?\u1072? \u1074? \u1088?\u1072?\u1084?\u1082?\u1080?\u1090?\u1077? \u1085?\u1072? \u1050?\u1086?\u1084?\u1080?\u1090?\u1077?\u1090?\u1072? \u1079?\u1072? \u1087?\u1072?\u1088?\u1090?\u1085?\u1100?\u1086?\u1088?\u1089?\u1090?\u1074?\u1086?, \u1089?\u1098?\u1079?\u1076?\u1072?\u1076?\u1077?\u1085? \u1087?\u1086? \u1089?\u1080?\u1083?\u1072?\u1090?\u1072? \u1085?\u1072? \u1057?\u1087?\u1086?\u1088?\u1072?\u1079?\u1091?\u1084?\u1077?\u1085?\u1080?\u1077?\u1090?\u1086? \u1079?\u1072? \u1074?\u1089?\u1077?\u1086?\u1073?\u1093?\u1074?\u1072?\u1090?\u1085?\u1086? \u1080? \u1079?\u1072?\u1089?\u1080?\u1083?\u1077?\u1085?\u1086? \u1087?\u1072?\u1088?\u1090?\u1085?\u1100?\u1086?\u1088?\u1089?\u1090?\u1074?\u1086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40?\u1088?\u1084?\u1077?\u1085?\u1080?\u1103?, \u1086?\u1090? \u1076?\u1088?\u1091?\u1075?\u1072? \u1089?\u1090?\u1088?\u1072?\u1085?\u1072?, \u1074?\u1098?\u1074? \u1074?\u1088?\u1098?\u1079?\u1082?\u1072? \u1089?\u1098?\u1089? \u1089?\u1087?\u1080?\u1089?\u1098?\u1082?\u1072? \u1085?\u1072? \u1083?\u1080?\u1094?\u1072?\u1090?\u1072?, \u1082?\u1086?\u1080?\u1090?\u1086? \u1076?\u1072? \u1080?\u1079?\u1087?\u1098?\u1083?\u1085?\u1103?\u1074?\u1072?\u1090? \u1092?\u1091?\u1085?\u1082?\u1094?\u1080?\u1080?\u1090?\u1077? \u1085?\u1072? \u1072?\u1088?\u1073?\u1080?\u1090?\u1088?\u1080? \u1087?\u1088?\u1080? \u1087?\u1088?\u1086?\u1094?\u1077?\u1076?\u1091?\u1088?\u1080? \u1079?\u1072? \u1091?\u1088?\u1077?\u1078?\u1076?\u1072?\u1085?\u1077? \u1085?\u1072? \u1089?\u1087?\u1086?\u1088?\u1086?\u1074?\u1077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6</Pages>
  <Words>1400</Words>
  <Characters>7971</Characters>
  <Application>Microsoft Office Word</Application>
  <DocSecurity>0</DocSecurity>
  <Lines>156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18</cp:revision>
  <dcterms:created xsi:type="dcterms:W3CDTF">2019-07-31T11:49:00Z</dcterms:created>
  <dcterms:modified xsi:type="dcterms:W3CDTF">2019-08-19T09:32:00Z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