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BD1CA38-816C-4DCE-BBD6-4BC6601BD110" style="width:450.75pt;height:366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КОНТЕКСТ НА ПРЕДЛОЖЕНИЕТО</w:t>
      </w:r>
    </w:p>
    <w:p>
      <w:pPr>
        <w:pStyle w:val="ManualHeading2"/>
        <w:rPr>
          <w:rFonts w:eastAsia="Arial Unicode MS"/>
          <w:noProof/>
        </w:rPr>
      </w:pPr>
      <w:r>
        <w:rPr>
          <w:noProof/>
          <w:color w:val="000000"/>
          <w:u w:color="000000"/>
          <w:bdr w:val="nil"/>
        </w:rPr>
        <w:t>•</w:t>
      </w:r>
      <w:r>
        <w:rPr>
          <w:noProof/>
        </w:rPr>
        <w:tab/>
      </w:r>
      <w:r>
        <w:rPr>
          <w:noProof/>
          <w:color w:val="000000"/>
          <w:u w:color="000000"/>
          <w:bdr w:val="nil"/>
        </w:rPr>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Въз основа на съответните указания за водене на преговори</w:t>
      </w:r>
      <w:r>
        <w:rPr>
          <w:rStyle w:val="FootnoteReference"/>
          <w:noProof/>
        </w:rPr>
        <w:footnoteReference w:id="1"/>
      </w:r>
      <w:r>
        <w:rPr>
          <w:noProof/>
        </w:rPr>
        <w:t xml:space="preserve"> Комисията проведе преговори с правителството на Демократична република Сао Томе и Принсипи (наричана по-нататък „Сао Томе и Принсипи“) с оглед на сключването на нов протокол към съществуващото Споразумение за риболов. След приключването им на 17 април 2019 г. бе парафиран нов протокол. Той обхваща период от пет години, считано от датата на започване на временното му прилагане, т.е. датата на подписването му, както е посочено в член 15 от него.</w:t>
      </w:r>
    </w:p>
    <w:p>
      <w:pPr>
        <w:pBdr>
          <w:top w:val="nil"/>
          <w:left w:val="nil"/>
          <w:bottom w:val="nil"/>
          <w:right w:val="nil"/>
          <w:between w:val="nil"/>
          <w:bar w:val="nil"/>
        </w:pBdr>
        <w:spacing w:before="0"/>
        <w:rPr>
          <w:noProof/>
        </w:rPr>
      </w:pPr>
      <w:r>
        <w:rPr>
          <w:noProof/>
        </w:rPr>
        <w:t>Протоколът предвижда следните възможности за риболов за кораби на Съюза:</w:t>
      </w:r>
    </w:p>
    <w:p>
      <w:pPr>
        <w:pStyle w:val="Tiret0"/>
        <w:numPr>
          <w:ilvl w:val="0"/>
          <w:numId w:val="3"/>
        </w:numPr>
        <w:rPr>
          <w:noProof/>
        </w:rPr>
      </w:pPr>
      <w:r>
        <w:rPr>
          <w:noProof/>
        </w:rPr>
        <w:t>28 кораба с мрежи гъргър за улов на риба тон с оборудване за дълбоко замразяване;</w:t>
      </w:r>
    </w:p>
    <w:p>
      <w:pPr>
        <w:pStyle w:val="Tiret0"/>
        <w:rPr>
          <w:noProof/>
        </w:rPr>
      </w:pPr>
      <w:r>
        <w:rPr>
          <w:noProof/>
        </w:rPr>
        <w:t>6 кораба с повърхностни парагади.</w:t>
      </w:r>
    </w:p>
    <w:p>
      <w:pPr>
        <w:pBdr>
          <w:top w:val="nil"/>
          <w:left w:val="nil"/>
          <w:bottom w:val="nil"/>
          <w:right w:val="nil"/>
          <w:between w:val="nil"/>
          <w:bar w:val="nil"/>
        </w:pBdr>
        <w:spacing w:before="0" w:after="240"/>
        <w:rPr>
          <w:noProof/>
        </w:rPr>
      </w:pPr>
      <w:r>
        <w:rPr>
          <w:noProof/>
        </w:rPr>
        <w:t>Следва да бъде определен принципът за разпределяне на тези възможности за риболов между държавите членки.</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Съгласуваност с действащите разпоредби в тази област на политиката</w:t>
      </w:r>
    </w:p>
    <w:p>
      <w:pPr>
        <w:pBdr>
          <w:top w:val="nil"/>
          <w:left w:val="nil"/>
          <w:bottom w:val="nil"/>
          <w:right w:val="nil"/>
          <w:between w:val="nil"/>
          <w:bar w:val="nil"/>
        </w:pBdr>
        <w:spacing w:before="0"/>
        <w:rPr>
          <w:noProof/>
        </w:rPr>
      </w:pPr>
      <w:r>
        <w:rPr>
          <w:noProof/>
        </w:rPr>
        <w:t>В съответствие с приоритетите на реформата на политиката в областта на рибарството</w:t>
      </w:r>
      <w:r>
        <w:rPr>
          <w:rStyle w:val="FootnoteReference"/>
          <w:noProof/>
        </w:rPr>
        <w:footnoteReference w:id="2"/>
      </w:r>
      <w:r>
        <w:rPr>
          <w:noProof/>
        </w:rPr>
        <w:t xml:space="preserve"> новият протокол предоставя възможности за риболов на корабите на Съюза във водите на Сао Томе и Принсипи въз основа на най-добрите налични научни становища и при спазване на препоръките на Международната комисия за опазване на рибата тон в Атлантическия океан (ICCAT). С новия протокол се вземат предвид резултатите от оценката на предходния протокол (2014—2018 г.) и на прогнозна оценка на възможността да се сключи нов протокол. И двете оценки са извършени от външни експерти. Протоколът също така ще позволи на Европейския съюз и на Сао Томе и Принсипи да работят в по-тясно сътрудничество, за да насърчават отговорното използване на рибните ресурси във водите на Сао Томе и Принсипи и да подкрепят усилията на тази държава да развива своя риболовен отрасъл в интерес и на двете страни. </w:t>
      </w:r>
    </w:p>
    <w:p>
      <w:pPr>
        <w:pStyle w:val="ManualHeading2"/>
        <w:rPr>
          <w:rFonts w:eastAsia="Arial Unicode MS"/>
          <w:noProof/>
        </w:rPr>
      </w:pPr>
      <w:r>
        <w:rPr>
          <w:noProof/>
          <w:color w:val="000000"/>
          <w:u w:color="000000"/>
          <w:bdr w:val="nil"/>
        </w:rPr>
        <w:t>•</w:t>
      </w:r>
      <w:r>
        <w:rPr>
          <w:noProof/>
        </w:rPr>
        <w:tab/>
      </w:r>
      <w:r>
        <w:rPr>
          <w:noProof/>
          <w:color w:val="000000"/>
          <w:u w:color="000000"/>
          <w:bdr w:val="nil"/>
        </w:rPr>
        <w:t>Съгласуваност с други политики на Съюза</w:t>
      </w:r>
    </w:p>
    <w:p>
      <w:pPr>
        <w:pBdr>
          <w:top w:val="nil"/>
          <w:left w:val="nil"/>
          <w:bottom w:val="nil"/>
          <w:right w:val="nil"/>
          <w:between w:val="nil"/>
          <w:bar w:val="nil"/>
        </w:pBdr>
        <w:spacing w:before="0" w:after="240"/>
        <w:rPr>
          <w:noProof/>
        </w:rPr>
      </w:pPr>
      <w:r>
        <w:rPr>
          <w:noProof/>
        </w:rPr>
        <w:t>Преговорите за нов протокол към споразумението за партньорство в областта на рибарството със Сао Томе и Принсипи се вписват в рамките на външната дейност на ЕС по отношение на държавите от Африка, Карибите и Тихоокеанския басейн (АКТБ) и с тях се вземат предвид по-специално целите на ЕС в областта на спазването на демократичните принципи и правата на човека.</w:t>
      </w:r>
    </w:p>
    <w:p>
      <w:pPr>
        <w:pStyle w:val="ManualHeading1"/>
        <w:rPr>
          <w:noProof/>
        </w:rPr>
      </w:pPr>
      <w:r>
        <w:t>2.</w:t>
      </w:r>
      <w:r>
        <w:tab/>
      </w:r>
      <w:r>
        <w:rPr>
          <w:noProof/>
        </w:rPr>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spacing w:before="0" w:after="240"/>
        <w:rPr>
          <w:noProof/>
        </w:rPr>
      </w:pPr>
      <w:r>
        <w:rPr>
          <w:noProof/>
        </w:rPr>
        <w:t xml:space="preserve">Избраното правно основание е Договорът за функционирането на Европейския съюз, където в член 43, параграф 3 се постановява, че мерките за разпределянето на възможностите за риболов се приемат от Съвета по предложение на Комисията. </w:t>
      </w:r>
    </w:p>
    <w:p>
      <w:pPr>
        <w:pStyle w:val="ManualHeading2"/>
        <w:rPr>
          <w:rFonts w:eastAsia="Arial Unicode MS"/>
          <w:noProof/>
          <w:u w:color="000000"/>
          <w:bdr w:val="nil"/>
        </w:rPr>
      </w:pPr>
      <w:r>
        <w:rPr>
          <w:noProof/>
        </w:rPr>
        <w:t>•</w:t>
      </w:r>
      <w:r>
        <w:rPr>
          <w:noProof/>
        </w:rPr>
        <w:tab/>
        <w:t>Субсидиарност (при неизключителна компетентност)</w:t>
      </w:r>
    </w:p>
    <w:p>
      <w:pPr>
        <w:spacing w:before="0" w:after="240"/>
        <w:rPr>
          <w:noProof/>
        </w:rPr>
      </w:pPr>
      <w:r>
        <w:rPr>
          <w:noProof/>
        </w:rPr>
        <w:t xml:space="preserve">Областта на политиката попада в обхвата на изключителната компетентност. </w:t>
      </w:r>
    </w:p>
    <w:p>
      <w:pPr>
        <w:pStyle w:val="ManualHeading1"/>
        <w:rPr>
          <w:noProof/>
        </w:rPr>
      </w:pPr>
      <w:r>
        <w:t>3.</w:t>
      </w:r>
      <w:r>
        <w:tab/>
      </w:r>
      <w:r>
        <w:rPr>
          <w:noProof/>
        </w:rPr>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Консултации със заинтересованите страни бяха проведени в рамките на последващите и предварителните оценки относно евентуален нов протокол между Съюза и Демократична република Сао Томе и Принсипи. По време на техническите срещи бяха извършени консултации и с експерти от държавите членки и от сектора. Тези консултации доведоха до заключението, че за Съюза и Демократична република Сао Томе и Принсипи би било от полза да сключат нов протокол към Споразумението за партньорство в областта на рибарството.</w:t>
      </w:r>
    </w:p>
    <w:p>
      <w:pPr>
        <w:pStyle w:val="ManualHeading2"/>
        <w:rPr>
          <w:rFonts w:eastAsia="Arial Unicode MS"/>
          <w:noProof/>
          <w:u w:color="000000"/>
          <w:bdr w:val="nil"/>
        </w:rPr>
      </w:pPr>
      <w:r>
        <w:rPr>
          <w:noProof/>
        </w:rPr>
        <w:t>•</w:t>
      </w:r>
      <w:r>
        <w:rPr>
          <w:noProof/>
        </w:rPr>
        <w:tab/>
        <w:t>Консултация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В рамките на оценката бяха проведени консултации с държавите членки, представители на сектора и международни организации на гражданското общество, както и с представители на органа за управление на рибарството и на гражданското общество на Сао Томе и Принсипи. Бяха проведени също така консултации в рамките на Консултативния съвет по далечно плаване.</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spacing w:before="0" w:after="240"/>
        <w:rPr>
          <w:noProof/>
        </w:rPr>
      </w:pPr>
      <w:r>
        <w:rPr>
          <w:noProof/>
        </w:rPr>
        <w:t xml:space="preserve">В съответствие с разпоредбите на член 31, параграф 10 от Регламента за общата политика в областта на рибарството Комисията възложи на независим консултант извършването на последващата и предварителната оценка. </w:t>
      </w:r>
    </w:p>
    <w:p>
      <w:pPr>
        <w:pStyle w:val="ManualHeading1"/>
        <w:rPr>
          <w:noProof/>
        </w:rPr>
      </w:pPr>
      <w:r>
        <w:t>4.</w:t>
      </w:r>
      <w:r>
        <w:tab/>
      </w:r>
      <w:r>
        <w:rPr>
          <w:noProof/>
        </w:rPr>
        <w:t>ОТРАЖЕНИЕ ВЪРХУ БЮДЖЕТА</w:t>
      </w:r>
    </w:p>
    <w:p>
      <w:pPr>
        <w:spacing w:before="0" w:after="240"/>
        <w:rPr>
          <w:noProof/>
        </w:rPr>
      </w:pPr>
      <w:r>
        <w:rPr>
          <w:noProof/>
        </w:rPr>
        <w:t>Проектът на регламент няма отражение върху бюджета на Съюза.</w:t>
      </w:r>
    </w:p>
    <w:p>
      <w:pPr>
        <w:pStyle w:val="ManualHeading1"/>
        <w:rPr>
          <w:noProof/>
        </w:rPr>
      </w:pPr>
      <w:r>
        <w:t>5.</w:t>
      </w:r>
      <w:r>
        <w:tab/>
      </w:r>
      <w:r>
        <w:rPr>
          <w:noProof/>
        </w:rPr>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наблюдение, оценка и докладване</w:t>
      </w:r>
    </w:p>
    <w:p>
      <w:pPr>
        <w:spacing w:before="0" w:after="240"/>
        <w:rPr>
          <w:noProof/>
        </w:rPr>
      </w:pPr>
      <w:r>
        <w:rPr>
          <w:noProof/>
        </w:rPr>
        <w:t xml:space="preserve">Настоящата процедура се открива едновременно с процедурите, свързани с решението на Съвета относно подписването от името на Съюза на протокола към Споразумението за партньорство в областта на рибарството между Демократична република Сао Томе и Принсипи и Европейската общност, както и с решението на Съвета относно неговото сключване. Настоящият регламент следва да започне да се прилага, след като стане възможно извършването на риболовни дейности по силата на споразумението, тоест от датата на временното прилагане на протокола. </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2019/0171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 xml:space="preserve">относно разпределянето на възможностите за риболов съгласно Протокола за прилагане на Споразумението за партньорство в областта на рибарството между Демократична република Сао Томе и Принсипи и Европейската общност </w:t>
      </w:r>
    </w:p>
    <w:p>
      <w:pPr>
        <w:pStyle w:val="Institutionquiagit"/>
        <w:rPr>
          <w:noProof/>
        </w:rPr>
      </w:pPr>
      <w:r>
        <w:rPr>
          <w:noProof/>
        </w:rPr>
        <w:t>СЪВЕТЪТ НА ЕВРОПЕЙСКИЯ СЪЮЗ,</w:t>
      </w:r>
    </w:p>
    <w:p>
      <w:pPr>
        <w:rPr>
          <w:noProof/>
        </w:rPr>
      </w:pPr>
      <w:r>
        <w:rPr>
          <w:noProof/>
        </w:rPr>
        <w:t>като взеха предвид Договора за функционирането на Европейския съюз, и по-специално член 43,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На 23 юли 2007 г. Съветът прие Регламент (ЕО) № 894/2007 на Съвета</w:t>
      </w:r>
      <w:r>
        <w:rPr>
          <w:rStyle w:val="FootnoteReference"/>
          <w:noProof/>
        </w:rPr>
        <w:footnoteReference w:id="3"/>
      </w:r>
      <w:r>
        <w:rPr>
          <w:noProof/>
        </w:rPr>
        <w:t xml:space="preserve"> за сключване на Споразумение за партньорство в областта на рибарството между Демократична република Сао Томе и Принсипи и Европейската общност (наричано по-долу „споразумението“)</w:t>
      </w:r>
      <w:r>
        <w:rPr>
          <w:rStyle w:val="FootnoteReference"/>
          <w:noProof/>
        </w:rPr>
        <w:footnoteReference w:id="4"/>
      </w:r>
      <w:r>
        <w:rPr>
          <w:noProof/>
        </w:rPr>
        <w:t>. Споразумението е в сила от 29 август 2011 г.</w:t>
      </w:r>
    </w:p>
    <w:p>
      <w:pPr>
        <w:pStyle w:val="ManualConsidrant"/>
        <w:rPr>
          <w:noProof/>
        </w:rPr>
      </w:pPr>
      <w:r>
        <w:t>(2)</w:t>
      </w:r>
      <w:r>
        <w:tab/>
      </w:r>
      <w:r>
        <w:rPr>
          <w:noProof/>
        </w:rPr>
        <w:t>На [</w:t>
      </w:r>
      <w:r>
        <w:rPr>
          <w:i/>
          <w:noProof/>
        </w:rPr>
        <w:t>да се впише датата на подписване</w:t>
      </w:r>
      <w:r>
        <w:rPr>
          <w:noProof/>
        </w:rPr>
        <w:t>] г. бе подписан нов протокол за прилагане на споразумението (наричан по-долу „протоколът“) в съответствие с Решение 2019/.../ЕС на Съвета</w:t>
      </w:r>
      <w:r>
        <w:rPr>
          <w:rStyle w:val="FootnoteReference"/>
          <w:noProof/>
        </w:rPr>
        <w:footnoteReference w:id="5"/>
      </w:r>
      <w:r>
        <w:rPr>
          <w:noProof/>
        </w:rPr>
        <w:t>.</w:t>
      </w:r>
    </w:p>
    <w:p>
      <w:pPr>
        <w:pStyle w:val="ManualConsidrant"/>
        <w:rPr>
          <w:noProof/>
        </w:rPr>
      </w:pPr>
      <w:r>
        <w:t>(3)</w:t>
      </w:r>
      <w:r>
        <w:tab/>
      </w:r>
      <w:r>
        <w:rPr>
          <w:noProof/>
        </w:rPr>
        <w:t>Предвидените в протокола възможности за риболов следва да се разпределят между държавите членки за целия период на прилагането му.</w:t>
      </w:r>
    </w:p>
    <w:p>
      <w:pPr>
        <w:pStyle w:val="ManualConsidrant"/>
        <w:rPr>
          <w:noProof/>
        </w:rPr>
      </w:pPr>
      <w:r>
        <w:t>(4)</w:t>
      </w:r>
      <w:r>
        <w:tab/>
      </w:r>
      <w:r>
        <w:rPr>
          <w:noProof/>
        </w:rPr>
        <w:t>Протоколът ще се прилага временно от датата на подписването му. С цел да се осигури скорошно започване на риболовните дейности на корабите на Съюза, настоящият регламент следва да се прилага от същата дата,</w:t>
      </w:r>
    </w:p>
    <w:p>
      <w:pPr>
        <w:pStyle w:val="Formuledadoption"/>
        <w:rPr>
          <w:noProof/>
        </w:rPr>
      </w:pPr>
      <w:r>
        <w:rPr>
          <w:noProof/>
        </w:rPr>
        <w:t>ПРИЕ НАСТОЯЩИЯ РЕГЛАМЕНТ:</w:t>
      </w:r>
    </w:p>
    <w:p>
      <w:pPr>
        <w:pStyle w:val="Titrearticle"/>
        <w:rPr>
          <w:noProof/>
        </w:rPr>
      </w:pPr>
      <w:r>
        <w:rPr>
          <w:noProof/>
        </w:rPr>
        <w:t>Член 1</w:t>
      </w:r>
    </w:p>
    <w:p>
      <w:pPr>
        <w:rPr>
          <w:noProof/>
        </w:rPr>
      </w:pPr>
      <w:r>
        <w:rPr>
          <w:noProof/>
        </w:rPr>
        <w:t>Възможностите за риболов, установени съгласно Протокола за прилагане на Споразумението за партньорство в областта на рибарството между Демократична република Сао Томе и Принсипи и Европейската общност (наричан по-долу „протоколът“), се разпределят между държавите членки, както следва:</w:t>
      </w:r>
    </w:p>
    <w:p>
      <w:pPr>
        <w:rPr>
          <w:noProof/>
        </w:rPr>
      </w:pPr>
      <w:r>
        <w:rPr>
          <w:noProof/>
        </w:rPr>
        <w:t>а)</w:t>
      </w:r>
      <w:r>
        <w:rPr>
          <w:noProof/>
        </w:rPr>
        <w:tab/>
        <w:t>кораби с мрежи гъргър за улов на риба тон:</w:t>
      </w:r>
    </w:p>
    <w:p>
      <w:pPr>
        <w:rPr>
          <w:noProof/>
        </w:rPr>
      </w:pPr>
      <w:r>
        <w:rPr>
          <w:noProof/>
        </w:rPr>
        <w:t>Испания:</w:t>
      </w:r>
      <w:r>
        <w:rPr>
          <w:noProof/>
        </w:rPr>
        <w:tab/>
      </w:r>
      <w:r>
        <w:rPr>
          <w:noProof/>
        </w:rPr>
        <w:tab/>
        <w:t>[16]</w:t>
      </w:r>
      <w:r>
        <w:rPr>
          <w:noProof/>
        </w:rPr>
        <w:tab/>
        <w:t>кораба</w:t>
      </w:r>
    </w:p>
    <w:p>
      <w:pPr>
        <w:tabs>
          <w:tab w:val="left" w:pos="2160"/>
        </w:tabs>
        <w:rPr>
          <w:noProof/>
        </w:rPr>
      </w:pPr>
      <w:r>
        <w:rPr>
          <w:noProof/>
        </w:rPr>
        <w:t>Франция:</w:t>
      </w:r>
      <w:r>
        <w:rPr>
          <w:noProof/>
        </w:rPr>
        <w:tab/>
        <w:t>[12]</w:t>
      </w:r>
      <w:r>
        <w:rPr>
          <w:noProof/>
        </w:rPr>
        <w:tab/>
        <w:t>кораба</w:t>
      </w:r>
    </w:p>
    <w:p>
      <w:pPr>
        <w:rPr>
          <w:noProof/>
        </w:rPr>
      </w:pPr>
      <w:r>
        <w:rPr>
          <w:noProof/>
        </w:rPr>
        <w:t>б)</w:t>
      </w:r>
      <w:r>
        <w:rPr>
          <w:noProof/>
        </w:rPr>
        <w:tab/>
        <w:t>кораби с парагади за улов на повърхността:</w:t>
      </w:r>
    </w:p>
    <w:p>
      <w:pPr>
        <w:rPr>
          <w:noProof/>
        </w:rPr>
      </w:pPr>
      <w:r>
        <w:rPr>
          <w:noProof/>
        </w:rPr>
        <w:t>Испания:</w:t>
      </w:r>
      <w:r>
        <w:rPr>
          <w:noProof/>
        </w:rPr>
        <w:tab/>
      </w:r>
      <w:r>
        <w:rPr>
          <w:noProof/>
        </w:rPr>
        <w:tab/>
        <w:t>[5]</w:t>
      </w:r>
      <w:r>
        <w:rPr>
          <w:noProof/>
        </w:rPr>
        <w:tab/>
        <w:t>кораба</w:t>
      </w:r>
    </w:p>
    <w:p>
      <w:pPr>
        <w:rPr>
          <w:noProof/>
        </w:rPr>
      </w:pPr>
      <w:r>
        <w:rPr>
          <w:noProof/>
        </w:rPr>
        <w:t>Португалия:</w:t>
      </w:r>
      <w:r>
        <w:rPr>
          <w:noProof/>
        </w:rPr>
        <w:tab/>
      </w:r>
      <w:r>
        <w:rPr>
          <w:noProof/>
        </w:rPr>
        <w:tab/>
        <w:t>[1]</w:t>
      </w:r>
      <w:r>
        <w:rPr>
          <w:noProof/>
        </w:rPr>
        <w:tab/>
        <w:t>кораб</w:t>
      </w:r>
    </w:p>
    <w:p>
      <w:pPr>
        <w:jc w:val="center"/>
        <w:rPr>
          <w:i/>
          <w:noProof/>
        </w:rPr>
      </w:pPr>
      <w:r>
        <w:rPr>
          <w:i/>
          <w:noProof/>
        </w:rPr>
        <w:t>Член 2</w:t>
      </w:r>
    </w:p>
    <w:p>
      <w:pPr>
        <w:rPr>
          <w:noProof/>
        </w:rPr>
      </w:pP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w:t>
      </w:r>
    </w:p>
    <w:p>
      <w:pPr>
        <w:rPr>
          <w:noProof/>
        </w:rPr>
      </w:pPr>
      <w:r>
        <w:rPr>
          <w:noProof/>
        </w:rPr>
        <w:t>Той се прилага от датата на прилагане на протокола.</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tab/>
        <w:t>Приети по време на заседанието на Съвета по транспорт, телекомуникации и енергетика на 18 декември 2017 г.</w:t>
      </w:r>
    </w:p>
  </w:footnote>
  <w:footnote w:id="2">
    <w:p>
      <w:pPr>
        <w:pStyle w:val="FootnoteText"/>
        <w:rPr>
          <w:lang w:val="ru-RU"/>
        </w:rPr>
      </w:pPr>
      <w:r>
        <w:rPr>
          <w:rStyle w:val="FootnoteReference"/>
        </w:rPr>
        <w:footnoteRef/>
      </w:r>
      <w:r>
        <w:tab/>
        <w:t>ОВ L 354, 28.12.2013 г., стр. 22.</w:t>
      </w:r>
    </w:p>
  </w:footnote>
  <w:footnote w:id="3">
    <w:p>
      <w:pPr>
        <w:pStyle w:val="FootnoteText"/>
        <w:rPr>
          <w:lang w:val="ru-RU"/>
        </w:rPr>
      </w:pPr>
      <w:r>
        <w:rPr>
          <w:rStyle w:val="FootnoteReference"/>
        </w:rPr>
        <w:footnoteRef/>
      </w:r>
      <w:r>
        <w:tab/>
        <w:t>Регламент (ЕО) № 894/2007 на Съвета от 23 юли 2007 година за сключване на Споразумение за партньорство в областта на рибарството между Демократична република Сао Томе и Принсипи и Европейската общност (ОВ L 205, 7.8.2007 г., стр. 35).</w:t>
      </w:r>
    </w:p>
  </w:footnote>
  <w:footnote w:id="4">
    <w:p>
      <w:pPr>
        <w:pStyle w:val="FootnoteText"/>
        <w:rPr>
          <w:lang w:val="ru-RU"/>
        </w:rPr>
      </w:pPr>
      <w:r>
        <w:rPr>
          <w:rStyle w:val="FootnoteReference"/>
        </w:rPr>
        <w:footnoteRef/>
      </w:r>
      <w:r>
        <w:tab/>
        <w:t>ОВ L 205, 7.8.2007 г., стр. 36.</w:t>
      </w:r>
    </w:p>
  </w:footnote>
  <w:footnote w:id="5">
    <w:p>
      <w:pPr>
        <w:pStyle w:val="FootnoteText"/>
        <w:ind w:left="0" w:firstLine="0"/>
        <w:rPr>
          <w:lang w:val="ru-RU"/>
        </w:rPr>
      </w:pPr>
      <w:r>
        <w:rPr>
          <w:rStyle w:val="FootnoteReference"/>
        </w:rPr>
        <w:footnoteRef/>
      </w:r>
      <w:r>
        <w:tab/>
      </w:r>
      <w:r>
        <w:rPr>
          <w:highlight w:val="yellow"/>
        </w:rPr>
        <w:t>ОВ L ... , ... г., стр. ...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4B071C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E60BA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142FB56"/>
    <w:lvl w:ilvl="0">
      <w:start w:val="1"/>
      <w:numFmt w:val="decimal"/>
      <w:pStyle w:val="ListNumber2"/>
      <w:lvlText w:val="%1."/>
      <w:lvlJc w:val="left"/>
      <w:pPr>
        <w:tabs>
          <w:tab w:val="num" w:pos="643"/>
        </w:tabs>
        <w:ind w:left="643" w:hanging="360"/>
      </w:pPr>
    </w:lvl>
  </w:abstractNum>
  <w:abstractNum w:abstractNumId="3">
    <w:nsid w:val="FFFFFF81"/>
    <w:multiLevelType w:val="singleLevel"/>
    <w:tmpl w:val="6DB88ED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9367D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8"/>
    <w:multiLevelType w:val="singleLevel"/>
    <w:tmpl w:val="A89865CA"/>
    <w:lvl w:ilvl="0">
      <w:start w:val="1"/>
      <w:numFmt w:val="decimal"/>
      <w:pStyle w:val="ListNumber"/>
      <w:lvlText w:val="%1."/>
      <w:lvlJc w:val="left"/>
      <w:pPr>
        <w:tabs>
          <w:tab w:val="num" w:pos="360"/>
        </w:tabs>
        <w:ind w:left="360" w:hanging="360"/>
      </w:pPr>
    </w:lvl>
  </w:abstractNum>
  <w:abstractNum w:abstractNumId="6">
    <w:nsid w:val="FFFFFF89"/>
    <w:multiLevelType w:val="singleLevel"/>
    <w:tmpl w:val="22E4FDCC"/>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0"/>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num>
  <w:num w:numId="4">
    <w:abstractNumId w:val="21"/>
    <w:lvlOverride w:ilvl="0">
      <w:startOverride w:val="1"/>
    </w:lvlOverride>
  </w:num>
  <w:num w:numId="5">
    <w:abstractNumId w:val="6"/>
  </w:num>
  <w:num w:numId="6">
    <w:abstractNumId w:val="4"/>
  </w:num>
  <w:num w:numId="7">
    <w:abstractNumId w:val="3"/>
  </w:num>
  <w:num w:numId="8">
    <w:abstractNumId w:val="5"/>
  </w:num>
  <w:num w:numId="9">
    <w:abstractNumId w:val="2"/>
  </w:num>
  <w:num w:numId="10">
    <w:abstractNumId w:val="1"/>
  </w:num>
  <w:num w:numId="11">
    <w:abstractNumId w:val="0"/>
  </w:num>
  <w:num w:numId="12">
    <w:abstractNumId w:val="17"/>
  </w:num>
  <w:num w:numId="13">
    <w:abstractNumId w:val="11"/>
  </w:num>
  <w:num w:numId="14">
    <w:abstractNumId w:val="19"/>
  </w:num>
  <w:num w:numId="15">
    <w:abstractNumId w:val="10"/>
  </w:num>
  <w:num w:numId="16">
    <w:abstractNumId w:val="12"/>
  </w:num>
  <w:num w:numId="17">
    <w:abstractNumId w:val="8"/>
  </w:num>
  <w:num w:numId="18">
    <w:abstractNumId w:val="18"/>
  </w:num>
  <w:num w:numId="19">
    <w:abstractNumId w:val="7"/>
  </w:num>
  <w:num w:numId="20">
    <w:abstractNumId w:val="13"/>
  </w:num>
  <w:num w:numId="21">
    <w:abstractNumId w:val="15"/>
  </w:num>
  <w:num w:numId="22">
    <w:abstractNumId w:val="16"/>
  </w:num>
  <w:num w:numId="23">
    <w:abstractNumId w:val="9"/>
  </w:num>
  <w:num w:numId="24">
    <w:abstractNumId w:val="14"/>
  </w:num>
  <w:num w:numId="25">
    <w:abstractNumId w:val="21"/>
  </w:num>
  <w:num w:numId="26">
    <w:abstractNumId w:val="17"/>
  </w:num>
  <w:num w:numId="27">
    <w:abstractNumId w:val="11"/>
  </w:num>
  <w:num w:numId="28">
    <w:abstractNumId w:val="19"/>
  </w:num>
  <w:num w:numId="29">
    <w:abstractNumId w:val="10"/>
  </w:num>
  <w:num w:numId="30">
    <w:abstractNumId w:val="12"/>
  </w:num>
  <w:num w:numId="31">
    <w:abstractNumId w:val="8"/>
  </w:num>
  <w:num w:numId="32">
    <w:abstractNumId w:val="18"/>
  </w:num>
  <w:num w:numId="33">
    <w:abstractNumId w:val="7"/>
  </w:num>
  <w:num w:numId="34">
    <w:abstractNumId w:val="13"/>
  </w:num>
  <w:num w:numId="35">
    <w:abstractNumId w:val="15"/>
  </w:num>
  <w:num w:numId="36">
    <w:abstractNumId w:val="16"/>
  </w:num>
  <w:num w:numId="37">
    <w:abstractNumId w:val="9"/>
  </w:num>
  <w:num w:numId="38">
    <w:abstractNumId w:val="14"/>
  </w:num>
  <w:num w:numId="39">
    <w:abstractNumId w:val="2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RLJIC Robert (SJ)">
    <w15:presenceInfo w15:providerId="None" w15:userId="MRLJIC Robert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8-27 12:04:1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BD1CA38-816C-4DCE-BBD6-4BC6601BD110"/>
    <w:docVar w:name="LW_COVERPAGE_TYPE" w:val="1"/>
    <w:docVar w:name="LW_CROSSREFERENCE" w:val="&lt;UNUSED&gt;"/>
    <w:docVar w:name="LW_DocType" w:val="COM"/>
    <w:docVar w:name="LW_EMISSION" w:val="30.8.2019"/>
    <w:docVar w:name="LW_EMISSION_ISODATE" w:val="2019-08-30"/>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71"/>
    <w:docVar w:name="LW_REF.II.NEW.CP_YEAR" w:val="2019"/>
    <w:docVar w:name="LW_REF.INST.NEW" w:val="COM"/>
    <w:docVar w:name="LW_REF.INST.NEW_ADOPTED" w:val="final"/>
    <w:docVar w:name="LW_REF.INST.NEW_TEXT" w:val="(2019) 3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8?\u1072?\u1079?\u1087?\u1088?\u1077?\u1076?\u1077?\u1083?\u1103?\u1085?\u1077?\u1090?\u1086? \u1085?\u1072? \u1074?\u1098?\u1079?\u1084?\u1086?\u1078?\u1085?\u1086?\u1089?\u1090?\u1080?\u1090?\u1077? \u1079?\u1072? \u1088?\u1080?\u1073?\u1086?\u1083?\u1086?\u1074? \u1089?\u1098?\u1075?\u1083?\u1072?\u1089?\u1085?\u1086? \u1055?\u1088?\u1086?\u1090?\u1086?\u1082?\u1086?\u1083?\u1072? \u1079?\u1072? \u1087?\u1088?\u1080?\u1083?\u1072?\u1075?\u1072?\u1085?\u1077? \u1085?\u1072? \u1057?\u1087?\u1086?\u1088?\u1072?\u1079?\u1091?\u1084?\u1077?\u1085?\u1080?\u1077?\u1090?\u1086? \u1079?\u1072? \u1087?\u1072?\u1088?\u1090?\u1085?\u1100?\u1086?\u1088?\u1089?\u1090?\u1074?\u1086? \u1074? \u1086?\u1073?\u1083?\u1072?\u1089?\u1090?\u1090?\u1072? \u1085?\u1072? \u1088?\u1080?\u1073?\u1072?\u1088?\u1089?\u1090?\u1074?\u1086?\u1090?\u1086? \u1084?\u1077?\u1078?\u1076?\u1091? \u1044?\u1077?\u1084?\u1086?\u1082?\u1088?\u1072?\u1090?\u1080?\u1095?\u1085?\u1072? \u1088?\u1077?\u1087?\u1091?\u1073?\u1083?\u1080?\u1082?\u1072? \u1057?\u1072?\u1086? \u1058?\u1086?\u1084?\u1077? \u1080? \u1055?\u1088?\u1080?\u1085?\u1089?\u1080?\u1087?\u1080? \u1080? \u1045?\u1074?\u1088?\u1086?\u1087?\u1077?\u1081?\u1089?\u1082?\u1072?\u1090?\u1072? \u1086?\u1073?\u1097?\u1085?\u1086?\u1089?\u1090? "/>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pPr>
      <w:numPr>
        <w:numId w:val="1"/>
      </w:numPr>
    </w:pPr>
    <w:rPr>
      <w:rFonts w:eastAsia="Times New Roman"/>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pPr>
      <w:numPr>
        <w:numId w:val="1"/>
      </w:numPr>
    </w:pPr>
    <w:rPr>
      <w:rFonts w:eastAsia="Times New Roman"/>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1011</Words>
  <Characters>5844</Characters>
  <Application>Microsoft Office Word</Application>
  <DocSecurity>0</DocSecurity>
  <Lines>124</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2019-07-03T08:17:00Z</dcterms:created>
  <dcterms:modified xsi:type="dcterms:W3CDTF">2019-08-27T10:04:00Z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